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Ex1.xml" ContentType="application/vnd.ms-office.chartex+xml"/>
  <Override PartName="/word/charts/style17.xml" ContentType="application/vnd.ms-office.chartstyle+xml"/>
  <Override PartName="/word/charts/colors17.xml" ContentType="application/vnd.ms-office.chartcolorstyle+xml"/>
  <Override PartName="/word/charts/chartEx2.xml" ContentType="application/vnd.ms-office.chartex+xml"/>
  <Override PartName="/word/charts/style18.xml" ContentType="application/vnd.ms-office.chartstyle+xml"/>
  <Override PartName="/word/charts/colors18.xml" ContentType="application/vnd.ms-office.chartcolorstyle+xml"/>
  <Override PartName="/word/charts/chartEx3.xml" ContentType="application/vnd.ms-office.chartex+xml"/>
  <Override PartName="/word/charts/style19.xml" ContentType="application/vnd.ms-office.chartstyle+xml"/>
  <Override PartName="/word/charts/colors19.xml" ContentType="application/vnd.ms-office.chartcolorstyle+xml"/>
  <Override PartName="/word/charts/chartEx4.xml" ContentType="application/vnd.ms-office.chartex+xml"/>
  <Override PartName="/word/charts/style20.xml" ContentType="application/vnd.ms-office.chartstyle+xml"/>
  <Override PartName="/word/charts/colors20.xml" ContentType="application/vnd.ms-office.chartcolorstyle+xml"/>
  <Override PartName="/word/charts/chartEx5.xml" ContentType="application/vnd.ms-office.chartex+xml"/>
  <Override PartName="/word/charts/style21.xml" ContentType="application/vnd.ms-office.chartstyle+xml"/>
  <Override PartName="/word/charts/colors21.xml" ContentType="application/vnd.ms-office.chartcolorstyle+xml"/>
  <Override PartName="/word/charts/chartEx6.xml" ContentType="application/vnd.ms-office.chartex+xml"/>
  <Override PartName="/word/charts/style22.xml" ContentType="application/vnd.ms-office.chartstyle+xml"/>
  <Override PartName="/word/charts/colors22.xml" ContentType="application/vnd.ms-office.chartcolorstyle+xml"/>
  <Override PartName="/word/charts/chartEx7.xml" ContentType="application/vnd.ms-office.chartex+xml"/>
  <Override PartName="/word/charts/style23.xml" ContentType="application/vnd.ms-office.chartstyle+xml"/>
  <Override PartName="/word/charts/colors23.xml" ContentType="application/vnd.ms-office.chartcolorstyle+xml"/>
  <Override PartName="/word/charts/chartEx8.xml" ContentType="application/vnd.ms-office.chartex+xml"/>
  <Override PartName="/word/charts/style24.xml" ContentType="application/vnd.ms-office.chartstyle+xml"/>
  <Override PartName="/word/charts/colors24.xml" ContentType="application/vnd.ms-office.chartcolorstyle+xml"/>
  <Override PartName="/word/charts/chartEx9.xml" ContentType="application/vnd.ms-office.chartex+xml"/>
  <Override PartName="/word/charts/style25.xml" ContentType="application/vnd.ms-office.chartstyle+xml"/>
  <Override PartName="/word/charts/colors25.xml" ContentType="application/vnd.ms-office.chartcolorstyle+xml"/>
  <Override PartName="/word/charts/chartEx10.xml" ContentType="application/vnd.ms-office.chartex+xml"/>
  <Override PartName="/word/charts/style26.xml" ContentType="application/vnd.ms-office.chartstyle+xml"/>
  <Override PartName="/word/charts/colors26.xml" ContentType="application/vnd.ms-office.chartcolorstyle+xml"/>
  <Override PartName="/word/charts/chartEx11.xml" ContentType="application/vnd.ms-office.chartex+xml"/>
  <Override PartName="/word/charts/style27.xml" ContentType="application/vnd.ms-office.chartstyle+xml"/>
  <Override PartName="/word/charts/colors27.xml" ContentType="application/vnd.ms-office.chartcolorstyle+xml"/>
  <Override PartName="/word/charts/chartEx12.xml" ContentType="application/vnd.ms-office.chartex+xml"/>
  <Override PartName="/word/charts/style28.xml" ContentType="application/vnd.ms-office.chartstyle+xml"/>
  <Override PartName="/word/charts/colors28.xml" ContentType="application/vnd.ms-office.chartcolorstyle+xml"/>
  <Override PartName="/word/charts/chartEx13.xml" ContentType="application/vnd.ms-office.chartex+xml"/>
  <Override PartName="/word/charts/style29.xml" ContentType="application/vnd.ms-office.chartstyle+xml"/>
  <Override PartName="/word/charts/colors29.xml" ContentType="application/vnd.ms-office.chartcolorstyle+xml"/>
  <Override PartName="/word/charts/chartEx14.xml" ContentType="application/vnd.ms-office.chartex+xml"/>
  <Override PartName="/word/charts/style30.xml" ContentType="application/vnd.ms-office.chartstyle+xml"/>
  <Override PartName="/word/charts/colors30.xml" ContentType="application/vnd.ms-office.chartcolorstyle+xml"/>
  <Override PartName="/word/charts/chartEx15.xml" ContentType="application/vnd.ms-office.chartex+xml"/>
  <Override PartName="/word/charts/style31.xml" ContentType="application/vnd.ms-office.chartstyle+xml"/>
  <Override PartName="/word/charts/colors31.xml" ContentType="application/vnd.ms-office.chartcolorstyle+xml"/>
  <Override PartName="/word/charts/chartEx16.xml" ContentType="application/vnd.ms-office.chartex+xml"/>
  <Override PartName="/word/charts/style32.xml" ContentType="application/vnd.ms-office.chartstyle+xml"/>
  <Override PartName="/word/charts/colors32.xml" ContentType="application/vnd.ms-office.chartcolorstyle+xml"/>
  <Override PartName="/word/charts/chartEx17.xml" ContentType="application/vnd.ms-office.chartex+xml"/>
  <Override PartName="/word/charts/style33.xml" ContentType="application/vnd.ms-office.chartstyle+xml"/>
  <Override PartName="/word/charts/colors33.xml" ContentType="application/vnd.ms-office.chartcolorstyle+xml"/>
  <Override PartName="/word/charts/chartEx18.xml" ContentType="application/vnd.ms-office.chartex+xml"/>
  <Override PartName="/word/charts/style34.xml" ContentType="application/vnd.ms-office.chartstyle+xml"/>
  <Override PartName="/word/charts/colors34.xml" ContentType="application/vnd.ms-office.chartcolorstyle+xml"/>
  <Override PartName="/word/charts/chartEx19.xml" ContentType="application/vnd.ms-office.chartex+xml"/>
  <Override PartName="/word/charts/style35.xml" ContentType="application/vnd.ms-office.chartstyle+xml"/>
  <Override PartName="/word/charts/colors35.xml" ContentType="application/vnd.ms-office.chartcolorstyle+xml"/>
  <Override PartName="/word/charts/chartEx20.xml" ContentType="application/vnd.ms-office.chartex+xml"/>
  <Override PartName="/word/charts/style36.xml" ContentType="application/vnd.ms-office.chartstyle+xml"/>
  <Override PartName="/word/charts/colors36.xml" ContentType="application/vnd.ms-office.chartcolorstyle+xml"/>
  <Override PartName="/word/charts/chartEx21.xml" ContentType="application/vnd.ms-office.chartex+xml"/>
  <Override PartName="/word/charts/style37.xml" ContentType="application/vnd.ms-office.chartstyle+xml"/>
  <Override PartName="/word/charts/colors37.xml" ContentType="application/vnd.ms-office.chartcolorstyle+xml"/>
  <Override PartName="/word/charts/chartEx22.xml" ContentType="application/vnd.ms-office.chartex+xml"/>
  <Override PartName="/word/charts/style38.xml" ContentType="application/vnd.ms-office.chartstyle+xml"/>
  <Override PartName="/word/charts/colors38.xml" ContentType="application/vnd.ms-office.chartcolorstyle+xml"/>
  <Override PartName="/word/charts/chartEx23.xml" ContentType="application/vnd.ms-office.chartex+xml"/>
  <Override PartName="/word/charts/style39.xml" ContentType="application/vnd.ms-office.chartstyle+xml"/>
  <Override PartName="/word/charts/colors39.xml" ContentType="application/vnd.ms-office.chartcolorstyle+xml"/>
  <Override PartName="/word/charts/chartEx24.xml" ContentType="application/vnd.ms-office.chartex+xml"/>
  <Override PartName="/word/charts/style40.xml" ContentType="application/vnd.ms-office.chartstyle+xml"/>
  <Override PartName="/word/charts/colors40.xml" ContentType="application/vnd.ms-office.chartcolorstyle+xml"/>
  <Override PartName="/word/charts/chartEx25.xml" ContentType="application/vnd.ms-office.chartex+xml"/>
  <Override PartName="/word/charts/style41.xml" ContentType="application/vnd.ms-office.chartstyle+xml"/>
  <Override PartName="/word/charts/colors41.xml" ContentType="application/vnd.ms-office.chartcolorstyle+xml"/>
  <Override PartName="/word/charts/chartEx26.xml" ContentType="application/vnd.ms-office.chartex+xml"/>
  <Override PartName="/word/charts/style42.xml" ContentType="application/vnd.ms-office.chartstyle+xml"/>
  <Override PartName="/word/charts/colors42.xml" ContentType="application/vnd.ms-office.chartcolorstyle+xml"/>
  <Override PartName="/word/charts/chartEx27.xml" ContentType="application/vnd.ms-office.chartex+xml"/>
  <Override PartName="/word/charts/style43.xml" ContentType="application/vnd.ms-office.chartstyle+xml"/>
  <Override PartName="/word/charts/colors43.xml" ContentType="application/vnd.ms-office.chartcolorstyle+xml"/>
  <Override PartName="/word/charts/chartEx28.xml" ContentType="application/vnd.ms-office.chartex+xml"/>
  <Override PartName="/word/charts/style44.xml" ContentType="application/vnd.ms-office.chartstyle+xml"/>
  <Override PartName="/word/charts/colors44.xml" ContentType="application/vnd.ms-office.chartcolorstyle+xml"/>
  <Override PartName="/word/charts/chartEx29.xml" ContentType="application/vnd.ms-office.chartex+xml"/>
  <Override PartName="/word/charts/style45.xml" ContentType="application/vnd.ms-office.chartstyle+xml"/>
  <Override PartName="/word/charts/colors45.xml" ContentType="application/vnd.ms-office.chartcolorstyle+xml"/>
  <Override PartName="/word/charts/chartEx30.xml" ContentType="application/vnd.ms-office.chartex+xml"/>
  <Override PartName="/word/charts/style46.xml" ContentType="application/vnd.ms-office.chartstyle+xml"/>
  <Override PartName="/word/charts/colors46.xml" ContentType="application/vnd.ms-office.chartcolorstyle+xml"/>
  <Override PartName="/word/charts/chartEx31.xml" ContentType="application/vnd.ms-office.chartex+xml"/>
  <Override PartName="/word/charts/style47.xml" ContentType="application/vnd.ms-office.chartstyle+xml"/>
  <Override PartName="/word/charts/colors47.xml" ContentType="application/vnd.ms-office.chartcolorstyle+xml"/>
  <Override PartName="/word/charts/chartEx32.xml" ContentType="application/vnd.ms-office.chartex+xml"/>
  <Override PartName="/word/charts/style48.xml" ContentType="application/vnd.ms-office.chartstyle+xml"/>
  <Override PartName="/word/charts/colors48.xml" ContentType="application/vnd.ms-office.chartcolorstyle+xml"/>
  <Override PartName="/word/charts/chartEx33.xml" ContentType="application/vnd.ms-office.chartex+xml"/>
  <Override PartName="/word/charts/style49.xml" ContentType="application/vnd.ms-office.chartstyle+xml"/>
  <Override PartName="/word/charts/colors49.xml" ContentType="application/vnd.ms-office.chartcolorstyle+xml"/>
  <Override PartName="/word/charts/chartEx34.xml" ContentType="application/vnd.ms-office.chartex+xml"/>
  <Override PartName="/word/charts/style50.xml" ContentType="application/vnd.ms-office.chartstyle+xml"/>
  <Override PartName="/word/charts/colors50.xml" ContentType="application/vnd.ms-office.chartcolorstyle+xml"/>
  <Override PartName="/word/charts/chartEx35.xml" ContentType="application/vnd.ms-office.chartex+xml"/>
  <Override PartName="/word/charts/style51.xml" ContentType="application/vnd.ms-office.chartstyle+xml"/>
  <Override PartName="/word/charts/colors51.xml" ContentType="application/vnd.ms-office.chartcolorstyle+xml"/>
  <Override PartName="/word/charts/chartEx36.xml" ContentType="application/vnd.ms-office.chartex+xml"/>
  <Override PartName="/word/charts/style52.xml" ContentType="application/vnd.ms-office.chartstyle+xml"/>
  <Override PartName="/word/charts/colors52.xml" ContentType="application/vnd.ms-office.chartcolorstyle+xml"/>
  <Override PartName="/word/charts/chartEx37.xml" ContentType="application/vnd.ms-office.chartex+xml"/>
  <Override PartName="/word/charts/style53.xml" ContentType="application/vnd.ms-office.chartstyle+xml"/>
  <Override PartName="/word/charts/colors53.xml" ContentType="application/vnd.ms-office.chartcolorstyle+xml"/>
  <Override PartName="/word/charts/chart17.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18.xml" ContentType="application/vnd.openxmlformats-officedocument.drawingml.chart+xml"/>
  <Override PartName="/word/charts/style55.xml" ContentType="application/vnd.ms-office.chartstyle+xml"/>
  <Override PartName="/word/charts/colors55.xml" ContentType="application/vnd.ms-office.chartcolorstyle+xml"/>
  <Override PartName="/word/charts/chart19.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20.xml" ContentType="application/vnd.openxmlformats-officedocument.drawingml.chart+xml"/>
  <Override PartName="/word/charts/style57.xml" ContentType="application/vnd.ms-office.chartstyle+xml"/>
  <Override PartName="/word/charts/colors57.xml" ContentType="application/vnd.ms-office.chartcolorstyle+xml"/>
  <Override PartName="/word/charts/chart21.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22.xml" ContentType="application/vnd.openxmlformats-officedocument.drawingml.chart+xml"/>
  <Override PartName="/word/charts/style59.xml" ContentType="application/vnd.ms-office.chartstyle+xml"/>
  <Override PartName="/word/charts/colors59.xml" ContentType="application/vnd.ms-office.chartcolorstyle+xml"/>
  <Override PartName="/word/charts/chart23.xml" ContentType="application/vnd.openxmlformats-officedocument.drawingml.chart+xml"/>
  <Override PartName="/word/charts/style60.xml" ContentType="application/vnd.ms-office.chartstyle+xml"/>
  <Override PartName="/word/charts/colors60.xml" ContentType="application/vnd.ms-office.chartcolorstyle+xml"/>
  <Override PartName="/word/charts/chart24.xml" ContentType="application/vnd.openxmlformats-officedocument.drawingml.chart+xml"/>
  <Override PartName="/word/charts/style61.xml" ContentType="application/vnd.ms-office.chartstyle+xml"/>
  <Override PartName="/word/charts/colors61.xml" ContentType="application/vnd.ms-office.chartcolorstyle+xml"/>
  <Override PartName="/word/charts/chart25.xml" ContentType="application/vnd.openxmlformats-officedocument.drawingml.chart+xml"/>
  <Override PartName="/word/charts/style62.xml" ContentType="application/vnd.ms-office.chartstyle+xml"/>
  <Override PartName="/word/charts/colors62.xml" ContentType="application/vnd.ms-office.chartcolorstyle+xml"/>
  <Override PartName="/word/charts/chartEx38.xml" ContentType="application/vnd.ms-office.chartex+xml"/>
  <Override PartName="/word/charts/style63.xml" ContentType="application/vnd.ms-office.chartstyle+xml"/>
  <Override PartName="/word/charts/colors63.xml" ContentType="application/vnd.ms-office.chartcolorstyle+xml"/>
  <Override PartName="/word/charts/chartEx39.xml" ContentType="application/vnd.ms-office.chartex+xml"/>
  <Override PartName="/word/charts/style64.xml" ContentType="application/vnd.ms-office.chartstyle+xml"/>
  <Override PartName="/word/charts/colors64.xml" ContentType="application/vnd.ms-office.chartcolorstyle+xml"/>
  <Override PartName="/word/charts/chartEx40.xml" ContentType="application/vnd.ms-office.chartex+xml"/>
  <Override PartName="/word/charts/style65.xml" ContentType="application/vnd.ms-office.chartstyle+xml"/>
  <Override PartName="/word/charts/colors65.xml" ContentType="application/vnd.ms-office.chartcolorstyle+xml"/>
  <Override PartName="/word/charts/chartEx41.xml" ContentType="application/vnd.ms-office.chartex+xml"/>
  <Override PartName="/word/charts/style66.xml" ContentType="application/vnd.ms-office.chartstyle+xml"/>
  <Override PartName="/word/charts/colors66.xml" ContentType="application/vnd.ms-office.chartcolorstyle+xml"/>
  <Override PartName="/word/charts/chartEx42.xml" ContentType="application/vnd.ms-office.chartex+xml"/>
  <Override PartName="/word/charts/style67.xml" ContentType="application/vnd.ms-office.chartstyle+xml"/>
  <Override PartName="/word/charts/colors67.xml" ContentType="application/vnd.ms-office.chartcolorstyle+xml"/>
  <Override PartName="/word/charts/chartEx43.xml" ContentType="application/vnd.ms-office.chartex+xml"/>
  <Override PartName="/word/charts/style68.xml" ContentType="application/vnd.ms-office.chartstyle+xml"/>
  <Override PartName="/word/charts/colors68.xml" ContentType="application/vnd.ms-office.chartcolorstyle+xml"/>
  <Override PartName="/word/charts/chartEx44.xml" ContentType="application/vnd.ms-office.chartex+xml"/>
  <Override PartName="/word/charts/style69.xml" ContentType="application/vnd.ms-office.chartstyle+xml"/>
  <Override PartName="/word/charts/colors69.xml" ContentType="application/vnd.ms-office.chartcolorstyle+xml"/>
  <Override PartName="/word/charts/chartEx45.xml" ContentType="application/vnd.ms-office.chartex+xml"/>
  <Override PartName="/word/charts/style70.xml" ContentType="application/vnd.ms-office.chartstyle+xml"/>
  <Override PartName="/word/charts/colors70.xml" ContentType="application/vnd.ms-office.chartcolorstyle+xml"/>
  <Override PartName="/word/charts/chartEx46.xml" ContentType="application/vnd.ms-office.chartex+xml"/>
  <Override PartName="/word/charts/style71.xml" ContentType="application/vnd.ms-office.chartstyle+xml"/>
  <Override PartName="/word/charts/colors71.xml" ContentType="application/vnd.ms-office.chartcolorstyle+xml"/>
  <Override PartName="/word/charts/chartEx47.xml" ContentType="application/vnd.ms-office.chartex+xml"/>
  <Override PartName="/word/charts/style72.xml" ContentType="application/vnd.ms-office.chartstyle+xml"/>
  <Override PartName="/word/charts/colors72.xml" ContentType="application/vnd.ms-office.chartcolorstyle+xml"/>
  <Override PartName="/word/charts/chartEx48.xml" ContentType="application/vnd.ms-office.chartex+xml"/>
  <Override PartName="/word/charts/style73.xml" ContentType="application/vnd.ms-office.chartstyle+xml"/>
  <Override PartName="/word/charts/colors73.xml" ContentType="application/vnd.ms-office.chartcolorstyle+xml"/>
  <Override PartName="/word/charts/chartEx49.xml" ContentType="application/vnd.ms-office.chartex+xml"/>
  <Override PartName="/word/charts/style74.xml" ContentType="application/vnd.ms-office.chartstyle+xml"/>
  <Override PartName="/word/charts/colors74.xml" ContentType="application/vnd.ms-office.chartcolorstyle+xml"/>
  <Override PartName="/word/charts/chartEx50.xml" ContentType="application/vnd.ms-office.chartex+xml"/>
  <Override PartName="/word/charts/style75.xml" ContentType="application/vnd.ms-office.chartstyle+xml"/>
  <Override PartName="/word/charts/colors75.xml" ContentType="application/vnd.ms-office.chartcolorstyle+xml"/>
  <Override PartName="/word/charts/chartEx51.xml" ContentType="application/vnd.ms-office.chartex+xml"/>
  <Override PartName="/word/charts/style76.xml" ContentType="application/vnd.ms-office.chartstyle+xml"/>
  <Override PartName="/word/charts/colors76.xml" ContentType="application/vnd.ms-office.chartcolorstyle+xml"/>
  <Override PartName="/word/charts/chartEx52.xml" ContentType="application/vnd.ms-office.chartex+xml"/>
  <Override PartName="/word/charts/style77.xml" ContentType="application/vnd.ms-office.chartstyle+xml"/>
  <Override PartName="/word/charts/colors77.xml" ContentType="application/vnd.ms-office.chartcolorstyle+xml"/>
  <Override PartName="/word/charts/chartEx53.xml" ContentType="application/vnd.ms-office.chartex+xml"/>
  <Override PartName="/word/charts/style78.xml" ContentType="application/vnd.ms-office.chartstyle+xml"/>
  <Override PartName="/word/charts/colors78.xml" ContentType="application/vnd.ms-office.chartcolorstyle+xml"/>
  <Override PartName="/word/charts/chartEx54.xml" ContentType="application/vnd.ms-office.chartex+xml"/>
  <Override PartName="/word/charts/style79.xml" ContentType="application/vnd.ms-office.chartstyle+xml"/>
  <Override PartName="/word/charts/colors79.xml" ContentType="application/vnd.ms-office.chartcolorstyle+xml"/>
  <Override PartName="/word/charts/chartEx55.xml" ContentType="application/vnd.ms-office.chartex+xml"/>
  <Override PartName="/word/charts/style80.xml" ContentType="application/vnd.ms-office.chartstyle+xml"/>
  <Override PartName="/word/charts/colors80.xml" ContentType="application/vnd.ms-office.chartcolorstyle+xml"/>
  <Override PartName="/word/charts/chartEx56.xml" ContentType="application/vnd.ms-office.chartex+xml"/>
  <Override PartName="/word/charts/style81.xml" ContentType="application/vnd.ms-office.chartstyle+xml"/>
  <Override PartName="/word/charts/colors81.xml" ContentType="application/vnd.ms-office.chartcolorstyle+xml"/>
  <Override PartName="/word/charts/chartEx57.xml" ContentType="application/vnd.ms-office.chartex+xml"/>
  <Override PartName="/word/charts/style82.xml" ContentType="application/vnd.ms-office.chartstyle+xml"/>
  <Override PartName="/word/charts/colors82.xml" ContentType="application/vnd.ms-office.chartcolorstyle+xml"/>
  <Override PartName="/word/charts/chartEx58.xml" ContentType="application/vnd.ms-office.chartex+xml"/>
  <Override PartName="/word/charts/style83.xml" ContentType="application/vnd.ms-office.chartstyle+xml"/>
  <Override PartName="/word/charts/colors83.xml" ContentType="application/vnd.ms-office.chartcolorstyle+xml"/>
  <Override PartName="/word/charts/chartEx59.xml" ContentType="application/vnd.ms-office.chartex+xml"/>
  <Override PartName="/word/charts/style84.xml" ContentType="application/vnd.ms-office.chartstyle+xml"/>
  <Override PartName="/word/charts/colors84.xml" ContentType="application/vnd.ms-office.chartcolorstyle+xml"/>
  <Override PartName="/word/charts/chartEx60.xml" ContentType="application/vnd.ms-office.chartex+xml"/>
  <Override PartName="/word/charts/style85.xml" ContentType="application/vnd.ms-office.chartstyle+xml"/>
  <Override PartName="/word/charts/colors85.xml" ContentType="application/vnd.ms-office.chartcolorstyle+xml"/>
  <Override PartName="/word/charts/chartEx61.xml" ContentType="application/vnd.ms-office.chartex+xml"/>
  <Override PartName="/word/charts/style86.xml" ContentType="application/vnd.ms-office.chartstyle+xml"/>
  <Override PartName="/word/charts/colors86.xml" ContentType="application/vnd.ms-office.chartcolorstyle+xml"/>
  <Override PartName="/word/charts/chartEx62.xml" ContentType="application/vnd.ms-office.chartex+xml"/>
  <Override PartName="/word/charts/style87.xml" ContentType="application/vnd.ms-office.chartstyle+xml"/>
  <Override PartName="/word/charts/colors87.xml" ContentType="application/vnd.ms-office.chartcolorstyle+xml"/>
  <Override PartName="/word/charts/chartEx63.xml" ContentType="application/vnd.ms-office.chartex+xml"/>
  <Override PartName="/word/charts/style88.xml" ContentType="application/vnd.ms-office.chartstyle+xml"/>
  <Override PartName="/word/charts/colors88.xml" ContentType="application/vnd.ms-office.chartcolorstyle+xml"/>
  <Override PartName="/word/charts/chartEx64.xml" ContentType="application/vnd.ms-office.chartex+xml"/>
  <Override PartName="/word/charts/style89.xml" ContentType="application/vnd.ms-office.chartstyle+xml"/>
  <Override PartName="/word/charts/colors89.xml" ContentType="application/vnd.ms-office.chartcolorstyle+xml"/>
  <Override PartName="/word/charts/chartEx65.xml" ContentType="application/vnd.ms-office.chartex+xml"/>
  <Override PartName="/word/charts/style90.xml" ContentType="application/vnd.ms-office.chartstyle+xml"/>
  <Override PartName="/word/charts/colors90.xml" ContentType="application/vnd.ms-office.chartcolorstyle+xml"/>
  <Override PartName="/word/charts/chartEx66.xml" ContentType="application/vnd.ms-office.chartex+xml"/>
  <Override PartName="/word/charts/style91.xml" ContentType="application/vnd.ms-office.chartstyle+xml"/>
  <Override PartName="/word/charts/colors91.xml" ContentType="application/vnd.ms-office.chartcolorstyle+xml"/>
  <Override PartName="/word/charts/chartEx67.xml" ContentType="application/vnd.ms-office.chartex+xml"/>
  <Override PartName="/word/charts/style92.xml" ContentType="application/vnd.ms-office.chartstyle+xml"/>
  <Override PartName="/word/charts/colors92.xml" ContentType="application/vnd.ms-office.chartcolorstyle+xml"/>
  <Override PartName="/word/charts/chartEx68.xml" ContentType="application/vnd.ms-office.chartex+xml"/>
  <Override PartName="/word/charts/style93.xml" ContentType="application/vnd.ms-office.chartstyle+xml"/>
  <Override PartName="/word/charts/colors93.xml" ContentType="application/vnd.ms-office.chartcolorstyle+xml"/>
  <Override PartName="/word/charts/chartEx69.xml" ContentType="application/vnd.ms-office.chartex+xml"/>
  <Override PartName="/word/charts/style94.xml" ContentType="application/vnd.ms-office.chartstyle+xml"/>
  <Override PartName="/word/charts/colors94.xml" ContentType="application/vnd.ms-office.chartcolorstyle+xml"/>
  <Override PartName="/word/charts/chartEx70.xml" ContentType="application/vnd.ms-office.chartex+xml"/>
  <Override PartName="/word/charts/style95.xml" ContentType="application/vnd.ms-office.chartstyle+xml"/>
  <Override PartName="/word/charts/colors95.xml" ContentType="application/vnd.ms-office.chartcolorstyle+xml"/>
  <Override PartName="/word/charts/chartEx71.xml" ContentType="application/vnd.ms-office.chartex+xml"/>
  <Override PartName="/word/charts/style96.xml" ContentType="application/vnd.ms-office.chartstyle+xml"/>
  <Override PartName="/word/charts/colors96.xml" ContentType="application/vnd.ms-office.chartcolorstyle+xml"/>
  <Override PartName="/word/charts/chartEx72.xml" ContentType="application/vnd.ms-office.chartex+xml"/>
  <Override PartName="/word/charts/style97.xml" ContentType="application/vnd.ms-office.chartstyle+xml"/>
  <Override PartName="/word/charts/colors97.xml" ContentType="application/vnd.ms-office.chartcolorstyle+xml"/>
  <Override PartName="/word/charts/chartEx73.xml" ContentType="application/vnd.ms-office.chartex+xml"/>
  <Override PartName="/word/charts/style98.xml" ContentType="application/vnd.ms-office.chartstyle+xml"/>
  <Override PartName="/word/charts/colors98.xml" ContentType="application/vnd.ms-office.chartcolorstyle+xml"/>
  <Override PartName="/word/charts/chartEx74.xml" ContentType="application/vnd.ms-office.chartex+xml"/>
  <Override PartName="/word/charts/style99.xml" ContentType="application/vnd.ms-office.chartstyle+xml"/>
  <Override PartName="/word/charts/colors99.xml" ContentType="application/vnd.ms-office.chartcolorstyle+xml"/>
  <Override PartName="/word/charts/chartEx75.xml" ContentType="application/vnd.ms-office.chartex+xml"/>
  <Override PartName="/word/charts/style100.xml" ContentType="application/vnd.ms-office.chartstyle+xml"/>
  <Override PartName="/word/charts/colors100.xml" ContentType="application/vnd.ms-office.chartcolorstyle+xml"/>
  <Override PartName="/word/charts/chartEx76.xml" ContentType="application/vnd.ms-office.chartex+xml"/>
  <Override PartName="/word/charts/style101.xml" ContentType="application/vnd.ms-office.chartstyle+xml"/>
  <Override PartName="/word/charts/colors101.xml" ContentType="application/vnd.ms-office.chartcolorstyle+xml"/>
  <Override PartName="/word/charts/chartEx77.xml" ContentType="application/vnd.ms-office.chartex+xml"/>
  <Override PartName="/word/charts/style102.xml" ContentType="application/vnd.ms-office.chartstyle+xml"/>
  <Override PartName="/word/charts/colors102.xml" ContentType="application/vnd.ms-office.chartcolorstyle+xml"/>
  <Override PartName="/word/charts/chartEx78.xml" ContentType="application/vnd.ms-office.chartex+xml"/>
  <Override PartName="/word/charts/style103.xml" ContentType="application/vnd.ms-office.chartstyle+xml"/>
  <Override PartName="/word/charts/colors103.xml" ContentType="application/vnd.ms-office.chartcolorstyle+xml"/>
  <Override PartName="/word/charts/chartEx79.xml" ContentType="application/vnd.ms-office.chartex+xml"/>
  <Override PartName="/word/charts/style104.xml" ContentType="application/vnd.ms-office.chartstyle+xml"/>
  <Override PartName="/word/charts/colors104.xml" ContentType="application/vnd.ms-office.chartcolorstyle+xml"/>
  <Override PartName="/word/charts/chartEx80.xml" ContentType="application/vnd.ms-office.chartex+xml"/>
  <Override PartName="/word/charts/style105.xml" ContentType="application/vnd.ms-office.chartstyle+xml"/>
  <Override PartName="/word/charts/colors105.xml" ContentType="application/vnd.ms-office.chartcolorstyle+xml"/>
  <Override PartName="/word/charts/chartEx81.xml" ContentType="application/vnd.ms-office.chartex+xml"/>
  <Override PartName="/word/charts/style106.xml" ContentType="application/vnd.ms-office.chartstyle+xml"/>
  <Override PartName="/word/charts/colors106.xml" ContentType="application/vnd.ms-office.chartcolorstyle+xml"/>
  <Override PartName="/word/charts/chartEx82.xml" ContentType="application/vnd.ms-office.chartex+xml"/>
  <Override PartName="/word/charts/style107.xml" ContentType="application/vnd.ms-office.chartstyle+xml"/>
  <Override PartName="/word/charts/colors107.xml" ContentType="application/vnd.ms-office.chartcolorstyle+xml"/>
  <Override PartName="/word/charts/chartEx83.xml" ContentType="application/vnd.ms-office.chartex+xml"/>
  <Override PartName="/word/charts/style108.xml" ContentType="application/vnd.ms-office.chartstyle+xml"/>
  <Override PartName="/word/charts/colors108.xml" ContentType="application/vnd.ms-office.chartcolorstyle+xml"/>
  <Override PartName="/word/charts/chartEx84.xml" ContentType="application/vnd.ms-office.chartex+xml"/>
  <Override PartName="/word/charts/style109.xml" ContentType="application/vnd.ms-office.chartstyle+xml"/>
  <Override PartName="/word/charts/colors109.xml" ContentType="application/vnd.ms-office.chartcolorstyle+xml"/>
  <Override PartName="/word/charts/chartEx85.xml" ContentType="application/vnd.ms-office.chartex+xml"/>
  <Override PartName="/word/charts/style110.xml" ContentType="application/vnd.ms-office.chartstyle+xml"/>
  <Override PartName="/word/charts/colors110.xml" ContentType="application/vnd.ms-office.chartcolorstyle+xml"/>
  <Override PartName="/word/charts/chartEx86.xml" ContentType="application/vnd.ms-office.chartex+xml"/>
  <Override PartName="/word/charts/style111.xml" ContentType="application/vnd.ms-office.chartstyle+xml"/>
  <Override PartName="/word/charts/colors111.xml" ContentType="application/vnd.ms-office.chartcolorstyle+xml"/>
  <Override PartName="/word/charts/chartEx87.xml" ContentType="application/vnd.ms-office.chartex+xml"/>
  <Override PartName="/word/charts/style112.xml" ContentType="application/vnd.ms-office.chartstyle+xml"/>
  <Override PartName="/word/charts/colors112.xml" ContentType="application/vnd.ms-office.chartcolorstyle+xml"/>
  <Override PartName="/word/charts/chartEx88.xml" ContentType="application/vnd.ms-office.chartex+xml"/>
  <Override PartName="/word/charts/style113.xml" ContentType="application/vnd.ms-office.chartstyle+xml"/>
  <Override PartName="/word/charts/colors113.xml" ContentType="application/vnd.ms-office.chartcolorstyle+xml"/>
  <Override PartName="/word/charts/chartEx89.xml" ContentType="application/vnd.ms-office.chartex+xml"/>
  <Override PartName="/word/charts/style114.xml" ContentType="application/vnd.ms-office.chartstyle+xml"/>
  <Override PartName="/word/charts/colors114.xml" ContentType="application/vnd.ms-office.chartcolorstyle+xml"/>
  <Override PartName="/word/charts/chartEx90.xml" ContentType="application/vnd.ms-office.chartex+xml"/>
  <Override PartName="/word/charts/style115.xml" ContentType="application/vnd.ms-office.chartstyle+xml"/>
  <Override PartName="/word/charts/colors115.xml" ContentType="application/vnd.ms-office.chartcolorstyle+xml"/>
  <Override PartName="/word/charts/chartEx91.xml" ContentType="application/vnd.ms-office.chartex+xml"/>
  <Override PartName="/word/charts/style116.xml" ContentType="application/vnd.ms-office.chartstyle+xml"/>
  <Override PartName="/word/charts/colors116.xml" ContentType="application/vnd.ms-office.chartcolorstyle+xml"/>
  <Override PartName="/word/charts/chartEx92.xml" ContentType="application/vnd.ms-office.chartex+xml"/>
  <Override PartName="/word/charts/style117.xml" ContentType="application/vnd.ms-office.chartstyle+xml"/>
  <Override PartName="/word/charts/colors117.xml" ContentType="application/vnd.ms-office.chartcolorstyle+xml"/>
  <Override PartName="/word/charts/chartEx93.xml" ContentType="application/vnd.ms-office.chartex+xml"/>
  <Override PartName="/word/charts/style118.xml" ContentType="application/vnd.ms-office.chartstyle+xml"/>
  <Override PartName="/word/charts/colors118.xml" ContentType="application/vnd.ms-office.chartcolorstyle+xml"/>
  <Override PartName="/word/charts/chartEx94.xml" ContentType="application/vnd.ms-office.chartex+xml"/>
  <Override PartName="/word/charts/style119.xml" ContentType="application/vnd.ms-office.chartstyle+xml"/>
  <Override PartName="/word/charts/colors119.xml" ContentType="application/vnd.ms-office.chartcolorstyle+xml"/>
  <Override PartName="/word/charts/chartEx95.xml" ContentType="application/vnd.ms-office.chartex+xml"/>
  <Override PartName="/word/charts/style120.xml" ContentType="application/vnd.ms-office.chartstyle+xml"/>
  <Override PartName="/word/charts/colors120.xml" ContentType="application/vnd.ms-office.chartcolorstyle+xml"/>
  <Override PartName="/word/charts/chartEx96.xml" ContentType="application/vnd.ms-office.chartex+xml"/>
  <Override PartName="/word/charts/style121.xml" ContentType="application/vnd.ms-office.chartstyle+xml"/>
  <Override PartName="/word/charts/colors121.xml" ContentType="application/vnd.ms-office.chartcolorstyle+xml"/>
  <Override PartName="/word/charts/chartEx97.xml" ContentType="application/vnd.ms-office.chartex+xml"/>
  <Override PartName="/word/charts/style122.xml" ContentType="application/vnd.ms-office.chartstyle+xml"/>
  <Override PartName="/word/charts/colors122.xml" ContentType="application/vnd.ms-office.chartcolorstyle+xml"/>
  <Override PartName="/word/charts/chartEx98.xml" ContentType="application/vnd.ms-office.chartex+xml"/>
  <Override PartName="/word/charts/style123.xml" ContentType="application/vnd.ms-office.chartstyle+xml"/>
  <Override PartName="/word/charts/colors123.xml" ContentType="application/vnd.ms-office.chartcolorstyle+xml"/>
  <Override PartName="/word/charts/chartEx99.xml" ContentType="application/vnd.ms-office.chartex+xml"/>
  <Override PartName="/word/charts/style124.xml" ContentType="application/vnd.ms-office.chartstyle+xml"/>
  <Override PartName="/word/charts/colors124.xml" ContentType="application/vnd.ms-office.chartcolorstyle+xml"/>
  <Override PartName="/word/charts/chartEx100.xml" ContentType="application/vnd.ms-office.chartex+xml"/>
  <Override PartName="/word/charts/style125.xml" ContentType="application/vnd.ms-office.chartstyle+xml"/>
  <Override PartName="/word/charts/colors125.xml" ContentType="application/vnd.ms-office.chartcolorstyle+xml"/>
  <Override PartName="/word/charts/chartEx101.xml" ContentType="application/vnd.ms-office.chartex+xml"/>
  <Override PartName="/word/charts/style126.xml" ContentType="application/vnd.ms-office.chartstyle+xml"/>
  <Override PartName="/word/charts/colors126.xml" ContentType="application/vnd.ms-office.chartcolorstyle+xml"/>
  <Override PartName="/word/charts/chart26.xml" ContentType="application/vnd.openxmlformats-officedocument.drawingml.chart+xml"/>
  <Override PartName="/word/charts/style127.xml" ContentType="application/vnd.ms-office.chartstyle+xml"/>
  <Override PartName="/word/charts/colors127.xml" ContentType="application/vnd.ms-office.chartcolorstyle+xml"/>
  <Override PartName="/word/charts/chart27.xml" ContentType="application/vnd.openxmlformats-officedocument.drawingml.chart+xml"/>
  <Override PartName="/word/charts/style128.xml" ContentType="application/vnd.ms-office.chartstyle+xml"/>
  <Override PartName="/word/charts/colors128.xml" ContentType="application/vnd.ms-office.chartcolorstyle+xml"/>
  <Override PartName="/word/charts/chart28.xml" ContentType="application/vnd.openxmlformats-officedocument.drawingml.chart+xml"/>
  <Override PartName="/word/charts/style129.xml" ContentType="application/vnd.ms-office.chartstyle+xml"/>
  <Override PartName="/word/charts/colors129.xml" ContentType="application/vnd.ms-office.chartcolorstyle+xml"/>
  <Override PartName="/word/charts/chart29.xml" ContentType="application/vnd.openxmlformats-officedocument.drawingml.chart+xml"/>
  <Override PartName="/word/charts/style130.xml" ContentType="application/vnd.ms-office.chartstyle+xml"/>
  <Override PartName="/word/charts/colors130.xml" ContentType="application/vnd.ms-office.chartcolorstyle+xml"/>
  <Override PartName="/word/charts/chart30.xml" ContentType="application/vnd.openxmlformats-officedocument.drawingml.chart+xml"/>
  <Override PartName="/word/charts/style131.xml" ContentType="application/vnd.ms-office.chartstyle+xml"/>
  <Override PartName="/word/charts/colors131.xml" ContentType="application/vnd.ms-office.chartcolorstyle+xml"/>
  <Override PartName="/word/charts/chart31.xml" ContentType="application/vnd.openxmlformats-officedocument.drawingml.chart+xml"/>
  <Override PartName="/word/charts/style132.xml" ContentType="application/vnd.ms-office.chartstyle+xml"/>
  <Override PartName="/word/charts/colors132.xml" ContentType="application/vnd.ms-office.chartcolorstyle+xml"/>
  <Override PartName="/word/charts/chart32.xml" ContentType="application/vnd.openxmlformats-officedocument.drawingml.chart+xml"/>
  <Override PartName="/word/charts/style133.xml" ContentType="application/vnd.ms-office.chartstyle+xml"/>
  <Override PartName="/word/charts/colors133.xml" ContentType="application/vnd.ms-office.chartcolorstyle+xml"/>
  <Override PartName="/word/charts/chart33.xml" ContentType="application/vnd.openxmlformats-officedocument.drawingml.chart+xml"/>
  <Override PartName="/word/charts/style134.xml" ContentType="application/vnd.ms-office.chartstyle+xml"/>
  <Override PartName="/word/charts/colors134.xml" ContentType="application/vnd.ms-office.chartcolorstyle+xml"/>
  <Override PartName="/word/charts/chart34.xml" ContentType="application/vnd.openxmlformats-officedocument.drawingml.chart+xml"/>
  <Override PartName="/word/charts/style135.xml" ContentType="application/vnd.ms-office.chartstyle+xml"/>
  <Override PartName="/word/charts/colors135.xml" ContentType="application/vnd.ms-office.chartcolorstyle+xml"/>
  <Override PartName="/word/charts/chartEx102.xml" ContentType="application/vnd.ms-office.chartex+xml"/>
  <Override PartName="/word/charts/style136.xml" ContentType="application/vnd.ms-office.chartstyle+xml"/>
  <Override PartName="/word/charts/colors136.xml" ContentType="application/vnd.ms-office.chartcolorstyle+xml"/>
  <Override PartName="/word/charts/chartEx103.xml" ContentType="application/vnd.ms-office.chartex+xml"/>
  <Override PartName="/word/charts/style137.xml" ContentType="application/vnd.ms-office.chartstyle+xml"/>
  <Override PartName="/word/charts/colors137.xml" ContentType="application/vnd.ms-office.chartcolorstyle+xml"/>
  <Override PartName="/word/charts/chartEx104.xml" ContentType="application/vnd.ms-office.chartex+xml"/>
  <Override PartName="/word/charts/style138.xml" ContentType="application/vnd.ms-office.chartstyle+xml"/>
  <Override PartName="/word/charts/colors138.xml" ContentType="application/vnd.ms-office.chartcolorstyle+xml"/>
  <Override PartName="/word/charts/chartEx105.xml" ContentType="application/vnd.ms-office.chartex+xml"/>
  <Override PartName="/word/charts/style139.xml" ContentType="application/vnd.ms-office.chartstyle+xml"/>
  <Override PartName="/word/charts/colors139.xml" ContentType="application/vnd.ms-office.chartcolorstyle+xml"/>
  <Override PartName="/word/charts/chartEx106.xml" ContentType="application/vnd.ms-office.chartex+xml"/>
  <Override PartName="/word/charts/style140.xml" ContentType="application/vnd.ms-office.chartstyle+xml"/>
  <Override PartName="/word/charts/colors140.xml" ContentType="application/vnd.ms-office.chartcolorstyle+xml"/>
  <Override PartName="/word/charts/chartEx107.xml" ContentType="application/vnd.ms-office.chartex+xml"/>
  <Override PartName="/word/charts/style141.xml" ContentType="application/vnd.ms-office.chartstyle+xml"/>
  <Override PartName="/word/charts/colors141.xml" ContentType="application/vnd.ms-office.chartcolorstyle+xml"/>
  <Override PartName="/word/charts/chartEx108.xml" ContentType="application/vnd.ms-office.chartex+xml"/>
  <Override PartName="/word/charts/style142.xml" ContentType="application/vnd.ms-office.chartstyle+xml"/>
  <Override PartName="/word/charts/colors142.xml" ContentType="application/vnd.ms-office.chartcolorstyle+xml"/>
  <Override PartName="/word/charts/chartEx109.xml" ContentType="application/vnd.ms-office.chartex+xml"/>
  <Override PartName="/word/charts/style143.xml" ContentType="application/vnd.ms-office.chartstyle+xml"/>
  <Override PartName="/word/charts/colors143.xml" ContentType="application/vnd.ms-office.chartcolorstyle+xml"/>
  <Override PartName="/word/charts/chartEx110.xml" ContentType="application/vnd.ms-office.chartex+xml"/>
  <Override PartName="/word/charts/style144.xml" ContentType="application/vnd.ms-office.chartstyle+xml"/>
  <Override PartName="/word/charts/colors144.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63C622B" w14:textId="67BD4435" w:rsidR="005900FC" w:rsidRPr="00A43B9C" w:rsidRDefault="006D5A91" w:rsidP="005900F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 xml:space="preserve">Казахский национальный университет </w:t>
      </w:r>
      <w:r w:rsidR="005900FC" w:rsidRPr="00A43B9C">
        <w:rPr>
          <w:rFonts w:ascii="Times New Roman" w:hAnsi="Times New Roman" w:cs="Times New Roman"/>
          <w:sz w:val="28"/>
          <w:szCs w:val="28"/>
        </w:rPr>
        <w:t xml:space="preserve">им. </w:t>
      </w:r>
      <w:r w:rsidR="00446A37" w:rsidRPr="00A43B9C">
        <w:rPr>
          <w:rFonts w:ascii="Times New Roman" w:hAnsi="Times New Roman" w:cs="Times New Roman"/>
          <w:sz w:val="28"/>
          <w:szCs w:val="28"/>
        </w:rPr>
        <w:t>а</w:t>
      </w:r>
      <w:r w:rsidRPr="00A43B9C">
        <w:rPr>
          <w:rFonts w:ascii="Times New Roman" w:hAnsi="Times New Roman" w:cs="Times New Roman"/>
          <w:sz w:val="28"/>
          <w:szCs w:val="28"/>
        </w:rPr>
        <w:t>ль-Фараби</w:t>
      </w:r>
    </w:p>
    <w:p w14:paraId="658EFF29" w14:textId="77777777" w:rsidR="005900FC" w:rsidRPr="00A43B9C" w:rsidRDefault="005900FC" w:rsidP="005900FC">
      <w:pPr>
        <w:spacing w:after="0" w:line="240" w:lineRule="auto"/>
        <w:jc w:val="both"/>
        <w:rPr>
          <w:rFonts w:ascii="Times New Roman" w:eastAsia="Times New Roman" w:hAnsi="Times New Roman" w:cs="Times New Roman"/>
          <w:bCs/>
          <w:iCs/>
          <w:sz w:val="28"/>
          <w:szCs w:val="28"/>
          <w:lang w:eastAsia="ru-RU"/>
        </w:rPr>
      </w:pPr>
    </w:p>
    <w:p w14:paraId="39DFA52E" w14:textId="77777777" w:rsidR="005900FC" w:rsidRPr="00A43B9C" w:rsidRDefault="005900FC" w:rsidP="005900FC">
      <w:pPr>
        <w:spacing w:after="0" w:line="240" w:lineRule="auto"/>
        <w:jc w:val="both"/>
        <w:rPr>
          <w:rFonts w:ascii="Times New Roman" w:eastAsia="Times New Roman" w:hAnsi="Times New Roman" w:cs="Times New Roman"/>
          <w:bCs/>
          <w:iCs/>
          <w:sz w:val="28"/>
          <w:szCs w:val="28"/>
          <w:lang w:eastAsia="ru-RU"/>
        </w:rPr>
      </w:pPr>
    </w:p>
    <w:p w14:paraId="53D0B505" w14:textId="77777777" w:rsidR="005900FC" w:rsidRPr="00A43B9C" w:rsidRDefault="005900FC" w:rsidP="005900FC">
      <w:pPr>
        <w:spacing w:after="0" w:line="240" w:lineRule="auto"/>
        <w:jc w:val="both"/>
        <w:rPr>
          <w:rFonts w:ascii="Times New Roman" w:eastAsia="Times New Roman" w:hAnsi="Times New Roman" w:cs="Times New Roman"/>
          <w:bCs/>
          <w:iCs/>
          <w:sz w:val="28"/>
          <w:szCs w:val="28"/>
          <w:lang w:eastAsia="ru-RU"/>
        </w:rPr>
      </w:pPr>
    </w:p>
    <w:p w14:paraId="08BD5C75" w14:textId="1BFC09B3" w:rsidR="005900FC" w:rsidRPr="00A43B9C" w:rsidRDefault="005900FC" w:rsidP="005900FC">
      <w:pPr>
        <w:spacing w:after="0" w:line="240" w:lineRule="auto"/>
        <w:jc w:val="both"/>
        <w:rPr>
          <w:rFonts w:ascii="Times New Roman" w:eastAsia="Times New Roman" w:hAnsi="Times New Roman" w:cs="Times New Roman"/>
          <w:bCs/>
          <w:iCs/>
          <w:sz w:val="28"/>
          <w:szCs w:val="28"/>
          <w:lang w:eastAsia="ru-RU"/>
        </w:rPr>
      </w:pPr>
      <w:r w:rsidRPr="00A43B9C">
        <w:rPr>
          <w:rFonts w:ascii="Times New Roman" w:eastAsia="Times New Roman" w:hAnsi="Times New Roman" w:cs="Times New Roman"/>
          <w:sz w:val="28"/>
          <w:szCs w:val="28"/>
          <w:lang w:eastAsia="ru-RU"/>
        </w:rPr>
        <w:t xml:space="preserve">УДК: </w:t>
      </w:r>
      <w:r w:rsidR="00E6641E" w:rsidRPr="00A43B9C">
        <w:rPr>
          <w:rFonts w:ascii="Times New Roman" w:eastAsia="Times New Roman" w:hAnsi="Times New Roman" w:cs="Times New Roman"/>
          <w:sz w:val="28"/>
          <w:szCs w:val="28"/>
          <w:lang w:eastAsia="ru-RU"/>
        </w:rPr>
        <w:t>616.34-006.6-073.75</w:t>
      </w:r>
      <w:r w:rsidR="00603E8D" w:rsidRPr="00A43B9C">
        <w:rPr>
          <w:rFonts w:ascii="Times New Roman" w:eastAsia="Times New Roman" w:hAnsi="Times New Roman" w:cs="Times New Roman"/>
          <w:sz w:val="28"/>
          <w:szCs w:val="28"/>
          <w:lang w:eastAsia="ru-RU"/>
        </w:rPr>
        <w:t xml:space="preserve"> + </w:t>
      </w:r>
      <w:r w:rsidR="006E342A" w:rsidRPr="00A43B9C">
        <w:rPr>
          <w:rFonts w:ascii="Times New Roman" w:eastAsia="Times New Roman" w:hAnsi="Times New Roman" w:cs="Times New Roman"/>
          <w:sz w:val="28"/>
          <w:szCs w:val="28"/>
          <w:lang w:eastAsia="ru-RU"/>
        </w:rPr>
        <w:t>618.11-006.6-073.756.8</w:t>
      </w:r>
      <w:r w:rsidR="00603E8D" w:rsidRPr="00A43B9C">
        <w:rPr>
          <w:rFonts w:ascii="Times New Roman" w:hAnsi="Times New Roman" w:cs="Times New Roman"/>
          <w:sz w:val="28"/>
          <w:szCs w:val="28"/>
        </w:rPr>
        <w:t xml:space="preserve"> </w:t>
      </w:r>
      <w:r w:rsidRPr="00A43B9C">
        <w:rPr>
          <w:rFonts w:ascii="Times New Roman" w:eastAsia="Times New Roman" w:hAnsi="Times New Roman" w:cs="Times New Roman"/>
          <w:bCs/>
          <w:iCs/>
          <w:sz w:val="28"/>
          <w:szCs w:val="28"/>
          <w:lang w:eastAsia="ru-RU"/>
        </w:rPr>
        <w:t xml:space="preserve">  </w:t>
      </w:r>
      <w:r w:rsidR="006E342A" w:rsidRPr="00A43B9C">
        <w:rPr>
          <w:rFonts w:ascii="Times New Roman" w:eastAsia="Times New Roman" w:hAnsi="Times New Roman" w:cs="Times New Roman"/>
          <w:bCs/>
          <w:iCs/>
          <w:sz w:val="28"/>
          <w:szCs w:val="28"/>
          <w:lang w:eastAsia="ru-RU"/>
        </w:rPr>
        <w:t xml:space="preserve"> </w:t>
      </w:r>
      <w:r w:rsidRPr="00A43B9C">
        <w:rPr>
          <w:rFonts w:ascii="Times New Roman" w:eastAsia="Times New Roman" w:hAnsi="Times New Roman" w:cs="Times New Roman"/>
          <w:bCs/>
          <w:iCs/>
          <w:sz w:val="28"/>
          <w:szCs w:val="28"/>
          <w:lang w:eastAsia="ru-RU"/>
        </w:rPr>
        <w:t xml:space="preserve">           </w:t>
      </w:r>
      <w:r w:rsidR="00251916" w:rsidRPr="00A43B9C">
        <w:rPr>
          <w:rFonts w:ascii="Times New Roman" w:eastAsia="Times New Roman" w:hAnsi="Times New Roman" w:cs="Times New Roman"/>
          <w:bCs/>
          <w:iCs/>
          <w:sz w:val="28"/>
          <w:szCs w:val="28"/>
          <w:lang w:eastAsia="ru-RU"/>
        </w:rPr>
        <w:t xml:space="preserve">  </w:t>
      </w:r>
      <w:r w:rsidRPr="00A43B9C">
        <w:rPr>
          <w:rFonts w:ascii="Times New Roman" w:eastAsia="Times New Roman" w:hAnsi="Times New Roman" w:cs="Times New Roman"/>
          <w:bCs/>
          <w:iCs/>
          <w:sz w:val="28"/>
          <w:szCs w:val="28"/>
          <w:lang w:eastAsia="ru-RU"/>
        </w:rPr>
        <w:t>На правах рукописи</w:t>
      </w:r>
    </w:p>
    <w:p w14:paraId="7764E812" w14:textId="6DB4515B" w:rsidR="00603E8D" w:rsidRPr="00A43B9C" w:rsidRDefault="00603E8D" w:rsidP="00603E8D">
      <w:pPr>
        <w:spacing w:after="0" w:line="240" w:lineRule="auto"/>
        <w:rPr>
          <w:rFonts w:ascii="Times New Roman" w:hAnsi="Times New Roman" w:cs="Times New Roman"/>
          <w:sz w:val="28"/>
          <w:szCs w:val="28"/>
        </w:rPr>
      </w:pPr>
    </w:p>
    <w:p w14:paraId="4060B028" w14:textId="77777777" w:rsidR="005900FC" w:rsidRPr="00A43B9C" w:rsidRDefault="005900FC" w:rsidP="005900FC">
      <w:pPr>
        <w:spacing w:after="0" w:line="240" w:lineRule="auto"/>
        <w:jc w:val="both"/>
        <w:rPr>
          <w:rFonts w:ascii="Times New Roman" w:eastAsia="Times New Roman" w:hAnsi="Times New Roman" w:cs="Times New Roman"/>
          <w:bCs/>
          <w:iCs/>
          <w:sz w:val="28"/>
          <w:szCs w:val="28"/>
          <w:lang w:eastAsia="ru-RU"/>
        </w:rPr>
      </w:pPr>
    </w:p>
    <w:p w14:paraId="5852C5BF" w14:textId="77777777" w:rsidR="005900FC" w:rsidRPr="00A43B9C" w:rsidRDefault="005900FC" w:rsidP="005900FC">
      <w:pPr>
        <w:spacing w:after="0" w:line="240" w:lineRule="auto"/>
        <w:jc w:val="both"/>
        <w:rPr>
          <w:rFonts w:ascii="Times New Roman" w:eastAsia="Times New Roman" w:hAnsi="Times New Roman" w:cs="Times New Roman"/>
          <w:bCs/>
          <w:iCs/>
          <w:sz w:val="28"/>
          <w:szCs w:val="28"/>
          <w:lang w:eastAsia="ru-RU"/>
        </w:rPr>
      </w:pPr>
    </w:p>
    <w:p w14:paraId="7A791AB5" w14:textId="77777777" w:rsidR="005900FC" w:rsidRPr="00A43B9C" w:rsidRDefault="005900FC" w:rsidP="005900FC">
      <w:pPr>
        <w:spacing w:after="0" w:line="240" w:lineRule="auto"/>
        <w:jc w:val="both"/>
        <w:rPr>
          <w:rFonts w:ascii="Times New Roman" w:eastAsia="Times New Roman" w:hAnsi="Times New Roman" w:cs="Times New Roman"/>
          <w:bCs/>
          <w:iCs/>
          <w:sz w:val="28"/>
          <w:szCs w:val="28"/>
          <w:lang w:eastAsia="ru-RU"/>
        </w:rPr>
      </w:pPr>
    </w:p>
    <w:p w14:paraId="1302884B" w14:textId="77777777" w:rsidR="005900FC" w:rsidRPr="00A43B9C" w:rsidRDefault="005900FC" w:rsidP="005900FC">
      <w:pPr>
        <w:spacing w:after="0" w:line="240" w:lineRule="auto"/>
        <w:jc w:val="both"/>
        <w:rPr>
          <w:rFonts w:ascii="Times New Roman" w:eastAsia="Times New Roman" w:hAnsi="Times New Roman" w:cs="Times New Roman"/>
          <w:bCs/>
          <w:iCs/>
          <w:sz w:val="28"/>
          <w:szCs w:val="28"/>
          <w:lang w:eastAsia="ru-RU"/>
        </w:rPr>
      </w:pPr>
    </w:p>
    <w:p w14:paraId="63336682" w14:textId="77777777" w:rsidR="005900FC" w:rsidRPr="00A43B9C" w:rsidRDefault="005900FC" w:rsidP="005900FC">
      <w:pPr>
        <w:spacing w:after="0" w:line="240" w:lineRule="auto"/>
        <w:jc w:val="both"/>
        <w:rPr>
          <w:rFonts w:ascii="Times New Roman" w:eastAsia="Times New Roman" w:hAnsi="Times New Roman" w:cs="Times New Roman"/>
          <w:bCs/>
          <w:iCs/>
          <w:sz w:val="28"/>
          <w:szCs w:val="28"/>
          <w:lang w:eastAsia="ru-RU"/>
        </w:rPr>
      </w:pPr>
    </w:p>
    <w:p w14:paraId="45F06B15" w14:textId="77777777" w:rsidR="005900FC" w:rsidRPr="00A43B9C" w:rsidRDefault="005900FC" w:rsidP="005900FC">
      <w:pPr>
        <w:spacing w:after="0" w:line="240" w:lineRule="auto"/>
        <w:jc w:val="both"/>
        <w:rPr>
          <w:rFonts w:ascii="Times New Roman" w:eastAsia="Times New Roman" w:hAnsi="Times New Roman" w:cs="Times New Roman"/>
          <w:bCs/>
          <w:iCs/>
          <w:sz w:val="28"/>
          <w:szCs w:val="28"/>
          <w:lang w:eastAsia="ru-RU"/>
        </w:rPr>
      </w:pPr>
    </w:p>
    <w:p w14:paraId="3348E703" w14:textId="77777777" w:rsidR="005900FC" w:rsidRPr="00A43B9C" w:rsidRDefault="005900FC" w:rsidP="005900FC">
      <w:pPr>
        <w:spacing w:after="0" w:line="240" w:lineRule="auto"/>
        <w:jc w:val="center"/>
        <w:rPr>
          <w:rFonts w:ascii="Times New Roman" w:eastAsia="Times New Roman" w:hAnsi="Times New Roman" w:cs="Times New Roman"/>
          <w:b/>
          <w:bCs/>
          <w:iCs/>
          <w:caps/>
          <w:sz w:val="28"/>
          <w:szCs w:val="28"/>
          <w:lang w:eastAsia="ru-RU"/>
        </w:rPr>
      </w:pPr>
      <w:r w:rsidRPr="00A43B9C">
        <w:rPr>
          <w:rFonts w:ascii="Times New Roman" w:hAnsi="Times New Roman" w:cs="Times New Roman"/>
          <w:b/>
          <w:sz w:val="28"/>
          <w:szCs w:val="28"/>
        </w:rPr>
        <w:t>СУЛЕЙМАНОВ АМИЛ ФАЗИЛ-ОГЛИ</w:t>
      </w:r>
    </w:p>
    <w:p w14:paraId="0ED32487" w14:textId="77777777" w:rsidR="005900FC" w:rsidRPr="00A43B9C" w:rsidRDefault="005900FC" w:rsidP="005900FC">
      <w:pPr>
        <w:spacing w:after="0" w:line="240" w:lineRule="auto"/>
        <w:jc w:val="both"/>
        <w:rPr>
          <w:rFonts w:ascii="Times New Roman" w:eastAsia="Times New Roman" w:hAnsi="Times New Roman" w:cs="Times New Roman"/>
          <w:bCs/>
          <w:iCs/>
          <w:sz w:val="28"/>
          <w:szCs w:val="28"/>
          <w:lang w:eastAsia="ru-RU"/>
        </w:rPr>
      </w:pPr>
    </w:p>
    <w:p w14:paraId="552CF8A1" w14:textId="77777777" w:rsidR="005900FC" w:rsidRPr="00A43B9C" w:rsidRDefault="005900FC" w:rsidP="005900FC">
      <w:pPr>
        <w:spacing w:after="0" w:line="240" w:lineRule="auto"/>
        <w:jc w:val="both"/>
        <w:rPr>
          <w:rFonts w:ascii="Times New Roman" w:eastAsia="Times New Roman" w:hAnsi="Times New Roman" w:cs="Times New Roman"/>
          <w:bCs/>
          <w:iCs/>
          <w:sz w:val="28"/>
          <w:szCs w:val="28"/>
          <w:lang w:eastAsia="ru-RU"/>
        </w:rPr>
      </w:pPr>
    </w:p>
    <w:p w14:paraId="394B0B0F" w14:textId="77777777" w:rsidR="005900FC" w:rsidRPr="00A43B9C" w:rsidRDefault="005900FC" w:rsidP="005900FC">
      <w:pPr>
        <w:spacing w:after="0" w:line="240" w:lineRule="auto"/>
        <w:jc w:val="both"/>
        <w:rPr>
          <w:rFonts w:ascii="Times New Roman" w:eastAsia="Times New Roman" w:hAnsi="Times New Roman" w:cs="Times New Roman"/>
          <w:bCs/>
          <w:iCs/>
          <w:sz w:val="28"/>
          <w:szCs w:val="28"/>
          <w:lang w:eastAsia="ru-RU"/>
        </w:rPr>
      </w:pPr>
    </w:p>
    <w:p w14:paraId="0EF41EBC" w14:textId="77777777" w:rsidR="005900FC" w:rsidRPr="00A43B9C" w:rsidRDefault="005900FC" w:rsidP="005900FC">
      <w:pPr>
        <w:spacing w:after="0" w:line="240" w:lineRule="auto"/>
        <w:jc w:val="center"/>
        <w:rPr>
          <w:rFonts w:ascii="Times New Roman" w:eastAsia="Times New Roman" w:hAnsi="Times New Roman" w:cs="Times New Roman"/>
          <w:b/>
          <w:bCs/>
          <w:iCs/>
          <w:sz w:val="28"/>
          <w:szCs w:val="28"/>
          <w:lang w:eastAsia="ru-RU"/>
        </w:rPr>
      </w:pPr>
      <w:r w:rsidRPr="00A43B9C">
        <w:rPr>
          <w:rFonts w:ascii="Times New Roman" w:hAnsi="Times New Roman" w:cs="Times New Roman"/>
          <w:b/>
          <w:sz w:val="28"/>
        </w:rPr>
        <w:t xml:space="preserve">Прогностическая ценность уровня накопления </w:t>
      </w:r>
      <w:r w:rsidRPr="00A43B9C">
        <w:rPr>
          <w:rFonts w:ascii="Times New Roman" w:hAnsi="Times New Roman" w:cs="Times New Roman"/>
          <w:b/>
          <w:sz w:val="28"/>
          <w:vertAlign w:val="superscript"/>
        </w:rPr>
        <w:t>18</w:t>
      </w:r>
      <w:r w:rsidRPr="00A43B9C">
        <w:rPr>
          <w:rFonts w:ascii="Times New Roman" w:hAnsi="Times New Roman" w:cs="Times New Roman"/>
          <w:b/>
          <w:sz w:val="28"/>
          <w:lang w:val="en-US"/>
        </w:rPr>
        <w:t>F</w:t>
      </w:r>
      <w:r w:rsidRPr="00A43B9C">
        <w:rPr>
          <w:rFonts w:ascii="Times New Roman" w:hAnsi="Times New Roman" w:cs="Times New Roman"/>
          <w:b/>
          <w:sz w:val="28"/>
        </w:rPr>
        <w:t>-</w:t>
      </w:r>
      <w:r w:rsidRPr="00A43B9C">
        <w:rPr>
          <w:rFonts w:ascii="Times New Roman" w:hAnsi="Times New Roman" w:cs="Times New Roman"/>
          <w:b/>
          <w:sz w:val="28"/>
          <w:lang w:val="en-US"/>
        </w:rPr>
        <w:t>FDG</w:t>
      </w:r>
      <w:r w:rsidRPr="00A43B9C">
        <w:rPr>
          <w:rFonts w:ascii="Times New Roman" w:hAnsi="Times New Roman" w:cs="Times New Roman"/>
          <w:b/>
          <w:sz w:val="28"/>
        </w:rPr>
        <w:t xml:space="preserve"> в висцеральном жире</w:t>
      </w:r>
      <w:r w:rsidRPr="00A43B9C">
        <w:rPr>
          <w:rFonts w:ascii="Times New Roman" w:hAnsi="Times New Roman" w:cs="Times New Roman"/>
          <w:b/>
          <w:sz w:val="28"/>
          <w:lang w:val="kk-KZ"/>
        </w:rPr>
        <w:t xml:space="preserve"> для </w:t>
      </w:r>
      <w:r w:rsidRPr="00A43B9C">
        <w:rPr>
          <w:rFonts w:ascii="Times New Roman" w:hAnsi="Times New Roman" w:cs="Times New Roman"/>
          <w:b/>
          <w:sz w:val="28"/>
        </w:rPr>
        <w:t>обнаружения метастазирования эпителиального рака яичников и колоректального рака</w:t>
      </w:r>
    </w:p>
    <w:p w14:paraId="464BD56F" w14:textId="77777777" w:rsidR="005900FC" w:rsidRPr="00A43B9C" w:rsidRDefault="005900FC" w:rsidP="005900FC">
      <w:pPr>
        <w:spacing w:after="0" w:line="240" w:lineRule="auto"/>
        <w:jc w:val="both"/>
        <w:rPr>
          <w:rFonts w:ascii="Times New Roman" w:eastAsia="Times New Roman" w:hAnsi="Times New Roman" w:cs="Times New Roman"/>
          <w:bCs/>
          <w:iCs/>
          <w:sz w:val="28"/>
          <w:szCs w:val="28"/>
          <w:lang w:eastAsia="ru-RU"/>
        </w:rPr>
      </w:pPr>
    </w:p>
    <w:p w14:paraId="6647D392" w14:textId="77777777" w:rsidR="005900FC" w:rsidRPr="00A43B9C" w:rsidRDefault="005900FC" w:rsidP="005900FC">
      <w:pPr>
        <w:spacing w:after="0" w:line="240" w:lineRule="auto"/>
        <w:jc w:val="both"/>
        <w:rPr>
          <w:rFonts w:ascii="Times New Roman" w:eastAsia="Times New Roman" w:hAnsi="Times New Roman" w:cs="Times New Roman"/>
          <w:bCs/>
          <w:iCs/>
          <w:sz w:val="28"/>
          <w:szCs w:val="28"/>
          <w:lang w:eastAsia="ru-RU"/>
        </w:rPr>
      </w:pPr>
    </w:p>
    <w:p w14:paraId="6C8C767B" w14:textId="77777777" w:rsidR="005900FC" w:rsidRPr="00A43B9C" w:rsidRDefault="005900FC" w:rsidP="005900FC">
      <w:pPr>
        <w:spacing w:after="0" w:line="240" w:lineRule="auto"/>
        <w:jc w:val="center"/>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8D10102 - Медицина</w:t>
      </w:r>
    </w:p>
    <w:p w14:paraId="63AA42D8" w14:textId="77777777" w:rsidR="005900FC" w:rsidRPr="00A43B9C" w:rsidRDefault="005900FC" w:rsidP="005900FC">
      <w:pPr>
        <w:spacing w:after="0" w:line="240" w:lineRule="auto"/>
        <w:jc w:val="center"/>
        <w:rPr>
          <w:rFonts w:ascii="Times New Roman" w:eastAsia="Times New Roman" w:hAnsi="Times New Roman" w:cs="Times New Roman"/>
          <w:bCs/>
          <w:iCs/>
          <w:sz w:val="28"/>
          <w:szCs w:val="28"/>
          <w:lang w:eastAsia="ru-RU"/>
        </w:rPr>
      </w:pPr>
    </w:p>
    <w:p w14:paraId="075B9D34" w14:textId="77777777" w:rsidR="006D5A91" w:rsidRPr="00A43B9C" w:rsidRDefault="005900FC" w:rsidP="005900F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Диссертация на соискание степени</w:t>
      </w:r>
    </w:p>
    <w:p w14:paraId="15D3438B" w14:textId="79074459" w:rsidR="005900FC" w:rsidRPr="00A43B9C" w:rsidRDefault="005900FC" w:rsidP="005900F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 xml:space="preserve">доктора </w:t>
      </w:r>
      <w:r w:rsidR="006D5A91" w:rsidRPr="00A43B9C">
        <w:rPr>
          <w:rFonts w:ascii="Times New Roman" w:hAnsi="Times New Roman" w:cs="Times New Roman"/>
          <w:sz w:val="28"/>
          <w:szCs w:val="28"/>
        </w:rPr>
        <w:t>философии (</w:t>
      </w:r>
      <w:r w:rsidRPr="00A43B9C">
        <w:rPr>
          <w:rFonts w:ascii="Times New Roman" w:hAnsi="Times New Roman" w:cs="Times New Roman"/>
          <w:sz w:val="28"/>
          <w:szCs w:val="28"/>
        </w:rPr>
        <w:t>PhD</w:t>
      </w:r>
      <w:r w:rsidR="006D5A91" w:rsidRPr="00A43B9C">
        <w:rPr>
          <w:rFonts w:ascii="Times New Roman" w:hAnsi="Times New Roman" w:cs="Times New Roman"/>
          <w:sz w:val="28"/>
          <w:szCs w:val="28"/>
        </w:rPr>
        <w:t>)</w:t>
      </w:r>
    </w:p>
    <w:p w14:paraId="64D2F4A0" w14:textId="77777777" w:rsidR="005900FC" w:rsidRPr="00A43B9C" w:rsidRDefault="005900FC" w:rsidP="005900FC">
      <w:pPr>
        <w:spacing w:after="0" w:line="240" w:lineRule="auto"/>
        <w:jc w:val="both"/>
        <w:rPr>
          <w:rFonts w:ascii="Times New Roman" w:eastAsia="Times New Roman" w:hAnsi="Times New Roman" w:cs="Times New Roman"/>
          <w:sz w:val="28"/>
          <w:szCs w:val="28"/>
          <w:lang w:eastAsia="ru-RU"/>
        </w:rPr>
      </w:pPr>
    </w:p>
    <w:p w14:paraId="0BFF82C2" w14:textId="77777777" w:rsidR="005900FC" w:rsidRPr="00A43B9C" w:rsidRDefault="005900FC" w:rsidP="005900FC">
      <w:pPr>
        <w:spacing w:after="0" w:line="240" w:lineRule="auto"/>
        <w:jc w:val="both"/>
        <w:rPr>
          <w:rFonts w:ascii="Times New Roman" w:eastAsia="Times New Roman" w:hAnsi="Times New Roman" w:cs="Times New Roman"/>
          <w:sz w:val="28"/>
          <w:szCs w:val="28"/>
          <w:lang w:eastAsia="ru-RU"/>
        </w:rPr>
      </w:pPr>
    </w:p>
    <w:p w14:paraId="6447FDC7" w14:textId="626C44BA" w:rsidR="005900FC" w:rsidRPr="00A43B9C" w:rsidRDefault="005900FC" w:rsidP="005900FC">
      <w:pPr>
        <w:spacing w:after="0" w:line="240" w:lineRule="auto"/>
        <w:jc w:val="both"/>
        <w:rPr>
          <w:rFonts w:ascii="Times New Roman" w:eastAsia="Times New Roman" w:hAnsi="Times New Roman" w:cs="Times New Roman"/>
          <w:sz w:val="28"/>
          <w:szCs w:val="28"/>
          <w:lang w:eastAsia="ru-RU"/>
        </w:rPr>
      </w:pPr>
    </w:p>
    <w:p w14:paraId="6E957C78" w14:textId="638A4359" w:rsidR="005900FC" w:rsidRPr="00A43B9C" w:rsidRDefault="005900FC" w:rsidP="005900FC">
      <w:pPr>
        <w:spacing w:after="0" w:line="240" w:lineRule="auto"/>
        <w:jc w:val="both"/>
        <w:rPr>
          <w:rFonts w:ascii="Times New Roman" w:eastAsia="Times New Roman" w:hAnsi="Times New Roman" w:cs="Times New Roman"/>
          <w:sz w:val="28"/>
          <w:szCs w:val="28"/>
          <w:lang w:eastAsia="ru-RU"/>
        </w:rPr>
      </w:pPr>
    </w:p>
    <w:p w14:paraId="4A469DA6" w14:textId="121ACDDD" w:rsidR="005900FC" w:rsidRPr="00A43B9C" w:rsidRDefault="005900FC" w:rsidP="005900FC">
      <w:pPr>
        <w:spacing w:after="0" w:line="240" w:lineRule="auto"/>
        <w:jc w:val="both"/>
        <w:rPr>
          <w:rFonts w:ascii="Times New Roman" w:eastAsia="Times New Roman" w:hAnsi="Times New Roman" w:cs="Times New Roman"/>
          <w:sz w:val="28"/>
          <w:szCs w:val="28"/>
          <w:lang w:eastAsia="ru-RU"/>
        </w:rPr>
      </w:pPr>
    </w:p>
    <w:p w14:paraId="0B4129E7" w14:textId="77777777" w:rsidR="005900FC" w:rsidRPr="00A43B9C" w:rsidRDefault="005900FC" w:rsidP="005900FC">
      <w:pPr>
        <w:spacing w:after="0" w:line="240" w:lineRule="auto"/>
        <w:jc w:val="right"/>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Научные консультанты:</w:t>
      </w:r>
    </w:p>
    <w:p w14:paraId="2D72ADE0" w14:textId="31E323DA" w:rsidR="005900FC" w:rsidRPr="00A43B9C" w:rsidRDefault="005900FC" w:rsidP="005900FC">
      <w:pPr>
        <w:spacing w:after="0" w:line="240" w:lineRule="auto"/>
        <w:jc w:val="right"/>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Винников</w:t>
      </w:r>
      <w:r w:rsidR="006D5A91" w:rsidRPr="00A43B9C">
        <w:rPr>
          <w:rFonts w:ascii="Times New Roman" w:eastAsia="Times New Roman" w:hAnsi="Times New Roman" w:cs="Times New Roman"/>
          <w:sz w:val="28"/>
          <w:szCs w:val="28"/>
          <w:lang w:eastAsia="ru-RU"/>
        </w:rPr>
        <w:t xml:space="preserve"> Д.В. – д.м.н., асс. профессор</w:t>
      </w:r>
    </w:p>
    <w:p w14:paraId="46A5D10C" w14:textId="087A3380" w:rsidR="005900FC" w:rsidRPr="00A43B9C" w:rsidRDefault="005900FC" w:rsidP="005900FC">
      <w:pPr>
        <w:spacing w:after="0" w:line="240" w:lineRule="auto"/>
        <w:jc w:val="right"/>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Садуакасова</w:t>
      </w:r>
      <w:r w:rsidR="006D5A91" w:rsidRPr="00A43B9C">
        <w:rPr>
          <w:rFonts w:ascii="Times New Roman" w:eastAsia="Times New Roman" w:hAnsi="Times New Roman" w:cs="Times New Roman"/>
          <w:sz w:val="28"/>
          <w:szCs w:val="28"/>
          <w:lang w:eastAsia="ru-RU"/>
        </w:rPr>
        <w:t xml:space="preserve"> А.Б. – д.м.н.</w:t>
      </w:r>
    </w:p>
    <w:p w14:paraId="1E1C4C9D" w14:textId="469239EE" w:rsidR="006D5A91" w:rsidRPr="00A43B9C" w:rsidRDefault="006D5A91" w:rsidP="006D5A91">
      <w:pPr>
        <w:spacing w:after="0" w:line="240" w:lineRule="auto"/>
        <w:jc w:val="right"/>
        <w:rPr>
          <w:rFonts w:ascii="Times New Roman" w:hAnsi="Times New Roman" w:cs="Times New Roman"/>
          <w:sz w:val="28"/>
          <w:szCs w:val="28"/>
        </w:rPr>
      </w:pPr>
      <w:r w:rsidRPr="00A43B9C">
        <w:rPr>
          <w:rFonts w:ascii="Times New Roman" w:hAnsi="Times New Roman" w:cs="Times New Roman"/>
          <w:color w:val="000000"/>
          <w:sz w:val="28"/>
          <w:szCs w:val="28"/>
        </w:rPr>
        <w:t>Зарубежный научный консультант:</w:t>
      </w:r>
    </w:p>
    <w:p w14:paraId="7705ECB6" w14:textId="7B3F70D6" w:rsidR="005900FC" w:rsidRPr="00A43B9C" w:rsidRDefault="005900FC" w:rsidP="005900FC">
      <w:pPr>
        <w:spacing w:after="0" w:line="240" w:lineRule="auto"/>
        <w:jc w:val="right"/>
        <w:rPr>
          <w:rFonts w:ascii="Times New Roman" w:eastAsia="Times New Roman" w:hAnsi="Times New Roman" w:cs="Times New Roman"/>
          <w:sz w:val="28"/>
          <w:szCs w:val="28"/>
          <w:lang w:eastAsia="ru-RU"/>
        </w:rPr>
      </w:pPr>
      <w:r w:rsidRPr="00A43B9C">
        <w:rPr>
          <w:rFonts w:ascii="Times New Roman" w:hAnsi="Times New Roman" w:cs="Times New Roman"/>
          <w:sz w:val="28"/>
          <w:szCs w:val="28"/>
        </w:rPr>
        <w:t>Покровский</w:t>
      </w:r>
      <w:r w:rsidR="006D5A91" w:rsidRPr="00A43B9C">
        <w:rPr>
          <w:rFonts w:ascii="Times New Roman" w:hAnsi="Times New Roman" w:cs="Times New Roman"/>
          <w:sz w:val="28"/>
          <w:szCs w:val="28"/>
        </w:rPr>
        <w:t xml:space="preserve"> В.С. – д.м.н., профессор</w:t>
      </w:r>
    </w:p>
    <w:p w14:paraId="2AC4AB75" w14:textId="77777777" w:rsidR="005900FC" w:rsidRPr="00A43B9C" w:rsidRDefault="005900FC" w:rsidP="005900FC">
      <w:pPr>
        <w:spacing w:after="0" w:line="240" w:lineRule="auto"/>
        <w:ind w:left="5529"/>
        <w:jc w:val="both"/>
        <w:rPr>
          <w:rFonts w:ascii="Times New Roman" w:eastAsia="Times New Roman" w:hAnsi="Times New Roman" w:cs="Times New Roman"/>
          <w:sz w:val="28"/>
          <w:szCs w:val="28"/>
          <w:lang w:eastAsia="ru-RU"/>
        </w:rPr>
      </w:pPr>
    </w:p>
    <w:p w14:paraId="55F276C7" w14:textId="77777777" w:rsidR="005900FC" w:rsidRPr="00A43B9C" w:rsidRDefault="005900FC" w:rsidP="005900FC">
      <w:pPr>
        <w:spacing w:after="0" w:line="240" w:lineRule="auto"/>
        <w:ind w:left="5529"/>
        <w:jc w:val="both"/>
        <w:rPr>
          <w:rFonts w:ascii="Times New Roman" w:eastAsia="Times New Roman" w:hAnsi="Times New Roman" w:cs="Times New Roman"/>
          <w:sz w:val="28"/>
          <w:szCs w:val="28"/>
          <w:lang w:eastAsia="ru-RU"/>
        </w:rPr>
      </w:pPr>
    </w:p>
    <w:p w14:paraId="51C390E0" w14:textId="77777777" w:rsidR="005900FC" w:rsidRPr="00A43B9C" w:rsidRDefault="005900FC" w:rsidP="005900FC">
      <w:pPr>
        <w:spacing w:after="0" w:line="240" w:lineRule="auto"/>
        <w:ind w:left="5529"/>
        <w:jc w:val="both"/>
        <w:rPr>
          <w:rFonts w:ascii="Times New Roman" w:eastAsia="Times New Roman" w:hAnsi="Times New Roman" w:cs="Times New Roman"/>
          <w:sz w:val="28"/>
          <w:szCs w:val="28"/>
          <w:lang w:eastAsia="ru-RU"/>
        </w:rPr>
      </w:pPr>
    </w:p>
    <w:p w14:paraId="5699C062" w14:textId="26D5F089" w:rsidR="005900FC" w:rsidRPr="00A43B9C" w:rsidRDefault="005900FC" w:rsidP="005900FC">
      <w:pPr>
        <w:spacing w:after="0" w:line="240" w:lineRule="auto"/>
        <w:ind w:left="5529"/>
        <w:jc w:val="both"/>
        <w:rPr>
          <w:rFonts w:ascii="Times New Roman" w:eastAsia="Times New Roman" w:hAnsi="Times New Roman" w:cs="Times New Roman"/>
          <w:sz w:val="28"/>
          <w:szCs w:val="28"/>
          <w:lang w:eastAsia="ru-RU"/>
        </w:rPr>
      </w:pPr>
    </w:p>
    <w:p w14:paraId="78798850" w14:textId="696F6F61" w:rsidR="006D5A91" w:rsidRPr="00A43B9C" w:rsidRDefault="006D5A91" w:rsidP="005900FC">
      <w:pPr>
        <w:spacing w:after="0" w:line="240" w:lineRule="auto"/>
        <w:ind w:left="5529"/>
        <w:jc w:val="both"/>
        <w:rPr>
          <w:rFonts w:ascii="Times New Roman" w:eastAsia="Times New Roman" w:hAnsi="Times New Roman" w:cs="Times New Roman"/>
          <w:sz w:val="28"/>
          <w:szCs w:val="28"/>
          <w:lang w:eastAsia="ru-RU"/>
        </w:rPr>
      </w:pPr>
    </w:p>
    <w:p w14:paraId="7310C210" w14:textId="64F1DA3E" w:rsidR="006D5A91" w:rsidRPr="00A43B9C" w:rsidRDefault="006D5A91" w:rsidP="005900FC">
      <w:pPr>
        <w:spacing w:after="0" w:line="240" w:lineRule="auto"/>
        <w:ind w:left="5529"/>
        <w:jc w:val="both"/>
        <w:rPr>
          <w:rFonts w:ascii="Times New Roman" w:eastAsia="Times New Roman" w:hAnsi="Times New Roman" w:cs="Times New Roman"/>
          <w:sz w:val="28"/>
          <w:szCs w:val="28"/>
          <w:lang w:eastAsia="ru-RU"/>
        </w:rPr>
      </w:pPr>
    </w:p>
    <w:p w14:paraId="2D4E753C" w14:textId="35F44A2D" w:rsidR="006D5A91" w:rsidRPr="00A43B9C" w:rsidRDefault="006D5A91" w:rsidP="005900FC">
      <w:pPr>
        <w:spacing w:after="0" w:line="240" w:lineRule="auto"/>
        <w:ind w:left="5529"/>
        <w:jc w:val="both"/>
        <w:rPr>
          <w:rFonts w:ascii="Times New Roman" w:eastAsia="Times New Roman" w:hAnsi="Times New Roman" w:cs="Times New Roman"/>
          <w:sz w:val="28"/>
          <w:szCs w:val="28"/>
          <w:lang w:eastAsia="ru-RU"/>
        </w:rPr>
      </w:pPr>
    </w:p>
    <w:p w14:paraId="77CE6FD8" w14:textId="45A5A6F5" w:rsidR="006D5A91" w:rsidRPr="00A43B9C" w:rsidRDefault="006D5A91" w:rsidP="005900FC">
      <w:pPr>
        <w:spacing w:after="0" w:line="240" w:lineRule="auto"/>
        <w:ind w:left="5529"/>
        <w:jc w:val="both"/>
        <w:rPr>
          <w:rFonts w:ascii="Times New Roman" w:eastAsia="Times New Roman" w:hAnsi="Times New Roman" w:cs="Times New Roman"/>
          <w:sz w:val="28"/>
          <w:szCs w:val="28"/>
          <w:lang w:eastAsia="ru-RU"/>
        </w:rPr>
      </w:pPr>
    </w:p>
    <w:p w14:paraId="4DC3B083" w14:textId="77777777" w:rsidR="005900FC" w:rsidRPr="00A43B9C" w:rsidRDefault="005900FC" w:rsidP="005900FC">
      <w:pPr>
        <w:spacing w:after="0" w:line="240" w:lineRule="auto"/>
        <w:jc w:val="center"/>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Республика Казахстан</w:t>
      </w:r>
    </w:p>
    <w:p w14:paraId="6640AB7B" w14:textId="4B487CAA" w:rsidR="005900FC" w:rsidRPr="00A43B9C" w:rsidRDefault="005900FC" w:rsidP="005900FC">
      <w:pPr>
        <w:spacing w:after="0" w:line="240" w:lineRule="auto"/>
        <w:jc w:val="center"/>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Алматы, 202</w:t>
      </w:r>
      <w:r w:rsidR="00EB72ED" w:rsidRPr="00EE444C">
        <w:rPr>
          <w:rFonts w:ascii="Times New Roman" w:eastAsia="Times New Roman" w:hAnsi="Times New Roman" w:cs="Times New Roman"/>
          <w:sz w:val="28"/>
          <w:szCs w:val="28"/>
          <w:lang w:eastAsia="ru-RU"/>
        </w:rPr>
        <w:t>4</w:t>
      </w:r>
      <w:r w:rsidRPr="00A43B9C">
        <w:rPr>
          <w:rFonts w:ascii="Times New Roman" w:eastAsia="Times New Roman" w:hAnsi="Times New Roman" w:cs="Times New Roman"/>
          <w:sz w:val="28"/>
          <w:szCs w:val="28"/>
          <w:lang w:eastAsia="ru-RU"/>
        </w:rPr>
        <w:br w:type="page"/>
      </w:r>
    </w:p>
    <w:p w14:paraId="369DAC91" w14:textId="7DD594F9" w:rsidR="005900FC" w:rsidRPr="00A43B9C" w:rsidRDefault="009B6EB8" w:rsidP="005900FC">
      <w:pPr>
        <w:spacing w:after="0" w:line="240" w:lineRule="auto"/>
        <w:jc w:val="center"/>
        <w:rPr>
          <w:rFonts w:ascii="Times New Roman" w:eastAsia="Times New Roman" w:hAnsi="Times New Roman" w:cs="Times New Roman"/>
          <w:b/>
          <w:bCs/>
          <w:sz w:val="28"/>
          <w:szCs w:val="28"/>
          <w:lang w:eastAsia="ru-RU"/>
        </w:rPr>
      </w:pPr>
      <w:r w:rsidRPr="00A43B9C">
        <w:rPr>
          <w:rFonts w:ascii="Times New Roman" w:eastAsia="Times New Roman" w:hAnsi="Times New Roman" w:cs="Times New Roman"/>
          <w:b/>
          <w:bCs/>
          <w:sz w:val="28"/>
          <w:szCs w:val="28"/>
          <w:lang w:eastAsia="ru-RU"/>
        </w:rPr>
        <w:lastRenderedPageBreak/>
        <w:t>СОДЕРЖАНИЕ</w:t>
      </w:r>
    </w:p>
    <w:p w14:paraId="05C11D34" w14:textId="77777777" w:rsidR="003447F3" w:rsidRPr="00A43B9C" w:rsidRDefault="003447F3" w:rsidP="005900FC">
      <w:pPr>
        <w:spacing w:after="0" w:line="240" w:lineRule="auto"/>
        <w:jc w:val="center"/>
        <w:rPr>
          <w:rFonts w:ascii="Times New Roman" w:eastAsia="Times New Roman" w:hAnsi="Times New Roman" w:cs="Times New Roman"/>
          <w:b/>
          <w:bCs/>
          <w:sz w:val="28"/>
          <w:szCs w:val="28"/>
          <w:lang w:eastAsia="ru-RU"/>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8151"/>
        <w:gridCol w:w="636"/>
      </w:tblGrid>
      <w:tr w:rsidR="00BA75B1" w:rsidRPr="00A43B9C" w14:paraId="3A0A56FB" w14:textId="1D7B8D52" w:rsidTr="003E097F">
        <w:tc>
          <w:tcPr>
            <w:tcW w:w="0" w:type="auto"/>
            <w:gridSpan w:val="2"/>
          </w:tcPr>
          <w:p w14:paraId="554FD9B4" w14:textId="685CA840" w:rsidR="00544057" w:rsidRPr="00A43B9C" w:rsidRDefault="00544057" w:rsidP="007A6613">
            <w:pPr>
              <w:spacing w:after="0" w:line="240" w:lineRule="auto"/>
              <w:jc w:val="both"/>
              <w:rPr>
                <w:rFonts w:ascii="Times New Roman" w:hAnsi="Times New Roman" w:cs="Times New Roman"/>
                <w:b/>
                <w:bCs/>
                <w:sz w:val="28"/>
                <w:szCs w:val="28"/>
                <w:lang w:val="en-US" w:eastAsia="ru-RU"/>
              </w:rPr>
            </w:pPr>
            <w:r w:rsidRPr="00A43B9C">
              <w:rPr>
                <w:rFonts w:ascii="Times New Roman" w:hAnsi="Times New Roman" w:cs="Times New Roman"/>
                <w:b/>
                <w:bCs/>
                <w:sz w:val="28"/>
                <w:szCs w:val="28"/>
                <w:lang w:eastAsia="ru-RU"/>
              </w:rPr>
              <w:t>НОРМАТИВНЫЕ ССЫЛКИ</w:t>
            </w:r>
            <w:r w:rsidR="007F530A" w:rsidRPr="00A43B9C">
              <w:rPr>
                <w:rFonts w:ascii="Times New Roman" w:hAnsi="Times New Roman" w:cs="Times New Roman"/>
                <w:sz w:val="28"/>
                <w:szCs w:val="28"/>
                <w:lang w:val="en-US" w:eastAsia="ru-RU"/>
              </w:rPr>
              <w:t>……………………………………………</w:t>
            </w:r>
          </w:p>
        </w:tc>
        <w:tc>
          <w:tcPr>
            <w:tcW w:w="0" w:type="auto"/>
          </w:tcPr>
          <w:p w14:paraId="3BECFCAE" w14:textId="2E087B6D" w:rsidR="00544057" w:rsidRPr="00A43B9C" w:rsidRDefault="00D52E0C" w:rsidP="007A6613">
            <w:pPr>
              <w:spacing w:after="0" w:line="240" w:lineRule="auto"/>
              <w:jc w:val="right"/>
              <w:rPr>
                <w:rFonts w:ascii="Times New Roman" w:hAnsi="Times New Roman" w:cs="Times New Roman"/>
                <w:sz w:val="28"/>
                <w:szCs w:val="28"/>
                <w:lang w:eastAsia="ru-RU"/>
              </w:rPr>
            </w:pPr>
            <w:r w:rsidRPr="00A43B9C">
              <w:rPr>
                <w:rFonts w:ascii="Times New Roman" w:hAnsi="Times New Roman" w:cs="Times New Roman"/>
                <w:sz w:val="28"/>
                <w:szCs w:val="28"/>
                <w:lang w:eastAsia="ru-RU"/>
              </w:rPr>
              <w:t>4</w:t>
            </w:r>
          </w:p>
        </w:tc>
      </w:tr>
      <w:tr w:rsidR="00BA75B1" w:rsidRPr="00A43B9C" w14:paraId="6040D2BA" w14:textId="0DA68617" w:rsidTr="003E097F">
        <w:tc>
          <w:tcPr>
            <w:tcW w:w="0" w:type="auto"/>
            <w:gridSpan w:val="2"/>
          </w:tcPr>
          <w:p w14:paraId="5951E5B6" w14:textId="2A7D7F86" w:rsidR="00544057" w:rsidRPr="00A43B9C" w:rsidRDefault="00544057" w:rsidP="007A6613">
            <w:pPr>
              <w:spacing w:after="0" w:line="240" w:lineRule="auto"/>
              <w:jc w:val="both"/>
              <w:rPr>
                <w:rFonts w:ascii="Times New Roman" w:hAnsi="Times New Roman" w:cs="Times New Roman"/>
                <w:b/>
                <w:bCs/>
                <w:sz w:val="28"/>
                <w:szCs w:val="28"/>
                <w:lang w:val="en-US" w:eastAsia="ru-RU"/>
              </w:rPr>
            </w:pPr>
            <w:r w:rsidRPr="00A43B9C">
              <w:rPr>
                <w:rFonts w:ascii="Times New Roman" w:hAnsi="Times New Roman" w:cs="Times New Roman"/>
                <w:b/>
                <w:bCs/>
                <w:sz w:val="28"/>
                <w:szCs w:val="28"/>
                <w:lang w:eastAsia="ru-RU"/>
              </w:rPr>
              <w:t>ОПРЕДЕЛЕНИЯ</w:t>
            </w:r>
            <w:r w:rsidR="007F530A" w:rsidRPr="00A43B9C">
              <w:rPr>
                <w:rFonts w:ascii="Times New Roman" w:hAnsi="Times New Roman" w:cs="Times New Roman"/>
                <w:sz w:val="28"/>
                <w:szCs w:val="28"/>
                <w:lang w:val="en-US" w:eastAsia="ru-RU"/>
              </w:rPr>
              <w:t>……………………………………………………</w:t>
            </w:r>
            <w:proofErr w:type="gramStart"/>
            <w:r w:rsidR="007F530A" w:rsidRPr="00A43B9C">
              <w:rPr>
                <w:rFonts w:ascii="Times New Roman" w:hAnsi="Times New Roman" w:cs="Times New Roman"/>
                <w:sz w:val="28"/>
                <w:szCs w:val="28"/>
                <w:lang w:val="en-US" w:eastAsia="ru-RU"/>
              </w:rPr>
              <w:t>…….</w:t>
            </w:r>
            <w:proofErr w:type="gramEnd"/>
          </w:p>
        </w:tc>
        <w:tc>
          <w:tcPr>
            <w:tcW w:w="0" w:type="auto"/>
          </w:tcPr>
          <w:p w14:paraId="7A772A0E" w14:textId="1673CBB5" w:rsidR="00544057" w:rsidRPr="00A43B9C" w:rsidRDefault="00D52E0C" w:rsidP="007A6613">
            <w:pPr>
              <w:spacing w:after="0" w:line="240" w:lineRule="auto"/>
              <w:jc w:val="right"/>
              <w:rPr>
                <w:rFonts w:ascii="Times New Roman" w:hAnsi="Times New Roman" w:cs="Times New Roman"/>
                <w:sz w:val="28"/>
                <w:szCs w:val="28"/>
                <w:lang w:eastAsia="ru-RU"/>
              </w:rPr>
            </w:pPr>
            <w:r w:rsidRPr="00A43B9C">
              <w:rPr>
                <w:rFonts w:ascii="Times New Roman" w:hAnsi="Times New Roman" w:cs="Times New Roman"/>
                <w:sz w:val="28"/>
                <w:szCs w:val="28"/>
                <w:lang w:eastAsia="ru-RU"/>
              </w:rPr>
              <w:t>5</w:t>
            </w:r>
          </w:p>
        </w:tc>
      </w:tr>
      <w:tr w:rsidR="00BA75B1" w:rsidRPr="00A43B9C" w14:paraId="7070D1EA" w14:textId="07D7D92D" w:rsidTr="003E097F">
        <w:tc>
          <w:tcPr>
            <w:tcW w:w="0" w:type="auto"/>
            <w:gridSpan w:val="2"/>
          </w:tcPr>
          <w:p w14:paraId="0D217EF8" w14:textId="59D2E822" w:rsidR="00544057" w:rsidRPr="00A43B9C" w:rsidRDefault="00544057" w:rsidP="007A6613">
            <w:pPr>
              <w:spacing w:after="0" w:line="240" w:lineRule="auto"/>
              <w:jc w:val="both"/>
              <w:rPr>
                <w:rFonts w:ascii="Times New Roman" w:hAnsi="Times New Roman" w:cs="Times New Roman"/>
                <w:b/>
                <w:bCs/>
                <w:sz w:val="28"/>
                <w:szCs w:val="28"/>
                <w:lang w:val="en-US" w:eastAsia="ru-RU"/>
              </w:rPr>
            </w:pPr>
            <w:r w:rsidRPr="00A43B9C">
              <w:rPr>
                <w:rFonts w:ascii="Times New Roman" w:hAnsi="Times New Roman" w:cs="Times New Roman"/>
                <w:b/>
                <w:bCs/>
                <w:sz w:val="28"/>
                <w:szCs w:val="28"/>
                <w:lang w:eastAsia="ru-RU"/>
              </w:rPr>
              <w:t>ОБОЗНАЧЕНИЯ И СОКРАЩЕНИЯ</w:t>
            </w:r>
            <w:r w:rsidR="007F530A" w:rsidRPr="00A43B9C">
              <w:rPr>
                <w:rFonts w:ascii="Times New Roman" w:hAnsi="Times New Roman" w:cs="Times New Roman"/>
                <w:sz w:val="28"/>
                <w:szCs w:val="28"/>
                <w:lang w:val="en-US" w:eastAsia="ru-RU"/>
              </w:rPr>
              <w:t>……………………………</w:t>
            </w:r>
            <w:proofErr w:type="gramStart"/>
            <w:r w:rsidR="007F530A" w:rsidRPr="00A43B9C">
              <w:rPr>
                <w:rFonts w:ascii="Times New Roman" w:hAnsi="Times New Roman" w:cs="Times New Roman"/>
                <w:sz w:val="28"/>
                <w:szCs w:val="28"/>
                <w:lang w:val="en-US" w:eastAsia="ru-RU"/>
              </w:rPr>
              <w:t>…….</w:t>
            </w:r>
            <w:proofErr w:type="gramEnd"/>
            <w:r w:rsidR="007F530A" w:rsidRPr="00A43B9C">
              <w:rPr>
                <w:rFonts w:ascii="Times New Roman" w:hAnsi="Times New Roman" w:cs="Times New Roman"/>
                <w:sz w:val="28"/>
                <w:szCs w:val="28"/>
                <w:lang w:val="en-US" w:eastAsia="ru-RU"/>
              </w:rPr>
              <w:t>.</w:t>
            </w:r>
          </w:p>
        </w:tc>
        <w:tc>
          <w:tcPr>
            <w:tcW w:w="0" w:type="auto"/>
          </w:tcPr>
          <w:p w14:paraId="3ECABD29" w14:textId="4EC41E21" w:rsidR="00544057" w:rsidRPr="00531EB4" w:rsidRDefault="00531EB4" w:rsidP="007A6613">
            <w:pPr>
              <w:spacing w:after="0" w:line="240" w:lineRule="auto"/>
              <w:jc w:val="right"/>
              <w:rPr>
                <w:rFonts w:ascii="Times New Roman" w:hAnsi="Times New Roman" w:cs="Times New Roman"/>
                <w:sz w:val="28"/>
                <w:szCs w:val="28"/>
                <w:lang w:val="en-US" w:eastAsia="ru-RU"/>
              </w:rPr>
            </w:pPr>
            <w:r>
              <w:rPr>
                <w:rFonts w:ascii="Times New Roman" w:hAnsi="Times New Roman" w:cs="Times New Roman"/>
                <w:sz w:val="28"/>
                <w:szCs w:val="28"/>
                <w:lang w:val="en-US" w:eastAsia="ru-RU"/>
              </w:rPr>
              <w:t>7</w:t>
            </w:r>
          </w:p>
        </w:tc>
      </w:tr>
      <w:tr w:rsidR="00BA75B1" w:rsidRPr="00A43B9C" w14:paraId="115DD4AA" w14:textId="77777777" w:rsidTr="003E097F">
        <w:tc>
          <w:tcPr>
            <w:tcW w:w="0" w:type="auto"/>
            <w:gridSpan w:val="2"/>
          </w:tcPr>
          <w:p w14:paraId="205C85D6" w14:textId="4A175D03" w:rsidR="00D52E0C" w:rsidRPr="00A43B9C" w:rsidRDefault="00D52E0C" w:rsidP="007A6613">
            <w:pPr>
              <w:spacing w:after="0" w:line="240" w:lineRule="auto"/>
              <w:jc w:val="both"/>
              <w:rPr>
                <w:rFonts w:ascii="Times New Roman" w:hAnsi="Times New Roman" w:cs="Times New Roman"/>
                <w:b/>
                <w:bCs/>
                <w:sz w:val="28"/>
                <w:szCs w:val="28"/>
                <w:lang w:val="en-US" w:eastAsia="ru-RU"/>
              </w:rPr>
            </w:pPr>
            <w:r w:rsidRPr="00A43B9C">
              <w:rPr>
                <w:rFonts w:ascii="Times New Roman" w:hAnsi="Times New Roman" w:cs="Times New Roman"/>
                <w:b/>
                <w:bCs/>
                <w:sz w:val="28"/>
                <w:szCs w:val="28"/>
                <w:lang w:eastAsia="ru-RU"/>
              </w:rPr>
              <w:t>ВВЕДЕНИЕ</w:t>
            </w:r>
            <w:r w:rsidR="007F530A" w:rsidRPr="00A43B9C">
              <w:rPr>
                <w:rFonts w:ascii="Times New Roman" w:hAnsi="Times New Roman" w:cs="Times New Roman"/>
                <w:sz w:val="28"/>
                <w:szCs w:val="28"/>
                <w:lang w:val="en-US" w:eastAsia="ru-RU"/>
              </w:rPr>
              <w:t>………………………………………………………………...</w:t>
            </w:r>
          </w:p>
        </w:tc>
        <w:tc>
          <w:tcPr>
            <w:tcW w:w="0" w:type="auto"/>
          </w:tcPr>
          <w:p w14:paraId="188715D9" w14:textId="18DB6435" w:rsidR="00D52E0C" w:rsidRPr="00531EB4" w:rsidRDefault="00531EB4" w:rsidP="007A6613">
            <w:pPr>
              <w:spacing w:after="0" w:line="240" w:lineRule="auto"/>
              <w:jc w:val="right"/>
              <w:rPr>
                <w:rFonts w:ascii="Times New Roman" w:hAnsi="Times New Roman" w:cs="Times New Roman"/>
                <w:sz w:val="28"/>
                <w:szCs w:val="28"/>
                <w:lang w:val="en-US" w:eastAsia="ru-RU"/>
              </w:rPr>
            </w:pPr>
            <w:r>
              <w:rPr>
                <w:rFonts w:ascii="Times New Roman" w:hAnsi="Times New Roman" w:cs="Times New Roman"/>
                <w:sz w:val="28"/>
                <w:szCs w:val="28"/>
                <w:lang w:val="en-US" w:eastAsia="ru-RU"/>
              </w:rPr>
              <w:t>9</w:t>
            </w:r>
          </w:p>
        </w:tc>
      </w:tr>
      <w:tr w:rsidR="00BA75B1" w:rsidRPr="00A43B9C" w14:paraId="07F69FE4" w14:textId="77777777" w:rsidTr="003E097F">
        <w:tc>
          <w:tcPr>
            <w:tcW w:w="0" w:type="auto"/>
          </w:tcPr>
          <w:p w14:paraId="24619DC6" w14:textId="4169DCB4" w:rsidR="00544057" w:rsidRPr="00A43B9C" w:rsidRDefault="00544057" w:rsidP="007A6613">
            <w:pPr>
              <w:spacing w:after="0" w:line="240" w:lineRule="auto"/>
              <w:jc w:val="both"/>
              <w:rPr>
                <w:rFonts w:ascii="Times New Roman" w:hAnsi="Times New Roman" w:cs="Times New Roman"/>
                <w:b/>
                <w:bCs/>
                <w:sz w:val="28"/>
                <w:szCs w:val="28"/>
                <w:lang w:eastAsia="ru-RU"/>
              </w:rPr>
            </w:pPr>
            <w:r w:rsidRPr="00A43B9C">
              <w:rPr>
                <w:rFonts w:ascii="Times New Roman" w:hAnsi="Times New Roman" w:cs="Times New Roman"/>
                <w:b/>
                <w:bCs/>
                <w:sz w:val="28"/>
                <w:szCs w:val="28"/>
                <w:lang w:eastAsia="ru-RU"/>
              </w:rPr>
              <w:t>1</w:t>
            </w:r>
          </w:p>
        </w:tc>
        <w:tc>
          <w:tcPr>
            <w:tcW w:w="0" w:type="auto"/>
          </w:tcPr>
          <w:p w14:paraId="4FEE85A0" w14:textId="078C17F2" w:rsidR="00544057" w:rsidRPr="00A43B9C" w:rsidRDefault="00544057" w:rsidP="007A6613">
            <w:pPr>
              <w:spacing w:after="0" w:line="240" w:lineRule="auto"/>
              <w:jc w:val="both"/>
              <w:rPr>
                <w:rFonts w:ascii="Times New Roman" w:hAnsi="Times New Roman" w:cs="Times New Roman"/>
                <w:b/>
                <w:bCs/>
                <w:sz w:val="28"/>
                <w:szCs w:val="28"/>
                <w:lang w:val="en-US" w:eastAsia="ru-RU"/>
              </w:rPr>
            </w:pPr>
            <w:r w:rsidRPr="00A43B9C">
              <w:rPr>
                <w:rFonts w:ascii="Times New Roman" w:hAnsi="Times New Roman" w:cs="Times New Roman"/>
                <w:b/>
                <w:bCs/>
                <w:sz w:val="28"/>
                <w:szCs w:val="28"/>
                <w:lang w:eastAsia="ru-RU"/>
              </w:rPr>
              <w:t>ОБЗОР ЛИТЕРАТУРЫ</w:t>
            </w:r>
            <w:r w:rsidR="007F530A" w:rsidRPr="00A43B9C">
              <w:rPr>
                <w:rFonts w:ascii="Times New Roman" w:hAnsi="Times New Roman" w:cs="Times New Roman"/>
                <w:sz w:val="28"/>
                <w:szCs w:val="28"/>
                <w:lang w:val="en-US" w:eastAsia="ru-RU"/>
              </w:rPr>
              <w:t>………………………………………</w:t>
            </w:r>
            <w:proofErr w:type="gramStart"/>
            <w:r w:rsidR="007F530A" w:rsidRPr="00A43B9C">
              <w:rPr>
                <w:rFonts w:ascii="Times New Roman" w:hAnsi="Times New Roman" w:cs="Times New Roman"/>
                <w:sz w:val="28"/>
                <w:szCs w:val="28"/>
                <w:lang w:val="en-US" w:eastAsia="ru-RU"/>
              </w:rPr>
              <w:t>…….</w:t>
            </w:r>
            <w:proofErr w:type="gramEnd"/>
            <w:r w:rsidR="007F530A" w:rsidRPr="00A43B9C">
              <w:rPr>
                <w:rFonts w:ascii="Times New Roman" w:hAnsi="Times New Roman" w:cs="Times New Roman"/>
                <w:sz w:val="28"/>
                <w:szCs w:val="28"/>
                <w:lang w:val="en-US" w:eastAsia="ru-RU"/>
              </w:rPr>
              <w:t>.</w:t>
            </w:r>
          </w:p>
        </w:tc>
        <w:tc>
          <w:tcPr>
            <w:tcW w:w="0" w:type="auto"/>
          </w:tcPr>
          <w:p w14:paraId="0C893D05" w14:textId="5C384F8B" w:rsidR="00544057" w:rsidRPr="00A43B9C" w:rsidRDefault="00D52E0C" w:rsidP="007A6613">
            <w:pPr>
              <w:spacing w:after="0" w:line="240" w:lineRule="auto"/>
              <w:jc w:val="right"/>
              <w:rPr>
                <w:rFonts w:ascii="Times New Roman" w:hAnsi="Times New Roman" w:cs="Times New Roman"/>
                <w:sz w:val="28"/>
                <w:szCs w:val="28"/>
                <w:lang w:eastAsia="ru-RU"/>
              </w:rPr>
            </w:pPr>
            <w:r w:rsidRPr="00A43B9C">
              <w:rPr>
                <w:rFonts w:ascii="Times New Roman" w:hAnsi="Times New Roman" w:cs="Times New Roman"/>
                <w:sz w:val="28"/>
                <w:szCs w:val="28"/>
                <w:lang w:eastAsia="ru-RU"/>
              </w:rPr>
              <w:t>1</w:t>
            </w:r>
            <w:r w:rsidR="00317118" w:rsidRPr="00317118">
              <w:rPr>
                <w:rFonts w:ascii="Times New Roman" w:hAnsi="Times New Roman" w:cs="Times New Roman"/>
                <w:sz w:val="28"/>
                <w:szCs w:val="28"/>
                <w:lang w:eastAsia="ru-RU"/>
              </w:rPr>
              <w:t>4</w:t>
            </w:r>
          </w:p>
        </w:tc>
      </w:tr>
      <w:tr w:rsidR="00BA75B1" w:rsidRPr="00A43B9C" w14:paraId="5E3BD183" w14:textId="77777777" w:rsidTr="003E097F">
        <w:tc>
          <w:tcPr>
            <w:tcW w:w="0" w:type="auto"/>
          </w:tcPr>
          <w:p w14:paraId="0C2912B5" w14:textId="6F09158E"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sz w:val="28"/>
                <w:szCs w:val="28"/>
                <w:lang w:eastAsia="ru-RU"/>
              </w:rPr>
              <w:t>1.1</w:t>
            </w:r>
          </w:p>
        </w:tc>
        <w:tc>
          <w:tcPr>
            <w:tcW w:w="0" w:type="auto"/>
          </w:tcPr>
          <w:p w14:paraId="1EBF6121" w14:textId="208C9898" w:rsidR="00544057" w:rsidRPr="00A43B9C" w:rsidRDefault="009D447E" w:rsidP="007A6613">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 xml:space="preserve">Эпидемиологические аспекты </w:t>
            </w:r>
            <w:r w:rsidRPr="00A43B9C">
              <w:rPr>
                <w:rFonts w:ascii="Times New Roman" w:eastAsia="Times New Roman" w:hAnsi="Times New Roman" w:cs="Times New Roman"/>
                <w:sz w:val="28"/>
                <w:szCs w:val="28"/>
                <w:lang w:val="kk-KZ" w:eastAsia="ru-RU"/>
              </w:rPr>
              <w:t>эпителиального рака яичников и колоректального рака в Республике Казахстан</w:t>
            </w:r>
            <w:r w:rsidR="007F530A" w:rsidRPr="00A43B9C">
              <w:rPr>
                <w:rFonts w:ascii="Times New Roman" w:hAnsi="Times New Roman" w:cs="Times New Roman"/>
                <w:sz w:val="28"/>
                <w:szCs w:val="28"/>
                <w:lang w:eastAsia="ru-RU"/>
              </w:rPr>
              <w:t>……………………</w:t>
            </w:r>
            <w:r w:rsidRPr="00A43B9C">
              <w:rPr>
                <w:rFonts w:ascii="Times New Roman" w:hAnsi="Times New Roman" w:cs="Times New Roman"/>
                <w:sz w:val="28"/>
                <w:szCs w:val="28"/>
                <w:lang w:eastAsia="ru-RU"/>
              </w:rPr>
              <w:t>...</w:t>
            </w:r>
          </w:p>
        </w:tc>
        <w:tc>
          <w:tcPr>
            <w:tcW w:w="0" w:type="auto"/>
          </w:tcPr>
          <w:p w14:paraId="3910C481" w14:textId="77777777" w:rsidR="00915BBB" w:rsidRPr="00A43B9C" w:rsidRDefault="00915BBB" w:rsidP="007A6613">
            <w:pPr>
              <w:spacing w:after="0" w:line="240" w:lineRule="auto"/>
              <w:jc w:val="right"/>
              <w:rPr>
                <w:rFonts w:ascii="Times New Roman" w:hAnsi="Times New Roman" w:cs="Times New Roman"/>
                <w:sz w:val="28"/>
                <w:szCs w:val="28"/>
                <w:lang w:eastAsia="ru-RU"/>
              </w:rPr>
            </w:pPr>
          </w:p>
          <w:p w14:paraId="2EFDEB62" w14:textId="31FF9921" w:rsidR="00544057" w:rsidRPr="00A43B9C" w:rsidRDefault="00D52E0C" w:rsidP="007A6613">
            <w:pPr>
              <w:spacing w:after="0" w:line="240" w:lineRule="auto"/>
              <w:jc w:val="right"/>
              <w:rPr>
                <w:rFonts w:ascii="Times New Roman" w:hAnsi="Times New Roman" w:cs="Times New Roman"/>
                <w:sz w:val="28"/>
                <w:szCs w:val="28"/>
                <w:lang w:eastAsia="ru-RU"/>
              </w:rPr>
            </w:pPr>
            <w:r w:rsidRPr="00A43B9C">
              <w:rPr>
                <w:rFonts w:ascii="Times New Roman" w:hAnsi="Times New Roman" w:cs="Times New Roman"/>
                <w:sz w:val="28"/>
                <w:szCs w:val="28"/>
                <w:lang w:eastAsia="ru-RU"/>
              </w:rPr>
              <w:t>1</w:t>
            </w:r>
            <w:r w:rsidR="00317118" w:rsidRPr="00317118">
              <w:rPr>
                <w:rFonts w:ascii="Times New Roman" w:hAnsi="Times New Roman" w:cs="Times New Roman"/>
                <w:sz w:val="28"/>
                <w:szCs w:val="28"/>
                <w:lang w:eastAsia="ru-RU"/>
              </w:rPr>
              <w:t>4</w:t>
            </w:r>
          </w:p>
        </w:tc>
      </w:tr>
      <w:tr w:rsidR="00BA75B1" w:rsidRPr="00A43B9C" w14:paraId="7A2B5FE0" w14:textId="77777777" w:rsidTr="003E097F">
        <w:tc>
          <w:tcPr>
            <w:tcW w:w="0" w:type="auto"/>
          </w:tcPr>
          <w:p w14:paraId="09AAB158" w14:textId="7550DF5D"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sz w:val="28"/>
                <w:szCs w:val="28"/>
                <w:lang w:eastAsia="ru-RU"/>
              </w:rPr>
              <w:t>1.2</w:t>
            </w:r>
          </w:p>
        </w:tc>
        <w:tc>
          <w:tcPr>
            <w:tcW w:w="0" w:type="auto"/>
          </w:tcPr>
          <w:p w14:paraId="74622F78" w14:textId="161BB7AE" w:rsidR="00544057" w:rsidRPr="00A43B9C" w:rsidRDefault="009D447E" w:rsidP="007A6613">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 xml:space="preserve">Общая характеристика совмещенной позитронно-эмиссионной и компьютерной томографии с </w:t>
            </w:r>
            <w:r w:rsidRPr="00A43B9C">
              <w:rPr>
                <w:rFonts w:ascii="Times New Roman" w:eastAsia="Times New Roman" w:hAnsi="Times New Roman" w:cs="Times New Roman"/>
                <w:sz w:val="28"/>
                <w:szCs w:val="28"/>
                <w:vertAlign w:val="superscript"/>
                <w:lang w:eastAsia="ru-RU"/>
              </w:rPr>
              <w:t>18</w:t>
            </w:r>
            <w:r w:rsidRPr="00A43B9C">
              <w:rPr>
                <w:rFonts w:ascii="Times New Roman" w:eastAsia="Times New Roman" w:hAnsi="Times New Roman" w:cs="Times New Roman"/>
                <w:sz w:val="28"/>
                <w:szCs w:val="28"/>
                <w:lang w:val="en-US" w:eastAsia="ru-RU"/>
              </w:rPr>
              <w:t>F</w:t>
            </w:r>
            <w:r w:rsidRPr="00A43B9C">
              <w:rPr>
                <w:rFonts w:ascii="Times New Roman" w:eastAsia="Times New Roman" w:hAnsi="Times New Roman" w:cs="Times New Roman"/>
                <w:sz w:val="28"/>
                <w:szCs w:val="28"/>
                <w:lang w:eastAsia="ru-RU"/>
              </w:rPr>
              <w:t>-фтордезоксиглюкозой</w:t>
            </w:r>
            <w:r w:rsidR="007F530A" w:rsidRPr="00A43B9C">
              <w:rPr>
                <w:rFonts w:ascii="Times New Roman" w:hAnsi="Times New Roman" w:cs="Times New Roman"/>
                <w:sz w:val="28"/>
                <w:szCs w:val="28"/>
                <w:lang w:eastAsia="ru-RU"/>
              </w:rPr>
              <w:t>…………</w:t>
            </w:r>
            <w:r w:rsidRPr="00A43B9C">
              <w:rPr>
                <w:rFonts w:ascii="Times New Roman" w:hAnsi="Times New Roman" w:cs="Times New Roman"/>
                <w:sz w:val="28"/>
                <w:szCs w:val="28"/>
                <w:lang w:eastAsia="ru-RU"/>
              </w:rPr>
              <w:t>..</w:t>
            </w:r>
            <w:r w:rsidR="00840F81" w:rsidRPr="00A43B9C">
              <w:rPr>
                <w:rFonts w:ascii="Times New Roman" w:hAnsi="Times New Roman" w:cs="Times New Roman"/>
                <w:sz w:val="28"/>
                <w:szCs w:val="28"/>
                <w:lang w:eastAsia="ru-RU"/>
              </w:rPr>
              <w:t>.</w:t>
            </w:r>
          </w:p>
        </w:tc>
        <w:tc>
          <w:tcPr>
            <w:tcW w:w="0" w:type="auto"/>
          </w:tcPr>
          <w:p w14:paraId="0801715F" w14:textId="77777777" w:rsidR="00915BBB" w:rsidRPr="00A43B9C" w:rsidRDefault="00915BBB" w:rsidP="007A6613">
            <w:pPr>
              <w:spacing w:after="0" w:line="240" w:lineRule="auto"/>
              <w:jc w:val="right"/>
              <w:rPr>
                <w:rFonts w:ascii="Times New Roman" w:hAnsi="Times New Roman" w:cs="Times New Roman"/>
                <w:sz w:val="28"/>
                <w:szCs w:val="28"/>
                <w:lang w:eastAsia="ru-RU"/>
              </w:rPr>
            </w:pPr>
          </w:p>
          <w:p w14:paraId="75C3F8C4" w14:textId="30EDDC40" w:rsidR="00544057" w:rsidRPr="00A43B9C" w:rsidRDefault="00D52E0C" w:rsidP="007A6613">
            <w:pPr>
              <w:spacing w:after="0" w:line="240" w:lineRule="auto"/>
              <w:jc w:val="right"/>
              <w:rPr>
                <w:rFonts w:ascii="Times New Roman" w:hAnsi="Times New Roman" w:cs="Times New Roman"/>
                <w:sz w:val="28"/>
                <w:szCs w:val="28"/>
                <w:lang w:eastAsia="ru-RU"/>
              </w:rPr>
            </w:pPr>
            <w:r w:rsidRPr="00A43B9C">
              <w:rPr>
                <w:rFonts w:ascii="Times New Roman" w:hAnsi="Times New Roman" w:cs="Times New Roman"/>
                <w:sz w:val="28"/>
                <w:szCs w:val="28"/>
                <w:lang w:eastAsia="ru-RU"/>
              </w:rPr>
              <w:t>1</w:t>
            </w:r>
            <w:r w:rsidR="00317118">
              <w:rPr>
                <w:rFonts w:ascii="Times New Roman" w:hAnsi="Times New Roman" w:cs="Times New Roman"/>
                <w:sz w:val="28"/>
                <w:szCs w:val="28"/>
                <w:lang w:eastAsia="ru-RU"/>
              </w:rPr>
              <w:t>6</w:t>
            </w:r>
          </w:p>
        </w:tc>
      </w:tr>
      <w:tr w:rsidR="00BA75B1" w:rsidRPr="00A43B9C" w14:paraId="3101E2AB" w14:textId="77777777" w:rsidTr="003E097F">
        <w:tc>
          <w:tcPr>
            <w:tcW w:w="0" w:type="auto"/>
          </w:tcPr>
          <w:p w14:paraId="2B447E64" w14:textId="2878F2CB"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sz w:val="28"/>
                <w:szCs w:val="28"/>
                <w:lang w:eastAsia="ru-RU"/>
              </w:rPr>
              <w:t>1.3</w:t>
            </w:r>
          </w:p>
        </w:tc>
        <w:tc>
          <w:tcPr>
            <w:tcW w:w="0" w:type="auto"/>
          </w:tcPr>
          <w:p w14:paraId="7DB198B8" w14:textId="22CF8116"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sz w:val="28"/>
                <w:szCs w:val="28"/>
                <w:lang w:eastAsia="ru-RU"/>
              </w:rPr>
              <w:t xml:space="preserve">Особенности </w:t>
            </w:r>
            <w:r w:rsidRPr="00A43B9C">
              <w:rPr>
                <w:rFonts w:ascii="Times New Roman" w:hAnsi="Times New Roman" w:cs="Times New Roman"/>
                <w:sz w:val="28"/>
                <w:szCs w:val="28"/>
                <w:lang w:val="kk-KZ" w:eastAsia="ru-RU"/>
              </w:rPr>
              <w:t>ПЭТ</w:t>
            </w:r>
            <w:r w:rsidRPr="00A43B9C">
              <w:rPr>
                <w:rFonts w:ascii="Times New Roman" w:hAnsi="Times New Roman" w:cs="Times New Roman"/>
                <w:sz w:val="28"/>
                <w:szCs w:val="28"/>
                <w:lang w:eastAsia="ru-RU"/>
              </w:rPr>
              <w:t>/</w:t>
            </w:r>
            <w:r w:rsidRPr="00A43B9C">
              <w:rPr>
                <w:rFonts w:ascii="Times New Roman" w:hAnsi="Times New Roman" w:cs="Times New Roman"/>
                <w:sz w:val="28"/>
                <w:szCs w:val="28"/>
                <w:lang w:val="kk-KZ" w:eastAsia="ru-RU"/>
              </w:rPr>
              <w:t xml:space="preserve">КТ </w:t>
            </w:r>
            <w:r w:rsidRPr="00A43B9C">
              <w:rPr>
                <w:rFonts w:ascii="Times New Roman" w:hAnsi="Times New Roman" w:cs="Times New Roman"/>
                <w:sz w:val="28"/>
                <w:szCs w:val="28"/>
                <w:lang w:eastAsia="ru-RU"/>
              </w:rPr>
              <w:t xml:space="preserve">при </w:t>
            </w:r>
            <w:r w:rsidRPr="00A43B9C">
              <w:rPr>
                <w:rFonts w:ascii="Times New Roman" w:hAnsi="Times New Roman" w:cs="Times New Roman"/>
                <w:sz w:val="28"/>
                <w:szCs w:val="28"/>
                <w:lang w:val="kk-KZ" w:eastAsia="ru-RU"/>
              </w:rPr>
              <w:t>эпителиальном раке яичников и колоректальном раке</w:t>
            </w:r>
            <w:r w:rsidR="007F530A" w:rsidRPr="00A43B9C">
              <w:rPr>
                <w:rFonts w:ascii="Times New Roman" w:hAnsi="Times New Roman" w:cs="Times New Roman"/>
                <w:sz w:val="28"/>
                <w:szCs w:val="28"/>
                <w:lang w:eastAsia="ru-RU"/>
              </w:rPr>
              <w:t>……………………………………………</w:t>
            </w:r>
            <w:proofErr w:type="gramStart"/>
            <w:r w:rsidR="007F530A" w:rsidRPr="00A43B9C">
              <w:rPr>
                <w:rFonts w:ascii="Times New Roman" w:hAnsi="Times New Roman" w:cs="Times New Roman"/>
                <w:sz w:val="28"/>
                <w:szCs w:val="28"/>
                <w:lang w:eastAsia="ru-RU"/>
              </w:rPr>
              <w:t>…….</w:t>
            </w:r>
            <w:proofErr w:type="gramEnd"/>
          </w:p>
        </w:tc>
        <w:tc>
          <w:tcPr>
            <w:tcW w:w="0" w:type="auto"/>
          </w:tcPr>
          <w:p w14:paraId="1BAE0B77" w14:textId="77777777" w:rsidR="00915BBB" w:rsidRPr="00A43B9C" w:rsidRDefault="00915BBB" w:rsidP="007A6613">
            <w:pPr>
              <w:spacing w:after="0" w:line="240" w:lineRule="auto"/>
              <w:jc w:val="right"/>
              <w:rPr>
                <w:rFonts w:ascii="Times New Roman" w:hAnsi="Times New Roman" w:cs="Times New Roman"/>
                <w:sz w:val="28"/>
                <w:szCs w:val="28"/>
                <w:lang w:eastAsia="ru-RU"/>
              </w:rPr>
            </w:pPr>
          </w:p>
          <w:p w14:paraId="213CB53E" w14:textId="75EEB029" w:rsidR="00544057" w:rsidRPr="00A43B9C" w:rsidRDefault="00D52E0C" w:rsidP="007A6613">
            <w:pPr>
              <w:spacing w:after="0" w:line="240" w:lineRule="auto"/>
              <w:jc w:val="right"/>
              <w:rPr>
                <w:rFonts w:ascii="Times New Roman" w:hAnsi="Times New Roman" w:cs="Times New Roman"/>
                <w:sz w:val="28"/>
                <w:szCs w:val="28"/>
                <w:lang w:eastAsia="ru-RU"/>
              </w:rPr>
            </w:pPr>
            <w:r w:rsidRPr="00A43B9C">
              <w:rPr>
                <w:rFonts w:ascii="Times New Roman" w:hAnsi="Times New Roman" w:cs="Times New Roman"/>
                <w:sz w:val="28"/>
                <w:szCs w:val="28"/>
                <w:lang w:eastAsia="ru-RU"/>
              </w:rPr>
              <w:t>1</w:t>
            </w:r>
            <w:r w:rsidR="00317118">
              <w:rPr>
                <w:rFonts w:ascii="Times New Roman" w:hAnsi="Times New Roman" w:cs="Times New Roman"/>
                <w:sz w:val="28"/>
                <w:szCs w:val="28"/>
                <w:lang w:eastAsia="ru-RU"/>
              </w:rPr>
              <w:t>7</w:t>
            </w:r>
          </w:p>
        </w:tc>
      </w:tr>
      <w:tr w:rsidR="00BA75B1" w:rsidRPr="00A43B9C" w14:paraId="40E9886C" w14:textId="77777777" w:rsidTr="003E097F">
        <w:tc>
          <w:tcPr>
            <w:tcW w:w="0" w:type="auto"/>
          </w:tcPr>
          <w:p w14:paraId="1F298A1F" w14:textId="384B58A2"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sz w:val="28"/>
                <w:szCs w:val="28"/>
                <w:lang w:eastAsia="ru-RU"/>
              </w:rPr>
              <w:t>1.4</w:t>
            </w:r>
          </w:p>
        </w:tc>
        <w:tc>
          <w:tcPr>
            <w:tcW w:w="0" w:type="auto"/>
          </w:tcPr>
          <w:p w14:paraId="17A490C6" w14:textId="0052558C"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sz w:val="28"/>
                <w:szCs w:val="28"/>
                <w:lang w:eastAsia="ru-RU"/>
              </w:rPr>
              <w:t>Прогностическая ценность определения уровня накопления</w:t>
            </w:r>
            <w:r w:rsidR="00844918" w:rsidRPr="00A43B9C">
              <w:rPr>
                <w:rFonts w:ascii="Times New Roman" w:hAnsi="Times New Roman" w:cs="Times New Roman"/>
                <w:sz w:val="28"/>
                <w:szCs w:val="28"/>
                <w:lang w:eastAsia="ru-RU"/>
              </w:rPr>
              <w:br/>
            </w:r>
            <w:r w:rsidRPr="00A43B9C">
              <w:rPr>
                <w:rFonts w:ascii="Times New Roman" w:hAnsi="Times New Roman" w:cs="Times New Roman"/>
                <w:sz w:val="28"/>
                <w:szCs w:val="28"/>
                <w:vertAlign w:val="superscript"/>
                <w:lang w:eastAsia="ru-RU"/>
              </w:rPr>
              <w:t>18</w:t>
            </w:r>
            <w:r w:rsidRPr="00A43B9C">
              <w:rPr>
                <w:rFonts w:ascii="Times New Roman" w:hAnsi="Times New Roman" w:cs="Times New Roman"/>
                <w:sz w:val="28"/>
                <w:szCs w:val="28"/>
                <w:lang w:val="en-US" w:eastAsia="ru-RU"/>
              </w:rPr>
              <w:t>F</w:t>
            </w:r>
            <w:r w:rsidRPr="00A43B9C">
              <w:rPr>
                <w:rFonts w:ascii="Times New Roman" w:hAnsi="Times New Roman" w:cs="Times New Roman"/>
                <w:sz w:val="28"/>
                <w:szCs w:val="28"/>
                <w:lang w:eastAsia="ru-RU"/>
              </w:rPr>
              <w:t xml:space="preserve">-FDG </w:t>
            </w:r>
            <w:r w:rsidRPr="00A43B9C">
              <w:rPr>
                <w:rFonts w:ascii="Times New Roman" w:hAnsi="Times New Roman" w:cs="Times New Roman"/>
                <w:sz w:val="28"/>
                <w:szCs w:val="28"/>
                <w:lang w:val="kk-KZ" w:eastAsia="ru-RU"/>
              </w:rPr>
              <w:t>ПЭТ</w:t>
            </w:r>
            <w:r w:rsidRPr="00A43B9C">
              <w:rPr>
                <w:rFonts w:ascii="Times New Roman" w:hAnsi="Times New Roman" w:cs="Times New Roman"/>
                <w:sz w:val="28"/>
                <w:szCs w:val="28"/>
                <w:lang w:eastAsia="ru-RU"/>
              </w:rPr>
              <w:t>/</w:t>
            </w:r>
            <w:r w:rsidRPr="00A43B9C">
              <w:rPr>
                <w:rFonts w:ascii="Times New Roman" w:hAnsi="Times New Roman" w:cs="Times New Roman"/>
                <w:sz w:val="28"/>
                <w:szCs w:val="28"/>
                <w:lang w:val="kk-KZ" w:eastAsia="ru-RU"/>
              </w:rPr>
              <w:t xml:space="preserve">КТ </w:t>
            </w:r>
            <w:r w:rsidRPr="00A43B9C">
              <w:rPr>
                <w:rFonts w:ascii="Times New Roman" w:hAnsi="Times New Roman" w:cs="Times New Roman"/>
                <w:sz w:val="28"/>
                <w:szCs w:val="28"/>
                <w:lang w:eastAsia="ru-RU"/>
              </w:rPr>
              <w:t xml:space="preserve">при </w:t>
            </w:r>
            <w:r w:rsidRPr="00A43B9C">
              <w:rPr>
                <w:rFonts w:ascii="Times New Roman" w:hAnsi="Times New Roman" w:cs="Times New Roman"/>
                <w:sz w:val="28"/>
                <w:szCs w:val="28"/>
                <w:lang w:val="kk-KZ" w:eastAsia="ru-RU"/>
              </w:rPr>
              <w:t>эпителиальном раке яичников и колоректальном раке</w:t>
            </w:r>
            <w:r w:rsidR="007F530A" w:rsidRPr="00A43B9C">
              <w:rPr>
                <w:rFonts w:ascii="Times New Roman" w:hAnsi="Times New Roman" w:cs="Times New Roman"/>
                <w:sz w:val="28"/>
                <w:szCs w:val="28"/>
                <w:lang w:eastAsia="ru-RU"/>
              </w:rPr>
              <w:t>……………………………………………</w:t>
            </w:r>
            <w:proofErr w:type="gramStart"/>
            <w:r w:rsidR="007F530A" w:rsidRPr="00A43B9C">
              <w:rPr>
                <w:rFonts w:ascii="Times New Roman" w:hAnsi="Times New Roman" w:cs="Times New Roman"/>
                <w:sz w:val="28"/>
                <w:szCs w:val="28"/>
                <w:lang w:eastAsia="ru-RU"/>
              </w:rPr>
              <w:t>……</w:t>
            </w:r>
            <w:r w:rsidR="00844918" w:rsidRPr="00A43B9C">
              <w:rPr>
                <w:rFonts w:ascii="Times New Roman" w:hAnsi="Times New Roman" w:cs="Times New Roman"/>
                <w:sz w:val="28"/>
                <w:szCs w:val="28"/>
                <w:lang w:eastAsia="ru-RU"/>
              </w:rPr>
              <w:t>.</w:t>
            </w:r>
            <w:proofErr w:type="gramEnd"/>
          </w:p>
        </w:tc>
        <w:tc>
          <w:tcPr>
            <w:tcW w:w="0" w:type="auto"/>
          </w:tcPr>
          <w:p w14:paraId="186A8836" w14:textId="77777777" w:rsidR="00915BBB" w:rsidRPr="00A43B9C" w:rsidRDefault="00915BBB" w:rsidP="007A6613">
            <w:pPr>
              <w:spacing w:after="0" w:line="240" w:lineRule="auto"/>
              <w:jc w:val="right"/>
              <w:rPr>
                <w:rFonts w:ascii="Times New Roman" w:hAnsi="Times New Roman" w:cs="Times New Roman"/>
                <w:sz w:val="28"/>
                <w:szCs w:val="28"/>
                <w:lang w:eastAsia="ru-RU"/>
              </w:rPr>
            </w:pPr>
          </w:p>
          <w:p w14:paraId="51CCF164" w14:textId="77777777" w:rsidR="00915BBB" w:rsidRPr="00A43B9C" w:rsidRDefault="00915BBB" w:rsidP="007A6613">
            <w:pPr>
              <w:spacing w:after="0" w:line="240" w:lineRule="auto"/>
              <w:jc w:val="right"/>
              <w:rPr>
                <w:rFonts w:ascii="Times New Roman" w:hAnsi="Times New Roman" w:cs="Times New Roman"/>
                <w:sz w:val="28"/>
                <w:szCs w:val="28"/>
                <w:lang w:eastAsia="ru-RU"/>
              </w:rPr>
            </w:pPr>
          </w:p>
          <w:p w14:paraId="1F52A751" w14:textId="661531B2" w:rsidR="00544057" w:rsidRPr="00A43B9C" w:rsidRDefault="00D52E0C" w:rsidP="007A6613">
            <w:pPr>
              <w:spacing w:after="0" w:line="240" w:lineRule="auto"/>
              <w:jc w:val="right"/>
              <w:rPr>
                <w:rFonts w:ascii="Times New Roman" w:hAnsi="Times New Roman" w:cs="Times New Roman"/>
                <w:sz w:val="28"/>
                <w:szCs w:val="28"/>
                <w:lang w:eastAsia="ru-RU"/>
              </w:rPr>
            </w:pPr>
            <w:r w:rsidRPr="00A43B9C">
              <w:rPr>
                <w:rFonts w:ascii="Times New Roman" w:hAnsi="Times New Roman" w:cs="Times New Roman"/>
                <w:sz w:val="28"/>
                <w:szCs w:val="28"/>
                <w:lang w:eastAsia="ru-RU"/>
              </w:rPr>
              <w:t>2</w:t>
            </w:r>
            <w:r w:rsidR="00317118">
              <w:rPr>
                <w:rFonts w:ascii="Times New Roman" w:hAnsi="Times New Roman" w:cs="Times New Roman"/>
                <w:sz w:val="28"/>
                <w:szCs w:val="28"/>
                <w:lang w:eastAsia="ru-RU"/>
              </w:rPr>
              <w:t>4</w:t>
            </w:r>
          </w:p>
        </w:tc>
      </w:tr>
      <w:tr w:rsidR="003E097F" w:rsidRPr="00A43B9C" w14:paraId="20DB0EDA" w14:textId="77777777" w:rsidTr="003E097F">
        <w:tc>
          <w:tcPr>
            <w:tcW w:w="0" w:type="auto"/>
          </w:tcPr>
          <w:p w14:paraId="449B58E3" w14:textId="6AB41A8D" w:rsidR="003E097F" w:rsidRPr="00A43B9C" w:rsidRDefault="003E097F" w:rsidP="007A6613">
            <w:pPr>
              <w:spacing w:after="0" w:line="24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1.5</w:t>
            </w:r>
          </w:p>
        </w:tc>
        <w:tc>
          <w:tcPr>
            <w:tcW w:w="0" w:type="auto"/>
          </w:tcPr>
          <w:p w14:paraId="16ADD46F" w14:textId="6F359D20" w:rsidR="003E097F" w:rsidRPr="00A43B9C" w:rsidRDefault="003E097F" w:rsidP="007A6613">
            <w:pPr>
              <w:spacing w:after="0" w:line="24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Вывод</w:t>
            </w:r>
            <w:r w:rsidR="007950EB">
              <w:rPr>
                <w:rFonts w:ascii="Times New Roman" w:hAnsi="Times New Roman" w:cs="Times New Roman"/>
                <w:sz w:val="28"/>
                <w:szCs w:val="28"/>
                <w:lang w:eastAsia="ru-RU"/>
              </w:rPr>
              <w:t>ы</w:t>
            </w:r>
            <w:r>
              <w:rPr>
                <w:rFonts w:ascii="Times New Roman" w:hAnsi="Times New Roman" w:cs="Times New Roman"/>
                <w:sz w:val="28"/>
                <w:szCs w:val="28"/>
                <w:lang w:eastAsia="ru-RU"/>
              </w:rPr>
              <w:t xml:space="preserve"> по разделу</w:t>
            </w:r>
            <w:r w:rsidR="00FC1958">
              <w:rPr>
                <w:rFonts w:ascii="Times New Roman" w:hAnsi="Times New Roman" w:cs="Times New Roman"/>
                <w:sz w:val="28"/>
                <w:szCs w:val="28"/>
                <w:lang w:eastAsia="ru-RU"/>
              </w:rPr>
              <w:t>……………………………………………………</w:t>
            </w:r>
          </w:p>
        </w:tc>
        <w:tc>
          <w:tcPr>
            <w:tcW w:w="0" w:type="auto"/>
          </w:tcPr>
          <w:p w14:paraId="25BB633E" w14:textId="342FCB02" w:rsidR="003E097F" w:rsidRPr="000606FD" w:rsidRDefault="008D0771" w:rsidP="007A6613">
            <w:pPr>
              <w:spacing w:after="0" w:line="240" w:lineRule="auto"/>
              <w:jc w:val="right"/>
              <w:rPr>
                <w:rFonts w:ascii="Times New Roman" w:hAnsi="Times New Roman" w:cs="Times New Roman"/>
                <w:sz w:val="28"/>
                <w:szCs w:val="28"/>
                <w:lang w:eastAsia="ru-RU"/>
              </w:rPr>
            </w:pPr>
            <w:r>
              <w:rPr>
                <w:rFonts w:ascii="Times New Roman" w:hAnsi="Times New Roman" w:cs="Times New Roman"/>
                <w:sz w:val="28"/>
                <w:szCs w:val="28"/>
                <w:lang w:val="en-US" w:eastAsia="ru-RU"/>
              </w:rPr>
              <w:t>3</w:t>
            </w:r>
            <w:r w:rsidR="00317118">
              <w:rPr>
                <w:rFonts w:ascii="Times New Roman" w:hAnsi="Times New Roman" w:cs="Times New Roman"/>
                <w:sz w:val="28"/>
                <w:szCs w:val="28"/>
                <w:lang w:eastAsia="ru-RU"/>
              </w:rPr>
              <w:t>0</w:t>
            </w:r>
          </w:p>
        </w:tc>
      </w:tr>
      <w:tr w:rsidR="00BA75B1" w:rsidRPr="00A43B9C" w14:paraId="47ED477A" w14:textId="77777777" w:rsidTr="003E097F">
        <w:tc>
          <w:tcPr>
            <w:tcW w:w="0" w:type="auto"/>
          </w:tcPr>
          <w:p w14:paraId="10781800" w14:textId="12DEC093" w:rsidR="00544057" w:rsidRPr="00A43B9C" w:rsidRDefault="00544057" w:rsidP="007A6613">
            <w:pPr>
              <w:spacing w:after="0" w:line="240" w:lineRule="auto"/>
              <w:jc w:val="both"/>
              <w:rPr>
                <w:rFonts w:ascii="Times New Roman" w:hAnsi="Times New Roman" w:cs="Times New Roman"/>
                <w:b/>
                <w:bCs/>
                <w:sz w:val="28"/>
                <w:szCs w:val="28"/>
                <w:lang w:eastAsia="ru-RU"/>
              </w:rPr>
            </w:pPr>
            <w:r w:rsidRPr="00A43B9C">
              <w:rPr>
                <w:rFonts w:ascii="Times New Roman" w:hAnsi="Times New Roman" w:cs="Times New Roman"/>
                <w:b/>
                <w:bCs/>
                <w:sz w:val="28"/>
                <w:szCs w:val="28"/>
                <w:lang w:eastAsia="ru-RU"/>
              </w:rPr>
              <w:t>2</w:t>
            </w:r>
          </w:p>
        </w:tc>
        <w:tc>
          <w:tcPr>
            <w:tcW w:w="0" w:type="auto"/>
          </w:tcPr>
          <w:p w14:paraId="6A3D6CF9" w14:textId="66478395" w:rsidR="00544057" w:rsidRPr="00A43B9C" w:rsidRDefault="00544057" w:rsidP="007A6613">
            <w:pPr>
              <w:spacing w:after="0" w:line="240" w:lineRule="auto"/>
              <w:jc w:val="both"/>
              <w:rPr>
                <w:rFonts w:ascii="Times New Roman" w:hAnsi="Times New Roman" w:cs="Times New Roman"/>
                <w:b/>
                <w:bCs/>
                <w:sz w:val="28"/>
                <w:szCs w:val="28"/>
                <w:lang w:eastAsia="ru-RU"/>
              </w:rPr>
            </w:pPr>
            <w:r w:rsidRPr="00A43B9C">
              <w:rPr>
                <w:rFonts w:ascii="Times New Roman" w:hAnsi="Times New Roman" w:cs="Times New Roman"/>
                <w:b/>
                <w:bCs/>
                <w:sz w:val="28"/>
                <w:szCs w:val="28"/>
                <w:lang w:eastAsia="ru-RU"/>
              </w:rPr>
              <w:t>МАТЕРИАЛЫ И МЕТОДЫ ИССЛЕДОВАНИЯ</w:t>
            </w:r>
            <w:r w:rsidR="00915BBB" w:rsidRPr="00A43B9C">
              <w:rPr>
                <w:rFonts w:ascii="Times New Roman" w:hAnsi="Times New Roman" w:cs="Times New Roman"/>
                <w:sz w:val="28"/>
                <w:szCs w:val="28"/>
                <w:lang w:eastAsia="ru-RU"/>
              </w:rPr>
              <w:t>…………</w:t>
            </w:r>
            <w:proofErr w:type="gramStart"/>
            <w:r w:rsidR="00915BBB" w:rsidRPr="00A43B9C">
              <w:rPr>
                <w:rFonts w:ascii="Times New Roman" w:hAnsi="Times New Roman" w:cs="Times New Roman"/>
                <w:sz w:val="28"/>
                <w:szCs w:val="28"/>
                <w:lang w:eastAsia="ru-RU"/>
              </w:rPr>
              <w:t>…….</w:t>
            </w:r>
            <w:proofErr w:type="gramEnd"/>
            <w:r w:rsidR="00915BBB" w:rsidRPr="00A43B9C">
              <w:rPr>
                <w:rFonts w:ascii="Times New Roman" w:hAnsi="Times New Roman" w:cs="Times New Roman"/>
                <w:sz w:val="28"/>
                <w:szCs w:val="28"/>
                <w:lang w:eastAsia="ru-RU"/>
              </w:rPr>
              <w:t>.</w:t>
            </w:r>
          </w:p>
        </w:tc>
        <w:tc>
          <w:tcPr>
            <w:tcW w:w="0" w:type="auto"/>
          </w:tcPr>
          <w:p w14:paraId="518A7668" w14:textId="15F64B43" w:rsidR="00544057" w:rsidRPr="00531EB4" w:rsidRDefault="00D52E0C" w:rsidP="007A6613">
            <w:pPr>
              <w:spacing w:after="0" w:line="240" w:lineRule="auto"/>
              <w:jc w:val="right"/>
              <w:rPr>
                <w:rFonts w:ascii="Times New Roman" w:hAnsi="Times New Roman" w:cs="Times New Roman"/>
                <w:sz w:val="28"/>
                <w:szCs w:val="28"/>
                <w:lang w:val="en-US" w:eastAsia="ru-RU"/>
              </w:rPr>
            </w:pPr>
            <w:r w:rsidRPr="00A43B9C">
              <w:rPr>
                <w:rFonts w:ascii="Times New Roman" w:hAnsi="Times New Roman" w:cs="Times New Roman"/>
                <w:sz w:val="28"/>
                <w:szCs w:val="28"/>
                <w:lang w:eastAsia="ru-RU"/>
              </w:rPr>
              <w:t>3</w:t>
            </w:r>
            <w:r w:rsidR="00317118">
              <w:rPr>
                <w:rFonts w:ascii="Times New Roman" w:hAnsi="Times New Roman" w:cs="Times New Roman"/>
                <w:sz w:val="28"/>
                <w:szCs w:val="28"/>
                <w:lang w:eastAsia="ru-RU"/>
              </w:rPr>
              <w:t>2</w:t>
            </w:r>
          </w:p>
        </w:tc>
      </w:tr>
      <w:tr w:rsidR="00BA75B1" w:rsidRPr="00A43B9C" w14:paraId="4D8A0B3A" w14:textId="77777777" w:rsidTr="003E097F">
        <w:tc>
          <w:tcPr>
            <w:tcW w:w="0" w:type="auto"/>
          </w:tcPr>
          <w:p w14:paraId="0EAB7183" w14:textId="705940C7"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sz w:val="28"/>
                <w:szCs w:val="28"/>
              </w:rPr>
              <w:t>2.1</w:t>
            </w:r>
          </w:p>
        </w:tc>
        <w:tc>
          <w:tcPr>
            <w:tcW w:w="0" w:type="auto"/>
          </w:tcPr>
          <w:p w14:paraId="622E6BA8" w14:textId="4B532B7F"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sz w:val="28"/>
                <w:szCs w:val="28"/>
              </w:rPr>
              <w:t>Общая структура и характеристика исследования</w:t>
            </w:r>
            <w:r w:rsidR="00915BBB" w:rsidRPr="00A43B9C">
              <w:rPr>
                <w:rFonts w:ascii="Times New Roman" w:hAnsi="Times New Roman" w:cs="Times New Roman"/>
                <w:sz w:val="28"/>
                <w:szCs w:val="28"/>
              </w:rPr>
              <w:t>……………</w:t>
            </w:r>
            <w:proofErr w:type="gramStart"/>
            <w:r w:rsidR="00915BBB" w:rsidRPr="00A43B9C">
              <w:rPr>
                <w:rFonts w:ascii="Times New Roman" w:hAnsi="Times New Roman" w:cs="Times New Roman"/>
                <w:sz w:val="28"/>
                <w:szCs w:val="28"/>
              </w:rPr>
              <w:t>…….</w:t>
            </w:r>
            <w:proofErr w:type="gramEnd"/>
          </w:p>
        </w:tc>
        <w:tc>
          <w:tcPr>
            <w:tcW w:w="0" w:type="auto"/>
          </w:tcPr>
          <w:p w14:paraId="29E4E74C" w14:textId="5BF1C773" w:rsidR="00544057" w:rsidRPr="00531EB4" w:rsidRDefault="00D52E0C" w:rsidP="007A6613">
            <w:pPr>
              <w:spacing w:after="0" w:line="240" w:lineRule="auto"/>
              <w:jc w:val="right"/>
              <w:rPr>
                <w:rFonts w:ascii="Times New Roman" w:hAnsi="Times New Roman" w:cs="Times New Roman"/>
                <w:sz w:val="28"/>
                <w:szCs w:val="28"/>
                <w:lang w:val="en-US" w:eastAsia="ru-RU"/>
              </w:rPr>
            </w:pPr>
            <w:r w:rsidRPr="00A43B9C">
              <w:rPr>
                <w:rFonts w:ascii="Times New Roman" w:hAnsi="Times New Roman" w:cs="Times New Roman"/>
                <w:sz w:val="28"/>
                <w:szCs w:val="28"/>
                <w:lang w:eastAsia="ru-RU"/>
              </w:rPr>
              <w:t>3</w:t>
            </w:r>
            <w:r w:rsidR="00317118">
              <w:rPr>
                <w:rFonts w:ascii="Times New Roman" w:hAnsi="Times New Roman" w:cs="Times New Roman"/>
                <w:sz w:val="28"/>
                <w:szCs w:val="28"/>
                <w:lang w:eastAsia="ru-RU"/>
              </w:rPr>
              <w:t>2</w:t>
            </w:r>
          </w:p>
        </w:tc>
      </w:tr>
      <w:tr w:rsidR="00BA75B1" w:rsidRPr="00A43B9C" w14:paraId="113CAFC2" w14:textId="77777777" w:rsidTr="003E097F">
        <w:tc>
          <w:tcPr>
            <w:tcW w:w="0" w:type="auto"/>
          </w:tcPr>
          <w:p w14:paraId="1C6CF328" w14:textId="5E26A829" w:rsidR="00544057" w:rsidRPr="00A43B9C" w:rsidRDefault="00544057" w:rsidP="007A6613">
            <w:pPr>
              <w:spacing w:after="0" w:line="240" w:lineRule="auto"/>
              <w:jc w:val="both"/>
              <w:rPr>
                <w:rFonts w:ascii="Times New Roman" w:hAnsi="Times New Roman" w:cs="Times New Roman"/>
                <w:sz w:val="28"/>
                <w:szCs w:val="28"/>
                <w:lang w:eastAsia="ru-RU"/>
              </w:rPr>
            </w:pPr>
          </w:p>
        </w:tc>
        <w:tc>
          <w:tcPr>
            <w:tcW w:w="0" w:type="auto"/>
          </w:tcPr>
          <w:p w14:paraId="1AB91435" w14:textId="4C8C31B1"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sz w:val="28"/>
                <w:szCs w:val="28"/>
              </w:rPr>
              <w:t>2.1.1 Структура исследования</w:t>
            </w:r>
            <w:r w:rsidR="00915BBB" w:rsidRPr="00A43B9C">
              <w:rPr>
                <w:rFonts w:ascii="Times New Roman" w:hAnsi="Times New Roman" w:cs="Times New Roman"/>
                <w:sz w:val="28"/>
                <w:szCs w:val="28"/>
              </w:rPr>
              <w:t>…………………………………</w:t>
            </w:r>
            <w:proofErr w:type="gramStart"/>
            <w:r w:rsidR="00915BBB" w:rsidRPr="00A43B9C">
              <w:rPr>
                <w:rFonts w:ascii="Times New Roman" w:hAnsi="Times New Roman" w:cs="Times New Roman"/>
                <w:sz w:val="28"/>
                <w:szCs w:val="28"/>
              </w:rPr>
              <w:t>…….</w:t>
            </w:r>
            <w:proofErr w:type="gramEnd"/>
            <w:r w:rsidR="00915BBB" w:rsidRPr="00A43B9C">
              <w:rPr>
                <w:rFonts w:ascii="Times New Roman" w:hAnsi="Times New Roman" w:cs="Times New Roman"/>
                <w:sz w:val="28"/>
                <w:szCs w:val="28"/>
              </w:rPr>
              <w:t>.</w:t>
            </w:r>
          </w:p>
        </w:tc>
        <w:tc>
          <w:tcPr>
            <w:tcW w:w="0" w:type="auto"/>
          </w:tcPr>
          <w:p w14:paraId="49490474" w14:textId="17353076" w:rsidR="00544057" w:rsidRPr="00531EB4" w:rsidRDefault="00D52E0C" w:rsidP="007A6613">
            <w:pPr>
              <w:spacing w:after="0" w:line="240" w:lineRule="auto"/>
              <w:jc w:val="right"/>
              <w:rPr>
                <w:rFonts w:ascii="Times New Roman" w:hAnsi="Times New Roman" w:cs="Times New Roman"/>
                <w:sz w:val="28"/>
                <w:szCs w:val="28"/>
                <w:lang w:val="en-US" w:eastAsia="ru-RU"/>
              </w:rPr>
            </w:pPr>
            <w:r w:rsidRPr="00A43B9C">
              <w:rPr>
                <w:rFonts w:ascii="Times New Roman" w:hAnsi="Times New Roman" w:cs="Times New Roman"/>
                <w:sz w:val="28"/>
                <w:szCs w:val="28"/>
                <w:lang w:eastAsia="ru-RU"/>
              </w:rPr>
              <w:t>3</w:t>
            </w:r>
            <w:r w:rsidR="00317118">
              <w:rPr>
                <w:rFonts w:ascii="Times New Roman" w:hAnsi="Times New Roman" w:cs="Times New Roman"/>
                <w:sz w:val="28"/>
                <w:szCs w:val="28"/>
                <w:lang w:eastAsia="ru-RU"/>
              </w:rPr>
              <w:t>2</w:t>
            </w:r>
          </w:p>
        </w:tc>
      </w:tr>
      <w:tr w:rsidR="00BA75B1" w:rsidRPr="00A43B9C" w14:paraId="3BF2DA18" w14:textId="77777777" w:rsidTr="003E097F">
        <w:tc>
          <w:tcPr>
            <w:tcW w:w="0" w:type="auto"/>
          </w:tcPr>
          <w:p w14:paraId="2B42D3B4" w14:textId="0C0E156C" w:rsidR="00544057" w:rsidRPr="00A43B9C" w:rsidRDefault="00544057" w:rsidP="007A6613">
            <w:pPr>
              <w:spacing w:after="0" w:line="240" w:lineRule="auto"/>
              <w:jc w:val="both"/>
              <w:rPr>
                <w:rFonts w:ascii="Times New Roman" w:hAnsi="Times New Roman" w:cs="Times New Roman"/>
                <w:sz w:val="28"/>
                <w:szCs w:val="28"/>
                <w:lang w:eastAsia="ru-RU"/>
              </w:rPr>
            </w:pPr>
          </w:p>
        </w:tc>
        <w:tc>
          <w:tcPr>
            <w:tcW w:w="0" w:type="auto"/>
          </w:tcPr>
          <w:p w14:paraId="3DC06301" w14:textId="1C40B4C4"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sz w:val="28"/>
                <w:szCs w:val="28"/>
              </w:rPr>
              <w:t>2.1.2 Эпителиальный рак яичников</w:t>
            </w:r>
            <w:r w:rsidR="00915BBB" w:rsidRPr="00A43B9C">
              <w:rPr>
                <w:rFonts w:ascii="Times New Roman" w:hAnsi="Times New Roman" w:cs="Times New Roman"/>
                <w:sz w:val="28"/>
                <w:szCs w:val="28"/>
              </w:rPr>
              <w:t>……………………………</w:t>
            </w:r>
            <w:proofErr w:type="gramStart"/>
            <w:r w:rsidR="00915BBB" w:rsidRPr="00A43B9C">
              <w:rPr>
                <w:rFonts w:ascii="Times New Roman" w:hAnsi="Times New Roman" w:cs="Times New Roman"/>
                <w:sz w:val="28"/>
                <w:szCs w:val="28"/>
              </w:rPr>
              <w:t>…….</w:t>
            </w:r>
            <w:proofErr w:type="gramEnd"/>
            <w:r w:rsidR="00915BBB" w:rsidRPr="00A43B9C">
              <w:rPr>
                <w:rFonts w:ascii="Times New Roman" w:hAnsi="Times New Roman" w:cs="Times New Roman"/>
                <w:sz w:val="28"/>
                <w:szCs w:val="28"/>
              </w:rPr>
              <w:t>.</w:t>
            </w:r>
          </w:p>
        </w:tc>
        <w:tc>
          <w:tcPr>
            <w:tcW w:w="0" w:type="auto"/>
          </w:tcPr>
          <w:p w14:paraId="18A2E333" w14:textId="4404F599" w:rsidR="00544057" w:rsidRPr="00531EB4" w:rsidRDefault="00D52E0C" w:rsidP="007A6613">
            <w:pPr>
              <w:spacing w:after="0" w:line="240" w:lineRule="auto"/>
              <w:jc w:val="right"/>
              <w:rPr>
                <w:rFonts w:ascii="Times New Roman" w:hAnsi="Times New Roman" w:cs="Times New Roman"/>
                <w:sz w:val="28"/>
                <w:szCs w:val="28"/>
                <w:lang w:val="en-US" w:eastAsia="ru-RU"/>
              </w:rPr>
            </w:pPr>
            <w:r w:rsidRPr="00A43B9C">
              <w:rPr>
                <w:rFonts w:ascii="Times New Roman" w:hAnsi="Times New Roman" w:cs="Times New Roman"/>
                <w:sz w:val="28"/>
                <w:szCs w:val="28"/>
                <w:lang w:eastAsia="ru-RU"/>
              </w:rPr>
              <w:t>3</w:t>
            </w:r>
            <w:r w:rsidR="00317118">
              <w:rPr>
                <w:rFonts w:ascii="Times New Roman" w:hAnsi="Times New Roman" w:cs="Times New Roman"/>
                <w:sz w:val="28"/>
                <w:szCs w:val="28"/>
                <w:lang w:eastAsia="ru-RU"/>
              </w:rPr>
              <w:t>4</w:t>
            </w:r>
          </w:p>
        </w:tc>
      </w:tr>
      <w:tr w:rsidR="00BA75B1" w:rsidRPr="00A43B9C" w14:paraId="0ADEC558" w14:textId="77777777" w:rsidTr="003E097F">
        <w:tc>
          <w:tcPr>
            <w:tcW w:w="0" w:type="auto"/>
          </w:tcPr>
          <w:p w14:paraId="6CC2A677" w14:textId="135892A0" w:rsidR="00544057" w:rsidRPr="00A43B9C" w:rsidRDefault="00544057" w:rsidP="007A6613">
            <w:pPr>
              <w:spacing w:after="0" w:line="240" w:lineRule="auto"/>
              <w:jc w:val="both"/>
              <w:rPr>
                <w:rFonts w:ascii="Times New Roman" w:hAnsi="Times New Roman" w:cs="Times New Roman"/>
                <w:sz w:val="28"/>
                <w:szCs w:val="28"/>
                <w:lang w:eastAsia="ru-RU"/>
              </w:rPr>
            </w:pPr>
          </w:p>
        </w:tc>
        <w:tc>
          <w:tcPr>
            <w:tcW w:w="0" w:type="auto"/>
          </w:tcPr>
          <w:p w14:paraId="027901A5" w14:textId="7D8B9A13"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sz w:val="28"/>
                <w:szCs w:val="28"/>
              </w:rPr>
              <w:t>2.1.3 Колоректальный рак</w:t>
            </w:r>
            <w:r w:rsidR="00915BBB" w:rsidRPr="00A43B9C">
              <w:rPr>
                <w:rFonts w:ascii="Times New Roman" w:hAnsi="Times New Roman" w:cs="Times New Roman"/>
                <w:sz w:val="28"/>
                <w:szCs w:val="28"/>
              </w:rPr>
              <w:t>………………………………………</w:t>
            </w:r>
            <w:proofErr w:type="gramStart"/>
            <w:r w:rsidR="00915BBB" w:rsidRPr="00A43B9C">
              <w:rPr>
                <w:rFonts w:ascii="Times New Roman" w:hAnsi="Times New Roman" w:cs="Times New Roman"/>
                <w:sz w:val="28"/>
                <w:szCs w:val="28"/>
              </w:rPr>
              <w:t>…….</w:t>
            </w:r>
            <w:proofErr w:type="gramEnd"/>
          </w:p>
        </w:tc>
        <w:tc>
          <w:tcPr>
            <w:tcW w:w="0" w:type="auto"/>
          </w:tcPr>
          <w:p w14:paraId="7740C552" w14:textId="23ECD794" w:rsidR="00544057" w:rsidRPr="00531EB4" w:rsidRDefault="00D52E0C" w:rsidP="007A6613">
            <w:pPr>
              <w:spacing w:after="0" w:line="240" w:lineRule="auto"/>
              <w:jc w:val="right"/>
              <w:rPr>
                <w:rFonts w:ascii="Times New Roman" w:hAnsi="Times New Roman" w:cs="Times New Roman"/>
                <w:sz w:val="28"/>
                <w:szCs w:val="28"/>
                <w:lang w:val="en-US" w:eastAsia="ru-RU"/>
              </w:rPr>
            </w:pPr>
            <w:r w:rsidRPr="00A43B9C">
              <w:rPr>
                <w:rFonts w:ascii="Times New Roman" w:hAnsi="Times New Roman" w:cs="Times New Roman"/>
                <w:sz w:val="28"/>
                <w:szCs w:val="28"/>
                <w:lang w:eastAsia="ru-RU"/>
              </w:rPr>
              <w:t>3</w:t>
            </w:r>
            <w:r w:rsidR="00317118">
              <w:rPr>
                <w:rFonts w:ascii="Times New Roman" w:hAnsi="Times New Roman" w:cs="Times New Roman"/>
                <w:sz w:val="28"/>
                <w:szCs w:val="28"/>
                <w:lang w:eastAsia="ru-RU"/>
              </w:rPr>
              <w:t>7</w:t>
            </w:r>
          </w:p>
        </w:tc>
      </w:tr>
      <w:tr w:rsidR="00BA75B1" w:rsidRPr="00A43B9C" w14:paraId="76827797" w14:textId="77777777" w:rsidTr="003E097F">
        <w:tc>
          <w:tcPr>
            <w:tcW w:w="0" w:type="auto"/>
          </w:tcPr>
          <w:p w14:paraId="53BB030C" w14:textId="375597EC"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Style w:val="a9"/>
                <w:rFonts w:ascii="Times New Roman" w:hAnsi="Times New Roman" w:cs="Times New Roman"/>
                <w:noProof/>
                <w:color w:val="auto"/>
                <w:sz w:val="28"/>
                <w:szCs w:val="28"/>
                <w:u w:val="none"/>
              </w:rPr>
              <w:t>2</w:t>
            </w:r>
            <w:hyperlink w:anchor="_Toc94099720" w:history="1">
              <w:r w:rsidRPr="00A43B9C">
                <w:rPr>
                  <w:rFonts w:ascii="Times New Roman" w:hAnsi="Times New Roman" w:cs="Times New Roman"/>
                  <w:sz w:val="28"/>
                  <w:szCs w:val="28"/>
                </w:rPr>
                <w:t>.2</w:t>
              </w:r>
            </w:hyperlink>
          </w:p>
        </w:tc>
        <w:tc>
          <w:tcPr>
            <w:tcW w:w="0" w:type="auto"/>
          </w:tcPr>
          <w:p w14:paraId="4870C238" w14:textId="48DCFE19" w:rsidR="00544057" w:rsidRPr="00A43B9C" w:rsidRDefault="00000000" w:rsidP="007A6613">
            <w:pPr>
              <w:spacing w:after="0" w:line="240" w:lineRule="auto"/>
              <w:jc w:val="both"/>
              <w:rPr>
                <w:rFonts w:ascii="Times New Roman" w:hAnsi="Times New Roman" w:cs="Times New Roman"/>
                <w:sz w:val="28"/>
                <w:szCs w:val="28"/>
                <w:lang w:eastAsia="ru-RU"/>
              </w:rPr>
            </w:pPr>
            <w:hyperlink w:anchor="_Toc94099720" w:history="1">
              <w:r w:rsidR="00544057" w:rsidRPr="00A43B9C">
                <w:rPr>
                  <w:rFonts w:ascii="Times New Roman" w:hAnsi="Times New Roman" w:cs="Times New Roman"/>
                  <w:sz w:val="28"/>
                  <w:szCs w:val="28"/>
                </w:rPr>
                <w:t xml:space="preserve">Методы </w:t>
              </w:r>
            </w:hyperlink>
            <w:r w:rsidR="00544057" w:rsidRPr="00A43B9C">
              <w:rPr>
                <w:rFonts w:ascii="Times New Roman" w:hAnsi="Times New Roman" w:cs="Times New Roman"/>
                <w:sz w:val="28"/>
                <w:szCs w:val="28"/>
              </w:rPr>
              <w:t>исследования</w:t>
            </w:r>
            <w:r w:rsidR="00915BBB" w:rsidRPr="00A43B9C">
              <w:rPr>
                <w:rFonts w:ascii="Times New Roman" w:hAnsi="Times New Roman" w:cs="Times New Roman"/>
                <w:sz w:val="28"/>
                <w:szCs w:val="28"/>
              </w:rPr>
              <w:t>………………………………………………...</w:t>
            </w:r>
          </w:p>
        </w:tc>
        <w:tc>
          <w:tcPr>
            <w:tcW w:w="0" w:type="auto"/>
          </w:tcPr>
          <w:p w14:paraId="28D7B689" w14:textId="47DE3941" w:rsidR="00544057" w:rsidRPr="00A43B9C" w:rsidRDefault="00317118" w:rsidP="007A6613">
            <w:pPr>
              <w:spacing w:after="0" w:line="240" w:lineRule="auto"/>
              <w:jc w:val="right"/>
              <w:rPr>
                <w:rFonts w:ascii="Times New Roman" w:hAnsi="Times New Roman" w:cs="Times New Roman"/>
                <w:sz w:val="28"/>
                <w:szCs w:val="28"/>
                <w:lang w:eastAsia="ru-RU"/>
              </w:rPr>
            </w:pPr>
            <w:r>
              <w:rPr>
                <w:rFonts w:ascii="Times New Roman" w:hAnsi="Times New Roman" w:cs="Times New Roman"/>
                <w:sz w:val="28"/>
                <w:szCs w:val="28"/>
                <w:lang w:eastAsia="ru-RU"/>
              </w:rPr>
              <w:t>39</w:t>
            </w:r>
          </w:p>
        </w:tc>
      </w:tr>
      <w:tr w:rsidR="00BA75B1" w:rsidRPr="00A43B9C" w14:paraId="1A435000" w14:textId="77777777" w:rsidTr="003E097F">
        <w:tc>
          <w:tcPr>
            <w:tcW w:w="0" w:type="auto"/>
          </w:tcPr>
          <w:p w14:paraId="473C83CE" w14:textId="77777777" w:rsidR="00544057" w:rsidRPr="00A43B9C" w:rsidRDefault="00544057" w:rsidP="007A6613">
            <w:pPr>
              <w:spacing w:after="0" w:line="240" w:lineRule="auto"/>
              <w:jc w:val="both"/>
              <w:rPr>
                <w:rFonts w:ascii="Times New Roman" w:hAnsi="Times New Roman" w:cs="Times New Roman"/>
                <w:sz w:val="28"/>
                <w:szCs w:val="28"/>
                <w:lang w:eastAsia="ru-RU"/>
              </w:rPr>
            </w:pPr>
          </w:p>
        </w:tc>
        <w:tc>
          <w:tcPr>
            <w:tcW w:w="0" w:type="auto"/>
          </w:tcPr>
          <w:p w14:paraId="7799609B" w14:textId="76DAA2DE"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Style w:val="a9"/>
                <w:rFonts w:ascii="Times New Roman" w:hAnsi="Times New Roman" w:cs="Times New Roman"/>
                <w:noProof/>
                <w:color w:val="auto"/>
                <w:sz w:val="28"/>
                <w:szCs w:val="28"/>
                <w:u w:val="none"/>
              </w:rPr>
              <w:t>2</w:t>
            </w:r>
            <w:hyperlink w:anchor="_Toc94099720" w:history="1">
              <w:r w:rsidRPr="00A43B9C">
                <w:rPr>
                  <w:rFonts w:ascii="Times New Roman" w:hAnsi="Times New Roman" w:cs="Times New Roman"/>
                  <w:sz w:val="28"/>
                  <w:szCs w:val="28"/>
                </w:rPr>
                <w:t>.2.1 Протокол исследования</w:t>
              </w:r>
            </w:hyperlink>
            <w:r w:rsidR="00915BBB" w:rsidRPr="00A43B9C">
              <w:rPr>
                <w:rFonts w:ascii="Times New Roman" w:hAnsi="Times New Roman" w:cs="Times New Roman"/>
                <w:sz w:val="28"/>
                <w:szCs w:val="28"/>
              </w:rPr>
              <w:t>………………………………………...</w:t>
            </w:r>
          </w:p>
        </w:tc>
        <w:tc>
          <w:tcPr>
            <w:tcW w:w="0" w:type="auto"/>
          </w:tcPr>
          <w:p w14:paraId="521C144B" w14:textId="57491F79" w:rsidR="00544057" w:rsidRPr="00A43B9C" w:rsidRDefault="00317118" w:rsidP="007A6613">
            <w:pPr>
              <w:spacing w:after="0" w:line="240" w:lineRule="auto"/>
              <w:jc w:val="right"/>
              <w:rPr>
                <w:rFonts w:ascii="Times New Roman" w:hAnsi="Times New Roman" w:cs="Times New Roman"/>
                <w:sz w:val="28"/>
                <w:szCs w:val="28"/>
                <w:lang w:eastAsia="ru-RU"/>
              </w:rPr>
            </w:pPr>
            <w:r>
              <w:rPr>
                <w:rFonts w:ascii="Times New Roman" w:hAnsi="Times New Roman" w:cs="Times New Roman"/>
                <w:sz w:val="28"/>
                <w:szCs w:val="28"/>
                <w:lang w:eastAsia="ru-RU"/>
              </w:rPr>
              <w:t>39</w:t>
            </w:r>
          </w:p>
        </w:tc>
      </w:tr>
      <w:tr w:rsidR="00BA75B1" w:rsidRPr="00A43B9C" w14:paraId="00115D3B" w14:textId="77777777" w:rsidTr="003E097F">
        <w:tc>
          <w:tcPr>
            <w:tcW w:w="0" w:type="auto"/>
          </w:tcPr>
          <w:p w14:paraId="41735569" w14:textId="77777777" w:rsidR="00544057" w:rsidRPr="00A43B9C" w:rsidRDefault="00544057" w:rsidP="007A6613">
            <w:pPr>
              <w:spacing w:after="0" w:line="240" w:lineRule="auto"/>
              <w:jc w:val="both"/>
              <w:rPr>
                <w:rFonts w:ascii="Times New Roman" w:hAnsi="Times New Roman" w:cs="Times New Roman"/>
                <w:sz w:val="28"/>
                <w:szCs w:val="28"/>
                <w:lang w:eastAsia="ru-RU"/>
              </w:rPr>
            </w:pPr>
          </w:p>
        </w:tc>
        <w:tc>
          <w:tcPr>
            <w:tcW w:w="0" w:type="auto"/>
          </w:tcPr>
          <w:p w14:paraId="00A06634" w14:textId="472B0878"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Style w:val="a9"/>
                <w:rFonts w:ascii="Times New Roman" w:hAnsi="Times New Roman" w:cs="Times New Roman"/>
                <w:noProof/>
                <w:color w:val="auto"/>
                <w:sz w:val="28"/>
                <w:szCs w:val="28"/>
                <w:u w:val="none"/>
              </w:rPr>
              <w:t>2</w:t>
            </w:r>
            <w:hyperlink w:anchor="_Toc94099720" w:history="1">
              <w:r w:rsidRPr="00A43B9C">
                <w:rPr>
                  <w:rFonts w:ascii="Times New Roman" w:hAnsi="Times New Roman" w:cs="Times New Roman"/>
                  <w:sz w:val="28"/>
                  <w:szCs w:val="28"/>
                </w:rPr>
                <w:t>.2.2 Анализ и интерпретация изображений</w:t>
              </w:r>
            </w:hyperlink>
            <w:r w:rsidR="0075659D">
              <w:rPr>
                <w:rFonts w:ascii="Times New Roman" w:hAnsi="Times New Roman" w:cs="Times New Roman"/>
                <w:sz w:val="28"/>
                <w:szCs w:val="28"/>
              </w:rPr>
              <w:t>………………………...</w:t>
            </w:r>
          </w:p>
        </w:tc>
        <w:tc>
          <w:tcPr>
            <w:tcW w:w="0" w:type="auto"/>
          </w:tcPr>
          <w:p w14:paraId="247D9031" w14:textId="35FA92C3" w:rsidR="00544057" w:rsidRPr="00531EB4" w:rsidRDefault="00D52E0C" w:rsidP="007A6613">
            <w:pPr>
              <w:spacing w:after="0" w:line="240" w:lineRule="auto"/>
              <w:jc w:val="right"/>
              <w:rPr>
                <w:rFonts w:ascii="Times New Roman" w:hAnsi="Times New Roman" w:cs="Times New Roman"/>
                <w:sz w:val="28"/>
                <w:szCs w:val="28"/>
                <w:lang w:val="en-US" w:eastAsia="ru-RU"/>
              </w:rPr>
            </w:pPr>
            <w:r w:rsidRPr="00A43B9C">
              <w:rPr>
                <w:rFonts w:ascii="Times New Roman" w:hAnsi="Times New Roman" w:cs="Times New Roman"/>
                <w:sz w:val="28"/>
                <w:szCs w:val="28"/>
                <w:lang w:eastAsia="ru-RU"/>
              </w:rPr>
              <w:t>4</w:t>
            </w:r>
            <w:r w:rsidR="00317118">
              <w:rPr>
                <w:rFonts w:ascii="Times New Roman" w:hAnsi="Times New Roman" w:cs="Times New Roman"/>
                <w:sz w:val="28"/>
                <w:szCs w:val="28"/>
                <w:lang w:eastAsia="ru-RU"/>
              </w:rPr>
              <w:t>1</w:t>
            </w:r>
          </w:p>
        </w:tc>
      </w:tr>
      <w:tr w:rsidR="00BA75B1" w:rsidRPr="00A43B9C" w14:paraId="6A9E1E26" w14:textId="77777777" w:rsidTr="003E097F">
        <w:tc>
          <w:tcPr>
            <w:tcW w:w="0" w:type="auto"/>
          </w:tcPr>
          <w:p w14:paraId="50713B89" w14:textId="693EE208"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Style w:val="a9"/>
                <w:rFonts w:ascii="Times New Roman" w:hAnsi="Times New Roman" w:cs="Times New Roman"/>
                <w:noProof/>
                <w:color w:val="auto"/>
                <w:sz w:val="28"/>
                <w:szCs w:val="28"/>
                <w:u w:val="none"/>
              </w:rPr>
              <w:t>2</w:t>
            </w:r>
            <w:hyperlink w:anchor="_Toc94099720" w:history="1">
              <w:r w:rsidRPr="00A43B9C">
                <w:rPr>
                  <w:rFonts w:ascii="Times New Roman" w:hAnsi="Times New Roman" w:cs="Times New Roman"/>
                  <w:sz w:val="28"/>
                  <w:szCs w:val="28"/>
                </w:rPr>
                <w:t>.3</w:t>
              </w:r>
            </w:hyperlink>
          </w:p>
        </w:tc>
        <w:tc>
          <w:tcPr>
            <w:tcW w:w="0" w:type="auto"/>
          </w:tcPr>
          <w:p w14:paraId="2305C7D8" w14:textId="64B57A5F" w:rsidR="00544057" w:rsidRPr="00A43B9C" w:rsidRDefault="00000000" w:rsidP="007A6613">
            <w:pPr>
              <w:spacing w:after="0" w:line="240" w:lineRule="auto"/>
              <w:jc w:val="both"/>
              <w:rPr>
                <w:rFonts w:ascii="Times New Roman" w:hAnsi="Times New Roman" w:cs="Times New Roman"/>
                <w:sz w:val="28"/>
                <w:szCs w:val="28"/>
                <w:lang w:eastAsia="ru-RU"/>
              </w:rPr>
            </w:pPr>
            <w:hyperlink w:anchor="_Toc94099720" w:history="1">
              <w:r w:rsidR="00544057" w:rsidRPr="00A43B9C">
                <w:rPr>
                  <w:rFonts w:ascii="Times New Roman" w:hAnsi="Times New Roman" w:cs="Times New Roman"/>
                  <w:sz w:val="28"/>
                  <w:szCs w:val="28"/>
                </w:rPr>
                <w:t>Статистический анализ</w:t>
              </w:r>
            </w:hyperlink>
            <w:r w:rsidR="00915BBB" w:rsidRPr="00A43B9C">
              <w:rPr>
                <w:rFonts w:ascii="Times New Roman" w:hAnsi="Times New Roman" w:cs="Times New Roman"/>
                <w:sz w:val="28"/>
                <w:szCs w:val="28"/>
              </w:rPr>
              <w:t>…………………………………………</w:t>
            </w:r>
            <w:proofErr w:type="gramStart"/>
            <w:r w:rsidR="00915BBB" w:rsidRPr="00A43B9C">
              <w:rPr>
                <w:rFonts w:ascii="Times New Roman" w:hAnsi="Times New Roman" w:cs="Times New Roman"/>
                <w:sz w:val="28"/>
                <w:szCs w:val="28"/>
              </w:rPr>
              <w:t>…….</w:t>
            </w:r>
            <w:proofErr w:type="gramEnd"/>
          </w:p>
        </w:tc>
        <w:tc>
          <w:tcPr>
            <w:tcW w:w="0" w:type="auto"/>
          </w:tcPr>
          <w:p w14:paraId="2FD0717A" w14:textId="04DE99AE" w:rsidR="00544057" w:rsidRPr="00531EB4" w:rsidRDefault="00D52E0C" w:rsidP="007A6613">
            <w:pPr>
              <w:spacing w:after="0" w:line="240" w:lineRule="auto"/>
              <w:jc w:val="right"/>
              <w:rPr>
                <w:rFonts w:ascii="Times New Roman" w:hAnsi="Times New Roman" w:cs="Times New Roman"/>
                <w:sz w:val="28"/>
                <w:szCs w:val="28"/>
                <w:lang w:val="en-US" w:eastAsia="ru-RU"/>
              </w:rPr>
            </w:pPr>
            <w:r w:rsidRPr="00A43B9C">
              <w:rPr>
                <w:rFonts w:ascii="Times New Roman" w:hAnsi="Times New Roman" w:cs="Times New Roman"/>
                <w:sz w:val="28"/>
                <w:szCs w:val="28"/>
                <w:lang w:eastAsia="ru-RU"/>
              </w:rPr>
              <w:t>4</w:t>
            </w:r>
            <w:r w:rsidR="00317118">
              <w:rPr>
                <w:rFonts w:ascii="Times New Roman" w:hAnsi="Times New Roman" w:cs="Times New Roman"/>
                <w:sz w:val="28"/>
                <w:szCs w:val="28"/>
                <w:lang w:eastAsia="ru-RU"/>
              </w:rPr>
              <w:t>3</w:t>
            </w:r>
          </w:p>
        </w:tc>
      </w:tr>
      <w:tr w:rsidR="00BA75B1" w:rsidRPr="00A43B9C" w14:paraId="4B1D7BBE" w14:textId="77777777" w:rsidTr="003E097F">
        <w:tc>
          <w:tcPr>
            <w:tcW w:w="0" w:type="auto"/>
          </w:tcPr>
          <w:p w14:paraId="10F878A2" w14:textId="78D313C7" w:rsidR="00544057" w:rsidRPr="00A43B9C" w:rsidRDefault="00544057" w:rsidP="007A6613">
            <w:pPr>
              <w:spacing w:after="0" w:line="240" w:lineRule="auto"/>
              <w:jc w:val="both"/>
              <w:rPr>
                <w:rFonts w:ascii="Times New Roman" w:hAnsi="Times New Roman" w:cs="Times New Roman"/>
                <w:b/>
                <w:bCs/>
                <w:sz w:val="28"/>
                <w:szCs w:val="28"/>
                <w:lang w:eastAsia="ru-RU"/>
              </w:rPr>
            </w:pPr>
            <w:r w:rsidRPr="00A43B9C">
              <w:rPr>
                <w:rFonts w:ascii="Times New Roman" w:hAnsi="Times New Roman" w:cs="Times New Roman"/>
                <w:b/>
                <w:bCs/>
                <w:sz w:val="28"/>
                <w:szCs w:val="28"/>
                <w:lang w:eastAsia="ru-RU"/>
              </w:rPr>
              <w:t>3</w:t>
            </w:r>
          </w:p>
        </w:tc>
        <w:tc>
          <w:tcPr>
            <w:tcW w:w="0" w:type="auto"/>
          </w:tcPr>
          <w:p w14:paraId="2738A643" w14:textId="057F8B87" w:rsidR="00544057" w:rsidRPr="00A43B9C" w:rsidRDefault="00544057" w:rsidP="007A6613">
            <w:pPr>
              <w:spacing w:after="0" w:line="240" w:lineRule="auto"/>
              <w:jc w:val="both"/>
              <w:rPr>
                <w:rFonts w:ascii="Times New Roman" w:hAnsi="Times New Roman" w:cs="Times New Roman"/>
                <w:b/>
                <w:bCs/>
                <w:sz w:val="28"/>
                <w:szCs w:val="28"/>
                <w:lang w:eastAsia="ru-RU"/>
              </w:rPr>
            </w:pPr>
            <w:r w:rsidRPr="00A43B9C">
              <w:rPr>
                <w:rFonts w:ascii="Times New Roman" w:hAnsi="Times New Roman" w:cs="Times New Roman"/>
                <w:b/>
                <w:bCs/>
                <w:sz w:val="28"/>
                <w:szCs w:val="28"/>
                <w:lang w:eastAsia="ru-RU"/>
              </w:rPr>
              <w:t>РЕЗУЛЬТАТЫ СОБСТВЕННЫХ ИССЛЕДОВАНИЙ</w:t>
            </w:r>
            <w:r w:rsidR="00915BBB" w:rsidRPr="00A43B9C">
              <w:rPr>
                <w:rFonts w:ascii="Times New Roman" w:hAnsi="Times New Roman" w:cs="Times New Roman"/>
                <w:sz w:val="28"/>
                <w:szCs w:val="28"/>
                <w:lang w:eastAsia="ru-RU"/>
              </w:rPr>
              <w:t>………...</w:t>
            </w:r>
          </w:p>
        </w:tc>
        <w:tc>
          <w:tcPr>
            <w:tcW w:w="0" w:type="auto"/>
          </w:tcPr>
          <w:p w14:paraId="434F0FC9" w14:textId="0C0B6D37" w:rsidR="00544057" w:rsidRPr="00531EB4" w:rsidRDefault="00E152C0" w:rsidP="007A6613">
            <w:pPr>
              <w:spacing w:after="0" w:line="240" w:lineRule="auto"/>
              <w:jc w:val="right"/>
              <w:rPr>
                <w:rFonts w:ascii="Times New Roman" w:hAnsi="Times New Roman" w:cs="Times New Roman"/>
                <w:sz w:val="28"/>
                <w:szCs w:val="28"/>
                <w:lang w:val="en-US" w:eastAsia="ru-RU"/>
              </w:rPr>
            </w:pPr>
            <w:r w:rsidRPr="00A43B9C">
              <w:rPr>
                <w:rFonts w:ascii="Times New Roman" w:hAnsi="Times New Roman" w:cs="Times New Roman"/>
                <w:sz w:val="28"/>
                <w:szCs w:val="28"/>
                <w:lang w:eastAsia="ru-RU"/>
              </w:rPr>
              <w:t>4</w:t>
            </w:r>
            <w:r w:rsidR="00317118">
              <w:rPr>
                <w:rFonts w:ascii="Times New Roman" w:hAnsi="Times New Roman" w:cs="Times New Roman"/>
                <w:sz w:val="28"/>
                <w:szCs w:val="28"/>
                <w:lang w:eastAsia="ru-RU"/>
              </w:rPr>
              <w:t>5</w:t>
            </w:r>
          </w:p>
        </w:tc>
      </w:tr>
      <w:tr w:rsidR="00BA75B1" w:rsidRPr="00A43B9C" w14:paraId="0C9CE969" w14:textId="77777777" w:rsidTr="003E097F">
        <w:tc>
          <w:tcPr>
            <w:tcW w:w="0" w:type="auto"/>
          </w:tcPr>
          <w:p w14:paraId="5F89D405" w14:textId="3B7BD01C"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Style w:val="a9"/>
                <w:rFonts w:ascii="Times New Roman" w:hAnsi="Times New Roman" w:cs="Times New Roman"/>
                <w:noProof/>
                <w:color w:val="auto"/>
                <w:sz w:val="28"/>
                <w:szCs w:val="28"/>
                <w:u w:val="none"/>
              </w:rPr>
              <w:t>3</w:t>
            </w:r>
            <w:hyperlink w:anchor="_Toc94099720" w:history="1">
              <w:r w:rsidRPr="00A43B9C">
                <w:rPr>
                  <w:rStyle w:val="a9"/>
                  <w:rFonts w:ascii="Times New Roman" w:hAnsi="Times New Roman" w:cs="Times New Roman"/>
                  <w:noProof/>
                  <w:color w:val="auto"/>
                  <w:sz w:val="28"/>
                  <w:szCs w:val="28"/>
                  <w:u w:val="none"/>
                </w:rPr>
                <w:t>.1</w:t>
              </w:r>
            </w:hyperlink>
          </w:p>
        </w:tc>
        <w:tc>
          <w:tcPr>
            <w:tcW w:w="0" w:type="auto"/>
          </w:tcPr>
          <w:p w14:paraId="4597A0A7" w14:textId="1B99DE86" w:rsidR="00544057" w:rsidRPr="00A43B9C" w:rsidRDefault="00000000" w:rsidP="007A6613">
            <w:pPr>
              <w:spacing w:after="0" w:line="240" w:lineRule="auto"/>
              <w:jc w:val="both"/>
              <w:rPr>
                <w:rFonts w:ascii="Times New Roman" w:hAnsi="Times New Roman" w:cs="Times New Roman"/>
                <w:sz w:val="28"/>
                <w:szCs w:val="28"/>
                <w:lang w:eastAsia="ru-RU"/>
              </w:rPr>
            </w:pPr>
            <w:hyperlink w:anchor="_Toc94099720" w:history="1">
              <w:r w:rsidR="00544057" w:rsidRPr="00A43B9C">
                <w:rPr>
                  <w:rStyle w:val="a9"/>
                  <w:rFonts w:ascii="Times New Roman" w:hAnsi="Times New Roman" w:cs="Times New Roman"/>
                  <w:noProof/>
                  <w:color w:val="auto"/>
                  <w:sz w:val="28"/>
                  <w:szCs w:val="28"/>
                  <w:u w:val="none"/>
                </w:rPr>
                <w:t>Эпителиальный рак яичников</w:t>
              </w:r>
            </w:hyperlink>
            <w:r w:rsidR="00915BBB" w:rsidRPr="00A43B9C">
              <w:rPr>
                <w:rStyle w:val="a9"/>
                <w:rFonts w:ascii="Times New Roman" w:hAnsi="Times New Roman" w:cs="Times New Roman"/>
                <w:noProof/>
                <w:color w:val="auto"/>
                <w:sz w:val="28"/>
                <w:szCs w:val="28"/>
                <w:u w:val="none"/>
              </w:rPr>
              <w:t>………………………………………..</w:t>
            </w:r>
          </w:p>
        </w:tc>
        <w:tc>
          <w:tcPr>
            <w:tcW w:w="0" w:type="auto"/>
          </w:tcPr>
          <w:p w14:paraId="64FB0287" w14:textId="44398474" w:rsidR="00544057" w:rsidRPr="00531EB4" w:rsidRDefault="00E152C0" w:rsidP="007A6613">
            <w:pPr>
              <w:spacing w:after="0" w:line="240" w:lineRule="auto"/>
              <w:jc w:val="right"/>
              <w:rPr>
                <w:rFonts w:ascii="Times New Roman" w:hAnsi="Times New Roman" w:cs="Times New Roman"/>
                <w:sz w:val="28"/>
                <w:szCs w:val="28"/>
                <w:lang w:val="en-US" w:eastAsia="ru-RU"/>
              </w:rPr>
            </w:pPr>
            <w:r w:rsidRPr="00A43B9C">
              <w:rPr>
                <w:rFonts w:ascii="Times New Roman" w:hAnsi="Times New Roman" w:cs="Times New Roman"/>
                <w:sz w:val="28"/>
                <w:szCs w:val="28"/>
                <w:lang w:eastAsia="ru-RU"/>
              </w:rPr>
              <w:t>4</w:t>
            </w:r>
            <w:r w:rsidR="00317118">
              <w:rPr>
                <w:rFonts w:ascii="Times New Roman" w:hAnsi="Times New Roman" w:cs="Times New Roman"/>
                <w:sz w:val="28"/>
                <w:szCs w:val="28"/>
                <w:lang w:eastAsia="ru-RU"/>
              </w:rPr>
              <w:t>5</w:t>
            </w:r>
          </w:p>
        </w:tc>
      </w:tr>
      <w:tr w:rsidR="00BA75B1" w:rsidRPr="00A43B9C" w14:paraId="16E86CBF" w14:textId="77777777" w:rsidTr="003E097F">
        <w:tc>
          <w:tcPr>
            <w:tcW w:w="0" w:type="auto"/>
          </w:tcPr>
          <w:p w14:paraId="671A055A" w14:textId="77777777" w:rsidR="00544057" w:rsidRPr="00A43B9C" w:rsidRDefault="00544057" w:rsidP="007A6613">
            <w:pPr>
              <w:spacing w:after="0" w:line="240" w:lineRule="auto"/>
              <w:jc w:val="both"/>
              <w:rPr>
                <w:rFonts w:ascii="Times New Roman" w:hAnsi="Times New Roman" w:cs="Times New Roman"/>
                <w:sz w:val="28"/>
                <w:szCs w:val="28"/>
                <w:lang w:eastAsia="ru-RU"/>
              </w:rPr>
            </w:pPr>
          </w:p>
        </w:tc>
        <w:tc>
          <w:tcPr>
            <w:tcW w:w="0" w:type="auto"/>
          </w:tcPr>
          <w:p w14:paraId="6C4C4128" w14:textId="003D6167"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Style w:val="a9"/>
                <w:rFonts w:ascii="Times New Roman" w:hAnsi="Times New Roman" w:cs="Times New Roman"/>
                <w:noProof/>
                <w:color w:val="auto"/>
                <w:sz w:val="28"/>
                <w:szCs w:val="28"/>
                <w:u w:val="none"/>
              </w:rPr>
              <w:t>3</w:t>
            </w:r>
            <w:hyperlink w:anchor="_Toc94099720" w:history="1">
              <w:r w:rsidRPr="00A43B9C">
                <w:rPr>
                  <w:rStyle w:val="a9"/>
                  <w:rFonts w:ascii="Times New Roman" w:eastAsia="Times New Roman" w:hAnsi="Times New Roman" w:cs="Times New Roman"/>
                  <w:noProof/>
                  <w:color w:val="auto"/>
                  <w:sz w:val="28"/>
                  <w:szCs w:val="28"/>
                  <w:u w:val="none"/>
                  <w:lang w:eastAsia="ru-RU"/>
                </w:rPr>
                <w:t xml:space="preserve">.1.1 </w:t>
              </w:r>
              <w:r w:rsidR="0075659D">
                <w:rPr>
                  <w:rStyle w:val="a9"/>
                  <w:rFonts w:ascii="Times New Roman" w:eastAsia="Times New Roman" w:hAnsi="Times New Roman" w:cs="Times New Roman"/>
                  <w:noProof/>
                  <w:color w:val="auto"/>
                  <w:sz w:val="28"/>
                  <w:szCs w:val="28"/>
                  <w:u w:val="none"/>
                  <w:lang w:eastAsia="ru-RU"/>
                </w:rPr>
                <w:t>У</w:t>
              </w:r>
              <w:r w:rsidRPr="00A43B9C">
                <w:rPr>
                  <w:rStyle w:val="a9"/>
                  <w:rFonts w:ascii="Times New Roman" w:eastAsia="Times New Roman" w:hAnsi="Times New Roman" w:cs="Times New Roman"/>
                  <w:noProof/>
                  <w:color w:val="auto"/>
                  <w:sz w:val="28"/>
                  <w:szCs w:val="28"/>
                  <w:u w:val="none"/>
                  <w:lang w:eastAsia="ru-RU"/>
                </w:rPr>
                <w:t>ров</w:t>
              </w:r>
              <w:r w:rsidR="0075659D">
                <w:rPr>
                  <w:rStyle w:val="a9"/>
                  <w:rFonts w:ascii="Times New Roman" w:eastAsia="Times New Roman" w:hAnsi="Times New Roman" w:cs="Times New Roman"/>
                  <w:noProof/>
                  <w:color w:val="auto"/>
                  <w:sz w:val="28"/>
                  <w:szCs w:val="28"/>
                  <w:u w:val="none"/>
                  <w:lang w:eastAsia="ru-RU"/>
                </w:rPr>
                <w:t>е</w:t>
              </w:r>
              <w:r w:rsidRPr="00A43B9C">
                <w:rPr>
                  <w:rStyle w:val="a9"/>
                  <w:rFonts w:ascii="Times New Roman" w:eastAsia="Times New Roman" w:hAnsi="Times New Roman" w:cs="Times New Roman"/>
                  <w:noProof/>
                  <w:color w:val="auto"/>
                  <w:sz w:val="28"/>
                  <w:szCs w:val="28"/>
                  <w:u w:val="none"/>
                  <w:lang w:eastAsia="ru-RU"/>
                </w:rPr>
                <w:t>н</w:t>
              </w:r>
              <w:r w:rsidR="0075659D">
                <w:rPr>
                  <w:rStyle w:val="a9"/>
                  <w:rFonts w:ascii="Times New Roman" w:eastAsia="Times New Roman" w:hAnsi="Times New Roman" w:cs="Times New Roman"/>
                  <w:noProof/>
                  <w:color w:val="auto"/>
                  <w:sz w:val="28"/>
                  <w:szCs w:val="28"/>
                  <w:u w:val="none"/>
                  <w:lang w:eastAsia="ru-RU"/>
                </w:rPr>
                <w:t>ь</w:t>
              </w:r>
              <w:r w:rsidRPr="00A43B9C">
                <w:rPr>
                  <w:rStyle w:val="a9"/>
                  <w:rFonts w:ascii="Times New Roman" w:eastAsia="Times New Roman" w:hAnsi="Times New Roman" w:cs="Times New Roman"/>
                  <w:noProof/>
                  <w:color w:val="auto"/>
                  <w:sz w:val="28"/>
                  <w:szCs w:val="28"/>
                  <w:u w:val="none"/>
                  <w:lang w:eastAsia="ru-RU"/>
                </w:rPr>
                <w:t xml:space="preserve"> накоплени</w:t>
              </w:r>
              <w:r w:rsidR="00EB0A77" w:rsidRPr="00A43B9C">
                <w:rPr>
                  <w:rStyle w:val="a9"/>
                  <w:rFonts w:ascii="Times New Roman" w:eastAsia="Times New Roman" w:hAnsi="Times New Roman" w:cs="Times New Roman"/>
                  <w:noProof/>
                  <w:color w:val="auto"/>
                  <w:sz w:val="28"/>
                  <w:szCs w:val="28"/>
                  <w:u w:val="none"/>
                  <w:lang w:eastAsia="ru-RU"/>
                </w:rPr>
                <w:t>я</w:t>
              </w:r>
              <w:r w:rsidRPr="00A43B9C">
                <w:rPr>
                  <w:rStyle w:val="a9"/>
                  <w:rFonts w:ascii="Times New Roman" w:eastAsia="Times New Roman" w:hAnsi="Times New Roman" w:cs="Times New Roman"/>
                  <w:noProof/>
                  <w:color w:val="auto"/>
                  <w:sz w:val="28"/>
                  <w:szCs w:val="28"/>
                  <w:u w:val="none"/>
                  <w:lang w:eastAsia="ru-RU"/>
                </w:rPr>
                <w:t xml:space="preserve"> </w:t>
              </w:r>
              <w:r w:rsidRPr="00A43B9C">
                <w:rPr>
                  <w:rStyle w:val="a9"/>
                  <w:rFonts w:ascii="Times New Roman" w:eastAsia="Times New Roman" w:hAnsi="Times New Roman" w:cs="Times New Roman"/>
                  <w:noProof/>
                  <w:color w:val="auto"/>
                  <w:sz w:val="28"/>
                  <w:szCs w:val="28"/>
                  <w:u w:val="none"/>
                  <w:lang w:val="en-US" w:eastAsia="ru-RU"/>
                </w:rPr>
                <w:t>SUV</w:t>
              </w:r>
              <w:r w:rsidRPr="00A43B9C">
                <w:rPr>
                  <w:rStyle w:val="a9"/>
                  <w:rFonts w:ascii="Times New Roman" w:eastAsia="Times New Roman" w:hAnsi="Times New Roman" w:cs="Times New Roman"/>
                  <w:noProof/>
                  <w:color w:val="auto"/>
                  <w:sz w:val="28"/>
                  <w:szCs w:val="28"/>
                  <w:u w:val="none"/>
                  <w:vertAlign w:val="subscript"/>
                  <w:lang w:val="en-US" w:eastAsia="ru-RU"/>
                </w:rPr>
                <w:t>max</w:t>
              </w:r>
              <w:r w:rsidRPr="00A43B9C">
                <w:rPr>
                  <w:rStyle w:val="a9"/>
                  <w:rFonts w:ascii="Times New Roman" w:eastAsia="Times New Roman" w:hAnsi="Times New Roman" w:cs="Times New Roman"/>
                  <w:noProof/>
                  <w:color w:val="auto"/>
                  <w:sz w:val="28"/>
                  <w:szCs w:val="28"/>
                  <w:u w:val="none"/>
                  <w:lang w:eastAsia="ru-RU"/>
                </w:rPr>
                <w:t xml:space="preserve"> в висцеральном жире</w:t>
              </w:r>
            </w:hyperlink>
            <w:r w:rsidR="00844918" w:rsidRPr="00A43B9C">
              <w:rPr>
                <w:rStyle w:val="a9"/>
                <w:rFonts w:ascii="Times New Roman" w:eastAsia="Times New Roman" w:hAnsi="Times New Roman" w:cs="Times New Roman"/>
                <w:noProof/>
                <w:color w:val="auto"/>
                <w:sz w:val="28"/>
                <w:szCs w:val="28"/>
                <w:u w:val="none"/>
                <w:lang w:eastAsia="ru-RU"/>
              </w:rPr>
              <w:t>…………</w:t>
            </w:r>
            <w:r w:rsidR="0075659D">
              <w:rPr>
                <w:rStyle w:val="a9"/>
                <w:rFonts w:ascii="Times New Roman" w:eastAsia="Times New Roman" w:hAnsi="Times New Roman" w:cs="Times New Roman"/>
                <w:noProof/>
                <w:color w:val="auto"/>
                <w:sz w:val="28"/>
                <w:szCs w:val="28"/>
                <w:u w:val="none"/>
                <w:lang w:eastAsia="ru-RU"/>
              </w:rPr>
              <w:t>..</w:t>
            </w:r>
          </w:p>
        </w:tc>
        <w:tc>
          <w:tcPr>
            <w:tcW w:w="0" w:type="auto"/>
          </w:tcPr>
          <w:p w14:paraId="5C6B2E9F" w14:textId="74C34AE8" w:rsidR="00544057" w:rsidRPr="00531EB4" w:rsidRDefault="00E152C0" w:rsidP="007A6613">
            <w:pPr>
              <w:spacing w:after="0" w:line="240" w:lineRule="auto"/>
              <w:jc w:val="right"/>
              <w:rPr>
                <w:rFonts w:ascii="Times New Roman" w:hAnsi="Times New Roman" w:cs="Times New Roman"/>
                <w:sz w:val="28"/>
                <w:szCs w:val="28"/>
                <w:lang w:val="en-US" w:eastAsia="ru-RU"/>
              </w:rPr>
            </w:pPr>
            <w:r w:rsidRPr="00A43B9C">
              <w:rPr>
                <w:rFonts w:ascii="Times New Roman" w:hAnsi="Times New Roman" w:cs="Times New Roman"/>
                <w:sz w:val="28"/>
                <w:szCs w:val="28"/>
                <w:lang w:eastAsia="ru-RU"/>
              </w:rPr>
              <w:t>4</w:t>
            </w:r>
            <w:r w:rsidR="00317118">
              <w:rPr>
                <w:rFonts w:ascii="Times New Roman" w:hAnsi="Times New Roman" w:cs="Times New Roman"/>
                <w:sz w:val="28"/>
                <w:szCs w:val="28"/>
                <w:lang w:eastAsia="ru-RU"/>
              </w:rPr>
              <w:t>5</w:t>
            </w:r>
          </w:p>
        </w:tc>
      </w:tr>
      <w:tr w:rsidR="00BA75B1" w:rsidRPr="00A43B9C" w14:paraId="2407E862" w14:textId="77777777" w:rsidTr="003E097F">
        <w:tc>
          <w:tcPr>
            <w:tcW w:w="0" w:type="auto"/>
          </w:tcPr>
          <w:p w14:paraId="316E267B" w14:textId="77777777" w:rsidR="00544057" w:rsidRPr="00A43B9C" w:rsidRDefault="00544057" w:rsidP="007A6613">
            <w:pPr>
              <w:spacing w:after="0" w:line="240" w:lineRule="auto"/>
              <w:jc w:val="both"/>
              <w:rPr>
                <w:rFonts w:ascii="Times New Roman" w:hAnsi="Times New Roman" w:cs="Times New Roman"/>
                <w:sz w:val="28"/>
                <w:szCs w:val="28"/>
                <w:lang w:eastAsia="ru-RU"/>
              </w:rPr>
            </w:pPr>
          </w:p>
        </w:tc>
        <w:tc>
          <w:tcPr>
            <w:tcW w:w="0" w:type="auto"/>
          </w:tcPr>
          <w:p w14:paraId="69C704EA" w14:textId="11E07594"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sz w:val="28"/>
                <w:szCs w:val="28"/>
                <w:lang w:eastAsia="ru-RU"/>
              </w:rPr>
              <w:t xml:space="preserve">3.1.2 </w:t>
            </w:r>
            <w:r w:rsidR="0075659D" w:rsidRPr="0075659D">
              <w:rPr>
                <w:rFonts w:ascii="Times New Roman" w:hAnsi="Times New Roman" w:cs="Times New Roman"/>
                <w:sz w:val="28"/>
                <w:szCs w:val="28"/>
                <w:lang w:eastAsia="ru-RU"/>
              </w:rPr>
              <w:t>К</w:t>
            </w:r>
            <w:r w:rsidRPr="0075659D">
              <w:rPr>
                <w:rFonts w:ascii="Times New Roman" w:hAnsi="Times New Roman" w:cs="Times New Roman"/>
                <w:sz w:val="28"/>
                <w:szCs w:val="28"/>
                <w:lang w:eastAsia="ru-RU"/>
              </w:rPr>
              <w:t>орреляционн</w:t>
            </w:r>
            <w:r w:rsidR="0075659D" w:rsidRPr="0075659D">
              <w:rPr>
                <w:rFonts w:ascii="Times New Roman" w:hAnsi="Times New Roman" w:cs="Times New Roman"/>
                <w:sz w:val="28"/>
                <w:szCs w:val="28"/>
                <w:lang w:eastAsia="ru-RU"/>
              </w:rPr>
              <w:t>ы</w:t>
            </w:r>
            <w:r w:rsidR="0075659D" w:rsidRPr="0075659D">
              <w:rPr>
                <w:rFonts w:ascii="Times New Roman" w:hAnsi="Times New Roman" w:cs="Times New Roman"/>
                <w:sz w:val="28"/>
                <w:szCs w:val="28"/>
              </w:rPr>
              <w:t>й</w:t>
            </w:r>
            <w:r w:rsidRPr="0075659D">
              <w:rPr>
                <w:rFonts w:ascii="Times New Roman" w:hAnsi="Times New Roman" w:cs="Times New Roman"/>
                <w:sz w:val="28"/>
                <w:szCs w:val="28"/>
                <w:lang w:eastAsia="ru-RU"/>
              </w:rPr>
              <w:t xml:space="preserve"> анализ уровня накоплени</w:t>
            </w:r>
            <w:r w:rsidR="00EB0A77" w:rsidRPr="0075659D">
              <w:rPr>
                <w:rFonts w:ascii="Times New Roman" w:hAnsi="Times New Roman" w:cs="Times New Roman"/>
                <w:sz w:val="28"/>
                <w:szCs w:val="28"/>
                <w:lang w:eastAsia="ru-RU"/>
              </w:rPr>
              <w:t>я</w:t>
            </w:r>
            <w:r w:rsidRPr="0075659D">
              <w:rPr>
                <w:rFonts w:ascii="Times New Roman" w:hAnsi="Times New Roman" w:cs="Times New Roman"/>
                <w:sz w:val="28"/>
                <w:szCs w:val="28"/>
                <w:lang w:eastAsia="ru-RU"/>
              </w:rPr>
              <w:t xml:space="preserve"> </w:t>
            </w:r>
            <w:r w:rsidRPr="0075659D">
              <w:rPr>
                <w:rFonts w:ascii="Times New Roman" w:hAnsi="Times New Roman" w:cs="Times New Roman"/>
                <w:sz w:val="28"/>
                <w:szCs w:val="28"/>
                <w:lang w:val="en-US"/>
              </w:rPr>
              <w:t>SUV</w:t>
            </w:r>
            <w:r w:rsidRPr="0075659D">
              <w:rPr>
                <w:rFonts w:ascii="Times New Roman" w:hAnsi="Times New Roman" w:cs="Times New Roman"/>
                <w:sz w:val="28"/>
                <w:szCs w:val="28"/>
                <w:vertAlign w:val="subscript"/>
                <w:lang w:val="en-US"/>
              </w:rPr>
              <w:t>max</w:t>
            </w:r>
            <w:r w:rsidRPr="0075659D">
              <w:rPr>
                <w:rFonts w:ascii="Times New Roman" w:hAnsi="Times New Roman" w:cs="Times New Roman"/>
                <w:sz w:val="28"/>
                <w:szCs w:val="28"/>
                <w:vertAlign w:val="subscript"/>
              </w:rPr>
              <w:t xml:space="preserve"> </w:t>
            </w:r>
            <w:r w:rsidRPr="0075659D">
              <w:rPr>
                <w:rFonts w:ascii="Times New Roman" w:hAnsi="Times New Roman" w:cs="Times New Roman"/>
                <w:sz w:val="28"/>
                <w:szCs w:val="28"/>
              </w:rPr>
              <w:t>в висцеральном жире</w:t>
            </w:r>
            <w:r w:rsidR="0075659D">
              <w:rPr>
                <w:rFonts w:ascii="Times New Roman" w:hAnsi="Times New Roman" w:cs="Times New Roman"/>
                <w:sz w:val="28"/>
                <w:szCs w:val="28"/>
              </w:rPr>
              <w:t>……………………………………………</w:t>
            </w:r>
            <w:proofErr w:type="gramStart"/>
            <w:r w:rsidR="0075659D">
              <w:rPr>
                <w:rFonts w:ascii="Times New Roman" w:hAnsi="Times New Roman" w:cs="Times New Roman"/>
                <w:sz w:val="28"/>
                <w:szCs w:val="28"/>
              </w:rPr>
              <w:t>…….</w:t>
            </w:r>
            <w:proofErr w:type="gramEnd"/>
            <w:r w:rsidR="0075659D">
              <w:rPr>
                <w:rFonts w:ascii="Times New Roman" w:hAnsi="Times New Roman" w:cs="Times New Roman"/>
                <w:sz w:val="28"/>
                <w:szCs w:val="28"/>
              </w:rPr>
              <w:t>.</w:t>
            </w:r>
          </w:p>
        </w:tc>
        <w:tc>
          <w:tcPr>
            <w:tcW w:w="0" w:type="auto"/>
          </w:tcPr>
          <w:p w14:paraId="25C12C04" w14:textId="77777777" w:rsidR="00915BBB" w:rsidRPr="00A43B9C" w:rsidRDefault="00915BBB" w:rsidP="007A6613">
            <w:pPr>
              <w:spacing w:after="0" w:line="240" w:lineRule="auto"/>
              <w:jc w:val="right"/>
              <w:rPr>
                <w:rFonts w:ascii="Times New Roman" w:hAnsi="Times New Roman" w:cs="Times New Roman"/>
                <w:sz w:val="28"/>
                <w:szCs w:val="28"/>
                <w:lang w:eastAsia="ru-RU"/>
              </w:rPr>
            </w:pPr>
          </w:p>
          <w:p w14:paraId="420DBC91" w14:textId="20B45563" w:rsidR="00544057" w:rsidRPr="00317118" w:rsidRDefault="00E152C0" w:rsidP="007A6613">
            <w:pPr>
              <w:spacing w:after="0" w:line="240" w:lineRule="auto"/>
              <w:jc w:val="right"/>
              <w:rPr>
                <w:rFonts w:ascii="Times New Roman" w:hAnsi="Times New Roman" w:cs="Times New Roman"/>
                <w:sz w:val="28"/>
                <w:szCs w:val="28"/>
                <w:lang w:eastAsia="ru-RU"/>
              </w:rPr>
            </w:pPr>
            <w:r w:rsidRPr="00A43B9C">
              <w:rPr>
                <w:rFonts w:ascii="Times New Roman" w:hAnsi="Times New Roman" w:cs="Times New Roman"/>
                <w:sz w:val="28"/>
                <w:szCs w:val="28"/>
                <w:lang w:eastAsia="ru-RU"/>
              </w:rPr>
              <w:t>5</w:t>
            </w:r>
            <w:r w:rsidR="00317118">
              <w:rPr>
                <w:rFonts w:ascii="Times New Roman" w:hAnsi="Times New Roman" w:cs="Times New Roman"/>
                <w:sz w:val="28"/>
                <w:szCs w:val="28"/>
                <w:lang w:eastAsia="ru-RU"/>
              </w:rPr>
              <w:t>4</w:t>
            </w:r>
          </w:p>
        </w:tc>
      </w:tr>
      <w:tr w:rsidR="00BA75B1" w:rsidRPr="00A43B9C" w14:paraId="504272B6" w14:textId="77777777" w:rsidTr="003E097F">
        <w:tc>
          <w:tcPr>
            <w:tcW w:w="0" w:type="auto"/>
          </w:tcPr>
          <w:p w14:paraId="5AFCB267" w14:textId="77777777" w:rsidR="00544057" w:rsidRPr="00A43B9C" w:rsidRDefault="00544057" w:rsidP="007A6613">
            <w:pPr>
              <w:spacing w:after="0" w:line="240" w:lineRule="auto"/>
              <w:jc w:val="both"/>
              <w:rPr>
                <w:rFonts w:ascii="Times New Roman" w:hAnsi="Times New Roman" w:cs="Times New Roman"/>
                <w:sz w:val="28"/>
                <w:szCs w:val="28"/>
                <w:lang w:eastAsia="ru-RU"/>
              </w:rPr>
            </w:pPr>
          </w:p>
        </w:tc>
        <w:tc>
          <w:tcPr>
            <w:tcW w:w="0" w:type="auto"/>
          </w:tcPr>
          <w:p w14:paraId="2B54FA3A" w14:textId="74F6E581"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sz w:val="28"/>
                <w:szCs w:val="28"/>
                <w:lang w:eastAsia="ru-RU"/>
              </w:rPr>
              <w:t xml:space="preserve">3.1.3 </w:t>
            </w:r>
            <w:r w:rsidR="0075659D">
              <w:rPr>
                <w:rFonts w:ascii="Times New Roman" w:hAnsi="Times New Roman" w:cs="Times New Roman"/>
                <w:sz w:val="28"/>
                <w:szCs w:val="28"/>
                <w:lang w:eastAsia="ru-RU"/>
              </w:rPr>
              <w:t>Д</w:t>
            </w:r>
            <w:r w:rsidRPr="00A43B9C">
              <w:rPr>
                <w:rFonts w:ascii="Times New Roman" w:hAnsi="Times New Roman" w:cs="Times New Roman"/>
                <w:sz w:val="28"/>
                <w:szCs w:val="28"/>
                <w:lang w:eastAsia="ru-RU"/>
              </w:rPr>
              <w:t>инамик</w:t>
            </w:r>
            <w:r w:rsidR="0075659D">
              <w:rPr>
                <w:rFonts w:ascii="Times New Roman" w:hAnsi="Times New Roman" w:cs="Times New Roman"/>
                <w:sz w:val="28"/>
                <w:szCs w:val="28"/>
                <w:lang w:eastAsia="ru-RU"/>
              </w:rPr>
              <w:t>а</w:t>
            </w:r>
            <w:r w:rsidRPr="00A43B9C">
              <w:rPr>
                <w:rFonts w:ascii="Times New Roman" w:hAnsi="Times New Roman" w:cs="Times New Roman"/>
                <w:sz w:val="28"/>
                <w:szCs w:val="28"/>
                <w:lang w:eastAsia="ru-RU"/>
              </w:rPr>
              <w:t xml:space="preserve"> уровня накоплени</w:t>
            </w:r>
            <w:r w:rsidR="00EB0A77" w:rsidRPr="00A43B9C">
              <w:rPr>
                <w:rFonts w:ascii="Times New Roman" w:hAnsi="Times New Roman" w:cs="Times New Roman"/>
                <w:sz w:val="28"/>
                <w:szCs w:val="28"/>
                <w:lang w:eastAsia="ru-RU"/>
              </w:rPr>
              <w:t>я</w:t>
            </w:r>
            <w:r w:rsidRPr="00A43B9C">
              <w:rPr>
                <w:rFonts w:ascii="Times New Roman" w:hAnsi="Times New Roman" w:cs="Times New Roman"/>
                <w:sz w:val="28"/>
                <w:szCs w:val="28"/>
                <w:lang w:eastAsia="ru-RU"/>
              </w:rPr>
              <w:t xml:space="preserve"> </w:t>
            </w:r>
            <w:r w:rsidRPr="00A43B9C">
              <w:rPr>
                <w:rFonts w:ascii="Times New Roman" w:hAnsi="Times New Roman" w:cs="Times New Roman"/>
                <w:sz w:val="28"/>
                <w:szCs w:val="28"/>
                <w:lang w:val="en-US" w:eastAsia="ru-RU"/>
              </w:rPr>
              <w:t>SUV</w:t>
            </w:r>
            <w:r w:rsidRPr="00A43B9C">
              <w:rPr>
                <w:rFonts w:ascii="Times New Roman" w:hAnsi="Times New Roman" w:cs="Times New Roman"/>
                <w:sz w:val="28"/>
                <w:szCs w:val="28"/>
                <w:vertAlign w:val="subscript"/>
                <w:lang w:val="en-US" w:eastAsia="ru-RU"/>
              </w:rPr>
              <w:t>max</w:t>
            </w:r>
            <w:r w:rsidRPr="00A43B9C">
              <w:rPr>
                <w:rFonts w:ascii="Times New Roman" w:hAnsi="Times New Roman" w:cs="Times New Roman"/>
                <w:sz w:val="28"/>
                <w:szCs w:val="28"/>
                <w:lang w:eastAsia="ru-RU"/>
              </w:rPr>
              <w:t xml:space="preserve"> в висцеральном жире в зависимости от </w:t>
            </w:r>
            <w:r w:rsidR="00FD338B">
              <w:rPr>
                <w:rFonts w:ascii="Times New Roman" w:hAnsi="Times New Roman" w:cs="Times New Roman"/>
                <w:sz w:val="28"/>
                <w:szCs w:val="28"/>
                <w:lang w:eastAsia="ru-RU"/>
              </w:rPr>
              <w:t>метастатического поражения брюшины</w:t>
            </w:r>
            <w:r w:rsidR="0075659D">
              <w:rPr>
                <w:rFonts w:ascii="Times New Roman" w:hAnsi="Times New Roman" w:cs="Times New Roman"/>
                <w:sz w:val="28"/>
                <w:szCs w:val="28"/>
              </w:rPr>
              <w:t>………</w:t>
            </w:r>
            <w:r w:rsidR="0058185A">
              <w:rPr>
                <w:rFonts w:ascii="Times New Roman" w:hAnsi="Times New Roman" w:cs="Times New Roman"/>
                <w:sz w:val="28"/>
                <w:szCs w:val="28"/>
              </w:rPr>
              <w:t>…...</w:t>
            </w:r>
          </w:p>
        </w:tc>
        <w:tc>
          <w:tcPr>
            <w:tcW w:w="0" w:type="auto"/>
          </w:tcPr>
          <w:p w14:paraId="28988627" w14:textId="77777777" w:rsidR="00915BBB" w:rsidRPr="00A43B9C" w:rsidRDefault="00915BBB" w:rsidP="007A6613">
            <w:pPr>
              <w:spacing w:after="0" w:line="240" w:lineRule="auto"/>
              <w:jc w:val="right"/>
              <w:rPr>
                <w:rFonts w:ascii="Times New Roman" w:hAnsi="Times New Roman" w:cs="Times New Roman"/>
                <w:sz w:val="28"/>
                <w:szCs w:val="28"/>
                <w:lang w:eastAsia="ru-RU"/>
              </w:rPr>
            </w:pPr>
          </w:p>
          <w:p w14:paraId="5700AEE5" w14:textId="472DE9D2" w:rsidR="00544057" w:rsidRPr="00531EB4" w:rsidRDefault="00E152C0" w:rsidP="007A6613">
            <w:pPr>
              <w:spacing w:after="0" w:line="240" w:lineRule="auto"/>
              <w:jc w:val="right"/>
              <w:rPr>
                <w:rFonts w:ascii="Times New Roman" w:hAnsi="Times New Roman" w:cs="Times New Roman"/>
                <w:sz w:val="28"/>
                <w:szCs w:val="28"/>
                <w:lang w:val="en-US" w:eastAsia="ru-RU"/>
              </w:rPr>
            </w:pPr>
            <w:r w:rsidRPr="00A43B9C">
              <w:rPr>
                <w:rFonts w:ascii="Times New Roman" w:hAnsi="Times New Roman" w:cs="Times New Roman"/>
                <w:sz w:val="28"/>
                <w:szCs w:val="28"/>
                <w:lang w:eastAsia="ru-RU"/>
              </w:rPr>
              <w:t>5</w:t>
            </w:r>
            <w:r w:rsidR="00317118">
              <w:rPr>
                <w:rFonts w:ascii="Times New Roman" w:hAnsi="Times New Roman" w:cs="Times New Roman"/>
                <w:sz w:val="28"/>
                <w:szCs w:val="28"/>
                <w:lang w:eastAsia="ru-RU"/>
              </w:rPr>
              <w:t>6</w:t>
            </w:r>
          </w:p>
        </w:tc>
      </w:tr>
      <w:tr w:rsidR="00BA75B1" w:rsidRPr="00A43B9C" w14:paraId="23E8554D" w14:textId="77777777" w:rsidTr="003E097F">
        <w:tc>
          <w:tcPr>
            <w:tcW w:w="0" w:type="auto"/>
          </w:tcPr>
          <w:p w14:paraId="298317B5" w14:textId="77777777" w:rsidR="00544057" w:rsidRPr="00A43B9C" w:rsidRDefault="00544057" w:rsidP="007A6613">
            <w:pPr>
              <w:spacing w:after="0" w:line="240" w:lineRule="auto"/>
              <w:jc w:val="both"/>
              <w:rPr>
                <w:rFonts w:ascii="Times New Roman" w:hAnsi="Times New Roman" w:cs="Times New Roman"/>
                <w:sz w:val="28"/>
                <w:szCs w:val="28"/>
                <w:lang w:eastAsia="ru-RU"/>
              </w:rPr>
            </w:pPr>
          </w:p>
        </w:tc>
        <w:tc>
          <w:tcPr>
            <w:tcW w:w="0" w:type="auto"/>
          </w:tcPr>
          <w:p w14:paraId="25313DF7" w14:textId="2CF69560" w:rsidR="00544057" w:rsidRPr="00A43B9C" w:rsidRDefault="00544057" w:rsidP="007A6613">
            <w:pPr>
              <w:spacing w:after="0" w:line="240" w:lineRule="auto"/>
              <w:jc w:val="both"/>
              <w:rPr>
                <w:rFonts w:ascii="Times New Roman" w:hAnsi="Times New Roman" w:cs="Times New Roman"/>
                <w:sz w:val="28"/>
                <w:szCs w:val="28"/>
                <w:lang w:val="kk-KZ" w:eastAsia="ru-RU"/>
              </w:rPr>
            </w:pPr>
            <w:r w:rsidRPr="00A43B9C">
              <w:rPr>
                <w:rFonts w:ascii="Times New Roman" w:hAnsi="Times New Roman" w:cs="Times New Roman"/>
                <w:sz w:val="28"/>
                <w:szCs w:val="28"/>
                <w:lang w:eastAsia="ru-RU"/>
              </w:rPr>
              <w:t xml:space="preserve">3.1.4 Результаты </w:t>
            </w:r>
            <w:r w:rsidRPr="00A43B9C">
              <w:rPr>
                <w:rFonts w:ascii="Times New Roman" w:hAnsi="Times New Roman" w:cs="Times New Roman"/>
                <w:sz w:val="28"/>
                <w:szCs w:val="28"/>
                <w:lang w:val="en-US" w:eastAsia="ru-RU"/>
              </w:rPr>
              <w:t>ROC</w:t>
            </w:r>
            <w:r w:rsidRPr="00A43B9C">
              <w:rPr>
                <w:rFonts w:ascii="Times New Roman" w:hAnsi="Times New Roman" w:cs="Times New Roman"/>
                <w:sz w:val="28"/>
                <w:szCs w:val="28"/>
                <w:lang w:val="kk-KZ" w:eastAsia="ru-RU"/>
              </w:rPr>
              <w:t>-</w:t>
            </w:r>
            <w:r w:rsidRPr="00A43B9C">
              <w:rPr>
                <w:rFonts w:ascii="Times New Roman" w:hAnsi="Times New Roman" w:cs="Times New Roman"/>
                <w:sz w:val="28"/>
                <w:szCs w:val="28"/>
                <w:lang w:eastAsia="ru-RU"/>
              </w:rPr>
              <w:t xml:space="preserve">анализа </w:t>
            </w:r>
            <w:r w:rsidR="00760A1A">
              <w:rPr>
                <w:rFonts w:ascii="Times New Roman" w:hAnsi="Times New Roman" w:cs="Times New Roman"/>
                <w:sz w:val="28"/>
                <w:szCs w:val="28"/>
                <w:lang w:eastAsia="ru-RU"/>
              </w:rPr>
              <w:t xml:space="preserve">в зависимости от </w:t>
            </w:r>
            <w:r w:rsidR="00FD338B">
              <w:rPr>
                <w:rFonts w:ascii="Times New Roman" w:hAnsi="Times New Roman" w:cs="Times New Roman"/>
                <w:sz w:val="28"/>
                <w:szCs w:val="28"/>
                <w:lang w:eastAsia="ru-RU"/>
              </w:rPr>
              <w:t>метастатического поражения брюшины</w:t>
            </w:r>
            <w:r w:rsidR="00760A1A">
              <w:rPr>
                <w:rFonts w:ascii="Times New Roman" w:hAnsi="Times New Roman" w:cs="Times New Roman"/>
                <w:sz w:val="28"/>
                <w:szCs w:val="28"/>
                <w:lang w:eastAsia="ru-RU"/>
              </w:rPr>
              <w:t>…………………………………………………</w:t>
            </w:r>
          </w:p>
        </w:tc>
        <w:tc>
          <w:tcPr>
            <w:tcW w:w="0" w:type="auto"/>
          </w:tcPr>
          <w:p w14:paraId="77EA5123" w14:textId="77777777" w:rsidR="00760A1A" w:rsidRDefault="00760A1A" w:rsidP="007A6613">
            <w:pPr>
              <w:spacing w:after="0" w:line="240" w:lineRule="auto"/>
              <w:jc w:val="right"/>
              <w:rPr>
                <w:rFonts w:ascii="Times New Roman" w:hAnsi="Times New Roman" w:cs="Times New Roman"/>
                <w:sz w:val="28"/>
                <w:szCs w:val="28"/>
                <w:lang w:eastAsia="ru-RU"/>
              </w:rPr>
            </w:pPr>
          </w:p>
          <w:p w14:paraId="0F7C0569" w14:textId="2AC21D2F" w:rsidR="00544057" w:rsidRPr="00317118" w:rsidRDefault="00E152C0" w:rsidP="007A6613">
            <w:pPr>
              <w:spacing w:after="0" w:line="240" w:lineRule="auto"/>
              <w:jc w:val="right"/>
              <w:rPr>
                <w:rFonts w:ascii="Times New Roman" w:hAnsi="Times New Roman" w:cs="Times New Roman"/>
                <w:sz w:val="28"/>
                <w:szCs w:val="28"/>
                <w:lang w:eastAsia="ru-RU"/>
              </w:rPr>
            </w:pPr>
            <w:r w:rsidRPr="00A43B9C">
              <w:rPr>
                <w:rFonts w:ascii="Times New Roman" w:hAnsi="Times New Roman" w:cs="Times New Roman"/>
                <w:sz w:val="28"/>
                <w:szCs w:val="28"/>
                <w:lang w:eastAsia="ru-RU"/>
              </w:rPr>
              <w:t>6</w:t>
            </w:r>
            <w:r w:rsidR="00317118">
              <w:rPr>
                <w:rFonts w:ascii="Times New Roman" w:hAnsi="Times New Roman" w:cs="Times New Roman"/>
                <w:sz w:val="28"/>
                <w:szCs w:val="28"/>
                <w:lang w:eastAsia="ru-RU"/>
              </w:rPr>
              <w:t>2</w:t>
            </w:r>
          </w:p>
        </w:tc>
      </w:tr>
      <w:tr w:rsidR="00BA75B1" w:rsidRPr="00A43B9C" w14:paraId="0D6C351B" w14:textId="77777777" w:rsidTr="003E097F">
        <w:tc>
          <w:tcPr>
            <w:tcW w:w="0" w:type="auto"/>
          </w:tcPr>
          <w:p w14:paraId="39049A23" w14:textId="77777777" w:rsidR="00544057" w:rsidRPr="00A43B9C" w:rsidRDefault="00544057" w:rsidP="007A6613">
            <w:pPr>
              <w:spacing w:after="0" w:line="240" w:lineRule="auto"/>
              <w:jc w:val="both"/>
              <w:rPr>
                <w:rFonts w:ascii="Times New Roman" w:hAnsi="Times New Roman" w:cs="Times New Roman"/>
                <w:sz w:val="28"/>
                <w:szCs w:val="28"/>
                <w:lang w:eastAsia="ru-RU"/>
              </w:rPr>
            </w:pPr>
          </w:p>
        </w:tc>
        <w:tc>
          <w:tcPr>
            <w:tcW w:w="0" w:type="auto"/>
          </w:tcPr>
          <w:p w14:paraId="0099F0A2" w14:textId="79E73761" w:rsidR="00544057" w:rsidRPr="00A43B9C" w:rsidRDefault="00544057" w:rsidP="007A6613">
            <w:pPr>
              <w:spacing w:after="0" w:line="240" w:lineRule="auto"/>
              <w:jc w:val="both"/>
              <w:rPr>
                <w:rFonts w:ascii="Times New Roman" w:hAnsi="Times New Roman" w:cs="Times New Roman"/>
                <w:sz w:val="28"/>
                <w:szCs w:val="28"/>
                <w:lang w:val="kk-KZ" w:eastAsia="ru-RU"/>
              </w:rPr>
            </w:pPr>
            <w:r w:rsidRPr="00A43B9C">
              <w:rPr>
                <w:rFonts w:ascii="Times New Roman" w:hAnsi="Times New Roman" w:cs="Times New Roman"/>
                <w:sz w:val="28"/>
                <w:szCs w:val="28"/>
                <w:lang w:eastAsia="ru-RU"/>
              </w:rPr>
              <w:t xml:space="preserve">3.1.5 Результаты оценки прогностической </w:t>
            </w:r>
            <w:r w:rsidRPr="00A43B9C">
              <w:rPr>
                <w:rFonts w:ascii="Times New Roman" w:hAnsi="Times New Roman" w:cs="Times New Roman"/>
                <w:sz w:val="28"/>
                <w:szCs w:val="28"/>
                <w:lang w:val="kk-KZ" w:eastAsia="ru-RU"/>
              </w:rPr>
              <w:t>ценности</w:t>
            </w:r>
            <w:r w:rsidR="00844918" w:rsidRPr="00A43B9C">
              <w:rPr>
                <w:rStyle w:val="a9"/>
                <w:rFonts w:ascii="Times New Roman" w:eastAsia="Times New Roman" w:hAnsi="Times New Roman" w:cs="Times New Roman"/>
                <w:noProof/>
                <w:color w:val="auto"/>
                <w:sz w:val="28"/>
                <w:szCs w:val="28"/>
                <w:u w:val="none"/>
                <w:lang w:eastAsia="ru-RU"/>
              </w:rPr>
              <w:t>………………</w:t>
            </w:r>
          </w:p>
        </w:tc>
        <w:tc>
          <w:tcPr>
            <w:tcW w:w="0" w:type="auto"/>
          </w:tcPr>
          <w:p w14:paraId="175405B8" w14:textId="6647E764" w:rsidR="00544057" w:rsidRPr="00531EB4" w:rsidRDefault="00E152C0" w:rsidP="007A6613">
            <w:pPr>
              <w:spacing w:after="0" w:line="240" w:lineRule="auto"/>
              <w:jc w:val="right"/>
              <w:rPr>
                <w:rFonts w:ascii="Times New Roman" w:hAnsi="Times New Roman" w:cs="Times New Roman"/>
                <w:sz w:val="28"/>
                <w:szCs w:val="28"/>
                <w:lang w:val="en-US" w:eastAsia="ru-RU"/>
              </w:rPr>
            </w:pPr>
            <w:r w:rsidRPr="00A43B9C">
              <w:rPr>
                <w:rFonts w:ascii="Times New Roman" w:hAnsi="Times New Roman" w:cs="Times New Roman"/>
                <w:sz w:val="28"/>
                <w:szCs w:val="28"/>
                <w:lang w:eastAsia="ru-RU"/>
              </w:rPr>
              <w:t>7</w:t>
            </w:r>
            <w:r w:rsidR="00317118">
              <w:rPr>
                <w:rFonts w:ascii="Times New Roman" w:hAnsi="Times New Roman" w:cs="Times New Roman"/>
                <w:sz w:val="28"/>
                <w:szCs w:val="28"/>
                <w:lang w:eastAsia="ru-RU"/>
              </w:rPr>
              <w:t>3</w:t>
            </w:r>
          </w:p>
        </w:tc>
      </w:tr>
      <w:tr w:rsidR="00BA75B1" w:rsidRPr="00A43B9C" w14:paraId="20CC0A94" w14:textId="77777777" w:rsidTr="003E097F">
        <w:tc>
          <w:tcPr>
            <w:tcW w:w="0" w:type="auto"/>
          </w:tcPr>
          <w:p w14:paraId="38F62217" w14:textId="0BB4207A"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Style w:val="a9"/>
                <w:rFonts w:ascii="Times New Roman" w:hAnsi="Times New Roman" w:cs="Times New Roman"/>
                <w:noProof/>
                <w:color w:val="auto"/>
                <w:sz w:val="28"/>
                <w:szCs w:val="28"/>
                <w:u w:val="none"/>
              </w:rPr>
              <w:t>3</w:t>
            </w:r>
            <w:hyperlink w:anchor="_Toc94099720" w:history="1">
              <w:r w:rsidRPr="00A43B9C">
                <w:rPr>
                  <w:rStyle w:val="a9"/>
                  <w:rFonts w:ascii="Times New Roman" w:hAnsi="Times New Roman" w:cs="Times New Roman"/>
                  <w:noProof/>
                  <w:color w:val="auto"/>
                  <w:sz w:val="28"/>
                  <w:szCs w:val="28"/>
                  <w:u w:val="none"/>
                </w:rPr>
                <w:t>.2</w:t>
              </w:r>
            </w:hyperlink>
          </w:p>
        </w:tc>
        <w:tc>
          <w:tcPr>
            <w:tcW w:w="0" w:type="auto"/>
          </w:tcPr>
          <w:p w14:paraId="55869902" w14:textId="5FEF4C42" w:rsidR="00544057" w:rsidRPr="00A43B9C" w:rsidRDefault="00000000" w:rsidP="007A6613">
            <w:pPr>
              <w:spacing w:after="0" w:line="240" w:lineRule="auto"/>
              <w:jc w:val="both"/>
              <w:rPr>
                <w:rFonts w:ascii="Times New Roman" w:hAnsi="Times New Roman" w:cs="Times New Roman"/>
                <w:sz w:val="28"/>
                <w:szCs w:val="28"/>
                <w:lang w:eastAsia="ru-RU"/>
              </w:rPr>
            </w:pPr>
            <w:hyperlink w:anchor="_Toc94099720" w:history="1">
              <w:r w:rsidR="00544057" w:rsidRPr="00A43B9C">
                <w:rPr>
                  <w:rStyle w:val="a9"/>
                  <w:rFonts w:ascii="Times New Roman" w:hAnsi="Times New Roman" w:cs="Times New Roman"/>
                  <w:noProof/>
                  <w:color w:val="auto"/>
                  <w:sz w:val="28"/>
                  <w:szCs w:val="28"/>
                  <w:u w:val="none"/>
                </w:rPr>
                <w:t>Колоректальный рак</w:t>
              </w:r>
            </w:hyperlink>
            <w:r w:rsidR="00BA75B1" w:rsidRPr="00A43B9C">
              <w:rPr>
                <w:rStyle w:val="a9"/>
                <w:rFonts w:ascii="Times New Roman" w:hAnsi="Times New Roman" w:cs="Times New Roman"/>
                <w:noProof/>
                <w:color w:val="auto"/>
                <w:sz w:val="28"/>
                <w:szCs w:val="28"/>
                <w:u w:val="none"/>
              </w:rPr>
              <w:t>…………………………………………………..</w:t>
            </w:r>
          </w:p>
        </w:tc>
        <w:tc>
          <w:tcPr>
            <w:tcW w:w="0" w:type="auto"/>
          </w:tcPr>
          <w:p w14:paraId="426466E4" w14:textId="54A84CA2" w:rsidR="00544057" w:rsidRPr="000606FD" w:rsidRDefault="00BB697D" w:rsidP="007A6613">
            <w:pPr>
              <w:spacing w:after="0" w:line="240" w:lineRule="auto"/>
              <w:jc w:val="right"/>
              <w:rPr>
                <w:rFonts w:ascii="Times New Roman" w:hAnsi="Times New Roman" w:cs="Times New Roman"/>
                <w:sz w:val="28"/>
                <w:szCs w:val="28"/>
                <w:lang w:eastAsia="ru-RU"/>
              </w:rPr>
            </w:pPr>
            <w:r w:rsidRPr="00A43B9C">
              <w:rPr>
                <w:rFonts w:ascii="Times New Roman" w:hAnsi="Times New Roman" w:cs="Times New Roman"/>
                <w:sz w:val="28"/>
                <w:szCs w:val="28"/>
                <w:lang w:val="en-US" w:eastAsia="ru-RU"/>
              </w:rPr>
              <w:t>7</w:t>
            </w:r>
            <w:r w:rsidR="00317118">
              <w:rPr>
                <w:rFonts w:ascii="Times New Roman" w:hAnsi="Times New Roman" w:cs="Times New Roman"/>
                <w:sz w:val="28"/>
                <w:szCs w:val="28"/>
                <w:lang w:eastAsia="ru-RU"/>
              </w:rPr>
              <w:t>5</w:t>
            </w:r>
          </w:p>
        </w:tc>
      </w:tr>
      <w:tr w:rsidR="0075659D" w:rsidRPr="00A43B9C" w14:paraId="07574814" w14:textId="77777777" w:rsidTr="003E097F">
        <w:tc>
          <w:tcPr>
            <w:tcW w:w="0" w:type="auto"/>
          </w:tcPr>
          <w:p w14:paraId="78B733EF" w14:textId="77777777" w:rsidR="0075659D" w:rsidRPr="00A43B9C" w:rsidRDefault="0075659D" w:rsidP="0075659D">
            <w:pPr>
              <w:spacing w:after="0" w:line="240" w:lineRule="auto"/>
              <w:jc w:val="both"/>
              <w:rPr>
                <w:rFonts w:ascii="Times New Roman" w:hAnsi="Times New Roman" w:cs="Times New Roman"/>
                <w:sz w:val="28"/>
                <w:szCs w:val="28"/>
                <w:lang w:eastAsia="ru-RU"/>
              </w:rPr>
            </w:pPr>
          </w:p>
        </w:tc>
        <w:tc>
          <w:tcPr>
            <w:tcW w:w="0" w:type="auto"/>
          </w:tcPr>
          <w:p w14:paraId="27505029" w14:textId="7E376E29" w:rsidR="0075659D" w:rsidRPr="00A43B9C" w:rsidRDefault="0075659D" w:rsidP="0075659D">
            <w:pPr>
              <w:spacing w:after="0" w:line="240" w:lineRule="auto"/>
              <w:jc w:val="both"/>
              <w:rPr>
                <w:rFonts w:ascii="Times New Roman" w:hAnsi="Times New Roman" w:cs="Times New Roman"/>
                <w:sz w:val="28"/>
                <w:szCs w:val="28"/>
                <w:lang w:eastAsia="ru-RU"/>
              </w:rPr>
            </w:pPr>
            <w:r w:rsidRPr="00A43B9C">
              <w:rPr>
                <w:rStyle w:val="a9"/>
                <w:rFonts w:ascii="Times New Roman" w:hAnsi="Times New Roman" w:cs="Times New Roman"/>
                <w:noProof/>
                <w:color w:val="auto"/>
                <w:sz w:val="28"/>
                <w:szCs w:val="28"/>
                <w:u w:val="none"/>
              </w:rPr>
              <w:t>3</w:t>
            </w:r>
            <w:hyperlink w:anchor="_Toc94099720" w:history="1">
              <w:r w:rsidRPr="00A43B9C">
                <w:rPr>
                  <w:rStyle w:val="a9"/>
                  <w:rFonts w:ascii="Times New Roman" w:eastAsia="Times New Roman" w:hAnsi="Times New Roman" w:cs="Times New Roman"/>
                  <w:noProof/>
                  <w:color w:val="auto"/>
                  <w:sz w:val="28"/>
                  <w:szCs w:val="28"/>
                  <w:u w:val="none"/>
                  <w:lang w:eastAsia="ru-RU"/>
                </w:rPr>
                <w:t>.</w:t>
              </w:r>
              <w:r w:rsidR="00C91528">
                <w:rPr>
                  <w:rStyle w:val="a9"/>
                  <w:rFonts w:ascii="Times New Roman" w:eastAsia="Times New Roman" w:hAnsi="Times New Roman" w:cs="Times New Roman"/>
                  <w:noProof/>
                  <w:color w:val="auto"/>
                  <w:sz w:val="28"/>
                  <w:szCs w:val="28"/>
                  <w:u w:val="none"/>
                  <w:lang w:eastAsia="ru-RU"/>
                </w:rPr>
                <w:t>2</w:t>
              </w:r>
              <w:r w:rsidRPr="00A43B9C">
                <w:rPr>
                  <w:rStyle w:val="a9"/>
                  <w:rFonts w:ascii="Times New Roman" w:eastAsia="Times New Roman" w:hAnsi="Times New Roman" w:cs="Times New Roman"/>
                  <w:noProof/>
                  <w:color w:val="auto"/>
                  <w:sz w:val="28"/>
                  <w:szCs w:val="28"/>
                  <w:u w:val="none"/>
                  <w:lang w:eastAsia="ru-RU"/>
                </w:rPr>
                <w:t xml:space="preserve">.1 </w:t>
              </w:r>
              <w:r>
                <w:rPr>
                  <w:rStyle w:val="a9"/>
                  <w:rFonts w:ascii="Times New Roman" w:eastAsia="Times New Roman" w:hAnsi="Times New Roman" w:cs="Times New Roman"/>
                  <w:noProof/>
                  <w:color w:val="auto"/>
                  <w:sz w:val="28"/>
                  <w:szCs w:val="28"/>
                  <w:u w:val="none"/>
                  <w:lang w:eastAsia="ru-RU"/>
                </w:rPr>
                <w:t>У</w:t>
              </w:r>
              <w:r w:rsidRPr="00A43B9C">
                <w:rPr>
                  <w:rStyle w:val="a9"/>
                  <w:rFonts w:ascii="Times New Roman" w:eastAsia="Times New Roman" w:hAnsi="Times New Roman" w:cs="Times New Roman"/>
                  <w:noProof/>
                  <w:color w:val="auto"/>
                  <w:sz w:val="28"/>
                  <w:szCs w:val="28"/>
                  <w:u w:val="none"/>
                  <w:lang w:eastAsia="ru-RU"/>
                </w:rPr>
                <w:t>ров</w:t>
              </w:r>
              <w:r>
                <w:rPr>
                  <w:rStyle w:val="a9"/>
                  <w:rFonts w:ascii="Times New Roman" w:eastAsia="Times New Roman" w:hAnsi="Times New Roman" w:cs="Times New Roman"/>
                  <w:noProof/>
                  <w:color w:val="auto"/>
                  <w:sz w:val="28"/>
                  <w:szCs w:val="28"/>
                  <w:u w:val="none"/>
                  <w:lang w:eastAsia="ru-RU"/>
                </w:rPr>
                <w:t>е</w:t>
              </w:r>
              <w:r w:rsidRPr="00A43B9C">
                <w:rPr>
                  <w:rStyle w:val="a9"/>
                  <w:rFonts w:ascii="Times New Roman" w:eastAsia="Times New Roman" w:hAnsi="Times New Roman" w:cs="Times New Roman"/>
                  <w:noProof/>
                  <w:color w:val="auto"/>
                  <w:sz w:val="28"/>
                  <w:szCs w:val="28"/>
                  <w:u w:val="none"/>
                  <w:lang w:eastAsia="ru-RU"/>
                </w:rPr>
                <w:t>н</w:t>
              </w:r>
              <w:r>
                <w:rPr>
                  <w:rStyle w:val="a9"/>
                  <w:rFonts w:ascii="Times New Roman" w:eastAsia="Times New Roman" w:hAnsi="Times New Roman" w:cs="Times New Roman"/>
                  <w:noProof/>
                  <w:color w:val="auto"/>
                  <w:sz w:val="28"/>
                  <w:szCs w:val="28"/>
                  <w:u w:val="none"/>
                  <w:lang w:eastAsia="ru-RU"/>
                </w:rPr>
                <w:t>ь</w:t>
              </w:r>
              <w:r w:rsidRPr="00A43B9C">
                <w:rPr>
                  <w:rStyle w:val="a9"/>
                  <w:rFonts w:ascii="Times New Roman" w:eastAsia="Times New Roman" w:hAnsi="Times New Roman" w:cs="Times New Roman"/>
                  <w:noProof/>
                  <w:color w:val="auto"/>
                  <w:sz w:val="28"/>
                  <w:szCs w:val="28"/>
                  <w:u w:val="none"/>
                  <w:lang w:eastAsia="ru-RU"/>
                </w:rPr>
                <w:t xml:space="preserve"> накопления </w:t>
              </w:r>
              <w:r w:rsidRPr="00A43B9C">
                <w:rPr>
                  <w:rStyle w:val="a9"/>
                  <w:rFonts w:ascii="Times New Roman" w:eastAsia="Times New Roman" w:hAnsi="Times New Roman" w:cs="Times New Roman"/>
                  <w:noProof/>
                  <w:color w:val="auto"/>
                  <w:sz w:val="28"/>
                  <w:szCs w:val="28"/>
                  <w:u w:val="none"/>
                  <w:lang w:val="en-US" w:eastAsia="ru-RU"/>
                </w:rPr>
                <w:t>SUV</w:t>
              </w:r>
              <w:r w:rsidRPr="00A43B9C">
                <w:rPr>
                  <w:rStyle w:val="a9"/>
                  <w:rFonts w:ascii="Times New Roman" w:eastAsia="Times New Roman" w:hAnsi="Times New Roman" w:cs="Times New Roman"/>
                  <w:noProof/>
                  <w:color w:val="auto"/>
                  <w:sz w:val="28"/>
                  <w:szCs w:val="28"/>
                  <w:u w:val="none"/>
                  <w:vertAlign w:val="subscript"/>
                  <w:lang w:val="en-US" w:eastAsia="ru-RU"/>
                </w:rPr>
                <w:t>max</w:t>
              </w:r>
              <w:r w:rsidRPr="00A43B9C">
                <w:rPr>
                  <w:rStyle w:val="a9"/>
                  <w:rFonts w:ascii="Times New Roman" w:eastAsia="Times New Roman" w:hAnsi="Times New Roman" w:cs="Times New Roman"/>
                  <w:noProof/>
                  <w:color w:val="auto"/>
                  <w:sz w:val="28"/>
                  <w:szCs w:val="28"/>
                  <w:u w:val="none"/>
                  <w:lang w:eastAsia="ru-RU"/>
                </w:rPr>
                <w:t xml:space="preserve"> в висцеральном жире</w:t>
              </w:r>
            </w:hyperlink>
            <w:r w:rsidRPr="00A43B9C">
              <w:rPr>
                <w:rStyle w:val="a9"/>
                <w:rFonts w:ascii="Times New Roman" w:eastAsia="Times New Roman" w:hAnsi="Times New Roman" w:cs="Times New Roman"/>
                <w:noProof/>
                <w:color w:val="auto"/>
                <w:sz w:val="28"/>
                <w:szCs w:val="28"/>
                <w:u w:val="none"/>
                <w:lang w:eastAsia="ru-RU"/>
              </w:rPr>
              <w:t>…………</w:t>
            </w:r>
            <w:r>
              <w:rPr>
                <w:rStyle w:val="a9"/>
                <w:rFonts w:ascii="Times New Roman" w:eastAsia="Times New Roman" w:hAnsi="Times New Roman" w:cs="Times New Roman"/>
                <w:noProof/>
                <w:color w:val="auto"/>
                <w:sz w:val="28"/>
                <w:szCs w:val="28"/>
                <w:u w:val="none"/>
                <w:lang w:eastAsia="ru-RU"/>
              </w:rPr>
              <w:t>..</w:t>
            </w:r>
          </w:p>
        </w:tc>
        <w:tc>
          <w:tcPr>
            <w:tcW w:w="0" w:type="auto"/>
          </w:tcPr>
          <w:p w14:paraId="43895A3A" w14:textId="6A74F800" w:rsidR="0075659D" w:rsidRPr="000606FD" w:rsidRDefault="0075659D" w:rsidP="0075659D">
            <w:pPr>
              <w:spacing w:after="0" w:line="240" w:lineRule="auto"/>
              <w:jc w:val="right"/>
              <w:rPr>
                <w:rFonts w:ascii="Times New Roman" w:hAnsi="Times New Roman" w:cs="Times New Roman"/>
                <w:sz w:val="28"/>
                <w:szCs w:val="28"/>
                <w:lang w:eastAsia="ru-RU"/>
              </w:rPr>
            </w:pPr>
            <w:r w:rsidRPr="00A43B9C">
              <w:rPr>
                <w:rFonts w:ascii="Times New Roman" w:hAnsi="Times New Roman" w:cs="Times New Roman"/>
                <w:sz w:val="28"/>
                <w:szCs w:val="28"/>
                <w:lang w:val="en-US" w:eastAsia="ru-RU"/>
              </w:rPr>
              <w:t>7</w:t>
            </w:r>
            <w:r w:rsidR="00317118">
              <w:rPr>
                <w:rFonts w:ascii="Times New Roman" w:hAnsi="Times New Roman" w:cs="Times New Roman"/>
                <w:sz w:val="28"/>
                <w:szCs w:val="28"/>
                <w:lang w:eastAsia="ru-RU"/>
              </w:rPr>
              <w:t>5</w:t>
            </w:r>
          </w:p>
        </w:tc>
      </w:tr>
      <w:tr w:rsidR="0075659D" w:rsidRPr="00A43B9C" w14:paraId="5E33F389" w14:textId="77777777" w:rsidTr="003E097F">
        <w:tc>
          <w:tcPr>
            <w:tcW w:w="0" w:type="auto"/>
          </w:tcPr>
          <w:p w14:paraId="2C2F8B0B" w14:textId="77777777" w:rsidR="0075659D" w:rsidRPr="00A43B9C" w:rsidRDefault="0075659D" w:rsidP="0075659D">
            <w:pPr>
              <w:spacing w:after="0" w:line="240" w:lineRule="auto"/>
              <w:jc w:val="both"/>
              <w:rPr>
                <w:rFonts w:ascii="Times New Roman" w:hAnsi="Times New Roman" w:cs="Times New Roman"/>
                <w:sz w:val="28"/>
                <w:szCs w:val="28"/>
                <w:lang w:eastAsia="ru-RU"/>
              </w:rPr>
            </w:pPr>
          </w:p>
        </w:tc>
        <w:tc>
          <w:tcPr>
            <w:tcW w:w="0" w:type="auto"/>
          </w:tcPr>
          <w:p w14:paraId="36F601E8" w14:textId="5FEDE373" w:rsidR="0075659D" w:rsidRPr="00A43B9C" w:rsidRDefault="0075659D" w:rsidP="0075659D">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sz w:val="28"/>
                <w:szCs w:val="28"/>
                <w:lang w:eastAsia="ru-RU"/>
              </w:rPr>
              <w:t>3.</w:t>
            </w:r>
            <w:r w:rsidR="00C91528">
              <w:rPr>
                <w:rFonts w:ascii="Times New Roman" w:hAnsi="Times New Roman" w:cs="Times New Roman"/>
                <w:sz w:val="28"/>
                <w:szCs w:val="28"/>
                <w:lang w:eastAsia="ru-RU"/>
              </w:rPr>
              <w:t>2</w:t>
            </w:r>
            <w:r w:rsidRPr="00A43B9C">
              <w:rPr>
                <w:rFonts w:ascii="Times New Roman" w:hAnsi="Times New Roman" w:cs="Times New Roman"/>
                <w:sz w:val="28"/>
                <w:szCs w:val="28"/>
                <w:lang w:eastAsia="ru-RU"/>
              </w:rPr>
              <w:t xml:space="preserve">.2 </w:t>
            </w:r>
            <w:r w:rsidRPr="0075659D">
              <w:rPr>
                <w:rFonts w:ascii="Times New Roman" w:hAnsi="Times New Roman" w:cs="Times New Roman"/>
                <w:sz w:val="28"/>
                <w:szCs w:val="28"/>
                <w:lang w:eastAsia="ru-RU"/>
              </w:rPr>
              <w:t>Корреляционны</w:t>
            </w:r>
            <w:r w:rsidRPr="0075659D">
              <w:rPr>
                <w:rFonts w:ascii="Times New Roman" w:hAnsi="Times New Roman" w:cs="Times New Roman"/>
                <w:sz w:val="28"/>
                <w:szCs w:val="28"/>
              </w:rPr>
              <w:t>й</w:t>
            </w:r>
            <w:r w:rsidRPr="0075659D">
              <w:rPr>
                <w:rFonts w:ascii="Times New Roman" w:hAnsi="Times New Roman" w:cs="Times New Roman"/>
                <w:sz w:val="28"/>
                <w:szCs w:val="28"/>
                <w:lang w:eastAsia="ru-RU"/>
              </w:rPr>
              <w:t xml:space="preserve"> анализ уровня накопления </w:t>
            </w:r>
            <w:r w:rsidRPr="0075659D">
              <w:rPr>
                <w:rFonts w:ascii="Times New Roman" w:hAnsi="Times New Roman" w:cs="Times New Roman"/>
                <w:sz w:val="28"/>
                <w:szCs w:val="28"/>
                <w:lang w:val="en-US"/>
              </w:rPr>
              <w:t>SUV</w:t>
            </w:r>
            <w:r w:rsidRPr="0075659D">
              <w:rPr>
                <w:rFonts w:ascii="Times New Roman" w:hAnsi="Times New Roman" w:cs="Times New Roman"/>
                <w:sz w:val="28"/>
                <w:szCs w:val="28"/>
                <w:vertAlign w:val="subscript"/>
                <w:lang w:val="en-US"/>
              </w:rPr>
              <w:t>max</w:t>
            </w:r>
            <w:r w:rsidRPr="0075659D">
              <w:rPr>
                <w:rFonts w:ascii="Times New Roman" w:hAnsi="Times New Roman" w:cs="Times New Roman"/>
                <w:sz w:val="28"/>
                <w:szCs w:val="28"/>
                <w:vertAlign w:val="subscript"/>
              </w:rPr>
              <w:t xml:space="preserve"> </w:t>
            </w:r>
            <w:r w:rsidRPr="0075659D">
              <w:rPr>
                <w:rFonts w:ascii="Times New Roman" w:hAnsi="Times New Roman" w:cs="Times New Roman"/>
                <w:sz w:val="28"/>
                <w:szCs w:val="28"/>
              </w:rPr>
              <w:t>в висцеральном жире</w:t>
            </w:r>
            <w:r>
              <w:rPr>
                <w:rFonts w:ascii="Times New Roman" w:hAnsi="Times New Roman" w:cs="Times New Roman"/>
                <w:sz w:val="28"/>
                <w:szCs w:val="28"/>
              </w:rPr>
              <w:t>……………………………………………</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w:t>
            </w:r>
          </w:p>
        </w:tc>
        <w:tc>
          <w:tcPr>
            <w:tcW w:w="0" w:type="auto"/>
          </w:tcPr>
          <w:p w14:paraId="7D26A5A7" w14:textId="77777777" w:rsidR="0075659D" w:rsidRPr="00A43B9C" w:rsidRDefault="0075659D" w:rsidP="0075659D">
            <w:pPr>
              <w:spacing w:after="0" w:line="240" w:lineRule="auto"/>
              <w:jc w:val="right"/>
              <w:rPr>
                <w:rFonts w:ascii="Times New Roman" w:hAnsi="Times New Roman" w:cs="Times New Roman"/>
                <w:sz w:val="28"/>
                <w:szCs w:val="28"/>
                <w:lang w:eastAsia="ru-RU"/>
              </w:rPr>
            </w:pPr>
          </w:p>
          <w:p w14:paraId="31AD3E18" w14:textId="52A8B7FF" w:rsidR="0075659D" w:rsidRPr="000606FD" w:rsidRDefault="00531EB4" w:rsidP="0075659D">
            <w:pPr>
              <w:spacing w:after="0" w:line="240" w:lineRule="auto"/>
              <w:jc w:val="right"/>
              <w:rPr>
                <w:rFonts w:ascii="Times New Roman" w:hAnsi="Times New Roman" w:cs="Times New Roman"/>
                <w:sz w:val="28"/>
                <w:szCs w:val="28"/>
                <w:lang w:eastAsia="ru-RU"/>
              </w:rPr>
            </w:pPr>
            <w:r>
              <w:rPr>
                <w:rFonts w:ascii="Times New Roman" w:hAnsi="Times New Roman" w:cs="Times New Roman"/>
                <w:sz w:val="28"/>
                <w:szCs w:val="28"/>
                <w:lang w:val="en-US" w:eastAsia="ru-RU"/>
              </w:rPr>
              <w:t>8</w:t>
            </w:r>
            <w:r w:rsidR="00317118">
              <w:rPr>
                <w:rFonts w:ascii="Times New Roman" w:hAnsi="Times New Roman" w:cs="Times New Roman"/>
                <w:sz w:val="28"/>
                <w:szCs w:val="28"/>
                <w:lang w:eastAsia="ru-RU"/>
              </w:rPr>
              <w:t>8</w:t>
            </w:r>
          </w:p>
        </w:tc>
      </w:tr>
      <w:tr w:rsidR="0075659D" w:rsidRPr="00A43B9C" w14:paraId="387EEE60" w14:textId="77777777" w:rsidTr="003E097F">
        <w:tc>
          <w:tcPr>
            <w:tcW w:w="0" w:type="auto"/>
          </w:tcPr>
          <w:p w14:paraId="378F3789" w14:textId="77777777" w:rsidR="0075659D" w:rsidRPr="00A43B9C" w:rsidRDefault="0075659D" w:rsidP="0075659D">
            <w:pPr>
              <w:spacing w:after="0" w:line="240" w:lineRule="auto"/>
              <w:jc w:val="both"/>
              <w:rPr>
                <w:rFonts w:ascii="Times New Roman" w:hAnsi="Times New Roman" w:cs="Times New Roman"/>
                <w:sz w:val="28"/>
                <w:szCs w:val="28"/>
                <w:lang w:eastAsia="ru-RU"/>
              </w:rPr>
            </w:pPr>
          </w:p>
        </w:tc>
        <w:tc>
          <w:tcPr>
            <w:tcW w:w="0" w:type="auto"/>
          </w:tcPr>
          <w:p w14:paraId="0C524F46" w14:textId="50279F95" w:rsidR="0075659D" w:rsidRPr="00A43B9C" w:rsidRDefault="0075659D" w:rsidP="0075659D">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sz w:val="28"/>
                <w:szCs w:val="28"/>
                <w:lang w:eastAsia="ru-RU"/>
              </w:rPr>
              <w:t>3.</w:t>
            </w:r>
            <w:r w:rsidR="00C91528">
              <w:rPr>
                <w:rFonts w:ascii="Times New Roman" w:hAnsi="Times New Roman" w:cs="Times New Roman"/>
                <w:sz w:val="28"/>
                <w:szCs w:val="28"/>
                <w:lang w:eastAsia="ru-RU"/>
              </w:rPr>
              <w:t>2</w:t>
            </w:r>
            <w:r w:rsidRPr="00A43B9C">
              <w:rPr>
                <w:rFonts w:ascii="Times New Roman" w:hAnsi="Times New Roman" w:cs="Times New Roman"/>
                <w:sz w:val="28"/>
                <w:szCs w:val="28"/>
                <w:lang w:eastAsia="ru-RU"/>
              </w:rPr>
              <w:t xml:space="preserve">.3 </w:t>
            </w:r>
            <w:r>
              <w:rPr>
                <w:rFonts w:ascii="Times New Roman" w:hAnsi="Times New Roman" w:cs="Times New Roman"/>
                <w:sz w:val="28"/>
                <w:szCs w:val="28"/>
                <w:lang w:eastAsia="ru-RU"/>
              </w:rPr>
              <w:t>Д</w:t>
            </w:r>
            <w:r w:rsidRPr="00A43B9C">
              <w:rPr>
                <w:rFonts w:ascii="Times New Roman" w:hAnsi="Times New Roman" w:cs="Times New Roman"/>
                <w:sz w:val="28"/>
                <w:szCs w:val="28"/>
                <w:lang w:eastAsia="ru-RU"/>
              </w:rPr>
              <w:t>инамик</w:t>
            </w:r>
            <w:r>
              <w:rPr>
                <w:rFonts w:ascii="Times New Roman" w:hAnsi="Times New Roman" w:cs="Times New Roman"/>
                <w:sz w:val="28"/>
                <w:szCs w:val="28"/>
                <w:lang w:eastAsia="ru-RU"/>
              </w:rPr>
              <w:t>а</w:t>
            </w:r>
            <w:r w:rsidRPr="00A43B9C">
              <w:rPr>
                <w:rFonts w:ascii="Times New Roman" w:hAnsi="Times New Roman" w:cs="Times New Roman"/>
                <w:sz w:val="28"/>
                <w:szCs w:val="28"/>
                <w:lang w:eastAsia="ru-RU"/>
              </w:rPr>
              <w:t xml:space="preserve"> уровня накопления </w:t>
            </w:r>
            <w:r w:rsidRPr="00A43B9C">
              <w:rPr>
                <w:rFonts w:ascii="Times New Roman" w:hAnsi="Times New Roman" w:cs="Times New Roman"/>
                <w:sz w:val="28"/>
                <w:szCs w:val="28"/>
                <w:lang w:val="en-US" w:eastAsia="ru-RU"/>
              </w:rPr>
              <w:t>SUV</w:t>
            </w:r>
            <w:r w:rsidRPr="00A43B9C">
              <w:rPr>
                <w:rFonts w:ascii="Times New Roman" w:hAnsi="Times New Roman" w:cs="Times New Roman"/>
                <w:sz w:val="28"/>
                <w:szCs w:val="28"/>
                <w:vertAlign w:val="subscript"/>
                <w:lang w:val="en-US" w:eastAsia="ru-RU"/>
              </w:rPr>
              <w:t>max</w:t>
            </w:r>
            <w:r w:rsidRPr="00A43B9C">
              <w:rPr>
                <w:rFonts w:ascii="Times New Roman" w:hAnsi="Times New Roman" w:cs="Times New Roman"/>
                <w:sz w:val="28"/>
                <w:szCs w:val="28"/>
                <w:lang w:eastAsia="ru-RU"/>
              </w:rPr>
              <w:t xml:space="preserve"> в висцеральном жире в зависимости от </w:t>
            </w:r>
            <w:r w:rsidR="00FD338B">
              <w:rPr>
                <w:rFonts w:ascii="Times New Roman" w:hAnsi="Times New Roman" w:cs="Times New Roman"/>
                <w:sz w:val="28"/>
                <w:szCs w:val="28"/>
                <w:lang w:eastAsia="ru-RU"/>
              </w:rPr>
              <w:t>метастатического поражения брюшины</w:t>
            </w:r>
            <w:r>
              <w:rPr>
                <w:rFonts w:ascii="Times New Roman" w:hAnsi="Times New Roman" w:cs="Times New Roman"/>
                <w:sz w:val="28"/>
                <w:szCs w:val="28"/>
              </w:rPr>
              <w:t>………</w:t>
            </w:r>
            <w:r w:rsidR="0058185A">
              <w:rPr>
                <w:rFonts w:ascii="Times New Roman" w:hAnsi="Times New Roman" w:cs="Times New Roman"/>
                <w:sz w:val="28"/>
                <w:szCs w:val="28"/>
              </w:rPr>
              <w:t>…...</w:t>
            </w:r>
          </w:p>
        </w:tc>
        <w:tc>
          <w:tcPr>
            <w:tcW w:w="0" w:type="auto"/>
          </w:tcPr>
          <w:p w14:paraId="780D5D62" w14:textId="77777777" w:rsidR="0075659D" w:rsidRPr="00A43B9C" w:rsidRDefault="0075659D" w:rsidP="0075659D">
            <w:pPr>
              <w:spacing w:after="0" w:line="240" w:lineRule="auto"/>
              <w:jc w:val="right"/>
              <w:rPr>
                <w:rFonts w:ascii="Times New Roman" w:hAnsi="Times New Roman" w:cs="Times New Roman"/>
                <w:sz w:val="28"/>
                <w:szCs w:val="28"/>
                <w:lang w:eastAsia="ru-RU"/>
              </w:rPr>
            </w:pPr>
          </w:p>
          <w:p w14:paraId="45A7268E" w14:textId="120B7D10" w:rsidR="0075659D" w:rsidRPr="00317118" w:rsidRDefault="0075659D" w:rsidP="0075659D">
            <w:pPr>
              <w:spacing w:after="0" w:line="240" w:lineRule="auto"/>
              <w:jc w:val="right"/>
              <w:rPr>
                <w:rFonts w:ascii="Times New Roman" w:hAnsi="Times New Roman" w:cs="Times New Roman"/>
                <w:sz w:val="28"/>
                <w:szCs w:val="28"/>
                <w:lang w:eastAsia="ru-RU"/>
              </w:rPr>
            </w:pPr>
            <w:r w:rsidRPr="00A43B9C">
              <w:rPr>
                <w:rFonts w:ascii="Times New Roman" w:hAnsi="Times New Roman" w:cs="Times New Roman"/>
                <w:sz w:val="28"/>
                <w:szCs w:val="28"/>
                <w:lang w:eastAsia="ru-RU"/>
              </w:rPr>
              <w:t>9</w:t>
            </w:r>
            <w:r w:rsidR="00317118">
              <w:rPr>
                <w:rFonts w:ascii="Times New Roman" w:hAnsi="Times New Roman" w:cs="Times New Roman"/>
                <w:sz w:val="28"/>
                <w:szCs w:val="28"/>
                <w:lang w:eastAsia="ru-RU"/>
              </w:rPr>
              <w:t>1</w:t>
            </w:r>
          </w:p>
        </w:tc>
      </w:tr>
      <w:tr w:rsidR="0075659D" w:rsidRPr="00A43B9C" w14:paraId="3AB8878F" w14:textId="77777777" w:rsidTr="003E097F">
        <w:tc>
          <w:tcPr>
            <w:tcW w:w="0" w:type="auto"/>
          </w:tcPr>
          <w:p w14:paraId="7EAC160D" w14:textId="77777777" w:rsidR="0075659D" w:rsidRPr="00A43B9C" w:rsidRDefault="0075659D" w:rsidP="0075659D">
            <w:pPr>
              <w:spacing w:after="0" w:line="240" w:lineRule="auto"/>
              <w:jc w:val="both"/>
              <w:rPr>
                <w:rFonts w:ascii="Times New Roman" w:hAnsi="Times New Roman" w:cs="Times New Roman"/>
                <w:sz w:val="28"/>
                <w:szCs w:val="28"/>
                <w:lang w:eastAsia="ru-RU"/>
              </w:rPr>
            </w:pPr>
          </w:p>
        </w:tc>
        <w:tc>
          <w:tcPr>
            <w:tcW w:w="0" w:type="auto"/>
          </w:tcPr>
          <w:p w14:paraId="2AD6EAB5" w14:textId="341E4131" w:rsidR="0075659D" w:rsidRPr="00A43B9C" w:rsidRDefault="0075659D" w:rsidP="0075659D">
            <w:pPr>
              <w:spacing w:after="0" w:line="240" w:lineRule="auto"/>
              <w:jc w:val="both"/>
              <w:rPr>
                <w:rFonts w:ascii="Times New Roman" w:hAnsi="Times New Roman" w:cs="Times New Roman"/>
                <w:sz w:val="28"/>
                <w:szCs w:val="28"/>
                <w:lang w:val="kk-KZ" w:eastAsia="ru-RU"/>
              </w:rPr>
            </w:pPr>
            <w:r w:rsidRPr="00A43B9C">
              <w:rPr>
                <w:rFonts w:ascii="Times New Roman" w:hAnsi="Times New Roman" w:cs="Times New Roman"/>
                <w:sz w:val="28"/>
                <w:szCs w:val="28"/>
                <w:lang w:eastAsia="ru-RU"/>
              </w:rPr>
              <w:t>3.</w:t>
            </w:r>
            <w:r w:rsidR="00C91528">
              <w:rPr>
                <w:rFonts w:ascii="Times New Roman" w:hAnsi="Times New Roman" w:cs="Times New Roman"/>
                <w:sz w:val="28"/>
                <w:szCs w:val="28"/>
                <w:lang w:eastAsia="ru-RU"/>
              </w:rPr>
              <w:t>2</w:t>
            </w:r>
            <w:r w:rsidRPr="00A43B9C">
              <w:rPr>
                <w:rFonts w:ascii="Times New Roman" w:hAnsi="Times New Roman" w:cs="Times New Roman"/>
                <w:sz w:val="28"/>
                <w:szCs w:val="28"/>
                <w:lang w:eastAsia="ru-RU"/>
              </w:rPr>
              <w:t xml:space="preserve">.4 Результаты </w:t>
            </w:r>
            <w:r w:rsidRPr="00A43B9C">
              <w:rPr>
                <w:rFonts w:ascii="Times New Roman" w:hAnsi="Times New Roman" w:cs="Times New Roman"/>
                <w:sz w:val="28"/>
                <w:szCs w:val="28"/>
                <w:lang w:val="en-US" w:eastAsia="ru-RU"/>
              </w:rPr>
              <w:t>ROC</w:t>
            </w:r>
            <w:r w:rsidRPr="00A43B9C">
              <w:rPr>
                <w:rFonts w:ascii="Times New Roman" w:hAnsi="Times New Roman" w:cs="Times New Roman"/>
                <w:sz w:val="28"/>
                <w:szCs w:val="28"/>
                <w:lang w:val="kk-KZ" w:eastAsia="ru-RU"/>
              </w:rPr>
              <w:t>-</w:t>
            </w:r>
            <w:r w:rsidRPr="00A43B9C">
              <w:rPr>
                <w:rFonts w:ascii="Times New Roman" w:hAnsi="Times New Roman" w:cs="Times New Roman"/>
                <w:sz w:val="28"/>
                <w:szCs w:val="28"/>
                <w:lang w:eastAsia="ru-RU"/>
              </w:rPr>
              <w:t xml:space="preserve">анализа в зависимости от </w:t>
            </w:r>
            <w:r w:rsidR="00FD338B">
              <w:rPr>
                <w:rFonts w:ascii="Times New Roman" w:hAnsi="Times New Roman" w:cs="Times New Roman"/>
                <w:sz w:val="28"/>
                <w:szCs w:val="28"/>
                <w:lang w:eastAsia="ru-RU"/>
              </w:rPr>
              <w:t>метастатического поражения брюшины</w:t>
            </w:r>
            <w:r w:rsidR="00760A1A">
              <w:rPr>
                <w:rFonts w:ascii="Times New Roman" w:hAnsi="Times New Roman" w:cs="Times New Roman"/>
                <w:sz w:val="28"/>
                <w:szCs w:val="28"/>
                <w:lang w:eastAsia="ru-RU"/>
              </w:rPr>
              <w:t>…………………………………………………</w:t>
            </w:r>
          </w:p>
        </w:tc>
        <w:tc>
          <w:tcPr>
            <w:tcW w:w="0" w:type="auto"/>
          </w:tcPr>
          <w:p w14:paraId="7BEF395C" w14:textId="77777777" w:rsidR="0075659D" w:rsidRPr="00A43B9C" w:rsidRDefault="0075659D" w:rsidP="0075659D">
            <w:pPr>
              <w:spacing w:after="0" w:line="240" w:lineRule="auto"/>
              <w:jc w:val="right"/>
              <w:rPr>
                <w:rFonts w:ascii="Times New Roman" w:hAnsi="Times New Roman" w:cs="Times New Roman"/>
                <w:sz w:val="28"/>
                <w:szCs w:val="28"/>
                <w:lang w:eastAsia="ru-RU"/>
              </w:rPr>
            </w:pPr>
          </w:p>
          <w:p w14:paraId="36321766" w14:textId="155BF0C9" w:rsidR="0075659D" w:rsidRPr="000606FD" w:rsidRDefault="00531EB4" w:rsidP="0075659D">
            <w:pPr>
              <w:spacing w:after="0" w:line="240" w:lineRule="auto"/>
              <w:jc w:val="right"/>
              <w:rPr>
                <w:rFonts w:ascii="Times New Roman" w:hAnsi="Times New Roman" w:cs="Times New Roman"/>
                <w:sz w:val="28"/>
                <w:szCs w:val="28"/>
                <w:lang w:eastAsia="ru-RU"/>
              </w:rPr>
            </w:pPr>
            <w:r>
              <w:rPr>
                <w:rFonts w:ascii="Times New Roman" w:hAnsi="Times New Roman" w:cs="Times New Roman"/>
                <w:sz w:val="28"/>
                <w:szCs w:val="28"/>
                <w:lang w:val="en-US" w:eastAsia="ru-RU"/>
              </w:rPr>
              <w:t>9</w:t>
            </w:r>
            <w:r w:rsidR="00317118">
              <w:rPr>
                <w:rFonts w:ascii="Times New Roman" w:hAnsi="Times New Roman" w:cs="Times New Roman"/>
                <w:sz w:val="28"/>
                <w:szCs w:val="28"/>
                <w:lang w:eastAsia="ru-RU"/>
              </w:rPr>
              <w:t>6</w:t>
            </w:r>
          </w:p>
        </w:tc>
      </w:tr>
      <w:tr w:rsidR="0075659D" w:rsidRPr="00A43B9C" w14:paraId="56F00EDE" w14:textId="77777777" w:rsidTr="003E097F">
        <w:tc>
          <w:tcPr>
            <w:tcW w:w="0" w:type="auto"/>
          </w:tcPr>
          <w:p w14:paraId="1117C0E0" w14:textId="77777777" w:rsidR="0075659D" w:rsidRPr="00A43B9C" w:rsidRDefault="0075659D" w:rsidP="0075659D">
            <w:pPr>
              <w:spacing w:after="0" w:line="240" w:lineRule="auto"/>
              <w:jc w:val="both"/>
              <w:rPr>
                <w:rFonts w:ascii="Times New Roman" w:hAnsi="Times New Roman" w:cs="Times New Roman"/>
                <w:sz w:val="28"/>
                <w:szCs w:val="28"/>
                <w:lang w:eastAsia="ru-RU"/>
              </w:rPr>
            </w:pPr>
          </w:p>
        </w:tc>
        <w:tc>
          <w:tcPr>
            <w:tcW w:w="0" w:type="auto"/>
          </w:tcPr>
          <w:p w14:paraId="574F0274" w14:textId="317EF3C4" w:rsidR="0075659D" w:rsidRPr="00A43B9C" w:rsidRDefault="0075659D" w:rsidP="0075659D">
            <w:pPr>
              <w:spacing w:after="0" w:line="240" w:lineRule="auto"/>
              <w:jc w:val="both"/>
              <w:rPr>
                <w:rFonts w:ascii="Times New Roman" w:hAnsi="Times New Roman" w:cs="Times New Roman"/>
                <w:sz w:val="28"/>
                <w:szCs w:val="28"/>
                <w:lang w:val="kk-KZ" w:eastAsia="ru-RU"/>
              </w:rPr>
            </w:pPr>
            <w:r w:rsidRPr="00A43B9C">
              <w:rPr>
                <w:rFonts w:ascii="Times New Roman" w:hAnsi="Times New Roman" w:cs="Times New Roman"/>
                <w:sz w:val="28"/>
                <w:szCs w:val="28"/>
                <w:lang w:eastAsia="ru-RU"/>
              </w:rPr>
              <w:t>3.</w:t>
            </w:r>
            <w:r w:rsidR="00C91528">
              <w:rPr>
                <w:rFonts w:ascii="Times New Roman" w:hAnsi="Times New Roman" w:cs="Times New Roman"/>
                <w:sz w:val="28"/>
                <w:szCs w:val="28"/>
                <w:lang w:eastAsia="ru-RU"/>
              </w:rPr>
              <w:t>2</w:t>
            </w:r>
            <w:r w:rsidRPr="00A43B9C">
              <w:rPr>
                <w:rFonts w:ascii="Times New Roman" w:hAnsi="Times New Roman" w:cs="Times New Roman"/>
                <w:sz w:val="28"/>
                <w:szCs w:val="28"/>
                <w:lang w:eastAsia="ru-RU"/>
              </w:rPr>
              <w:t xml:space="preserve">.5 Результаты оценки прогностической </w:t>
            </w:r>
            <w:r w:rsidRPr="00A43B9C">
              <w:rPr>
                <w:rFonts w:ascii="Times New Roman" w:hAnsi="Times New Roman" w:cs="Times New Roman"/>
                <w:sz w:val="28"/>
                <w:szCs w:val="28"/>
                <w:lang w:val="kk-KZ" w:eastAsia="ru-RU"/>
              </w:rPr>
              <w:t>ценности</w:t>
            </w:r>
            <w:r w:rsidRPr="00A43B9C">
              <w:rPr>
                <w:rStyle w:val="a9"/>
                <w:rFonts w:ascii="Times New Roman" w:eastAsia="Times New Roman" w:hAnsi="Times New Roman" w:cs="Times New Roman"/>
                <w:noProof/>
                <w:color w:val="auto"/>
                <w:sz w:val="28"/>
                <w:szCs w:val="28"/>
                <w:u w:val="none"/>
                <w:lang w:eastAsia="ru-RU"/>
              </w:rPr>
              <w:t>………………</w:t>
            </w:r>
          </w:p>
        </w:tc>
        <w:tc>
          <w:tcPr>
            <w:tcW w:w="0" w:type="auto"/>
          </w:tcPr>
          <w:p w14:paraId="14A69D5F" w14:textId="4A66E886" w:rsidR="0075659D" w:rsidRPr="00531EB4" w:rsidRDefault="0075659D" w:rsidP="0075659D">
            <w:pPr>
              <w:spacing w:after="0" w:line="240" w:lineRule="auto"/>
              <w:jc w:val="right"/>
              <w:rPr>
                <w:rFonts w:ascii="Times New Roman" w:hAnsi="Times New Roman" w:cs="Times New Roman"/>
                <w:sz w:val="28"/>
                <w:szCs w:val="28"/>
                <w:lang w:val="en-US" w:eastAsia="ru-RU"/>
              </w:rPr>
            </w:pPr>
            <w:r w:rsidRPr="00A43B9C">
              <w:rPr>
                <w:rFonts w:ascii="Times New Roman" w:hAnsi="Times New Roman" w:cs="Times New Roman"/>
                <w:sz w:val="28"/>
                <w:szCs w:val="28"/>
                <w:lang w:eastAsia="ru-RU"/>
              </w:rPr>
              <w:t>1</w:t>
            </w:r>
            <w:r w:rsidR="00317118">
              <w:rPr>
                <w:rFonts w:ascii="Times New Roman" w:hAnsi="Times New Roman" w:cs="Times New Roman"/>
                <w:sz w:val="28"/>
                <w:szCs w:val="28"/>
                <w:lang w:eastAsia="ru-RU"/>
              </w:rPr>
              <w:t>09</w:t>
            </w:r>
          </w:p>
        </w:tc>
      </w:tr>
      <w:tr w:rsidR="0075659D" w:rsidRPr="00A43B9C" w14:paraId="45D97668" w14:textId="77777777" w:rsidTr="003E097F">
        <w:tc>
          <w:tcPr>
            <w:tcW w:w="0" w:type="auto"/>
          </w:tcPr>
          <w:p w14:paraId="4A982A8A" w14:textId="77777777" w:rsidR="0075659D" w:rsidRPr="00A43B9C" w:rsidRDefault="0075659D" w:rsidP="0075659D">
            <w:pPr>
              <w:spacing w:after="0" w:line="240" w:lineRule="auto"/>
              <w:jc w:val="both"/>
              <w:rPr>
                <w:rFonts w:ascii="Times New Roman" w:hAnsi="Times New Roman" w:cs="Times New Roman"/>
                <w:sz w:val="28"/>
                <w:szCs w:val="28"/>
                <w:lang w:eastAsia="ru-RU"/>
              </w:rPr>
            </w:pPr>
          </w:p>
        </w:tc>
        <w:tc>
          <w:tcPr>
            <w:tcW w:w="0" w:type="auto"/>
          </w:tcPr>
          <w:p w14:paraId="4AA4C1BB" w14:textId="77777777" w:rsidR="0075659D" w:rsidRPr="00A43B9C" w:rsidRDefault="0075659D" w:rsidP="0075659D">
            <w:pPr>
              <w:spacing w:after="0" w:line="240" w:lineRule="auto"/>
              <w:jc w:val="both"/>
              <w:rPr>
                <w:rFonts w:ascii="Times New Roman" w:hAnsi="Times New Roman" w:cs="Times New Roman"/>
                <w:sz w:val="28"/>
                <w:szCs w:val="28"/>
                <w:lang w:eastAsia="ru-RU"/>
              </w:rPr>
            </w:pPr>
          </w:p>
        </w:tc>
        <w:tc>
          <w:tcPr>
            <w:tcW w:w="0" w:type="auto"/>
          </w:tcPr>
          <w:p w14:paraId="2DA8F55B" w14:textId="77777777" w:rsidR="0075659D" w:rsidRPr="00A43B9C" w:rsidRDefault="0075659D" w:rsidP="0075659D">
            <w:pPr>
              <w:spacing w:after="0" w:line="240" w:lineRule="auto"/>
              <w:jc w:val="right"/>
              <w:rPr>
                <w:rFonts w:ascii="Times New Roman" w:hAnsi="Times New Roman" w:cs="Times New Roman"/>
                <w:sz w:val="28"/>
                <w:szCs w:val="28"/>
                <w:lang w:eastAsia="ru-RU"/>
              </w:rPr>
            </w:pPr>
          </w:p>
        </w:tc>
      </w:tr>
      <w:tr w:rsidR="00BA75B1" w:rsidRPr="00A43B9C" w14:paraId="750D8806" w14:textId="77777777" w:rsidTr="003E097F">
        <w:tc>
          <w:tcPr>
            <w:tcW w:w="0" w:type="auto"/>
          </w:tcPr>
          <w:p w14:paraId="36B7D502" w14:textId="4B6CDB66" w:rsidR="00544057" w:rsidRPr="00A43B9C" w:rsidRDefault="00544057" w:rsidP="007A6613">
            <w:pPr>
              <w:spacing w:after="0" w:line="240" w:lineRule="auto"/>
              <w:jc w:val="both"/>
              <w:rPr>
                <w:rFonts w:ascii="Times New Roman" w:hAnsi="Times New Roman" w:cs="Times New Roman"/>
                <w:b/>
                <w:bCs/>
                <w:sz w:val="28"/>
                <w:szCs w:val="28"/>
                <w:lang w:eastAsia="ru-RU"/>
              </w:rPr>
            </w:pPr>
            <w:r w:rsidRPr="00A43B9C">
              <w:rPr>
                <w:rFonts w:ascii="Times New Roman" w:hAnsi="Times New Roman" w:cs="Times New Roman"/>
                <w:b/>
                <w:bCs/>
                <w:sz w:val="28"/>
                <w:szCs w:val="28"/>
                <w:lang w:eastAsia="ru-RU"/>
              </w:rPr>
              <w:t>4</w:t>
            </w:r>
          </w:p>
        </w:tc>
        <w:tc>
          <w:tcPr>
            <w:tcW w:w="0" w:type="auto"/>
          </w:tcPr>
          <w:p w14:paraId="45738146" w14:textId="47BC42E5" w:rsidR="00544057" w:rsidRPr="00A43B9C" w:rsidRDefault="00544057" w:rsidP="007A6613">
            <w:pPr>
              <w:spacing w:after="0" w:line="240" w:lineRule="auto"/>
              <w:jc w:val="both"/>
              <w:rPr>
                <w:rFonts w:ascii="Times New Roman" w:hAnsi="Times New Roman" w:cs="Times New Roman"/>
                <w:b/>
                <w:bCs/>
                <w:sz w:val="28"/>
                <w:szCs w:val="28"/>
                <w:lang w:eastAsia="ru-RU"/>
              </w:rPr>
            </w:pPr>
            <w:r w:rsidRPr="00A43B9C">
              <w:rPr>
                <w:rFonts w:ascii="Times New Roman" w:hAnsi="Times New Roman" w:cs="Times New Roman"/>
                <w:b/>
                <w:bCs/>
                <w:sz w:val="28"/>
                <w:szCs w:val="28"/>
                <w:lang w:eastAsia="ru-RU"/>
              </w:rPr>
              <w:t>ОБСУЖДЕНИЕ</w:t>
            </w:r>
            <w:r w:rsidR="00E152C0" w:rsidRPr="00A43B9C">
              <w:rPr>
                <w:rFonts w:ascii="Times New Roman" w:hAnsi="Times New Roman" w:cs="Times New Roman"/>
                <w:b/>
                <w:bCs/>
                <w:sz w:val="28"/>
                <w:szCs w:val="28"/>
                <w:lang w:eastAsia="ru-RU"/>
              </w:rPr>
              <w:t xml:space="preserve"> ПОЛУЧЕННЫХ ДАННЫХ</w:t>
            </w:r>
            <w:r w:rsidR="00BA75B1" w:rsidRPr="00A43B9C">
              <w:rPr>
                <w:rFonts w:ascii="Times New Roman" w:hAnsi="Times New Roman" w:cs="Times New Roman"/>
                <w:sz w:val="28"/>
                <w:szCs w:val="28"/>
                <w:lang w:eastAsia="ru-RU"/>
              </w:rPr>
              <w:t>……………………</w:t>
            </w:r>
          </w:p>
        </w:tc>
        <w:tc>
          <w:tcPr>
            <w:tcW w:w="0" w:type="auto"/>
          </w:tcPr>
          <w:p w14:paraId="66D0D879" w14:textId="57566CC4" w:rsidR="00544057" w:rsidRPr="00317118" w:rsidRDefault="00E152C0" w:rsidP="007A6613">
            <w:pPr>
              <w:spacing w:after="0" w:line="240" w:lineRule="auto"/>
              <w:jc w:val="right"/>
              <w:rPr>
                <w:rFonts w:ascii="Times New Roman" w:hAnsi="Times New Roman" w:cs="Times New Roman"/>
                <w:sz w:val="28"/>
                <w:szCs w:val="28"/>
                <w:lang w:eastAsia="ru-RU"/>
              </w:rPr>
            </w:pPr>
            <w:r w:rsidRPr="00A43B9C">
              <w:rPr>
                <w:rFonts w:ascii="Times New Roman" w:hAnsi="Times New Roman" w:cs="Times New Roman"/>
                <w:sz w:val="28"/>
                <w:szCs w:val="28"/>
                <w:lang w:eastAsia="ru-RU"/>
              </w:rPr>
              <w:t>1</w:t>
            </w:r>
            <w:r w:rsidR="00531EB4">
              <w:rPr>
                <w:rFonts w:ascii="Times New Roman" w:hAnsi="Times New Roman" w:cs="Times New Roman"/>
                <w:sz w:val="28"/>
                <w:szCs w:val="28"/>
                <w:lang w:val="en-US" w:eastAsia="ru-RU"/>
              </w:rPr>
              <w:t>1</w:t>
            </w:r>
            <w:r w:rsidR="00317118">
              <w:rPr>
                <w:rFonts w:ascii="Times New Roman" w:hAnsi="Times New Roman" w:cs="Times New Roman"/>
                <w:sz w:val="28"/>
                <w:szCs w:val="28"/>
                <w:lang w:eastAsia="ru-RU"/>
              </w:rPr>
              <w:t>1</w:t>
            </w:r>
          </w:p>
        </w:tc>
      </w:tr>
      <w:tr w:rsidR="00BA75B1" w:rsidRPr="00A43B9C" w14:paraId="2ABFFD20" w14:textId="77777777" w:rsidTr="003E097F">
        <w:tc>
          <w:tcPr>
            <w:tcW w:w="0" w:type="auto"/>
            <w:gridSpan w:val="2"/>
          </w:tcPr>
          <w:p w14:paraId="17863315" w14:textId="7E8B83E2"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b/>
                <w:bCs/>
                <w:sz w:val="28"/>
                <w:szCs w:val="28"/>
                <w:lang w:eastAsia="ru-RU"/>
              </w:rPr>
              <w:t>ЗАКЛЮЧЕНИЕ</w:t>
            </w:r>
            <w:r w:rsidR="00BA75B1" w:rsidRPr="00A43B9C">
              <w:rPr>
                <w:rFonts w:ascii="Times New Roman" w:hAnsi="Times New Roman" w:cs="Times New Roman"/>
                <w:sz w:val="28"/>
                <w:szCs w:val="28"/>
                <w:lang w:eastAsia="ru-RU"/>
              </w:rPr>
              <w:t>…………………………………………………………...</w:t>
            </w:r>
          </w:p>
        </w:tc>
        <w:tc>
          <w:tcPr>
            <w:tcW w:w="0" w:type="auto"/>
          </w:tcPr>
          <w:p w14:paraId="342FD9B6" w14:textId="3443A3B8" w:rsidR="00544057" w:rsidRPr="00317118" w:rsidRDefault="00E152C0" w:rsidP="007A6613">
            <w:pPr>
              <w:spacing w:after="0" w:line="240" w:lineRule="auto"/>
              <w:jc w:val="right"/>
              <w:rPr>
                <w:rFonts w:ascii="Times New Roman" w:hAnsi="Times New Roman" w:cs="Times New Roman"/>
                <w:sz w:val="28"/>
                <w:szCs w:val="28"/>
                <w:lang w:eastAsia="ru-RU"/>
              </w:rPr>
            </w:pPr>
            <w:r w:rsidRPr="00A43B9C">
              <w:rPr>
                <w:rFonts w:ascii="Times New Roman" w:hAnsi="Times New Roman" w:cs="Times New Roman"/>
                <w:sz w:val="28"/>
                <w:szCs w:val="28"/>
                <w:lang w:eastAsia="ru-RU"/>
              </w:rPr>
              <w:t>12</w:t>
            </w:r>
            <w:r w:rsidR="00317118">
              <w:rPr>
                <w:rFonts w:ascii="Times New Roman" w:hAnsi="Times New Roman" w:cs="Times New Roman"/>
                <w:sz w:val="28"/>
                <w:szCs w:val="28"/>
                <w:lang w:eastAsia="ru-RU"/>
              </w:rPr>
              <w:t>1</w:t>
            </w:r>
          </w:p>
        </w:tc>
      </w:tr>
      <w:tr w:rsidR="00BA75B1" w:rsidRPr="00A43B9C" w14:paraId="39C0C8AE" w14:textId="77777777" w:rsidTr="003E097F">
        <w:tc>
          <w:tcPr>
            <w:tcW w:w="0" w:type="auto"/>
            <w:gridSpan w:val="2"/>
          </w:tcPr>
          <w:p w14:paraId="5F01CE92" w14:textId="1790AB7C"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b/>
                <w:bCs/>
                <w:sz w:val="28"/>
                <w:szCs w:val="28"/>
                <w:lang w:eastAsia="ru-RU"/>
              </w:rPr>
              <w:t>ПРАКТИЧЕСКИЕ РЕКОМЕНДАЦИИ</w:t>
            </w:r>
            <w:r w:rsidR="00BA75B1" w:rsidRPr="00A43B9C">
              <w:rPr>
                <w:rFonts w:ascii="Times New Roman" w:hAnsi="Times New Roman" w:cs="Times New Roman"/>
                <w:sz w:val="28"/>
                <w:szCs w:val="28"/>
                <w:lang w:eastAsia="ru-RU"/>
              </w:rPr>
              <w:t>…………………………</w:t>
            </w:r>
            <w:proofErr w:type="gramStart"/>
            <w:r w:rsidR="00BA75B1" w:rsidRPr="00A43B9C">
              <w:rPr>
                <w:rFonts w:ascii="Times New Roman" w:hAnsi="Times New Roman" w:cs="Times New Roman"/>
                <w:sz w:val="28"/>
                <w:szCs w:val="28"/>
                <w:lang w:eastAsia="ru-RU"/>
              </w:rPr>
              <w:t>…….</w:t>
            </w:r>
            <w:proofErr w:type="gramEnd"/>
            <w:r w:rsidR="00BA75B1" w:rsidRPr="00A43B9C">
              <w:rPr>
                <w:rFonts w:ascii="Times New Roman" w:hAnsi="Times New Roman" w:cs="Times New Roman"/>
                <w:sz w:val="28"/>
                <w:szCs w:val="28"/>
                <w:lang w:eastAsia="ru-RU"/>
              </w:rPr>
              <w:t>.</w:t>
            </w:r>
          </w:p>
        </w:tc>
        <w:tc>
          <w:tcPr>
            <w:tcW w:w="0" w:type="auto"/>
          </w:tcPr>
          <w:p w14:paraId="12A75DA9" w14:textId="0BEEDDAB" w:rsidR="00544057" w:rsidRPr="00646DC5" w:rsidRDefault="00E152C0" w:rsidP="007A6613">
            <w:pPr>
              <w:spacing w:after="0" w:line="240" w:lineRule="auto"/>
              <w:jc w:val="right"/>
              <w:rPr>
                <w:rFonts w:ascii="Times New Roman" w:hAnsi="Times New Roman" w:cs="Times New Roman"/>
                <w:sz w:val="28"/>
                <w:szCs w:val="28"/>
                <w:lang w:eastAsia="ru-RU"/>
              </w:rPr>
            </w:pPr>
            <w:r w:rsidRPr="00A43B9C">
              <w:rPr>
                <w:rFonts w:ascii="Times New Roman" w:hAnsi="Times New Roman" w:cs="Times New Roman"/>
                <w:sz w:val="28"/>
                <w:szCs w:val="28"/>
                <w:lang w:eastAsia="ru-RU"/>
              </w:rPr>
              <w:t>1</w:t>
            </w:r>
            <w:r w:rsidR="00531EB4">
              <w:rPr>
                <w:rFonts w:ascii="Times New Roman" w:hAnsi="Times New Roman" w:cs="Times New Roman"/>
                <w:sz w:val="28"/>
                <w:szCs w:val="28"/>
                <w:lang w:val="en-US" w:eastAsia="ru-RU"/>
              </w:rPr>
              <w:t>2</w:t>
            </w:r>
            <w:r w:rsidR="00317118" w:rsidRPr="00317118">
              <w:rPr>
                <w:rFonts w:ascii="Times New Roman" w:hAnsi="Times New Roman" w:cs="Times New Roman"/>
                <w:sz w:val="28"/>
                <w:szCs w:val="28"/>
                <w:lang w:eastAsia="ru-RU"/>
              </w:rPr>
              <w:t>4</w:t>
            </w:r>
          </w:p>
        </w:tc>
      </w:tr>
      <w:tr w:rsidR="00BA75B1" w:rsidRPr="00A43B9C" w14:paraId="1D40F1CB" w14:textId="77777777" w:rsidTr="003E097F">
        <w:tc>
          <w:tcPr>
            <w:tcW w:w="0" w:type="auto"/>
            <w:gridSpan w:val="2"/>
          </w:tcPr>
          <w:p w14:paraId="791D2E84" w14:textId="72D0C796"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b/>
                <w:bCs/>
                <w:sz w:val="28"/>
                <w:szCs w:val="28"/>
                <w:lang w:eastAsia="ru-RU"/>
              </w:rPr>
              <w:t>СПИСОК ИСПОЛЬЗОВАННЫХ ИСТОЧНИКОВ</w:t>
            </w:r>
            <w:r w:rsidR="00BA75B1" w:rsidRPr="00A43B9C">
              <w:rPr>
                <w:rFonts w:ascii="Times New Roman" w:hAnsi="Times New Roman" w:cs="Times New Roman"/>
                <w:sz w:val="28"/>
                <w:szCs w:val="28"/>
                <w:lang w:eastAsia="ru-RU"/>
              </w:rPr>
              <w:t>……………</w:t>
            </w:r>
            <w:proofErr w:type="gramStart"/>
            <w:r w:rsidR="00BA75B1" w:rsidRPr="00A43B9C">
              <w:rPr>
                <w:rFonts w:ascii="Times New Roman" w:hAnsi="Times New Roman" w:cs="Times New Roman"/>
                <w:sz w:val="28"/>
                <w:szCs w:val="28"/>
                <w:lang w:eastAsia="ru-RU"/>
              </w:rPr>
              <w:t>…….</w:t>
            </w:r>
            <w:proofErr w:type="gramEnd"/>
            <w:r w:rsidR="00BA75B1" w:rsidRPr="00A43B9C">
              <w:rPr>
                <w:rFonts w:ascii="Times New Roman" w:hAnsi="Times New Roman" w:cs="Times New Roman"/>
                <w:sz w:val="28"/>
                <w:szCs w:val="28"/>
                <w:lang w:eastAsia="ru-RU"/>
              </w:rPr>
              <w:t>.</w:t>
            </w:r>
          </w:p>
        </w:tc>
        <w:tc>
          <w:tcPr>
            <w:tcW w:w="0" w:type="auto"/>
          </w:tcPr>
          <w:p w14:paraId="13F4467D" w14:textId="41B7BB08" w:rsidR="00544057" w:rsidRPr="00646DC5" w:rsidRDefault="00E152C0" w:rsidP="007A6613">
            <w:pPr>
              <w:spacing w:after="0" w:line="240" w:lineRule="auto"/>
              <w:jc w:val="right"/>
              <w:rPr>
                <w:rFonts w:ascii="Times New Roman" w:hAnsi="Times New Roman" w:cs="Times New Roman"/>
                <w:sz w:val="28"/>
                <w:szCs w:val="28"/>
                <w:lang w:eastAsia="ru-RU"/>
              </w:rPr>
            </w:pPr>
            <w:r w:rsidRPr="00A43B9C">
              <w:rPr>
                <w:rFonts w:ascii="Times New Roman" w:hAnsi="Times New Roman" w:cs="Times New Roman"/>
                <w:sz w:val="28"/>
                <w:szCs w:val="28"/>
                <w:lang w:eastAsia="ru-RU"/>
              </w:rPr>
              <w:t>1</w:t>
            </w:r>
            <w:r w:rsidR="00C91528">
              <w:rPr>
                <w:rFonts w:ascii="Times New Roman" w:hAnsi="Times New Roman" w:cs="Times New Roman"/>
                <w:sz w:val="28"/>
                <w:szCs w:val="28"/>
                <w:lang w:eastAsia="ru-RU"/>
              </w:rPr>
              <w:t>2</w:t>
            </w:r>
            <w:r w:rsidR="00317118" w:rsidRPr="00317118">
              <w:rPr>
                <w:rFonts w:ascii="Times New Roman" w:hAnsi="Times New Roman" w:cs="Times New Roman"/>
                <w:sz w:val="28"/>
                <w:szCs w:val="28"/>
                <w:lang w:eastAsia="ru-RU"/>
              </w:rPr>
              <w:t>5</w:t>
            </w:r>
          </w:p>
        </w:tc>
      </w:tr>
      <w:tr w:rsidR="00BA75B1" w:rsidRPr="00A43B9C" w14:paraId="3604D6C1" w14:textId="77777777" w:rsidTr="003E097F">
        <w:tc>
          <w:tcPr>
            <w:tcW w:w="0" w:type="auto"/>
            <w:gridSpan w:val="2"/>
          </w:tcPr>
          <w:p w14:paraId="5F8B660E" w14:textId="5A0F27EA"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b/>
                <w:bCs/>
                <w:sz w:val="28"/>
                <w:szCs w:val="28"/>
                <w:lang w:eastAsia="ru-RU"/>
              </w:rPr>
              <w:t>ПРИЛОЖЕНИ</w:t>
            </w:r>
            <w:r w:rsidR="006A22C6">
              <w:rPr>
                <w:rFonts w:ascii="Times New Roman" w:hAnsi="Times New Roman" w:cs="Times New Roman"/>
                <w:b/>
                <w:bCs/>
                <w:sz w:val="28"/>
                <w:szCs w:val="28"/>
                <w:lang w:eastAsia="ru-RU"/>
              </w:rPr>
              <w:t>Е А</w:t>
            </w:r>
            <w:r w:rsidR="006A22C6" w:rsidRPr="00F6152F">
              <w:rPr>
                <w:rFonts w:ascii="Times New Roman" w:hAnsi="Times New Roman" w:cs="Times New Roman"/>
                <w:sz w:val="28"/>
                <w:szCs w:val="28"/>
                <w:lang w:eastAsia="ru-RU"/>
              </w:rPr>
              <w:t xml:space="preserve"> – </w:t>
            </w:r>
            <w:r w:rsidR="006A22C6">
              <w:rPr>
                <w:rFonts w:ascii="Times New Roman" w:hAnsi="Times New Roman" w:cs="Times New Roman"/>
                <w:sz w:val="28"/>
                <w:szCs w:val="28"/>
                <w:lang w:eastAsia="ru-RU"/>
              </w:rPr>
              <w:t>Акты внедрения результатов научно-исследовательской работы</w:t>
            </w:r>
            <w:r w:rsidR="00BA75B1" w:rsidRPr="006A22C6">
              <w:rPr>
                <w:rFonts w:ascii="Times New Roman" w:hAnsi="Times New Roman" w:cs="Times New Roman"/>
                <w:sz w:val="28"/>
                <w:szCs w:val="28"/>
                <w:lang w:eastAsia="ru-RU"/>
              </w:rPr>
              <w:t>…………………………………………………</w:t>
            </w:r>
          </w:p>
        </w:tc>
        <w:tc>
          <w:tcPr>
            <w:tcW w:w="0" w:type="auto"/>
          </w:tcPr>
          <w:p w14:paraId="17FEEC20" w14:textId="77777777" w:rsidR="006A22C6" w:rsidRDefault="006A22C6" w:rsidP="007A6613">
            <w:pPr>
              <w:spacing w:after="0" w:line="240" w:lineRule="auto"/>
              <w:jc w:val="right"/>
              <w:rPr>
                <w:rFonts w:ascii="Times New Roman" w:hAnsi="Times New Roman" w:cs="Times New Roman"/>
                <w:sz w:val="28"/>
                <w:szCs w:val="28"/>
                <w:lang w:eastAsia="ru-RU"/>
              </w:rPr>
            </w:pPr>
          </w:p>
          <w:p w14:paraId="4D0E3B46" w14:textId="48E699DA" w:rsidR="00544057" w:rsidRPr="00531EB4" w:rsidRDefault="00915BBB" w:rsidP="007A6613">
            <w:pPr>
              <w:spacing w:after="0" w:line="240" w:lineRule="auto"/>
              <w:jc w:val="right"/>
              <w:rPr>
                <w:rFonts w:ascii="Times New Roman" w:hAnsi="Times New Roman" w:cs="Times New Roman"/>
                <w:sz w:val="28"/>
                <w:szCs w:val="28"/>
                <w:lang w:val="en-US" w:eastAsia="ru-RU"/>
              </w:rPr>
            </w:pPr>
            <w:r w:rsidRPr="00A43B9C">
              <w:rPr>
                <w:rFonts w:ascii="Times New Roman" w:hAnsi="Times New Roman" w:cs="Times New Roman"/>
                <w:sz w:val="28"/>
                <w:szCs w:val="28"/>
                <w:lang w:eastAsia="ru-RU"/>
              </w:rPr>
              <w:t>1</w:t>
            </w:r>
            <w:r w:rsidR="008D0771">
              <w:rPr>
                <w:rFonts w:ascii="Times New Roman" w:hAnsi="Times New Roman" w:cs="Times New Roman"/>
                <w:sz w:val="28"/>
                <w:szCs w:val="28"/>
                <w:lang w:eastAsia="ru-RU"/>
              </w:rPr>
              <w:t>4</w:t>
            </w:r>
            <w:r w:rsidR="00317118" w:rsidRPr="00317118">
              <w:rPr>
                <w:rFonts w:ascii="Times New Roman" w:hAnsi="Times New Roman" w:cs="Times New Roman"/>
                <w:sz w:val="28"/>
                <w:szCs w:val="28"/>
                <w:lang w:eastAsia="ru-RU"/>
              </w:rPr>
              <w:t>2</w:t>
            </w:r>
          </w:p>
        </w:tc>
      </w:tr>
      <w:tr w:rsidR="006A22C6" w:rsidRPr="00A43B9C" w14:paraId="22668985" w14:textId="77777777" w:rsidTr="003E097F">
        <w:tc>
          <w:tcPr>
            <w:tcW w:w="0" w:type="auto"/>
            <w:gridSpan w:val="2"/>
          </w:tcPr>
          <w:p w14:paraId="5CE33451" w14:textId="0EC007CD" w:rsidR="006A22C6" w:rsidRPr="006A22C6" w:rsidRDefault="006A22C6" w:rsidP="007A6613">
            <w:pPr>
              <w:spacing w:after="0" w:line="240" w:lineRule="auto"/>
              <w:jc w:val="both"/>
              <w:rPr>
                <w:rFonts w:ascii="Times New Roman" w:hAnsi="Times New Roman" w:cs="Times New Roman"/>
                <w:sz w:val="28"/>
              </w:rPr>
            </w:pPr>
            <w:r w:rsidRPr="00A43B9C">
              <w:rPr>
                <w:rFonts w:ascii="Times New Roman" w:hAnsi="Times New Roman" w:cs="Times New Roman"/>
                <w:b/>
                <w:bCs/>
                <w:sz w:val="28"/>
                <w:szCs w:val="28"/>
                <w:lang w:eastAsia="ru-RU"/>
              </w:rPr>
              <w:t>ПРИЛОЖЕНИ</w:t>
            </w:r>
            <w:r>
              <w:rPr>
                <w:rFonts w:ascii="Times New Roman" w:hAnsi="Times New Roman" w:cs="Times New Roman"/>
                <w:b/>
                <w:bCs/>
                <w:sz w:val="28"/>
                <w:szCs w:val="28"/>
                <w:lang w:eastAsia="ru-RU"/>
              </w:rPr>
              <w:t>Е Б</w:t>
            </w:r>
            <w:r w:rsidRPr="00F6152F">
              <w:rPr>
                <w:rFonts w:ascii="Times New Roman" w:hAnsi="Times New Roman" w:cs="Times New Roman"/>
                <w:sz w:val="28"/>
                <w:szCs w:val="28"/>
                <w:lang w:eastAsia="ru-RU"/>
              </w:rPr>
              <w:t xml:space="preserve"> - </w:t>
            </w:r>
            <w:r w:rsidRPr="006A22C6">
              <w:rPr>
                <w:rFonts w:ascii="Times New Roman" w:hAnsi="Times New Roman" w:cs="Times New Roman"/>
                <w:sz w:val="28"/>
                <w:szCs w:val="28"/>
                <w:shd w:val="clear" w:color="auto" w:fill="FFFFFF"/>
              </w:rPr>
              <w:t xml:space="preserve">Алгоритм </w:t>
            </w:r>
            <w:r w:rsidR="00FD338B" w:rsidRPr="00FD338B">
              <w:rPr>
                <w:rFonts w:ascii="Times New Roman" w:hAnsi="Times New Roman" w:cs="Times New Roman"/>
                <w:sz w:val="28"/>
              </w:rPr>
              <w:t xml:space="preserve">применения прогноза метастазирования брюшины путем измерения уровня накопления </w:t>
            </w:r>
            <w:r w:rsidR="00FD338B" w:rsidRPr="0058185A">
              <w:rPr>
                <w:rFonts w:ascii="Times New Roman" w:hAnsi="Times New Roman" w:cs="Times New Roman"/>
                <w:sz w:val="28"/>
                <w:vertAlign w:val="superscript"/>
              </w:rPr>
              <w:t>18</w:t>
            </w:r>
            <w:r w:rsidR="00FD338B" w:rsidRPr="00FD338B">
              <w:rPr>
                <w:rFonts w:ascii="Times New Roman" w:hAnsi="Times New Roman" w:cs="Times New Roman"/>
                <w:sz w:val="28"/>
              </w:rPr>
              <w:t>F-FDG при ПЭТ/КТ</w:t>
            </w:r>
            <w:r w:rsidR="00051345">
              <w:rPr>
                <w:rFonts w:ascii="Times New Roman" w:hAnsi="Times New Roman" w:cs="Times New Roman"/>
                <w:sz w:val="28"/>
              </w:rPr>
              <w:t xml:space="preserve"> </w:t>
            </w:r>
            <w:r w:rsidR="00FD338B" w:rsidRPr="00FD338B">
              <w:rPr>
                <w:rFonts w:ascii="Times New Roman" w:hAnsi="Times New Roman" w:cs="Times New Roman"/>
                <w:sz w:val="28"/>
              </w:rPr>
              <w:t>исследовании в висцеральной жировой ткани</w:t>
            </w:r>
            <w:r>
              <w:rPr>
                <w:rFonts w:ascii="Times New Roman" w:hAnsi="Times New Roman" w:cs="Times New Roman"/>
                <w:sz w:val="28"/>
              </w:rPr>
              <w:t>...</w:t>
            </w:r>
            <w:r w:rsidR="0058185A">
              <w:rPr>
                <w:rFonts w:ascii="Times New Roman" w:hAnsi="Times New Roman" w:cs="Times New Roman"/>
                <w:sz w:val="28"/>
              </w:rPr>
              <w:t>..........</w:t>
            </w:r>
          </w:p>
        </w:tc>
        <w:tc>
          <w:tcPr>
            <w:tcW w:w="0" w:type="auto"/>
          </w:tcPr>
          <w:p w14:paraId="06E858B9" w14:textId="77777777" w:rsidR="006A22C6" w:rsidRDefault="006A22C6" w:rsidP="007A6613">
            <w:pPr>
              <w:spacing w:after="0" w:line="240" w:lineRule="auto"/>
              <w:jc w:val="right"/>
              <w:rPr>
                <w:rFonts w:ascii="Times New Roman" w:hAnsi="Times New Roman" w:cs="Times New Roman"/>
                <w:sz w:val="28"/>
                <w:szCs w:val="28"/>
                <w:lang w:eastAsia="ru-RU"/>
              </w:rPr>
            </w:pPr>
          </w:p>
          <w:p w14:paraId="185FC6EF" w14:textId="77777777" w:rsidR="006A22C6" w:rsidRDefault="006A22C6" w:rsidP="007A6613">
            <w:pPr>
              <w:spacing w:after="0" w:line="240" w:lineRule="auto"/>
              <w:jc w:val="right"/>
              <w:rPr>
                <w:rFonts w:ascii="Times New Roman" w:hAnsi="Times New Roman" w:cs="Times New Roman"/>
                <w:sz w:val="28"/>
                <w:szCs w:val="28"/>
                <w:lang w:eastAsia="ru-RU"/>
              </w:rPr>
            </w:pPr>
          </w:p>
          <w:p w14:paraId="135AEDEE" w14:textId="5E616810" w:rsidR="006A22C6" w:rsidRPr="00D90208" w:rsidRDefault="006A22C6" w:rsidP="007A6613">
            <w:pPr>
              <w:spacing w:after="0" w:line="240" w:lineRule="auto"/>
              <w:jc w:val="right"/>
              <w:rPr>
                <w:rFonts w:ascii="Times New Roman" w:hAnsi="Times New Roman" w:cs="Times New Roman"/>
                <w:sz w:val="28"/>
                <w:szCs w:val="28"/>
                <w:lang w:eastAsia="ru-RU"/>
              </w:rPr>
            </w:pPr>
            <w:r>
              <w:rPr>
                <w:rFonts w:ascii="Times New Roman" w:hAnsi="Times New Roman" w:cs="Times New Roman"/>
                <w:sz w:val="28"/>
                <w:szCs w:val="28"/>
                <w:lang w:eastAsia="ru-RU"/>
              </w:rPr>
              <w:t>1</w:t>
            </w:r>
            <w:r w:rsidR="00531EB4">
              <w:rPr>
                <w:rFonts w:ascii="Times New Roman" w:hAnsi="Times New Roman" w:cs="Times New Roman"/>
                <w:sz w:val="28"/>
                <w:szCs w:val="28"/>
                <w:lang w:val="en-US" w:eastAsia="ru-RU"/>
              </w:rPr>
              <w:t>4</w:t>
            </w:r>
            <w:r w:rsidR="00317118" w:rsidRPr="00317118">
              <w:rPr>
                <w:rFonts w:ascii="Times New Roman" w:hAnsi="Times New Roman" w:cs="Times New Roman"/>
                <w:sz w:val="28"/>
                <w:szCs w:val="28"/>
                <w:lang w:eastAsia="ru-RU"/>
              </w:rPr>
              <w:t>7</w:t>
            </w:r>
          </w:p>
        </w:tc>
      </w:tr>
      <w:tr w:rsidR="006A22C6" w:rsidRPr="00A43B9C" w14:paraId="5FC121FD" w14:textId="77777777" w:rsidTr="003E097F">
        <w:tc>
          <w:tcPr>
            <w:tcW w:w="0" w:type="auto"/>
            <w:gridSpan w:val="2"/>
          </w:tcPr>
          <w:p w14:paraId="08D6C094" w14:textId="3BD66BED" w:rsidR="006A22C6" w:rsidRPr="00940626" w:rsidRDefault="006A22C6" w:rsidP="007A6613">
            <w:pPr>
              <w:spacing w:after="0" w:line="240" w:lineRule="auto"/>
              <w:jc w:val="both"/>
              <w:rPr>
                <w:rFonts w:ascii="Times New Roman" w:hAnsi="Times New Roman" w:cs="Times New Roman"/>
                <w:b/>
                <w:bCs/>
                <w:sz w:val="28"/>
                <w:szCs w:val="28"/>
                <w:lang w:eastAsia="ru-RU"/>
              </w:rPr>
            </w:pPr>
            <w:r w:rsidRPr="00A43B9C">
              <w:rPr>
                <w:rFonts w:ascii="Times New Roman" w:hAnsi="Times New Roman" w:cs="Times New Roman"/>
                <w:b/>
                <w:bCs/>
                <w:sz w:val="28"/>
                <w:szCs w:val="28"/>
                <w:lang w:eastAsia="ru-RU"/>
              </w:rPr>
              <w:t>ПРИЛОЖЕНИ</w:t>
            </w:r>
            <w:r>
              <w:rPr>
                <w:rFonts w:ascii="Times New Roman" w:hAnsi="Times New Roman" w:cs="Times New Roman"/>
                <w:b/>
                <w:bCs/>
                <w:sz w:val="28"/>
                <w:szCs w:val="28"/>
                <w:lang w:eastAsia="ru-RU"/>
              </w:rPr>
              <w:t>Е В</w:t>
            </w:r>
            <w:r w:rsidRPr="00F6152F">
              <w:rPr>
                <w:rFonts w:ascii="Times New Roman" w:hAnsi="Times New Roman" w:cs="Times New Roman"/>
                <w:sz w:val="28"/>
                <w:szCs w:val="28"/>
                <w:lang w:eastAsia="ru-RU"/>
              </w:rPr>
              <w:t xml:space="preserve"> – </w:t>
            </w:r>
            <w:r>
              <w:rPr>
                <w:rFonts w:ascii="Times New Roman" w:hAnsi="Times New Roman" w:cs="Times New Roman"/>
                <w:sz w:val="28"/>
                <w:szCs w:val="28"/>
                <w:lang w:eastAsia="ru-RU"/>
              </w:rPr>
              <w:t>Решения этического комитета</w:t>
            </w:r>
            <w:r w:rsidRPr="006A22C6">
              <w:rPr>
                <w:rFonts w:ascii="Times New Roman" w:hAnsi="Times New Roman" w:cs="Times New Roman"/>
                <w:sz w:val="28"/>
                <w:szCs w:val="28"/>
                <w:lang w:eastAsia="ru-RU"/>
              </w:rPr>
              <w:t>………</w:t>
            </w:r>
            <w:r w:rsidR="009E0EB8" w:rsidRPr="00940626">
              <w:rPr>
                <w:rFonts w:ascii="Times New Roman" w:hAnsi="Times New Roman" w:cs="Times New Roman"/>
                <w:sz w:val="28"/>
                <w:szCs w:val="28"/>
                <w:lang w:eastAsia="ru-RU"/>
              </w:rPr>
              <w:t>………</w:t>
            </w:r>
            <w:proofErr w:type="gramStart"/>
            <w:r w:rsidR="009E0EB8" w:rsidRPr="00940626">
              <w:rPr>
                <w:rFonts w:ascii="Times New Roman" w:hAnsi="Times New Roman" w:cs="Times New Roman"/>
                <w:sz w:val="28"/>
                <w:szCs w:val="28"/>
                <w:lang w:eastAsia="ru-RU"/>
              </w:rPr>
              <w:t>…….</w:t>
            </w:r>
            <w:proofErr w:type="gramEnd"/>
          </w:p>
        </w:tc>
        <w:tc>
          <w:tcPr>
            <w:tcW w:w="0" w:type="auto"/>
          </w:tcPr>
          <w:p w14:paraId="31A69C26" w14:textId="5099D456" w:rsidR="006A22C6" w:rsidRPr="00D90208" w:rsidRDefault="006A22C6" w:rsidP="007A6613">
            <w:pPr>
              <w:spacing w:after="0" w:line="240" w:lineRule="auto"/>
              <w:jc w:val="right"/>
              <w:rPr>
                <w:rFonts w:ascii="Times New Roman" w:hAnsi="Times New Roman" w:cs="Times New Roman"/>
                <w:sz w:val="28"/>
                <w:szCs w:val="28"/>
                <w:lang w:eastAsia="ru-RU"/>
              </w:rPr>
            </w:pPr>
            <w:r>
              <w:rPr>
                <w:rFonts w:ascii="Times New Roman" w:hAnsi="Times New Roman" w:cs="Times New Roman"/>
                <w:sz w:val="28"/>
                <w:szCs w:val="28"/>
                <w:lang w:eastAsia="ru-RU"/>
              </w:rPr>
              <w:t>1</w:t>
            </w:r>
            <w:r w:rsidR="00531EB4">
              <w:rPr>
                <w:rFonts w:ascii="Times New Roman" w:hAnsi="Times New Roman" w:cs="Times New Roman"/>
                <w:sz w:val="28"/>
                <w:szCs w:val="28"/>
                <w:lang w:val="en-US" w:eastAsia="ru-RU"/>
              </w:rPr>
              <w:t>4</w:t>
            </w:r>
            <w:r w:rsidR="00317118" w:rsidRPr="00317118">
              <w:rPr>
                <w:rFonts w:ascii="Times New Roman" w:hAnsi="Times New Roman" w:cs="Times New Roman"/>
                <w:sz w:val="28"/>
                <w:szCs w:val="28"/>
                <w:lang w:eastAsia="ru-RU"/>
              </w:rPr>
              <w:t>8</w:t>
            </w:r>
          </w:p>
        </w:tc>
      </w:tr>
      <w:tr w:rsidR="006A22C6" w:rsidRPr="00A43B9C" w14:paraId="63CE1CCC" w14:textId="77777777" w:rsidTr="003E097F">
        <w:tc>
          <w:tcPr>
            <w:tcW w:w="0" w:type="auto"/>
            <w:gridSpan w:val="2"/>
          </w:tcPr>
          <w:p w14:paraId="0844AF3A" w14:textId="49AA2F61" w:rsidR="006A22C6" w:rsidRPr="00A43B9C" w:rsidRDefault="006A22C6" w:rsidP="007A6613">
            <w:pPr>
              <w:spacing w:after="0" w:line="240" w:lineRule="auto"/>
              <w:jc w:val="both"/>
              <w:rPr>
                <w:rFonts w:ascii="Times New Roman" w:hAnsi="Times New Roman" w:cs="Times New Roman"/>
                <w:b/>
                <w:bCs/>
                <w:sz w:val="28"/>
                <w:szCs w:val="28"/>
                <w:lang w:eastAsia="ru-RU"/>
              </w:rPr>
            </w:pPr>
            <w:r w:rsidRPr="00A43B9C">
              <w:rPr>
                <w:rFonts w:ascii="Times New Roman" w:hAnsi="Times New Roman" w:cs="Times New Roman"/>
                <w:b/>
                <w:bCs/>
                <w:sz w:val="28"/>
                <w:szCs w:val="28"/>
                <w:lang w:eastAsia="ru-RU"/>
              </w:rPr>
              <w:t>ПРИЛОЖЕНИ</w:t>
            </w:r>
            <w:r>
              <w:rPr>
                <w:rFonts w:ascii="Times New Roman" w:hAnsi="Times New Roman" w:cs="Times New Roman"/>
                <w:b/>
                <w:bCs/>
                <w:sz w:val="28"/>
                <w:szCs w:val="28"/>
                <w:lang w:eastAsia="ru-RU"/>
              </w:rPr>
              <w:t>Е Г</w:t>
            </w:r>
            <w:r w:rsidRPr="00F6152F">
              <w:rPr>
                <w:rFonts w:ascii="Times New Roman" w:hAnsi="Times New Roman" w:cs="Times New Roman"/>
                <w:sz w:val="28"/>
                <w:szCs w:val="28"/>
                <w:lang w:eastAsia="ru-RU"/>
              </w:rPr>
              <w:t xml:space="preserve"> – </w:t>
            </w:r>
            <w:r>
              <w:rPr>
                <w:rFonts w:ascii="Times New Roman" w:hAnsi="Times New Roman" w:cs="Times New Roman"/>
                <w:sz w:val="28"/>
                <w:szCs w:val="28"/>
                <w:lang w:eastAsia="ru-RU"/>
              </w:rPr>
              <w:t>Информированное согласие пациента на проведение исследования на позитронно-эмиссионном томографе, совмещенном с компьютерным томографом</w:t>
            </w:r>
            <w:r w:rsidRPr="006A22C6">
              <w:rPr>
                <w:rFonts w:ascii="Times New Roman" w:hAnsi="Times New Roman" w:cs="Times New Roman"/>
                <w:sz w:val="28"/>
                <w:szCs w:val="28"/>
                <w:lang w:eastAsia="ru-RU"/>
              </w:rPr>
              <w:t>………………………</w:t>
            </w:r>
            <w:proofErr w:type="gramStart"/>
            <w:r w:rsidRPr="006A22C6">
              <w:rPr>
                <w:rFonts w:ascii="Times New Roman" w:hAnsi="Times New Roman" w:cs="Times New Roman"/>
                <w:sz w:val="28"/>
                <w:szCs w:val="28"/>
                <w:lang w:eastAsia="ru-RU"/>
              </w:rPr>
              <w:t>…</w:t>
            </w:r>
            <w:r>
              <w:rPr>
                <w:rFonts w:ascii="Times New Roman" w:hAnsi="Times New Roman" w:cs="Times New Roman"/>
                <w:sz w:val="28"/>
                <w:szCs w:val="28"/>
                <w:lang w:eastAsia="ru-RU"/>
              </w:rPr>
              <w:t>….</w:t>
            </w:r>
            <w:proofErr w:type="gramEnd"/>
            <w:r w:rsidR="0058185A">
              <w:rPr>
                <w:rFonts w:ascii="Times New Roman" w:hAnsi="Times New Roman" w:cs="Times New Roman"/>
                <w:sz w:val="28"/>
                <w:szCs w:val="28"/>
                <w:lang w:eastAsia="ru-RU"/>
              </w:rPr>
              <w:t>.</w:t>
            </w:r>
          </w:p>
        </w:tc>
        <w:tc>
          <w:tcPr>
            <w:tcW w:w="0" w:type="auto"/>
          </w:tcPr>
          <w:p w14:paraId="1CC59871" w14:textId="77777777" w:rsidR="006A22C6" w:rsidRDefault="006A22C6" w:rsidP="007A6613">
            <w:pPr>
              <w:spacing w:after="0" w:line="240" w:lineRule="auto"/>
              <w:jc w:val="right"/>
              <w:rPr>
                <w:rFonts w:ascii="Times New Roman" w:hAnsi="Times New Roman" w:cs="Times New Roman"/>
                <w:sz w:val="28"/>
                <w:szCs w:val="28"/>
                <w:lang w:eastAsia="ru-RU"/>
              </w:rPr>
            </w:pPr>
          </w:p>
          <w:p w14:paraId="3EE51555" w14:textId="77777777" w:rsidR="006A22C6" w:rsidRDefault="006A22C6" w:rsidP="007A6613">
            <w:pPr>
              <w:spacing w:after="0" w:line="240" w:lineRule="auto"/>
              <w:jc w:val="right"/>
              <w:rPr>
                <w:rFonts w:ascii="Times New Roman" w:hAnsi="Times New Roman" w:cs="Times New Roman"/>
                <w:sz w:val="28"/>
                <w:szCs w:val="28"/>
                <w:lang w:eastAsia="ru-RU"/>
              </w:rPr>
            </w:pPr>
          </w:p>
          <w:p w14:paraId="4E02FDC4" w14:textId="4ECB3162" w:rsidR="006A22C6" w:rsidRPr="00531EB4" w:rsidRDefault="006A22C6" w:rsidP="007A6613">
            <w:pPr>
              <w:spacing w:after="0" w:line="240" w:lineRule="auto"/>
              <w:jc w:val="right"/>
              <w:rPr>
                <w:rFonts w:ascii="Times New Roman" w:hAnsi="Times New Roman" w:cs="Times New Roman"/>
                <w:sz w:val="28"/>
                <w:szCs w:val="28"/>
                <w:lang w:val="en-US" w:eastAsia="ru-RU"/>
              </w:rPr>
            </w:pPr>
            <w:r>
              <w:rPr>
                <w:rFonts w:ascii="Times New Roman" w:hAnsi="Times New Roman" w:cs="Times New Roman"/>
                <w:sz w:val="28"/>
                <w:szCs w:val="28"/>
                <w:lang w:eastAsia="ru-RU"/>
              </w:rPr>
              <w:t>1</w:t>
            </w:r>
            <w:r w:rsidR="000606FD">
              <w:rPr>
                <w:rFonts w:ascii="Times New Roman" w:hAnsi="Times New Roman" w:cs="Times New Roman"/>
                <w:sz w:val="28"/>
                <w:szCs w:val="28"/>
                <w:lang w:eastAsia="ru-RU"/>
              </w:rPr>
              <w:t>5</w:t>
            </w:r>
            <w:r w:rsidR="00317118" w:rsidRPr="00317118">
              <w:rPr>
                <w:rFonts w:ascii="Times New Roman" w:hAnsi="Times New Roman" w:cs="Times New Roman"/>
                <w:sz w:val="28"/>
                <w:szCs w:val="28"/>
                <w:lang w:eastAsia="ru-RU"/>
              </w:rPr>
              <w:t>0</w:t>
            </w:r>
          </w:p>
        </w:tc>
      </w:tr>
      <w:tr w:rsidR="006A22C6" w:rsidRPr="00A43B9C" w14:paraId="34FBABC7" w14:textId="77777777" w:rsidTr="003E097F">
        <w:tc>
          <w:tcPr>
            <w:tcW w:w="0" w:type="auto"/>
            <w:gridSpan w:val="2"/>
          </w:tcPr>
          <w:p w14:paraId="7FFF8FB1" w14:textId="1C6F147F" w:rsidR="006A22C6" w:rsidRPr="00A43B9C" w:rsidRDefault="006A22C6" w:rsidP="007A6613">
            <w:pPr>
              <w:spacing w:after="0" w:line="240" w:lineRule="auto"/>
              <w:jc w:val="both"/>
              <w:rPr>
                <w:rFonts w:ascii="Times New Roman" w:hAnsi="Times New Roman" w:cs="Times New Roman"/>
                <w:b/>
                <w:bCs/>
                <w:sz w:val="28"/>
                <w:szCs w:val="28"/>
                <w:lang w:eastAsia="ru-RU"/>
              </w:rPr>
            </w:pPr>
            <w:r w:rsidRPr="00A43B9C">
              <w:rPr>
                <w:rFonts w:ascii="Times New Roman" w:hAnsi="Times New Roman" w:cs="Times New Roman"/>
                <w:b/>
                <w:bCs/>
                <w:sz w:val="28"/>
                <w:szCs w:val="28"/>
                <w:lang w:eastAsia="ru-RU"/>
              </w:rPr>
              <w:t>ПРИЛОЖЕНИ</w:t>
            </w:r>
            <w:r>
              <w:rPr>
                <w:rFonts w:ascii="Times New Roman" w:hAnsi="Times New Roman" w:cs="Times New Roman"/>
                <w:b/>
                <w:bCs/>
                <w:sz w:val="28"/>
                <w:szCs w:val="28"/>
                <w:lang w:eastAsia="ru-RU"/>
              </w:rPr>
              <w:t>Е Д</w:t>
            </w:r>
            <w:r w:rsidRPr="00F6152F">
              <w:rPr>
                <w:rFonts w:ascii="Times New Roman" w:hAnsi="Times New Roman" w:cs="Times New Roman"/>
                <w:sz w:val="28"/>
                <w:szCs w:val="28"/>
                <w:lang w:eastAsia="ru-RU"/>
              </w:rPr>
              <w:t xml:space="preserve"> </w:t>
            </w:r>
            <w:r w:rsidR="00D61025" w:rsidRPr="00F6152F">
              <w:rPr>
                <w:rFonts w:ascii="Times New Roman" w:hAnsi="Times New Roman" w:cs="Times New Roman"/>
                <w:sz w:val="28"/>
                <w:szCs w:val="28"/>
                <w:lang w:eastAsia="ru-RU"/>
              </w:rPr>
              <w:t>–</w:t>
            </w:r>
            <w:r w:rsidRPr="00F6152F">
              <w:rPr>
                <w:rFonts w:ascii="Times New Roman" w:hAnsi="Times New Roman" w:cs="Times New Roman"/>
                <w:sz w:val="28"/>
                <w:szCs w:val="28"/>
                <w:lang w:eastAsia="ru-RU"/>
              </w:rPr>
              <w:t xml:space="preserve"> </w:t>
            </w:r>
            <w:r w:rsidR="00D61025">
              <w:rPr>
                <w:rFonts w:ascii="Times New Roman" w:hAnsi="Times New Roman" w:cs="Times New Roman"/>
                <w:sz w:val="28"/>
                <w:szCs w:val="28"/>
                <w:lang w:eastAsia="ru-RU"/>
              </w:rPr>
              <w:t>Информированный лист пациента</w:t>
            </w:r>
            <w:r w:rsidRPr="006A22C6">
              <w:rPr>
                <w:rFonts w:ascii="Times New Roman" w:hAnsi="Times New Roman" w:cs="Times New Roman"/>
                <w:sz w:val="28"/>
                <w:szCs w:val="28"/>
                <w:lang w:eastAsia="ru-RU"/>
              </w:rPr>
              <w:t>…………</w:t>
            </w:r>
            <w:proofErr w:type="gramStart"/>
            <w:r w:rsidRPr="006A22C6">
              <w:rPr>
                <w:rFonts w:ascii="Times New Roman" w:hAnsi="Times New Roman" w:cs="Times New Roman"/>
                <w:sz w:val="28"/>
                <w:szCs w:val="28"/>
                <w:lang w:eastAsia="ru-RU"/>
              </w:rPr>
              <w:t>……</w:t>
            </w:r>
            <w:r w:rsidR="00D61025">
              <w:rPr>
                <w:rFonts w:ascii="Times New Roman" w:hAnsi="Times New Roman" w:cs="Times New Roman"/>
                <w:sz w:val="28"/>
                <w:szCs w:val="28"/>
                <w:lang w:eastAsia="ru-RU"/>
              </w:rPr>
              <w:t>.</w:t>
            </w:r>
            <w:proofErr w:type="gramEnd"/>
            <w:r w:rsidR="00D61025">
              <w:rPr>
                <w:rFonts w:ascii="Times New Roman" w:hAnsi="Times New Roman" w:cs="Times New Roman"/>
                <w:sz w:val="28"/>
                <w:szCs w:val="28"/>
                <w:lang w:eastAsia="ru-RU"/>
              </w:rPr>
              <w:t>.</w:t>
            </w:r>
          </w:p>
        </w:tc>
        <w:tc>
          <w:tcPr>
            <w:tcW w:w="0" w:type="auto"/>
          </w:tcPr>
          <w:p w14:paraId="0A3882B9" w14:textId="7A13FFC1" w:rsidR="006A22C6" w:rsidRPr="00531EB4" w:rsidRDefault="00D61025" w:rsidP="007A6613">
            <w:pPr>
              <w:spacing w:after="0" w:line="240" w:lineRule="auto"/>
              <w:jc w:val="right"/>
              <w:rPr>
                <w:rFonts w:ascii="Times New Roman" w:hAnsi="Times New Roman" w:cs="Times New Roman"/>
                <w:sz w:val="28"/>
                <w:szCs w:val="28"/>
                <w:lang w:val="en-US" w:eastAsia="ru-RU"/>
              </w:rPr>
            </w:pPr>
            <w:r>
              <w:rPr>
                <w:rFonts w:ascii="Times New Roman" w:hAnsi="Times New Roman" w:cs="Times New Roman"/>
                <w:sz w:val="28"/>
                <w:szCs w:val="28"/>
                <w:lang w:eastAsia="ru-RU"/>
              </w:rPr>
              <w:t>15</w:t>
            </w:r>
            <w:r w:rsidR="00317118" w:rsidRPr="00317118">
              <w:rPr>
                <w:rFonts w:ascii="Times New Roman" w:hAnsi="Times New Roman" w:cs="Times New Roman"/>
                <w:sz w:val="28"/>
                <w:szCs w:val="28"/>
                <w:lang w:eastAsia="ru-RU"/>
              </w:rPr>
              <w:t>3</w:t>
            </w:r>
          </w:p>
        </w:tc>
      </w:tr>
      <w:tr w:rsidR="006A22C6" w:rsidRPr="00A43B9C" w14:paraId="2DD98EBB" w14:textId="77777777" w:rsidTr="003E097F">
        <w:tc>
          <w:tcPr>
            <w:tcW w:w="0" w:type="auto"/>
            <w:gridSpan w:val="2"/>
          </w:tcPr>
          <w:p w14:paraId="6FD282CE" w14:textId="15247A69" w:rsidR="006A22C6" w:rsidRPr="00A43B9C" w:rsidRDefault="006A22C6" w:rsidP="007A6613">
            <w:pPr>
              <w:spacing w:after="0" w:line="240" w:lineRule="auto"/>
              <w:jc w:val="both"/>
              <w:rPr>
                <w:rFonts w:ascii="Times New Roman" w:hAnsi="Times New Roman" w:cs="Times New Roman"/>
                <w:b/>
                <w:bCs/>
                <w:sz w:val="28"/>
                <w:szCs w:val="28"/>
                <w:lang w:eastAsia="ru-RU"/>
              </w:rPr>
            </w:pPr>
            <w:r w:rsidRPr="00A43B9C">
              <w:rPr>
                <w:rFonts w:ascii="Times New Roman" w:hAnsi="Times New Roman" w:cs="Times New Roman"/>
                <w:b/>
                <w:bCs/>
                <w:sz w:val="28"/>
                <w:szCs w:val="28"/>
                <w:lang w:eastAsia="ru-RU"/>
              </w:rPr>
              <w:t>ПРИЛОЖЕНИ</w:t>
            </w:r>
            <w:r>
              <w:rPr>
                <w:rFonts w:ascii="Times New Roman" w:hAnsi="Times New Roman" w:cs="Times New Roman"/>
                <w:b/>
                <w:bCs/>
                <w:sz w:val="28"/>
                <w:szCs w:val="28"/>
                <w:lang w:eastAsia="ru-RU"/>
              </w:rPr>
              <w:t>Е Е</w:t>
            </w:r>
            <w:r w:rsidRPr="00F6152F">
              <w:rPr>
                <w:rFonts w:ascii="Times New Roman" w:hAnsi="Times New Roman" w:cs="Times New Roman"/>
                <w:sz w:val="28"/>
                <w:szCs w:val="28"/>
                <w:lang w:eastAsia="ru-RU"/>
              </w:rPr>
              <w:t xml:space="preserve"> </w:t>
            </w:r>
            <w:r w:rsidR="00D61025" w:rsidRPr="00F6152F">
              <w:rPr>
                <w:rFonts w:ascii="Times New Roman" w:hAnsi="Times New Roman" w:cs="Times New Roman"/>
                <w:sz w:val="28"/>
                <w:szCs w:val="28"/>
                <w:lang w:eastAsia="ru-RU"/>
              </w:rPr>
              <w:t>–</w:t>
            </w:r>
            <w:r w:rsidRPr="00F6152F">
              <w:rPr>
                <w:rFonts w:ascii="Times New Roman" w:hAnsi="Times New Roman" w:cs="Times New Roman"/>
                <w:sz w:val="28"/>
                <w:szCs w:val="28"/>
                <w:lang w:eastAsia="ru-RU"/>
              </w:rPr>
              <w:t xml:space="preserve"> </w:t>
            </w:r>
            <w:r w:rsidR="00D61025">
              <w:rPr>
                <w:rFonts w:ascii="Times New Roman" w:hAnsi="Times New Roman" w:cs="Times New Roman"/>
                <w:sz w:val="28"/>
                <w:szCs w:val="28"/>
                <w:lang w:eastAsia="ru-RU"/>
              </w:rPr>
              <w:t>Блок-схема проведения ПЭТ/КТ всего тела</w:t>
            </w:r>
            <w:r w:rsidRPr="006A22C6">
              <w:rPr>
                <w:rFonts w:ascii="Times New Roman" w:hAnsi="Times New Roman" w:cs="Times New Roman"/>
                <w:sz w:val="28"/>
                <w:szCs w:val="28"/>
                <w:lang w:eastAsia="ru-RU"/>
              </w:rPr>
              <w:t>…</w:t>
            </w:r>
            <w:r w:rsidR="00D61025">
              <w:rPr>
                <w:rFonts w:ascii="Times New Roman" w:hAnsi="Times New Roman" w:cs="Times New Roman"/>
                <w:sz w:val="28"/>
                <w:szCs w:val="28"/>
                <w:lang w:eastAsia="ru-RU"/>
              </w:rPr>
              <w:t>…...</w:t>
            </w:r>
          </w:p>
        </w:tc>
        <w:tc>
          <w:tcPr>
            <w:tcW w:w="0" w:type="auto"/>
          </w:tcPr>
          <w:p w14:paraId="79F101A8" w14:textId="0F71B243" w:rsidR="006A22C6" w:rsidRPr="00D90208" w:rsidRDefault="00D61025" w:rsidP="007A6613">
            <w:pPr>
              <w:spacing w:after="0" w:line="240" w:lineRule="auto"/>
              <w:jc w:val="right"/>
              <w:rPr>
                <w:rFonts w:ascii="Times New Roman" w:hAnsi="Times New Roman" w:cs="Times New Roman"/>
                <w:sz w:val="28"/>
                <w:szCs w:val="28"/>
                <w:lang w:eastAsia="ru-RU"/>
              </w:rPr>
            </w:pPr>
            <w:r>
              <w:rPr>
                <w:rFonts w:ascii="Times New Roman" w:hAnsi="Times New Roman" w:cs="Times New Roman"/>
                <w:sz w:val="28"/>
                <w:szCs w:val="28"/>
                <w:lang w:eastAsia="ru-RU"/>
              </w:rPr>
              <w:t>1</w:t>
            </w:r>
            <w:r w:rsidR="00531EB4">
              <w:rPr>
                <w:rFonts w:ascii="Times New Roman" w:hAnsi="Times New Roman" w:cs="Times New Roman"/>
                <w:sz w:val="28"/>
                <w:szCs w:val="28"/>
                <w:lang w:val="en-US" w:eastAsia="ru-RU"/>
              </w:rPr>
              <w:t>5</w:t>
            </w:r>
            <w:r w:rsidR="00317118" w:rsidRPr="00317118">
              <w:rPr>
                <w:rFonts w:ascii="Times New Roman" w:hAnsi="Times New Roman" w:cs="Times New Roman"/>
                <w:sz w:val="28"/>
                <w:szCs w:val="28"/>
                <w:lang w:eastAsia="ru-RU"/>
              </w:rPr>
              <w:t>7</w:t>
            </w:r>
          </w:p>
        </w:tc>
      </w:tr>
      <w:tr w:rsidR="00B03308" w:rsidRPr="00A43B9C" w14:paraId="373FA0B2" w14:textId="77777777" w:rsidTr="003E097F">
        <w:tc>
          <w:tcPr>
            <w:tcW w:w="0" w:type="auto"/>
            <w:gridSpan w:val="2"/>
          </w:tcPr>
          <w:p w14:paraId="3FEEEFDD" w14:textId="7CE29457" w:rsidR="00B03308" w:rsidRPr="00A43B9C" w:rsidRDefault="00B03308" w:rsidP="007A6613">
            <w:pPr>
              <w:spacing w:after="0" w:line="240" w:lineRule="auto"/>
              <w:jc w:val="both"/>
              <w:rPr>
                <w:rFonts w:ascii="Times New Roman" w:hAnsi="Times New Roman" w:cs="Times New Roman"/>
                <w:b/>
                <w:bCs/>
                <w:sz w:val="28"/>
                <w:szCs w:val="28"/>
                <w:lang w:eastAsia="ru-RU"/>
              </w:rPr>
            </w:pPr>
            <w:r w:rsidRPr="00A43B9C">
              <w:rPr>
                <w:rFonts w:ascii="Times New Roman" w:hAnsi="Times New Roman" w:cs="Times New Roman"/>
                <w:b/>
                <w:bCs/>
                <w:sz w:val="28"/>
                <w:szCs w:val="28"/>
                <w:lang w:eastAsia="ru-RU"/>
              </w:rPr>
              <w:t>ПРИЛОЖЕНИ</w:t>
            </w:r>
            <w:r>
              <w:rPr>
                <w:rFonts w:ascii="Times New Roman" w:hAnsi="Times New Roman" w:cs="Times New Roman"/>
                <w:b/>
                <w:bCs/>
                <w:sz w:val="28"/>
                <w:szCs w:val="28"/>
                <w:lang w:eastAsia="ru-RU"/>
              </w:rPr>
              <w:t>Е Ж</w:t>
            </w:r>
            <w:r w:rsidRPr="00F6152F">
              <w:rPr>
                <w:rFonts w:ascii="Times New Roman" w:hAnsi="Times New Roman" w:cs="Times New Roman"/>
                <w:sz w:val="28"/>
                <w:szCs w:val="28"/>
                <w:lang w:eastAsia="ru-RU"/>
              </w:rPr>
              <w:t xml:space="preserve"> – </w:t>
            </w:r>
            <w:r>
              <w:rPr>
                <w:rFonts w:ascii="Times New Roman" w:hAnsi="Times New Roman" w:cs="Times New Roman"/>
                <w:sz w:val="28"/>
                <w:szCs w:val="28"/>
                <w:lang w:eastAsia="ru-RU"/>
              </w:rPr>
              <w:t>Свидетельство о внесении сведений в государственный реестр прав на объекты, охраняемые авторским правом</w:t>
            </w:r>
            <w:r w:rsidR="0058185A">
              <w:rPr>
                <w:rFonts w:ascii="Times New Roman" w:hAnsi="Times New Roman" w:cs="Times New Roman"/>
                <w:sz w:val="28"/>
                <w:szCs w:val="28"/>
                <w:lang w:eastAsia="ru-RU"/>
              </w:rPr>
              <w:t>…………………………………………………………………</w:t>
            </w:r>
            <w:proofErr w:type="gramStart"/>
            <w:r w:rsidR="0058185A">
              <w:rPr>
                <w:rFonts w:ascii="Times New Roman" w:hAnsi="Times New Roman" w:cs="Times New Roman"/>
                <w:sz w:val="28"/>
                <w:szCs w:val="28"/>
                <w:lang w:eastAsia="ru-RU"/>
              </w:rPr>
              <w:t>…….</w:t>
            </w:r>
            <w:proofErr w:type="gramEnd"/>
          </w:p>
        </w:tc>
        <w:tc>
          <w:tcPr>
            <w:tcW w:w="0" w:type="auto"/>
          </w:tcPr>
          <w:p w14:paraId="5D98FB44" w14:textId="77777777" w:rsidR="0058185A" w:rsidRDefault="0058185A" w:rsidP="007A6613">
            <w:pPr>
              <w:spacing w:after="0" w:line="240" w:lineRule="auto"/>
              <w:jc w:val="right"/>
              <w:rPr>
                <w:rFonts w:ascii="Times New Roman" w:hAnsi="Times New Roman" w:cs="Times New Roman"/>
                <w:sz w:val="28"/>
                <w:szCs w:val="28"/>
                <w:lang w:eastAsia="ru-RU"/>
              </w:rPr>
            </w:pPr>
          </w:p>
          <w:p w14:paraId="1A50D74A" w14:textId="77777777" w:rsidR="0058185A" w:rsidRDefault="0058185A" w:rsidP="007A6613">
            <w:pPr>
              <w:spacing w:after="0" w:line="240" w:lineRule="auto"/>
              <w:jc w:val="right"/>
              <w:rPr>
                <w:rFonts w:ascii="Times New Roman" w:hAnsi="Times New Roman" w:cs="Times New Roman"/>
                <w:sz w:val="28"/>
                <w:szCs w:val="28"/>
                <w:lang w:eastAsia="ru-RU"/>
              </w:rPr>
            </w:pPr>
          </w:p>
          <w:p w14:paraId="4C74C894" w14:textId="34562A21" w:rsidR="00B03308" w:rsidRPr="008D0771" w:rsidRDefault="00B03308" w:rsidP="007A6613">
            <w:pPr>
              <w:spacing w:after="0" w:line="240" w:lineRule="auto"/>
              <w:jc w:val="right"/>
              <w:rPr>
                <w:rFonts w:ascii="Times New Roman" w:hAnsi="Times New Roman" w:cs="Times New Roman"/>
                <w:sz w:val="28"/>
                <w:szCs w:val="28"/>
                <w:lang w:val="en-US" w:eastAsia="ru-RU"/>
              </w:rPr>
            </w:pPr>
            <w:r>
              <w:rPr>
                <w:rFonts w:ascii="Times New Roman" w:hAnsi="Times New Roman" w:cs="Times New Roman"/>
                <w:sz w:val="28"/>
                <w:szCs w:val="28"/>
                <w:lang w:eastAsia="ru-RU"/>
              </w:rPr>
              <w:t>15</w:t>
            </w:r>
            <w:r w:rsidR="00317118" w:rsidRPr="00317118">
              <w:rPr>
                <w:rFonts w:ascii="Times New Roman" w:hAnsi="Times New Roman" w:cs="Times New Roman"/>
                <w:sz w:val="28"/>
                <w:szCs w:val="28"/>
                <w:lang w:eastAsia="ru-RU"/>
              </w:rPr>
              <w:t>8</w:t>
            </w:r>
          </w:p>
        </w:tc>
      </w:tr>
      <w:tr w:rsidR="00646DC5" w:rsidRPr="00646DC5" w14:paraId="71B932CD" w14:textId="77777777" w:rsidTr="00302EA8">
        <w:tc>
          <w:tcPr>
            <w:tcW w:w="0" w:type="auto"/>
            <w:gridSpan w:val="2"/>
            <w:shd w:val="clear" w:color="auto" w:fill="auto"/>
          </w:tcPr>
          <w:p w14:paraId="27D2EC45" w14:textId="594F25EB" w:rsidR="00D83B46" w:rsidRPr="00317118" w:rsidRDefault="00D83B46" w:rsidP="007A6613">
            <w:pPr>
              <w:spacing w:after="0" w:line="240" w:lineRule="auto"/>
              <w:jc w:val="both"/>
              <w:rPr>
                <w:rFonts w:ascii="Times New Roman" w:hAnsi="Times New Roman" w:cs="Times New Roman"/>
                <w:b/>
                <w:bCs/>
                <w:sz w:val="28"/>
                <w:szCs w:val="28"/>
                <w:lang w:eastAsia="ru-RU"/>
              </w:rPr>
            </w:pPr>
            <w:r w:rsidRPr="00317118">
              <w:rPr>
                <w:rFonts w:ascii="Times New Roman" w:hAnsi="Times New Roman" w:cs="Times New Roman"/>
                <w:b/>
                <w:bCs/>
                <w:sz w:val="28"/>
                <w:szCs w:val="28"/>
                <w:lang w:eastAsia="ru-RU"/>
              </w:rPr>
              <w:t>ПРИЛОЖЕНИЕ И</w:t>
            </w:r>
            <w:r w:rsidRPr="00317118">
              <w:rPr>
                <w:rFonts w:ascii="Times New Roman" w:hAnsi="Times New Roman" w:cs="Times New Roman"/>
                <w:sz w:val="28"/>
                <w:szCs w:val="28"/>
                <w:lang w:eastAsia="ru-RU"/>
              </w:rPr>
              <w:t xml:space="preserve"> – </w:t>
            </w:r>
            <w:r w:rsidR="00BD65CE" w:rsidRPr="00317118">
              <w:rPr>
                <w:rFonts w:ascii="Times New Roman" w:hAnsi="Times New Roman" w:cs="Times New Roman"/>
                <w:sz w:val="28"/>
                <w:szCs w:val="28"/>
                <w:lang w:eastAsia="ru-RU"/>
              </w:rPr>
              <w:t>Патент на полезную модель</w:t>
            </w:r>
          </w:p>
        </w:tc>
        <w:tc>
          <w:tcPr>
            <w:tcW w:w="0" w:type="auto"/>
            <w:shd w:val="clear" w:color="auto" w:fill="auto"/>
          </w:tcPr>
          <w:p w14:paraId="61BED9DF" w14:textId="7B989D18" w:rsidR="00D83B46" w:rsidRPr="00317118" w:rsidRDefault="00BD65CE" w:rsidP="007A6613">
            <w:pPr>
              <w:spacing w:after="0" w:line="240" w:lineRule="auto"/>
              <w:jc w:val="right"/>
              <w:rPr>
                <w:rFonts w:ascii="Times New Roman" w:hAnsi="Times New Roman" w:cs="Times New Roman"/>
                <w:sz w:val="28"/>
                <w:szCs w:val="28"/>
                <w:lang w:eastAsia="ru-RU"/>
              </w:rPr>
            </w:pPr>
            <w:r w:rsidRPr="00317118">
              <w:rPr>
                <w:rFonts w:ascii="Times New Roman" w:hAnsi="Times New Roman" w:cs="Times New Roman"/>
                <w:sz w:val="28"/>
                <w:szCs w:val="28"/>
                <w:lang w:eastAsia="ru-RU"/>
              </w:rPr>
              <w:t>16</w:t>
            </w:r>
            <w:r w:rsidR="00317118">
              <w:rPr>
                <w:rFonts w:ascii="Times New Roman" w:hAnsi="Times New Roman" w:cs="Times New Roman"/>
                <w:sz w:val="28"/>
                <w:szCs w:val="28"/>
                <w:lang w:eastAsia="ru-RU"/>
              </w:rPr>
              <w:t>0</w:t>
            </w:r>
          </w:p>
        </w:tc>
      </w:tr>
    </w:tbl>
    <w:p w14:paraId="28EB0D69" w14:textId="465365A3" w:rsidR="001E420C" w:rsidRPr="00A43B9C" w:rsidRDefault="001E420C">
      <w:pPr>
        <w:spacing w:after="160" w:line="259" w:lineRule="auto"/>
        <w:rPr>
          <w:rFonts w:ascii="Times New Roman" w:hAnsi="Times New Roman" w:cs="Times New Roman"/>
          <w:sz w:val="28"/>
          <w:szCs w:val="28"/>
        </w:rPr>
      </w:pPr>
      <w:r w:rsidRPr="00A43B9C">
        <w:rPr>
          <w:rFonts w:ascii="Times New Roman" w:hAnsi="Times New Roman" w:cs="Times New Roman"/>
          <w:sz w:val="28"/>
          <w:szCs w:val="28"/>
        </w:rPr>
        <w:br w:type="page"/>
      </w:r>
    </w:p>
    <w:p w14:paraId="756BDB0F" w14:textId="5C8A1A66" w:rsidR="004B1F41" w:rsidRPr="00A43B9C" w:rsidRDefault="004B1F41" w:rsidP="00AE28CD">
      <w:pPr>
        <w:pStyle w:val="1"/>
        <w:spacing w:line="240" w:lineRule="auto"/>
        <w:rPr>
          <w:rFonts w:eastAsia="Times New Roman"/>
          <w:snapToGrid w:val="0"/>
          <w:lang w:eastAsia="ru-RU"/>
        </w:rPr>
      </w:pPr>
      <w:bookmarkStart w:id="0" w:name="_Toc93007678"/>
      <w:bookmarkStart w:id="1" w:name="_Toc102937600"/>
      <w:r w:rsidRPr="00A43B9C">
        <w:rPr>
          <w:rFonts w:eastAsia="Times New Roman"/>
          <w:snapToGrid w:val="0"/>
          <w:lang w:eastAsia="ru-RU"/>
        </w:rPr>
        <w:lastRenderedPageBreak/>
        <w:t>НОРМАТИВНЫЕ ССЫЛКИ</w:t>
      </w:r>
      <w:bookmarkEnd w:id="0"/>
      <w:bookmarkEnd w:id="1"/>
    </w:p>
    <w:p w14:paraId="392391F9" w14:textId="77777777" w:rsidR="003447F3" w:rsidRPr="00A43B9C" w:rsidRDefault="003447F3" w:rsidP="003447F3">
      <w:pPr>
        <w:spacing w:after="0" w:line="240" w:lineRule="auto"/>
        <w:jc w:val="both"/>
        <w:rPr>
          <w:rFonts w:ascii="Times New Roman" w:hAnsi="Times New Roman" w:cs="Times New Roman"/>
          <w:sz w:val="28"/>
          <w:szCs w:val="28"/>
          <w:lang w:eastAsia="ru-RU"/>
        </w:rPr>
      </w:pPr>
    </w:p>
    <w:p w14:paraId="45BFCB0E" w14:textId="767FA04A" w:rsidR="004B1F41" w:rsidRPr="00A43B9C" w:rsidRDefault="00DB01E1" w:rsidP="00DB01E1">
      <w:pPr>
        <w:shd w:val="clear" w:color="auto" w:fill="FFFFFF"/>
        <w:spacing w:after="0" w:line="240" w:lineRule="auto"/>
        <w:ind w:firstLine="709"/>
        <w:jc w:val="both"/>
        <w:rPr>
          <w:rFonts w:ascii="Times New Roman" w:eastAsia="Times New Roman" w:hAnsi="Times New Roman" w:cs="Times New Roman"/>
          <w:snapToGrid w:val="0"/>
          <w:sz w:val="28"/>
          <w:szCs w:val="28"/>
          <w:lang w:eastAsia="ru-RU"/>
        </w:rPr>
      </w:pPr>
      <w:r w:rsidRPr="00A43B9C">
        <w:rPr>
          <w:rFonts w:ascii="Times New Roman" w:eastAsia="Times New Roman" w:hAnsi="Times New Roman" w:cs="Times New Roman"/>
          <w:snapToGrid w:val="0"/>
          <w:sz w:val="28"/>
          <w:szCs w:val="28"/>
          <w:lang w:eastAsia="ru-RU"/>
        </w:rPr>
        <w:t>В настоящей диссертации использованы ссылки на следующие нормативно-правовые акты Республики Казахстан:</w:t>
      </w:r>
    </w:p>
    <w:p w14:paraId="1A739449" w14:textId="37687C9A" w:rsidR="003E10D9" w:rsidRDefault="003E10D9" w:rsidP="003E10D9">
      <w:pPr>
        <w:pStyle w:val="aa"/>
        <w:shd w:val="clear" w:color="auto" w:fill="FFFFFF"/>
        <w:tabs>
          <w:tab w:val="left" w:pos="0"/>
        </w:tabs>
        <w:spacing w:after="0" w:line="240" w:lineRule="auto"/>
        <w:ind w:left="0" w:firstLine="709"/>
        <w:jc w:val="both"/>
        <w:rPr>
          <w:rFonts w:ascii="Times New Roman" w:eastAsia="Times New Roman" w:hAnsi="Times New Roman" w:cs="Times New Roman"/>
          <w:snapToGrid w:val="0"/>
          <w:sz w:val="28"/>
          <w:szCs w:val="28"/>
          <w:lang w:eastAsia="ru-RU"/>
        </w:rPr>
      </w:pPr>
      <w:r w:rsidRPr="003E10D9">
        <w:rPr>
          <w:rFonts w:ascii="Times New Roman" w:eastAsia="Times New Roman" w:hAnsi="Times New Roman" w:cs="Times New Roman"/>
          <w:snapToGrid w:val="0"/>
          <w:sz w:val="28"/>
          <w:szCs w:val="28"/>
          <w:lang w:eastAsia="ru-RU"/>
        </w:rPr>
        <w:t>Кодекс Республики Казахстан «</w:t>
      </w:r>
      <w:r>
        <w:rPr>
          <w:rFonts w:ascii="Times New Roman" w:eastAsia="Times New Roman" w:hAnsi="Times New Roman" w:cs="Times New Roman"/>
          <w:snapToGrid w:val="0"/>
          <w:sz w:val="28"/>
          <w:szCs w:val="28"/>
          <w:lang w:eastAsia="ru-RU"/>
        </w:rPr>
        <w:t>О</w:t>
      </w:r>
      <w:r w:rsidRPr="003E10D9">
        <w:rPr>
          <w:rFonts w:ascii="Times New Roman" w:eastAsia="Times New Roman" w:hAnsi="Times New Roman" w:cs="Times New Roman"/>
          <w:snapToGrid w:val="0"/>
          <w:sz w:val="28"/>
          <w:szCs w:val="28"/>
          <w:lang w:eastAsia="ru-RU"/>
        </w:rPr>
        <w:t xml:space="preserve"> здоровье народа и системе здравоохранения» от </w:t>
      </w:r>
      <w:r>
        <w:rPr>
          <w:rFonts w:ascii="Times New Roman" w:eastAsia="Times New Roman" w:hAnsi="Times New Roman" w:cs="Times New Roman"/>
          <w:snapToGrid w:val="0"/>
          <w:sz w:val="28"/>
          <w:szCs w:val="28"/>
          <w:lang w:eastAsia="ru-RU"/>
        </w:rPr>
        <w:t>0</w:t>
      </w:r>
      <w:r w:rsidRPr="003E10D9">
        <w:rPr>
          <w:rFonts w:ascii="Times New Roman" w:eastAsia="Times New Roman" w:hAnsi="Times New Roman" w:cs="Times New Roman"/>
          <w:snapToGrid w:val="0"/>
          <w:sz w:val="28"/>
          <w:szCs w:val="28"/>
          <w:lang w:eastAsia="ru-RU"/>
        </w:rPr>
        <w:t>7 июля 2020 г</w:t>
      </w:r>
      <w:r w:rsidR="00940626">
        <w:rPr>
          <w:rFonts w:ascii="Times New Roman" w:eastAsia="Times New Roman" w:hAnsi="Times New Roman" w:cs="Times New Roman"/>
          <w:snapToGrid w:val="0"/>
          <w:sz w:val="28"/>
          <w:szCs w:val="28"/>
          <w:lang w:eastAsia="ru-RU"/>
        </w:rPr>
        <w:t>.</w:t>
      </w:r>
      <w:r w:rsidRPr="003E10D9">
        <w:rPr>
          <w:rFonts w:ascii="Times New Roman" w:eastAsia="Times New Roman" w:hAnsi="Times New Roman" w:cs="Times New Roman"/>
          <w:snapToGrid w:val="0"/>
          <w:sz w:val="28"/>
          <w:szCs w:val="28"/>
          <w:lang w:eastAsia="ru-RU"/>
        </w:rPr>
        <w:t xml:space="preserve"> №360-VI ЗРК</w:t>
      </w:r>
      <w:r>
        <w:rPr>
          <w:rFonts w:ascii="Times New Roman" w:eastAsia="Times New Roman" w:hAnsi="Times New Roman" w:cs="Times New Roman"/>
          <w:snapToGrid w:val="0"/>
          <w:sz w:val="28"/>
          <w:szCs w:val="28"/>
          <w:lang w:eastAsia="ru-RU"/>
        </w:rPr>
        <w:t>.</w:t>
      </w:r>
    </w:p>
    <w:p w14:paraId="4483417E" w14:textId="77777777" w:rsidR="00940626" w:rsidRDefault="00DB01E1" w:rsidP="00940626">
      <w:pPr>
        <w:pStyle w:val="aa"/>
        <w:shd w:val="clear" w:color="auto" w:fill="FFFFFF"/>
        <w:tabs>
          <w:tab w:val="left" w:pos="0"/>
        </w:tabs>
        <w:spacing w:after="0" w:line="240" w:lineRule="auto"/>
        <w:ind w:left="0" w:firstLine="709"/>
        <w:jc w:val="both"/>
        <w:rPr>
          <w:rFonts w:ascii="Times New Roman" w:eastAsia="Times New Roman" w:hAnsi="Times New Roman" w:cs="Times New Roman"/>
          <w:snapToGrid w:val="0"/>
          <w:sz w:val="28"/>
          <w:szCs w:val="28"/>
          <w:lang w:eastAsia="ru-RU"/>
        </w:rPr>
      </w:pPr>
      <w:r w:rsidRPr="003E10D9">
        <w:rPr>
          <w:rFonts w:ascii="Times New Roman" w:eastAsia="Times New Roman" w:hAnsi="Times New Roman" w:cs="Times New Roman"/>
          <w:snapToGrid w:val="0"/>
          <w:sz w:val="28"/>
          <w:szCs w:val="28"/>
          <w:lang w:eastAsia="ru-RU"/>
        </w:rPr>
        <w:t>Приказ Министра здравоохранения Республики Казахстан от 15 декабря 2020 г</w:t>
      </w:r>
      <w:r w:rsidR="00940626">
        <w:rPr>
          <w:rFonts w:ascii="Times New Roman" w:eastAsia="Times New Roman" w:hAnsi="Times New Roman" w:cs="Times New Roman"/>
          <w:snapToGrid w:val="0"/>
          <w:sz w:val="28"/>
          <w:szCs w:val="28"/>
          <w:lang w:eastAsia="ru-RU"/>
        </w:rPr>
        <w:t>.</w:t>
      </w:r>
      <w:r w:rsidRPr="003E10D9">
        <w:rPr>
          <w:rFonts w:ascii="Times New Roman" w:eastAsia="Times New Roman" w:hAnsi="Times New Roman" w:cs="Times New Roman"/>
          <w:snapToGrid w:val="0"/>
          <w:sz w:val="28"/>
          <w:szCs w:val="28"/>
          <w:lang w:eastAsia="ru-RU"/>
        </w:rPr>
        <w:t xml:space="preserve"> №ҚР ДСМ-275/2020 Об утверждении Санитарных правил «Санитарно-эпидемиологические требования к обеспечению радиационной безопасности»</w:t>
      </w:r>
      <w:r w:rsidR="003E10D9">
        <w:rPr>
          <w:rFonts w:ascii="Times New Roman" w:eastAsia="Times New Roman" w:hAnsi="Times New Roman" w:cs="Times New Roman"/>
          <w:snapToGrid w:val="0"/>
          <w:sz w:val="28"/>
          <w:szCs w:val="28"/>
          <w:lang w:eastAsia="ru-RU"/>
        </w:rPr>
        <w:t>.</w:t>
      </w:r>
    </w:p>
    <w:p w14:paraId="741DDEC0" w14:textId="5B436B96" w:rsidR="00940626" w:rsidRPr="00940626" w:rsidRDefault="00940626" w:rsidP="00940626">
      <w:pPr>
        <w:pStyle w:val="aa"/>
        <w:shd w:val="clear" w:color="auto" w:fill="FFFFFF"/>
        <w:tabs>
          <w:tab w:val="left" w:pos="0"/>
        </w:tabs>
        <w:spacing w:after="0" w:line="240" w:lineRule="auto"/>
        <w:ind w:left="0" w:firstLine="709"/>
        <w:jc w:val="both"/>
        <w:rPr>
          <w:rFonts w:ascii="Times New Roman" w:hAnsi="Times New Roman" w:cs="Times New Roman"/>
          <w:spacing w:val="2"/>
          <w:sz w:val="28"/>
          <w:szCs w:val="28"/>
        </w:rPr>
      </w:pPr>
      <w:r w:rsidRPr="00940626">
        <w:rPr>
          <w:rFonts w:ascii="Times New Roman" w:hAnsi="Times New Roman" w:cs="Times New Roman"/>
          <w:spacing w:val="2"/>
          <w:sz w:val="28"/>
          <w:szCs w:val="28"/>
        </w:rPr>
        <w:t>Приказ Министра здравоохранения Республики Казахстан от 25 августа 2022 года №ҚР ДСМ-90</w:t>
      </w:r>
      <w:r>
        <w:rPr>
          <w:rFonts w:ascii="Times New Roman" w:hAnsi="Times New Roman" w:cs="Times New Roman"/>
          <w:spacing w:val="2"/>
          <w:sz w:val="28"/>
          <w:szCs w:val="28"/>
        </w:rPr>
        <w:t xml:space="preserve"> </w:t>
      </w:r>
      <w:r w:rsidRPr="00940626">
        <w:rPr>
          <w:rFonts w:ascii="Times New Roman" w:hAnsi="Times New Roman" w:cs="Times New Roman"/>
          <w:spacing w:val="2"/>
          <w:sz w:val="28"/>
          <w:szCs w:val="28"/>
        </w:rPr>
        <w:t xml:space="preserve">Об утверждении Санитарных правил </w:t>
      </w:r>
      <w:r>
        <w:rPr>
          <w:rFonts w:ascii="Times New Roman" w:hAnsi="Times New Roman" w:cs="Times New Roman"/>
          <w:spacing w:val="2"/>
          <w:sz w:val="28"/>
          <w:szCs w:val="28"/>
        </w:rPr>
        <w:t>«</w:t>
      </w:r>
      <w:r w:rsidRPr="00940626">
        <w:rPr>
          <w:rFonts w:ascii="Times New Roman" w:hAnsi="Times New Roman" w:cs="Times New Roman"/>
          <w:spacing w:val="2"/>
          <w:sz w:val="28"/>
          <w:szCs w:val="28"/>
        </w:rPr>
        <w:t>Санитарно-эпидемиологические требования к радиационно-опасным объектам</w:t>
      </w:r>
      <w:r>
        <w:rPr>
          <w:rFonts w:ascii="Times New Roman" w:hAnsi="Times New Roman" w:cs="Times New Roman"/>
          <w:spacing w:val="2"/>
          <w:sz w:val="28"/>
          <w:szCs w:val="28"/>
        </w:rPr>
        <w:t>».</w:t>
      </w:r>
    </w:p>
    <w:p w14:paraId="0D4571BF" w14:textId="2DF97C16" w:rsidR="003E10D9" w:rsidRDefault="002A3420" w:rsidP="003E10D9">
      <w:pPr>
        <w:pStyle w:val="aa"/>
        <w:shd w:val="clear" w:color="auto" w:fill="FFFFFF"/>
        <w:tabs>
          <w:tab w:val="left" w:pos="0"/>
        </w:tabs>
        <w:spacing w:after="0" w:line="240" w:lineRule="auto"/>
        <w:ind w:left="0" w:firstLine="709"/>
        <w:jc w:val="both"/>
        <w:rPr>
          <w:rFonts w:ascii="Times New Roman" w:eastAsia="Times New Roman" w:hAnsi="Times New Roman" w:cs="Times New Roman"/>
          <w:snapToGrid w:val="0"/>
          <w:sz w:val="28"/>
          <w:szCs w:val="28"/>
          <w:lang w:eastAsia="ru-RU"/>
        </w:rPr>
      </w:pPr>
      <w:r w:rsidRPr="003E10D9">
        <w:rPr>
          <w:rFonts w:ascii="Times New Roman" w:eastAsia="Times New Roman" w:hAnsi="Times New Roman" w:cs="Times New Roman"/>
          <w:snapToGrid w:val="0"/>
          <w:sz w:val="28"/>
          <w:szCs w:val="28"/>
          <w:lang w:eastAsia="ru-RU"/>
        </w:rPr>
        <w:t>Постановление Правительства Республики Казахстан от 29 июня 2018 г</w:t>
      </w:r>
      <w:r w:rsidR="00940626">
        <w:rPr>
          <w:rFonts w:ascii="Times New Roman" w:eastAsia="Times New Roman" w:hAnsi="Times New Roman" w:cs="Times New Roman"/>
          <w:snapToGrid w:val="0"/>
          <w:sz w:val="28"/>
          <w:szCs w:val="28"/>
          <w:lang w:eastAsia="ru-RU"/>
        </w:rPr>
        <w:t>.</w:t>
      </w:r>
      <w:r w:rsidRPr="003E10D9">
        <w:rPr>
          <w:rFonts w:ascii="Times New Roman" w:eastAsia="Times New Roman" w:hAnsi="Times New Roman" w:cs="Times New Roman"/>
          <w:snapToGrid w:val="0"/>
          <w:sz w:val="28"/>
          <w:szCs w:val="28"/>
          <w:lang w:eastAsia="ru-RU"/>
        </w:rPr>
        <w:t xml:space="preserve"> №395 «Об утверждении Комплексного плана по борьбе с онкологическими заболеваниями в Республике Казахстан на 2018 – 2022 годы»</w:t>
      </w:r>
      <w:r w:rsidR="003E10D9">
        <w:rPr>
          <w:rFonts w:ascii="Times New Roman" w:eastAsia="Times New Roman" w:hAnsi="Times New Roman" w:cs="Times New Roman"/>
          <w:snapToGrid w:val="0"/>
          <w:sz w:val="28"/>
          <w:szCs w:val="28"/>
          <w:lang w:eastAsia="ru-RU"/>
        </w:rPr>
        <w:t>.</w:t>
      </w:r>
    </w:p>
    <w:p w14:paraId="69DDB49F" w14:textId="44148D55" w:rsidR="004B1F41" w:rsidRPr="003E10D9" w:rsidRDefault="0010281A" w:rsidP="003E10D9">
      <w:pPr>
        <w:pStyle w:val="aa"/>
        <w:shd w:val="clear" w:color="auto" w:fill="FFFFFF"/>
        <w:tabs>
          <w:tab w:val="left" w:pos="0"/>
        </w:tabs>
        <w:spacing w:after="0" w:line="240" w:lineRule="auto"/>
        <w:ind w:left="0" w:firstLine="709"/>
        <w:jc w:val="both"/>
        <w:rPr>
          <w:rFonts w:ascii="Times New Roman" w:eastAsia="Times New Roman" w:hAnsi="Times New Roman" w:cs="Times New Roman"/>
          <w:snapToGrid w:val="0"/>
          <w:sz w:val="28"/>
          <w:szCs w:val="28"/>
          <w:lang w:eastAsia="ru-RU"/>
        </w:rPr>
      </w:pPr>
      <w:r w:rsidRPr="003E10D9">
        <w:rPr>
          <w:rFonts w:ascii="Times New Roman" w:hAnsi="Times New Roman" w:cs="Times New Roman"/>
          <w:color w:val="000000"/>
          <w:sz w:val="28"/>
          <w:szCs w:val="28"/>
        </w:rPr>
        <w:t xml:space="preserve">Клинический протокол медицинского вмешательства «Позитронно-эмиссионная томография, совмещенная с компьютерной томографией (ПЭТ/КТ) всего тела c </w:t>
      </w:r>
      <w:r w:rsidRPr="003E10D9">
        <w:rPr>
          <w:rFonts w:ascii="Times New Roman" w:hAnsi="Times New Roman" w:cs="Times New Roman"/>
          <w:color w:val="000000"/>
          <w:sz w:val="28"/>
          <w:szCs w:val="28"/>
          <w:vertAlign w:val="superscript"/>
        </w:rPr>
        <w:t>18</w:t>
      </w:r>
      <w:r w:rsidRPr="003E10D9">
        <w:rPr>
          <w:rFonts w:ascii="Times New Roman" w:hAnsi="Times New Roman" w:cs="Times New Roman"/>
          <w:color w:val="000000"/>
          <w:sz w:val="28"/>
          <w:szCs w:val="28"/>
        </w:rPr>
        <w:t xml:space="preserve">F-FDG». Одобрен Объединенной комиссией по качеству медицинских услуг Министерства здравоохранения Республики Казахстан. Протокол </w:t>
      </w:r>
      <w:r w:rsidR="00AB50B4" w:rsidRPr="003E10D9">
        <w:rPr>
          <w:rFonts w:ascii="Times New Roman" w:hAnsi="Times New Roman" w:cs="Times New Roman"/>
          <w:color w:val="000000"/>
          <w:sz w:val="28"/>
          <w:szCs w:val="28"/>
        </w:rPr>
        <w:t>от 09 июля 2020 г</w:t>
      </w:r>
      <w:r w:rsidR="00940626">
        <w:rPr>
          <w:rFonts w:ascii="Times New Roman" w:hAnsi="Times New Roman" w:cs="Times New Roman"/>
          <w:color w:val="000000"/>
          <w:sz w:val="28"/>
          <w:szCs w:val="28"/>
        </w:rPr>
        <w:t>.</w:t>
      </w:r>
      <w:r w:rsidR="00AB50B4" w:rsidRPr="003E10D9">
        <w:rPr>
          <w:rFonts w:ascii="Times New Roman" w:hAnsi="Times New Roman" w:cs="Times New Roman"/>
          <w:color w:val="000000"/>
          <w:sz w:val="28"/>
          <w:szCs w:val="28"/>
        </w:rPr>
        <w:t xml:space="preserve"> </w:t>
      </w:r>
      <w:r w:rsidRPr="003E10D9">
        <w:rPr>
          <w:rFonts w:ascii="Times New Roman" w:hAnsi="Times New Roman" w:cs="Times New Roman"/>
          <w:color w:val="000000"/>
          <w:sz w:val="28"/>
          <w:szCs w:val="28"/>
        </w:rPr>
        <w:t>№105.</w:t>
      </w:r>
      <w:r w:rsidR="004B1F41" w:rsidRPr="003E10D9">
        <w:rPr>
          <w:rFonts w:ascii="Times New Roman" w:hAnsi="Times New Roman" w:cs="Times New Roman"/>
          <w:b/>
          <w:sz w:val="28"/>
          <w:szCs w:val="28"/>
          <w:lang w:eastAsia="ru-RU"/>
        </w:rPr>
        <w:br w:type="page"/>
      </w:r>
    </w:p>
    <w:p w14:paraId="711071E3" w14:textId="77777777" w:rsidR="004B1F41" w:rsidRPr="00A43B9C" w:rsidRDefault="004B1F41" w:rsidP="00AE28CD">
      <w:pPr>
        <w:pStyle w:val="1"/>
        <w:spacing w:line="240" w:lineRule="auto"/>
        <w:rPr>
          <w:rFonts w:eastAsia="Times New Roman"/>
          <w:lang w:eastAsia="ru-RU"/>
        </w:rPr>
      </w:pPr>
      <w:bookmarkStart w:id="2" w:name="_Toc93007679"/>
      <w:bookmarkStart w:id="3" w:name="_Toc102937601"/>
      <w:r w:rsidRPr="00A43B9C">
        <w:rPr>
          <w:rFonts w:eastAsia="Times New Roman"/>
          <w:lang w:eastAsia="ru-RU"/>
        </w:rPr>
        <w:lastRenderedPageBreak/>
        <w:t>ОПРЕДЕЛЕНИЯ</w:t>
      </w:r>
      <w:bookmarkEnd w:id="2"/>
      <w:bookmarkEnd w:id="3"/>
    </w:p>
    <w:p w14:paraId="1EEE01C9" w14:textId="77777777" w:rsidR="004B1F41" w:rsidRPr="00A43B9C" w:rsidRDefault="004B1F41" w:rsidP="00AE28CD">
      <w:pPr>
        <w:spacing w:after="0" w:line="240" w:lineRule="auto"/>
        <w:ind w:firstLine="709"/>
        <w:jc w:val="both"/>
        <w:rPr>
          <w:rFonts w:ascii="Times New Roman" w:eastAsia="Times New Roman" w:hAnsi="Times New Roman" w:cs="Times New Roman"/>
          <w:sz w:val="28"/>
          <w:szCs w:val="28"/>
          <w:lang w:eastAsia="ru-RU"/>
        </w:rPr>
      </w:pPr>
    </w:p>
    <w:p w14:paraId="2BC73A49" w14:textId="77777777" w:rsidR="004B1F41" w:rsidRPr="00A43B9C" w:rsidRDefault="004B1F41" w:rsidP="00AE28CD">
      <w:pPr>
        <w:spacing w:after="0" w:line="240" w:lineRule="auto"/>
        <w:ind w:firstLine="709"/>
        <w:jc w:val="both"/>
        <w:rPr>
          <w:rFonts w:ascii="Times New Roman" w:eastAsia="Times New Roman" w:hAnsi="Times New Roman" w:cs="Times New Roman"/>
          <w:bCs/>
          <w:sz w:val="28"/>
          <w:szCs w:val="28"/>
          <w:lang w:eastAsia="ru-RU"/>
        </w:rPr>
      </w:pPr>
      <w:r w:rsidRPr="00A43B9C">
        <w:rPr>
          <w:rFonts w:ascii="Times New Roman" w:eastAsia="Times New Roman" w:hAnsi="Times New Roman" w:cs="Times New Roman"/>
          <w:bCs/>
          <w:sz w:val="28"/>
          <w:szCs w:val="28"/>
          <w:lang w:eastAsia="ru-RU"/>
        </w:rPr>
        <w:t>В настоящей диссертации применяют следующие термины с соответствующими определениями:</w:t>
      </w:r>
    </w:p>
    <w:p w14:paraId="344DE9DB" w14:textId="42C896B2" w:rsidR="003F677C" w:rsidRPr="00A43B9C" w:rsidRDefault="003F677C" w:rsidP="003F677C">
      <w:pPr>
        <w:spacing w:after="0" w:line="240" w:lineRule="auto"/>
        <w:ind w:firstLine="567"/>
        <w:jc w:val="both"/>
        <w:rPr>
          <w:rFonts w:ascii="Times New Roman" w:eastAsia="Times New Roman" w:hAnsi="Times New Roman" w:cs="Times New Roman"/>
          <w:bCs/>
          <w:sz w:val="28"/>
          <w:szCs w:val="28"/>
          <w:lang w:eastAsia="ru-RU"/>
        </w:rPr>
      </w:pPr>
      <w:r w:rsidRPr="00A43B9C">
        <w:rPr>
          <w:rFonts w:ascii="Times New Roman" w:eastAsia="Times New Roman" w:hAnsi="Times New Roman" w:cs="Times New Roman"/>
          <w:b/>
          <w:sz w:val="28"/>
          <w:szCs w:val="28"/>
          <w:lang w:eastAsia="ru-RU"/>
        </w:rPr>
        <w:t>Доверительный интервал</w:t>
      </w:r>
      <w:r w:rsidR="00840F81" w:rsidRPr="00A43B9C">
        <w:rPr>
          <w:rFonts w:ascii="Times New Roman" w:eastAsia="Times New Roman" w:hAnsi="Times New Roman" w:cs="Times New Roman"/>
          <w:b/>
          <w:sz w:val="28"/>
          <w:szCs w:val="28"/>
          <w:lang w:eastAsia="ru-RU"/>
        </w:rPr>
        <w:t xml:space="preserve"> (ДИ)</w:t>
      </w:r>
      <w:r w:rsidRPr="00A43B9C">
        <w:rPr>
          <w:rFonts w:ascii="Times New Roman" w:eastAsia="Times New Roman" w:hAnsi="Times New Roman" w:cs="Times New Roman"/>
          <w:bCs/>
          <w:sz w:val="28"/>
          <w:szCs w:val="28"/>
          <w:lang w:eastAsia="ru-RU"/>
        </w:rPr>
        <w:t xml:space="preserve"> – статистический показатель, позволяющий оценить, в каких пределах может находиться истинное значение параметра в популяции, диапазон колебаний истинных значений</w:t>
      </w:r>
      <w:r w:rsidR="00D818BB" w:rsidRPr="00A43B9C">
        <w:rPr>
          <w:rFonts w:ascii="Times New Roman" w:eastAsia="Times New Roman" w:hAnsi="Times New Roman" w:cs="Times New Roman"/>
          <w:bCs/>
          <w:sz w:val="28"/>
          <w:szCs w:val="28"/>
          <w:lang w:eastAsia="ru-RU"/>
        </w:rPr>
        <w:t>.</w:t>
      </w:r>
    </w:p>
    <w:p w14:paraId="2449F778" w14:textId="3864B7A9" w:rsidR="00EB65C9" w:rsidRPr="00A43B9C" w:rsidRDefault="00EB65C9" w:rsidP="003F677C">
      <w:pPr>
        <w:spacing w:after="0" w:line="240" w:lineRule="auto"/>
        <w:ind w:firstLine="567"/>
        <w:jc w:val="both"/>
        <w:rPr>
          <w:rFonts w:ascii="Times New Roman" w:eastAsia="Times New Roman" w:hAnsi="Times New Roman" w:cs="Times New Roman"/>
          <w:bCs/>
          <w:sz w:val="28"/>
          <w:szCs w:val="28"/>
          <w:lang w:eastAsia="ru-RU"/>
        </w:rPr>
      </w:pPr>
      <w:r w:rsidRPr="00A43B9C">
        <w:rPr>
          <w:rFonts w:ascii="Times New Roman" w:eastAsia="Times New Roman" w:hAnsi="Times New Roman" w:cs="Times New Roman"/>
          <w:b/>
          <w:sz w:val="28"/>
          <w:szCs w:val="28"/>
          <w:lang w:eastAsia="ru-RU"/>
        </w:rPr>
        <w:t xml:space="preserve">Классификация </w:t>
      </w:r>
      <w:r w:rsidRPr="00A43B9C">
        <w:rPr>
          <w:rFonts w:ascii="Times New Roman" w:eastAsia="Times New Roman" w:hAnsi="Times New Roman" w:cs="Times New Roman"/>
          <w:b/>
          <w:sz w:val="28"/>
          <w:szCs w:val="28"/>
          <w:lang w:val="en-US" w:eastAsia="ru-RU"/>
        </w:rPr>
        <w:t>TN</w:t>
      </w:r>
      <w:r w:rsidR="00614BB4" w:rsidRPr="00A43B9C">
        <w:rPr>
          <w:rFonts w:ascii="Times New Roman" w:eastAsia="Times New Roman" w:hAnsi="Times New Roman" w:cs="Times New Roman"/>
          <w:b/>
          <w:sz w:val="28"/>
          <w:szCs w:val="28"/>
          <w:lang w:val="en-US" w:eastAsia="ru-RU"/>
        </w:rPr>
        <w:t>M</w:t>
      </w:r>
      <w:r w:rsidRPr="00A43B9C">
        <w:rPr>
          <w:rFonts w:ascii="Times New Roman" w:eastAsia="Times New Roman" w:hAnsi="Times New Roman" w:cs="Times New Roman"/>
          <w:bCs/>
          <w:sz w:val="28"/>
          <w:szCs w:val="28"/>
          <w:lang w:eastAsia="ru-RU"/>
        </w:rPr>
        <w:t xml:space="preserve"> – международная система описания распространения опухолевого процесса по трем компонентам: </w:t>
      </w:r>
      <w:r w:rsidRPr="00A43B9C">
        <w:rPr>
          <w:rFonts w:ascii="Times New Roman" w:eastAsia="Times New Roman" w:hAnsi="Times New Roman" w:cs="Times New Roman"/>
          <w:bCs/>
          <w:sz w:val="28"/>
          <w:szCs w:val="28"/>
          <w:lang w:val="en-US" w:eastAsia="ru-RU"/>
        </w:rPr>
        <w:t>T</w:t>
      </w:r>
      <w:r w:rsidRPr="00A43B9C">
        <w:rPr>
          <w:rFonts w:ascii="Times New Roman" w:eastAsia="Times New Roman" w:hAnsi="Times New Roman" w:cs="Times New Roman"/>
          <w:bCs/>
          <w:sz w:val="28"/>
          <w:szCs w:val="28"/>
          <w:lang w:eastAsia="ru-RU"/>
        </w:rPr>
        <w:t xml:space="preserve"> (</w:t>
      </w:r>
      <w:r w:rsidRPr="00A43B9C">
        <w:rPr>
          <w:rFonts w:ascii="Times New Roman" w:eastAsia="Times New Roman" w:hAnsi="Times New Roman" w:cs="Times New Roman"/>
          <w:bCs/>
          <w:sz w:val="28"/>
          <w:szCs w:val="28"/>
          <w:lang w:val="en-US" w:eastAsia="ru-RU"/>
        </w:rPr>
        <w:t>tumor</w:t>
      </w:r>
      <w:r w:rsidRPr="00A43B9C">
        <w:rPr>
          <w:rFonts w:ascii="Times New Roman" w:eastAsia="Times New Roman" w:hAnsi="Times New Roman" w:cs="Times New Roman"/>
          <w:bCs/>
          <w:sz w:val="28"/>
          <w:szCs w:val="28"/>
          <w:lang w:eastAsia="ru-RU"/>
        </w:rPr>
        <w:t xml:space="preserve">) – местное распространение первичного опухолевого процесса; </w:t>
      </w:r>
      <w:r w:rsidRPr="00A43B9C">
        <w:rPr>
          <w:rFonts w:ascii="Times New Roman" w:eastAsia="Times New Roman" w:hAnsi="Times New Roman" w:cs="Times New Roman"/>
          <w:bCs/>
          <w:sz w:val="28"/>
          <w:szCs w:val="28"/>
          <w:lang w:val="en-US" w:eastAsia="ru-RU"/>
        </w:rPr>
        <w:t>N</w:t>
      </w:r>
      <w:r w:rsidRPr="00A43B9C">
        <w:rPr>
          <w:rFonts w:ascii="Times New Roman" w:eastAsia="Times New Roman" w:hAnsi="Times New Roman" w:cs="Times New Roman"/>
          <w:bCs/>
          <w:sz w:val="28"/>
          <w:szCs w:val="28"/>
          <w:lang w:eastAsia="ru-RU"/>
        </w:rPr>
        <w:t xml:space="preserve"> (</w:t>
      </w:r>
      <w:r w:rsidRPr="00A43B9C">
        <w:rPr>
          <w:rFonts w:ascii="Times New Roman" w:eastAsia="Times New Roman" w:hAnsi="Times New Roman" w:cs="Times New Roman"/>
          <w:bCs/>
          <w:sz w:val="28"/>
          <w:szCs w:val="28"/>
          <w:lang w:val="en-US" w:eastAsia="ru-RU"/>
        </w:rPr>
        <w:t>nodus</w:t>
      </w:r>
      <w:r w:rsidRPr="00A43B9C">
        <w:rPr>
          <w:rFonts w:ascii="Times New Roman" w:eastAsia="Times New Roman" w:hAnsi="Times New Roman" w:cs="Times New Roman"/>
          <w:bCs/>
          <w:sz w:val="28"/>
          <w:szCs w:val="28"/>
          <w:lang w:eastAsia="ru-RU"/>
        </w:rPr>
        <w:t xml:space="preserve">) – распространение опухолевого процесса на регионарные лимфатические узлы; </w:t>
      </w:r>
      <w:r w:rsidRPr="00A43B9C">
        <w:rPr>
          <w:rFonts w:ascii="Times New Roman" w:eastAsia="Times New Roman" w:hAnsi="Times New Roman" w:cs="Times New Roman"/>
          <w:bCs/>
          <w:sz w:val="28"/>
          <w:szCs w:val="28"/>
          <w:lang w:val="en-US" w:eastAsia="ru-RU"/>
        </w:rPr>
        <w:t>M</w:t>
      </w:r>
      <w:r w:rsidRPr="00A43B9C">
        <w:rPr>
          <w:rFonts w:ascii="Times New Roman" w:eastAsia="Times New Roman" w:hAnsi="Times New Roman" w:cs="Times New Roman"/>
          <w:bCs/>
          <w:sz w:val="28"/>
          <w:szCs w:val="28"/>
          <w:lang w:eastAsia="ru-RU"/>
        </w:rPr>
        <w:t xml:space="preserve"> (</w:t>
      </w:r>
      <w:r w:rsidRPr="00A43B9C">
        <w:rPr>
          <w:rFonts w:ascii="Times New Roman" w:eastAsia="Times New Roman" w:hAnsi="Times New Roman" w:cs="Times New Roman"/>
          <w:bCs/>
          <w:sz w:val="28"/>
          <w:szCs w:val="28"/>
          <w:lang w:val="en-US" w:eastAsia="ru-RU"/>
        </w:rPr>
        <w:t>metastasis</w:t>
      </w:r>
      <w:r w:rsidRPr="00A43B9C">
        <w:rPr>
          <w:rFonts w:ascii="Times New Roman" w:eastAsia="Times New Roman" w:hAnsi="Times New Roman" w:cs="Times New Roman"/>
          <w:bCs/>
          <w:sz w:val="28"/>
          <w:szCs w:val="28"/>
          <w:lang w:eastAsia="ru-RU"/>
        </w:rPr>
        <w:t>) – наличие или отсутствие отдаленных метастазов.</w:t>
      </w:r>
    </w:p>
    <w:p w14:paraId="4259C1F6" w14:textId="62F813ED" w:rsidR="003F677C" w:rsidRPr="00A43B9C" w:rsidRDefault="003F677C" w:rsidP="003F677C">
      <w:pPr>
        <w:spacing w:after="0" w:line="240" w:lineRule="auto"/>
        <w:ind w:firstLine="567"/>
        <w:jc w:val="both"/>
        <w:rPr>
          <w:rFonts w:ascii="Times New Roman" w:eastAsia="Times New Roman" w:hAnsi="Times New Roman" w:cs="Times New Roman"/>
          <w:bCs/>
          <w:sz w:val="28"/>
          <w:szCs w:val="28"/>
          <w:lang w:eastAsia="ru-RU"/>
        </w:rPr>
      </w:pPr>
      <w:r w:rsidRPr="00A43B9C">
        <w:rPr>
          <w:rFonts w:ascii="Times New Roman" w:eastAsia="Times New Roman" w:hAnsi="Times New Roman" w:cs="Times New Roman"/>
          <w:b/>
          <w:sz w:val="28"/>
          <w:szCs w:val="28"/>
          <w:lang w:eastAsia="ru-RU"/>
        </w:rPr>
        <w:t>Относительный риск</w:t>
      </w:r>
      <w:r w:rsidR="00840F81" w:rsidRPr="00A43B9C">
        <w:rPr>
          <w:rFonts w:ascii="Times New Roman" w:eastAsia="Times New Roman" w:hAnsi="Times New Roman" w:cs="Times New Roman"/>
          <w:b/>
          <w:sz w:val="28"/>
          <w:szCs w:val="28"/>
          <w:lang w:eastAsia="ru-RU"/>
        </w:rPr>
        <w:t xml:space="preserve"> (ОР)</w:t>
      </w:r>
      <w:r w:rsidR="00351D40" w:rsidRPr="00A43B9C">
        <w:rPr>
          <w:rFonts w:ascii="Times New Roman" w:eastAsia="Times New Roman" w:hAnsi="Times New Roman" w:cs="Times New Roman"/>
          <w:b/>
          <w:sz w:val="28"/>
          <w:szCs w:val="28"/>
          <w:lang w:eastAsia="ru-RU"/>
        </w:rPr>
        <w:t xml:space="preserve"> </w:t>
      </w:r>
      <w:r w:rsidRPr="00A43B9C">
        <w:rPr>
          <w:rFonts w:ascii="Times New Roman" w:eastAsia="Times New Roman" w:hAnsi="Times New Roman" w:cs="Times New Roman"/>
          <w:bCs/>
          <w:sz w:val="28"/>
          <w:szCs w:val="28"/>
          <w:lang w:eastAsia="ru-RU"/>
        </w:rPr>
        <w:t xml:space="preserve">– </w:t>
      </w:r>
      <w:r w:rsidR="00351D40" w:rsidRPr="00A43B9C">
        <w:rPr>
          <w:rFonts w:ascii="Times New Roman" w:hAnsi="Times New Roman" w:cs="Times New Roman"/>
          <w:sz w:val="28"/>
          <w:szCs w:val="28"/>
        </w:rPr>
        <w:t>отношение риска развития исхода в группе экспонированных (или при воздействующем факторе) к риску развития исхода в группе неэкспонированных (или без воздействующего фактора)</w:t>
      </w:r>
      <w:r w:rsidR="00D818BB" w:rsidRPr="00A43B9C">
        <w:rPr>
          <w:rFonts w:ascii="Times New Roman" w:hAnsi="Times New Roman" w:cs="Times New Roman"/>
          <w:sz w:val="28"/>
          <w:szCs w:val="28"/>
        </w:rPr>
        <w:t>.</w:t>
      </w:r>
    </w:p>
    <w:p w14:paraId="64FB811E" w14:textId="23AFC533" w:rsidR="00351D40" w:rsidRPr="00A43B9C" w:rsidRDefault="00351D40" w:rsidP="003F677C">
      <w:pPr>
        <w:spacing w:after="0" w:line="240" w:lineRule="auto"/>
        <w:ind w:firstLine="567"/>
        <w:jc w:val="both"/>
        <w:rPr>
          <w:rFonts w:ascii="Times New Roman" w:eastAsia="Times New Roman" w:hAnsi="Times New Roman" w:cs="Times New Roman"/>
          <w:bCs/>
          <w:sz w:val="28"/>
          <w:szCs w:val="28"/>
          <w:lang w:eastAsia="ru-RU"/>
        </w:rPr>
      </w:pPr>
      <w:r w:rsidRPr="00A43B9C">
        <w:rPr>
          <w:rFonts w:ascii="Times New Roman" w:eastAsia="Times New Roman" w:hAnsi="Times New Roman" w:cs="Times New Roman"/>
          <w:b/>
          <w:sz w:val="28"/>
          <w:szCs w:val="28"/>
          <w:lang w:eastAsia="ru-RU"/>
        </w:rPr>
        <w:t xml:space="preserve">Отношение </w:t>
      </w:r>
      <w:r w:rsidR="00171191" w:rsidRPr="00A43B9C">
        <w:rPr>
          <w:rFonts w:ascii="Times New Roman" w:eastAsia="Times New Roman" w:hAnsi="Times New Roman" w:cs="Times New Roman"/>
          <w:b/>
          <w:sz w:val="28"/>
          <w:szCs w:val="28"/>
          <w:lang w:eastAsia="ru-RU"/>
        </w:rPr>
        <w:t>шансов</w:t>
      </w:r>
      <w:r w:rsidR="00840F81" w:rsidRPr="00A43B9C">
        <w:rPr>
          <w:rFonts w:ascii="Times New Roman" w:eastAsia="Times New Roman" w:hAnsi="Times New Roman" w:cs="Times New Roman"/>
          <w:b/>
          <w:sz w:val="28"/>
          <w:szCs w:val="28"/>
          <w:lang w:eastAsia="ru-RU"/>
        </w:rPr>
        <w:t xml:space="preserve"> (ОШ)</w:t>
      </w:r>
      <w:r w:rsidRPr="00A43B9C">
        <w:rPr>
          <w:rFonts w:ascii="Times New Roman" w:eastAsia="Times New Roman" w:hAnsi="Times New Roman" w:cs="Times New Roman"/>
          <w:bCs/>
          <w:sz w:val="28"/>
          <w:szCs w:val="28"/>
          <w:lang w:eastAsia="ru-RU"/>
        </w:rPr>
        <w:t xml:space="preserve"> - </w:t>
      </w:r>
      <w:r w:rsidRPr="00A43B9C">
        <w:rPr>
          <w:rFonts w:ascii="Times New Roman" w:hAnsi="Times New Roman" w:cs="Times New Roman"/>
          <w:sz w:val="28"/>
          <w:szCs w:val="28"/>
        </w:rPr>
        <w:t>отношение вероятности развития исхода в группе экспонированных к шансу развития исхода в группе неэкспонированных, при этом шансом является отношение числа лиц с исходом к числу лиц без исхода</w:t>
      </w:r>
      <w:r w:rsidR="00D818BB" w:rsidRPr="00A43B9C">
        <w:rPr>
          <w:rFonts w:ascii="Times New Roman" w:hAnsi="Times New Roman" w:cs="Times New Roman"/>
          <w:sz w:val="28"/>
          <w:szCs w:val="28"/>
        </w:rPr>
        <w:t>.</w:t>
      </w:r>
    </w:p>
    <w:p w14:paraId="7CC443EA" w14:textId="6E1CAEBF" w:rsidR="003F677C" w:rsidRPr="00A43B9C" w:rsidRDefault="003F677C" w:rsidP="003F677C">
      <w:pPr>
        <w:spacing w:after="0" w:line="240" w:lineRule="auto"/>
        <w:ind w:firstLine="567"/>
        <w:jc w:val="both"/>
        <w:rPr>
          <w:rFonts w:ascii="Times New Roman" w:eastAsia="Times New Roman" w:hAnsi="Times New Roman" w:cs="Times New Roman"/>
          <w:bCs/>
          <w:sz w:val="28"/>
          <w:szCs w:val="28"/>
          <w:lang w:eastAsia="ru-RU"/>
        </w:rPr>
      </w:pPr>
      <w:r w:rsidRPr="00A43B9C">
        <w:rPr>
          <w:rFonts w:ascii="Times New Roman" w:eastAsia="Times New Roman" w:hAnsi="Times New Roman" w:cs="Times New Roman"/>
          <w:b/>
          <w:sz w:val="28"/>
          <w:szCs w:val="28"/>
          <w:lang w:eastAsia="ru-RU"/>
        </w:rPr>
        <w:t>Отрицательная прогностическая ценность</w:t>
      </w:r>
      <w:r w:rsidR="00840F81" w:rsidRPr="00A43B9C">
        <w:rPr>
          <w:rFonts w:ascii="Times New Roman" w:eastAsia="Times New Roman" w:hAnsi="Times New Roman" w:cs="Times New Roman"/>
          <w:b/>
          <w:sz w:val="28"/>
          <w:szCs w:val="28"/>
          <w:lang w:eastAsia="ru-RU"/>
        </w:rPr>
        <w:t xml:space="preserve"> (</w:t>
      </w:r>
      <w:r w:rsidR="00840F81" w:rsidRPr="00A43B9C">
        <w:rPr>
          <w:rFonts w:ascii="Times New Roman" w:eastAsia="Times New Roman" w:hAnsi="Times New Roman" w:cs="Times New Roman"/>
          <w:b/>
          <w:sz w:val="28"/>
          <w:szCs w:val="28"/>
          <w:lang w:val="en-US" w:eastAsia="ru-RU"/>
        </w:rPr>
        <w:t>NPV</w:t>
      </w:r>
      <w:r w:rsidR="00840F81" w:rsidRPr="00A43B9C">
        <w:rPr>
          <w:rFonts w:ascii="Times New Roman" w:eastAsia="Times New Roman" w:hAnsi="Times New Roman" w:cs="Times New Roman"/>
          <w:b/>
          <w:sz w:val="28"/>
          <w:szCs w:val="28"/>
          <w:lang w:eastAsia="ru-RU"/>
        </w:rPr>
        <w:t>)</w:t>
      </w:r>
      <w:r w:rsidRPr="00A43B9C">
        <w:rPr>
          <w:rFonts w:ascii="Times New Roman" w:eastAsia="Times New Roman" w:hAnsi="Times New Roman" w:cs="Times New Roman"/>
          <w:bCs/>
          <w:sz w:val="28"/>
          <w:szCs w:val="28"/>
          <w:lang w:eastAsia="ru-RU"/>
        </w:rPr>
        <w:t xml:space="preserve"> – вероятность отсутствия заболевания при отрицательном результате теста</w:t>
      </w:r>
      <w:r w:rsidR="00D818BB" w:rsidRPr="00A43B9C">
        <w:rPr>
          <w:rFonts w:ascii="Times New Roman" w:eastAsia="Times New Roman" w:hAnsi="Times New Roman" w:cs="Times New Roman"/>
          <w:bCs/>
          <w:sz w:val="28"/>
          <w:szCs w:val="28"/>
          <w:lang w:eastAsia="ru-RU"/>
        </w:rPr>
        <w:t>.</w:t>
      </w:r>
    </w:p>
    <w:p w14:paraId="65E5E746" w14:textId="23263022" w:rsidR="003F677C" w:rsidRPr="00A43B9C" w:rsidRDefault="003F677C" w:rsidP="003F677C">
      <w:pPr>
        <w:spacing w:after="0" w:line="240" w:lineRule="auto"/>
        <w:ind w:firstLine="567"/>
        <w:jc w:val="both"/>
        <w:rPr>
          <w:rFonts w:ascii="Times New Roman" w:eastAsia="Times New Roman" w:hAnsi="Times New Roman" w:cs="Times New Roman"/>
          <w:bCs/>
          <w:sz w:val="28"/>
          <w:szCs w:val="28"/>
          <w:lang w:eastAsia="ru-RU"/>
        </w:rPr>
      </w:pPr>
      <w:r w:rsidRPr="00A43B9C">
        <w:rPr>
          <w:rFonts w:ascii="Times New Roman" w:eastAsia="Times New Roman" w:hAnsi="Times New Roman" w:cs="Times New Roman"/>
          <w:b/>
          <w:sz w:val="28"/>
          <w:szCs w:val="28"/>
          <w:lang w:eastAsia="ru-RU"/>
        </w:rPr>
        <w:t>Положительная прогностическая ценность</w:t>
      </w:r>
      <w:r w:rsidR="00840F81" w:rsidRPr="00A43B9C">
        <w:rPr>
          <w:rFonts w:ascii="Times New Roman" w:eastAsia="Times New Roman" w:hAnsi="Times New Roman" w:cs="Times New Roman"/>
          <w:b/>
          <w:sz w:val="28"/>
          <w:szCs w:val="28"/>
          <w:lang w:eastAsia="ru-RU"/>
        </w:rPr>
        <w:t xml:space="preserve"> (</w:t>
      </w:r>
      <w:r w:rsidR="00840F81" w:rsidRPr="00A43B9C">
        <w:rPr>
          <w:rFonts w:ascii="Times New Roman" w:eastAsia="Times New Roman" w:hAnsi="Times New Roman" w:cs="Times New Roman"/>
          <w:b/>
          <w:sz w:val="28"/>
          <w:szCs w:val="28"/>
          <w:lang w:val="en-US" w:eastAsia="ru-RU"/>
        </w:rPr>
        <w:t>PPV</w:t>
      </w:r>
      <w:r w:rsidR="00840F81" w:rsidRPr="00A43B9C">
        <w:rPr>
          <w:rFonts w:ascii="Times New Roman" w:eastAsia="Times New Roman" w:hAnsi="Times New Roman" w:cs="Times New Roman"/>
          <w:b/>
          <w:sz w:val="28"/>
          <w:szCs w:val="28"/>
          <w:lang w:eastAsia="ru-RU"/>
        </w:rPr>
        <w:t>)</w:t>
      </w:r>
      <w:r w:rsidRPr="00A43B9C">
        <w:rPr>
          <w:rFonts w:ascii="Times New Roman" w:eastAsia="Times New Roman" w:hAnsi="Times New Roman" w:cs="Times New Roman"/>
          <w:bCs/>
          <w:sz w:val="28"/>
          <w:szCs w:val="28"/>
          <w:lang w:eastAsia="ru-RU"/>
        </w:rPr>
        <w:t xml:space="preserve"> – вероятность заболевания при положительном результате теста</w:t>
      </w:r>
      <w:r w:rsidR="00D818BB" w:rsidRPr="00A43B9C">
        <w:rPr>
          <w:rFonts w:ascii="Times New Roman" w:eastAsia="Times New Roman" w:hAnsi="Times New Roman" w:cs="Times New Roman"/>
          <w:bCs/>
          <w:sz w:val="28"/>
          <w:szCs w:val="28"/>
          <w:lang w:eastAsia="ru-RU"/>
        </w:rPr>
        <w:t>.</w:t>
      </w:r>
    </w:p>
    <w:p w14:paraId="4E3B71DB" w14:textId="05C30AD1" w:rsidR="003F677C" w:rsidRPr="00A43B9C" w:rsidRDefault="003F677C" w:rsidP="003F677C">
      <w:pPr>
        <w:spacing w:after="0" w:line="240" w:lineRule="auto"/>
        <w:ind w:firstLine="567"/>
        <w:jc w:val="both"/>
        <w:rPr>
          <w:rFonts w:ascii="Times New Roman" w:eastAsia="Times New Roman" w:hAnsi="Times New Roman" w:cs="Times New Roman"/>
          <w:bCs/>
          <w:sz w:val="28"/>
          <w:szCs w:val="28"/>
          <w:lang w:eastAsia="ru-RU"/>
        </w:rPr>
      </w:pPr>
      <w:r w:rsidRPr="00A43B9C">
        <w:rPr>
          <w:rFonts w:ascii="Times New Roman" w:eastAsia="Times New Roman" w:hAnsi="Times New Roman" w:cs="Times New Roman"/>
          <w:b/>
          <w:sz w:val="28"/>
          <w:szCs w:val="28"/>
          <w:lang w:eastAsia="ru-RU"/>
        </w:rPr>
        <w:t>Прогностическая ценность</w:t>
      </w:r>
      <w:r w:rsidR="00840F81" w:rsidRPr="00A43B9C">
        <w:rPr>
          <w:rFonts w:ascii="Times New Roman" w:eastAsia="Times New Roman" w:hAnsi="Times New Roman" w:cs="Times New Roman"/>
          <w:b/>
          <w:sz w:val="28"/>
          <w:szCs w:val="28"/>
          <w:lang w:eastAsia="ru-RU"/>
        </w:rPr>
        <w:t xml:space="preserve"> (</w:t>
      </w:r>
      <w:r w:rsidR="00840F81" w:rsidRPr="00A43B9C">
        <w:rPr>
          <w:rFonts w:ascii="Times New Roman" w:eastAsia="Times New Roman" w:hAnsi="Times New Roman" w:cs="Times New Roman"/>
          <w:b/>
          <w:sz w:val="28"/>
          <w:szCs w:val="28"/>
          <w:lang w:val="en-US" w:eastAsia="ru-RU"/>
        </w:rPr>
        <w:t>PV</w:t>
      </w:r>
      <w:r w:rsidR="00840F81" w:rsidRPr="00A43B9C">
        <w:rPr>
          <w:rFonts w:ascii="Times New Roman" w:eastAsia="Times New Roman" w:hAnsi="Times New Roman" w:cs="Times New Roman"/>
          <w:b/>
          <w:sz w:val="28"/>
          <w:szCs w:val="28"/>
          <w:lang w:eastAsia="ru-RU"/>
        </w:rPr>
        <w:t>)</w:t>
      </w:r>
      <w:r w:rsidRPr="00A43B9C">
        <w:rPr>
          <w:rFonts w:ascii="Times New Roman" w:eastAsia="Times New Roman" w:hAnsi="Times New Roman" w:cs="Times New Roman"/>
          <w:b/>
          <w:sz w:val="28"/>
          <w:szCs w:val="28"/>
          <w:lang w:eastAsia="ru-RU"/>
        </w:rPr>
        <w:t xml:space="preserve"> </w:t>
      </w:r>
      <w:r w:rsidRPr="00A43B9C">
        <w:rPr>
          <w:rFonts w:ascii="Times New Roman" w:eastAsia="Times New Roman" w:hAnsi="Times New Roman" w:cs="Times New Roman"/>
          <w:bCs/>
          <w:sz w:val="28"/>
          <w:szCs w:val="28"/>
          <w:lang w:eastAsia="ru-RU"/>
        </w:rPr>
        <w:t>– вероятность наличия заболевания при известном результате диагностического метода</w:t>
      </w:r>
      <w:r w:rsidR="00D818BB" w:rsidRPr="00A43B9C">
        <w:rPr>
          <w:rFonts w:ascii="Times New Roman" w:eastAsia="Times New Roman" w:hAnsi="Times New Roman" w:cs="Times New Roman"/>
          <w:bCs/>
          <w:sz w:val="28"/>
          <w:szCs w:val="28"/>
          <w:lang w:eastAsia="ru-RU"/>
        </w:rPr>
        <w:t>.</w:t>
      </w:r>
    </w:p>
    <w:p w14:paraId="080E29ED" w14:textId="4A7EAEDA" w:rsidR="00171191" w:rsidRPr="00A43B9C" w:rsidRDefault="00171191" w:rsidP="00082D53">
      <w:pPr>
        <w:spacing w:after="0" w:line="240" w:lineRule="auto"/>
        <w:ind w:firstLine="567"/>
        <w:jc w:val="both"/>
        <w:rPr>
          <w:rFonts w:ascii="Times New Roman" w:eastAsia="Times New Roman" w:hAnsi="Times New Roman" w:cs="Times New Roman"/>
          <w:bCs/>
          <w:sz w:val="28"/>
          <w:szCs w:val="28"/>
          <w:lang w:eastAsia="ru-RU"/>
        </w:rPr>
      </w:pPr>
      <w:r w:rsidRPr="00A43B9C">
        <w:rPr>
          <w:rFonts w:ascii="Times New Roman" w:eastAsia="Times New Roman" w:hAnsi="Times New Roman" w:cs="Times New Roman"/>
          <w:b/>
          <w:sz w:val="28"/>
          <w:szCs w:val="28"/>
          <w:lang w:eastAsia="ru-RU"/>
        </w:rPr>
        <w:t>Рабочая характеристика приемника</w:t>
      </w:r>
      <w:r w:rsidR="008B7DC0" w:rsidRPr="00A43B9C">
        <w:rPr>
          <w:rFonts w:ascii="Times New Roman" w:eastAsia="Times New Roman" w:hAnsi="Times New Roman" w:cs="Times New Roman"/>
          <w:b/>
          <w:sz w:val="28"/>
          <w:szCs w:val="28"/>
          <w:lang w:eastAsia="ru-RU"/>
        </w:rPr>
        <w:t xml:space="preserve"> (</w:t>
      </w:r>
      <w:r w:rsidR="008B7DC0" w:rsidRPr="00A43B9C">
        <w:rPr>
          <w:rFonts w:ascii="Times New Roman" w:eastAsia="Times New Roman" w:hAnsi="Times New Roman" w:cs="Times New Roman"/>
          <w:b/>
          <w:sz w:val="28"/>
          <w:szCs w:val="28"/>
          <w:lang w:val="en-US" w:eastAsia="ru-RU"/>
        </w:rPr>
        <w:t>ROC</w:t>
      </w:r>
      <w:r w:rsidR="008B7DC0" w:rsidRPr="00A43B9C">
        <w:rPr>
          <w:rFonts w:ascii="Times New Roman" w:eastAsia="Times New Roman" w:hAnsi="Times New Roman" w:cs="Times New Roman"/>
          <w:b/>
          <w:sz w:val="28"/>
          <w:szCs w:val="28"/>
          <w:lang w:eastAsia="ru-RU"/>
        </w:rPr>
        <w:t>-кривая)</w:t>
      </w:r>
      <w:r w:rsidRPr="00A43B9C">
        <w:rPr>
          <w:rFonts w:ascii="Times New Roman" w:eastAsia="Times New Roman" w:hAnsi="Times New Roman" w:cs="Times New Roman"/>
          <w:bCs/>
          <w:sz w:val="28"/>
          <w:szCs w:val="28"/>
          <w:lang w:eastAsia="ru-RU"/>
        </w:rPr>
        <w:t xml:space="preserve"> – график, характеризующий диагностическую точность теста и строящийся в координатах (чувствительность</w:t>
      </w:r>
      <w:r w:rsidR="00614BB4" w:rsidRPr="008D0A7E">
        <w:rPr>
          <w:rFonts w:ascii="Times New Roman" w:eastAsia="Times New Roman" w:hAnsi="Times New Roman" w:cs="Times New Roman"/>
          <w:bCs/>
          <w:sz w:val="28"/>
          <w:szCs w:val="28"/>
          <w:lang w:eastAsia="ru-RU"/>
        </w:rPr>
        <w:t>/</w:t>
      </w:r>
      <w:r w:rsidRPr="00A43B9C">
        <w:rPr>
          <w:rFonts w:ascii="Times New Roman" w:eastAsia="Times New Roman" w:hAnsi="Times New Roman" w:cs="Times New Roman"/>
          <w:bCs/>
          <w:sz w:val="28"/>
          <w:szCs w:val="28"/>
          <w:lang w:eastAsia="ru-RU"/>
        </w:rPr>
        <w:t>единица минус специфичность)</w:t>
      </w:r>
      <w:r w:rsidR="00D818BB" w:rsidRPr="00A43B9C">
        <w:rPr>
          <w:rFonts w:ascii="Times New Roman" w:eastAsia="Times New Roman" w:hAnsi="Times New Roman" w:cs="Times New Roman"/>
          <w:bCs/>
          <w:sz w:val="28"/>
          <w:szCs w:val="28"/>
          <w:lang w:eastAsia="ru-RU"/>
        </w:rPr>
        <w:t>.</w:t>
      </w:r>
    </w:p>
    <w:p w14:paraId="0896AAFD" w14:textId="553A8BF7" w:rsidR="00082D53" w:rsidRPr="00A43B9C" w:rsidRDefault="003F677C" w:rsidP="00082D53">
      <w:pPr>
        <w:spacing w:after="0" w:line="240" w:lineRule="auto"/>
        <w:ind w:firstLine="567"/>
        <w:jc w:val="both"/>
        <w:rPr>
          <w:rFonts w:ascii="Times New Roman" w:eastAsia="Times New Roman" w:hAnsi="Times New Roman" w:cs="Times New Roman"/>
          <w:bCs/>
          <w:sz w:val="28"/>
          <w:szCs w:val="28"/>
          <w:lang w:eastAsia="ru-RU"/>
        </w:rPr>
      </w:pPr>
      <w:r w:rsidRPr="00A43B9C">
        <w:rPr>
          <w:rFonts w:ascii="Times New Roman" w:eastAsia="Times New Roman" w:hAnsi="Times New Roman" w:cs="Times New Roman"/>
          <w:b/>
          <w:sz w:val="28"/>
          <w:szCs w:val="28"/>
          <w:lang w:eastAsia="ru-RU"/>
        </w:rPr>
        <w:t>Специфичность</w:t>
      </w:r>
      <w:r w:rsidR="00840F81" w:rsidRPr="00A43B9C">
        <w:rPr>
          <w:rFonts w:ascii="Times New Roman" w:eastAsia="Times New Roman" w:hAnsi="Times New Roman" w:cs="Times New Roman"/>
          <w:b/>
          <w:sz w:val="28"/>
          <w:szCs w:val="28"/>
          <w:lang w:eastAsia="ru-RU"/>
        </w:rPr>
        <w:t xml:space="preserve"> (</w:t>
      </w:r>
      <w:r w:rsidR="00840F81" w:rsidRPr="00A43B9C">
        <w:rPr>
          <w:rFonts w:ascii="Times New Roman" w:eastAsia="Times New Roman" w:hAnsi="Times New Roman" w:cs="Times New Roman"/>
          <w:b/>
          <w:sz w:val="28"/>
          <w:szCs w:val="28"/>
          <w:lang w:val="en-US" w:eastAsia="ru-RU"/>
        </w:rPr>
        <w:t>Sp</w:t>
      </w:r>
      <w:r w:rsidR="00840F81" w:rsidRPr="00A43B9C">
        <w:rPr>
          <w:rFonts w:ascii="Times New Roman" w:eastAsia="Times New Roman" w:hAnsi="Times New Roman" w:cs="Times New Roman"/>
          <w:b/>
          <w:sz w:val="28"/>
          <w:szCs w:val="28"/>
          <w:lang w:eastAsia="ru-RU"/>
        </w:rPr>
        <w:t>)</w:t>
      </w:r>
      <w:r w:rsidRPr="00A43B9C">
        <w:rPr>
          <w:rFonts w:ascii="Times New Roman" w:eastAsia="Times New Roman" w:hAnsi="Times New Roman" w:cs="Times New Roman"/>
          <w:b/>
          <w:sz w:val="28"/>
          <w:szCs w:val="28"/>
          <w:lang w:eastAsia="ru-RU"/>
        </w:rPr>
        <w:t xml:space="preserve"> </w:t>
      </w:r>
      <w:r w:rsidRPr="00A43B9C">
        <w:rPr>
          <w:rFonts w:ascii="Times New Roman" w:eastAsia="Times New Roman" w:hAnsi="Times New Roman" w:cs="Times New Roman"/>
          <w:bCs/>
          <w:sz w:val="28"/>
          <w:szCs w:val="28"/>
          <w:lang w:eastAsia="ru-RU"/>
        </w:rPr>
        <w:t>– вероятность отрицательного результата диагностического метода при отсутствии болезни</w:t>
      </w:r>
      <w:r w:rsidR="00D818BB" w:rsidRPr="00A43B9C">
        <w:rPr>
          <w:rFonts w:ascii="Times New Roman" w:eastAsia="Times New Roman" w:hAnsi="Times New Roman" w:cs="Times New Roman"/>
          <w:bCs/>
          <w:sz w:val="28"/>
          <w:szCs w:val="28"/>
          <w:lang w:eastAsia="ru-RU"/>
        </w:rPr>
        <w:t>.</w:t>
      </w:r>
    </w:p>
    <w:p w14:paraId="4DD5D00C" w14:textId="63FCA645" w:rsidR="00082D53" w:rsidRPr="00A43B9C" w:rsidRDefault="00082D53" w:rsidP="00082D53">
      <w:pPr>
        <w:spacing w:after="0" w:line="240" w:lineRule="auto"/>
        <w:ind w:firstLine="567"/>
        <w:jc w:val="both"/>
        <w:rPr>
          <w:rFonts w:ascii="Times New Roman" w:eastAsia="Times New Roman" w:hAnsi="Times New Roman" w:cs="Times New Roman"/>
          <w:bCs/>
          <w:color w:val="000000"/>
          <w:sz w:val="28"/>
          <w:szCs w:val="28"/>
        </w:rPr>
      </w:pPr>
      <w:r w:rsidRPr="00A43B9C">
        <w:rPr>
          <w:rFonts w:ascii="Times New Roman" w:eastAsia="Times New Roman" w:hAnsi="Times New Roman" w:cs="Times New Roman"/>
          <w:b/>
          <w:color w:val="000000"/>
          <w:sz w:val="28"/>
          <w:szCs w:val="28"/>
        </w:rPr>
        <w:t>Стандартизированный уровень накопления</w:t>
      </w:r>
      <w:r w:rsidR="00840F81" w:rsidRPr="00A43B9C">
        <w:rPr>
          <w:rFonts w:ascii="Times New Roman" w:eastAsia="Times New Roman" w:hAnsi="Times New Roman" w:cs="Times New Roman"/>
          <w:b/>
          <w:color w:val="000000"/>
          <w:sz w:val="28"/>
          <w:szCs w:val="28"/>
        </w:rPr>
        <w:t xml:space="preserve"> (</w:t>
      </w:r>
      <w:r w:rsidR="00840F81" w:rsidRPr="00A43B9C">
        <w:rPr>
          <w:rFonts w:ascii="Times New Roman" w:eastAsia="Times New Roman" w:hAnsi="Times New Roman" w:cs="Times New Roman"/>
          <w:b/>
          <w:color w:val="000000"/>
          <w:sz w:val="28"/>
          <w:szCs w:val="28"/>
          <w:lang w:val="en-US"/>
        </w:rPr>
        <w:t>SUV</w:t>
      </w:r>
      <w:r w:rsidR="00840F81" w:rsidRPr="00A43B9C">
        <w:rPr>
          <w:rFonts w:ascii="Times New Roman" w:eastAsia="Times New Roman" w:hAnsi="Times New Roman" w:cs="Times New Roman"/>
          <w:b/>
          <w:color w:val="000000"/>
          <w:sz w:val="28"/>
          <w:szCs w:val="28"/>
        </w:rPr>
        <w:t>)</w:t>
      </w:r>
      <w:r w:rsidRPr="00A43B9C">
        <w:rPr>
          <w:rFonts w:ascii="Times New Roman" w:eastAsia="Times New Roman" w:hAnsi="Times New Roman" w:cs="Times New Roman"/>
          <w:bCs/>
          <w:color w:val="000000"/>
          <w:sz w:val="28"/>
          <w:szCs w:val="28"/>
        </w:rPr>
        <w:t xml:space="preserve"> </w:t>
      </w:r>
      <w:r w:rsidR="00885366" w:rsidRPr="00A43B9C">
        <w:rPr>
          <w:rFonts w:ascii="Times New Roman" w:eastAsia="Times New Roman" w:hAnsi="Times New Roman" w:cs="Times New Roman"/>
          <w:bCs/>
          <w:color w:val="000000"/>
          <w:sz w:val="28"/>
          <w:szCs w:val="28"/>
        </w:rPr>
        <w:t>–</w:t>
      </w:r>
      <w:r w:rsidRPr="00A43B9C">
        <w:rPr>
          <w:rFonts w:ascii="Times New Roman" w:eastAsia="Times New Roman" w:hAnsi="Times New Roman" w:cs="Times New Roman"/>
          <w:bCs/>
          <w:color w:val="000000"/>
          <w:sz w:val="28"/>
          <w:szCs w:val="28"/>
        </w:rPr>
        <w:t xml:space="preserve"> </w:t>
      </w:r>
      <w:r w:rsidR="00885366" w:rsidRPr="00A43B9C">
        <w:rPr>
          <w:rFonts w:ascii="Times New Roman" w:eastAsia="Times New Roman" w:hAnsi="Times New Roman" w:cs="Times New Roman"/>
          <w:bCs/>
          <w:color w:val="000000"/>
          <w:sz w:val="28"/>
          <w:szCs w:val="28"/>
        </w:rPr>
        <w:t xml:space="preserve">полуколичественный анализ накопления радиофармпрепарата в ткани, используемый в позитронно-эмиссионной томографии, обозначающий отношение удельной радиоактивности в измеряемой области к общей введенной удельной </w:t>
      </w:r>
      <w:r w:rsidR="000A532A" w:rsidRPr="00A43B9C">
        <w:rPr>
          <w:rFonts w:ascii="Times New Roman" w:eastAsia="Times New Roman" w:hAnsi="Times New Roman" w:cs="Times New Roman"/>
          <w:bCs/>
          <w:color w:val="000000"/>
          <w:sz w:val="28"/>
          <w:szCs w:val="28"/>
        </w:rPr>
        <w:t>радиоактивности</w:t>
      </w:r>
      <w:r w:rsidR="00D818BB" w:rsidRPr="00A43B9C">
        <w:rPr>
          <w:rFonts w:ascii="Times New Roman" w:eastAsia="Times New Roman" w:hAnsi="Times New Roman" w:cs="Times New Roman"/>
          <w:bCs/>
          <w:color w:val="000000"/>
          <w:sz w:val="28"/>
          <w:szCs w:val="28"/>
        </w:rPr>
        <w:t>.</w:t>
      </w:r>
    </w:p>
    <w:p w14:paraId="39A7F725" w14:textId="555CE7EE" w:rsidR="003F677C" w:rsidRPr="00A43B9C" w:rsidRDefault="003F677C" w:rsidP="003F677C">
      <w:pPr>
        <w:spacing w:after="0" w:line="240" w:lineRule="auto"/>
        <w:ind w:firstLine="567"/>
        <w:jc w:val="both"/>
        <w:rPr>
          <w:rFonts w:ascii="Times New Roman" w:eastAsia="Times New Roman" w:hAnsi="Times New Roman" w:cs="Times New Roman"/>
          <w:bCs/>
          <w:sz w:val="28"/>
          <w:szCs w:val="28"/>
          <w:lang w:eastAsia="ru-RU"/>
        </w:rPr>
      </w:pPr>
      <w:r w:rsidRPr="00A43B9C">
        <w:rPr>
          <w:rFonts w:ascii="Times New Roman" w:eastAsia="Times New Roman" w:hAnsi="Times New Roman" w:cs="Times New Roman"/>
          <w:b/>
          <w:sz w:val="28"/>
          <w:szCs w:val="28"/>
          <w:lang w:eastAsia="ru-RU"/>
        </w:rPr>
        <w:t>Точность диагностического теста (</w:t>
      </w:r>
      <w:r w:rsidRPr="00A43B9C">
        <w:rPr>
          <w:rFonts w:ascii="Times New Roman" w:eastAsia="Times New Roman" w:hAnsi="Times New Roman" w:cs="Times New Roman"/>
          <w:b/>
          <w:sz w:val="28"/>
          <w:szCs w:val="28"/>
          <w:lang w:val="en-US" w:eastAsia="ru-RU"/>
        </w:rPr>
        <w:t>Accuracy</w:t>
      </w:r>
      <w:r w:rsidRPr="00A43B9C">
        <w:rPr>
          <w:rFonts w:ascii="Times New Roman" w:eastAsia="Times New Roman" w:hAnsi="Times New Roman" w:cs="Times New Roman"/>
          <w:b/>
          <w:sz w:val="28"/>
          <w:szCs w:val="28"/>
          <w:lang w:eastAsia="ru-RU"/>
        </w:rPr>
        <w:t>)</w:t>
      </w:r>
      <w:r w:rsidRPr="00A43B9C">
        <w:rPr>
          <w:rFonts w:ascii="Times New Roman" w:eastAsia="Times New Roman" w:hAnsi="Times New Roman" w:cs="Times New Roman"/>
          <w:bCs/>
          <w:sz w:val="28"/>
          <w:szCs w:val="28"/>
          <w:lang w:eastAsia="ru-RU"/>
        </w:rPr>
        <w:t xml:space="preserve"> – доля правильных результатов теста в общем количестве полученных результатов</w:t>
      </w:r>
      <w:r w:rsidR="00D818BB" w:rsidRPr="00A43B9C">
        <w:rPr>
          <w:rFonts w:ascii="Times New Roman" w:eastAsia="Times New Roman" w:hAnsi="Times New Roman" w:cs="Times New Roman"/>
          <w:bCs/>
          <w:sz w:val="28"/>
          <w:szCs w:val="28"/>
          <w:lang w:eastAsia="ru-RU"/>
        </w:rPr>
        <w:t>.</w:t>
      </w:r>
    </w:p>
    <w:p w14:paraId="1DD2CA45" w14:textId="540D993C" w:rsidR="00D818BB" w:rsidRPr="00A43B9C" w:rsidRDefault="004B1F41" w:rsidP="00F4733A">
      <w:pPr>
        <w:spacing w:after="0" w:line="240" w:lineRule="auto"/>
        <w:ind w:firstLine="567"/>
        <w:jc w:val="both"/>
        <w:rPr>
          <w:rFonts w:ascii="Times New Roman" w:eastAsia="Times New Roman" w:hAnsi="Times New Roman" w:cs="Times New Roman"/>
          <w:bCs/>
          <w:sz w:val="28"/>
          <w:szCs w:val="28"/>
          <w:lang w:eastAsia="ru-RU"/>
        </w:rPr>
      </w:pPr>
      <w:r w:rsidRPr="00A43B9C">
        <w:rPr>
          <w:rFonts w:ascii="Times New Roman" w:eastAsia="Times New Roman" w:hAnsi="Times New Roman" w:cs="Times New Roman"/>
          <w:b/>
          <w:sz w:val="28"/>
          <w:szCs w:val="28"/>
          <w:lang w:eastAsia="ru-RU"/>
        </w:rPr>
        <w:t>Чувствительность (</w:t>
      </w:r>
      <w:r w:rsidR="00A15245" w:rsidRPr="00A43B9C">
        <w:rPr>
          <w:rFonts w:ascii="Times New Roman" w:eastAsia="Times New Roman" w:hAnsi="Times New Roman" w:cs="Times New Roman"/>
          <w:b/>
          <w:sz w:val="28"/>
          <w:szCs w:val="28"/>
          <w:lang w:val="en-US" w:eastAsia="ru-RU"/>
        </w:rPr>
        <w:t>Se</w:t>
      </w:r>
      <w:r w:rsidRPr="00A43B9C">
        <w:rPr>
          <w:rFonts w:ascii="Times New Roman" w:eastAsia="Times New Roman" w:hAnsi="Times New Roman" w:cs="Times New Roman"/>
          <w:b/>
          <w:sz w:val="28"/>
          <w:szCs w:val="28"/>
          <w:lang w:eastAsia="ru-RU"/>
        </w:rPr>
        <w:t>)</w:t>
      </w:r>
      <w:r w:rsidRPr="00A43B9C">
        <w:rPr>
          <w:rFonts w:ascii="Times New Roman" w:eastAsia="Times New Roman" w:hAnsi="Times New Roman" w:cs="Times New Roman"/>
          <w:bCs/>
          <w:sz w:val="28"/>
          <w:szCs w:val="28"/>
          <w:lang w:eastAsia="ru-RU"/>
        </w:rPr>
        <w:t xml:space="preserve"> – вероятность положительного результата диагностического метода при наличии болезни</w:t>
      </w:r>
      <w:r w:rsidR="00D818BB" w:rsidRPr="00A43B9C">
        <w:rPr>
          <w:rFonts w:ascii="Times New Roman" w:eastAsia="Times New Roman" w:hAnsi="Times New Roman" w:cs="Times New Roman"/>
          <w:bCs/>
          <w:sz w:val="28"/>
          <w:szCs w:val="28"/>
          <w:lang w:eastAsia="ru-RU"/>
        </w:rPr>
        <w:t>.</w:t>
      </w:r>
    </w:p>
    <w:p w14:paraId="4A9DAEB3" w14:textId="7906C931" w:rsidR="00D85264" w:rsidRDefault="00D85264" w:rsidP="00F4733A">
      <w:pPr>
        <w:spacing w:after="0" w:line="240" w:lineRule="auto"/>
        <w:ind w:firstLine="567"/>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b/>
          <w:bCs/>
          <w:sz w:val="28"/>
          <w:szCs w:val="28"/>
          <w:lang w:eastAsia="ru-RU"/>
        </w:rPr>
        <w:t>Eastern Cooperative Oncology Group</w:t>
      </w:r>
      <w:r w:rsidR="00840F81" w:rsidRPr="00A43B9C">
        <w:rPr>
          <w:rFonts w:ascii="Times New Roman" w:eastAsia="Times New Roman" w:hAnsi="Times New Roman" w:cs="Times New Roman"/>
          <w:b/>
          <w:bCs/>
          <w:sz w:val="28"/>
          <w:szCs w:val="28"/>
          <w:lang w:eastAsia="ru-RU"/>
        </w:rPr>
        <w:t xml:space="preserve"> (</w:t>
      </w:r>
      <w:r w:rsidR="00840F81" w:rsidRPr="00A43B9C">
        <w:rPr>
          <w:rFonts w:ascii="Times New Roman" w:eastAsia="Times New Roman" w:hAnsi="Times New Roman" w:cs="Times New Roman"/>
          <w:b/>
          <w:bCs/>
          <w:sz w:val="28"/>
          <w:szCs w:val="28"/>
          <w:lang w:val="en-US" w:eastAsia="ru-RU"/>
        </w:rPr>
        <w:t>ECOG</w:t>
      </w:r>
      <w:r w:rsidRPr="00A43B9C">
        <w:rPr>
          <w:rFonts w:ascii="Times New Roman" w:eastAsia="Times New Roman" w:hAnsi="Times New Roman" w:cs="Times New Roman"/>
          <w:b/>
          <w:bCs/>
          <w:sz w:val="28"/>
          <w:szCs w:val="28"/>
          <w:lang w:eastAsia="ru-RU"/>
        </w:rPr>
        <w:t>)</w:t>
      </w:r>
      <w:r w:rsidRPr="00A43B9C">
        <w:rPr>
          <w:rFonts w:ascii="Times New Roman" w:eastAsia="Times New Roman" w:hAnsi="Times New Roman" w:cs="Times New Roman"/>
          <w:sz w:val="28"/>
          <w:szCs w:val="28"/>
          <w:lang w:eastAsia="ru-RU"/>
        </w:rPr>
        <w:t xml:space="preserve"> – шкала оценки общего состояния онкологического пациента до начала лечения, в процессе и после его окончания по 5-степенной системе (рекомендована Восточной кооперативной онкологической группой).</w:t>
      </w:r>
    </w:p>
    <w:p w14:paraId="418CE615" w14:textId="77777777" w:rsidR="00095412" w:rsidRDefault="00D818BB" w:rsidP="00F4733A">
      <w:pPr>
        <w:spacing w:after="0" w:line="240" w:lineRule="auto"/>
        <w:ind w:firstLine="567"/>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b/>
          <w:bCs/>
          <w:sz w:val="28"/>
          <w:szCs w:val="28"/>
          <w:lang w:val="en-US" w:eastAsia="ru-RU"/>
        </w:rPr>
        <w:lastRenderedPageBreak/>
        <w:t>GLOBOCAN</w:t>
      </w:r>
      <w:r w:rsidRPr="00A43B9C">
        <w:rPr>
          <w:rFonts w:ascii="Times New Roman" w:eastAsia="Times New Roman" w:hAnsi="Times New Roman" w:cs="Times New Roman"/>
          <w:sz w:val="28"/>
          <w:szCs w:val="28"/>
          <w:lang w:eastAsia="ru-RU"/>
        </w:rPr>
        <w:t xml:space="preserve"> – совместный проект Всемирной организации здравоохранения и международного агентства по изучению рака по сбору и анализу данных об онкологических заболеваниях в мире.</w:t>
      </w:r>
    </w:p>
    <w:p w14:paraId="6A338D6D" w14:textId="5D7E625E" w:rsidR="004B1F41" w:rsidRPr="00095412" w:rsidRDefault="00095412" w:rsidP="00F4733A">
      <w:pPr>
        <w:spacing w:after="0" w:line="240" w:lineRule="auto"/>
        <w:ind w:firstLine="567"/>
        <w:jc w:val="both"/>
        <w:rPr>
          <w:rFonts w:ascii="Times New Roman" w:hAnsi="Times New Roman" w:cs="Times New Roman"/>
          <w:b/>
          <w:sz w:val="28"/>
          <w:szCs w:val="28"/>
          <w:lang w:eastAsia="ru-RU"/>
        </w:rPr>
      </w:pPr>
      <w:r w:rsidRPr="00095412">
        <w:rPr>
          <w:rFonts w:ascii="Times New Roman" w:hAnsi="Times New Roman" w:cs="Times New Roman"/>
          <w:b/>
          <w:bCs/>
          <w:sz w:val="28"/>
          <w:szCs w:val="28"/>
          <w:shd w:val="clear" w:color="auto" w:fill="FFFFFF"/>
          <w:lang w:val="en-US"/>
        </w:rPr>
        <w:t>International</w:t>
      </w:r>
      <w:r w:rsidRPr="00095412">
        <w:rPr>
          <w:rFonts w:ascii="Times New Roman" w:hAnsi="Times New Roman" w:cs="Times New Roman"/>
          <w:b/>
          <w:bCs/>
          <w:sz w:val="28"/>
          <w:szCs w:val="28"/>
          <w:shd w:val="clear" w:color="auto" w:fill="FFFFFF"/>
        </w:rPr>
        <w:t xml:space="preserve"> </w:t>
      </w:r>
      <w:r w:rsidRPr="00095412">
        <w:rPr>
          <w:rFonts w:ascii="Times New Roman" w:hAnsi="Times New Roman" w:cs="Times New Roman"/>
          <w:b/>
          <w:bCs/>
          <w:sz w:val="28"/>
          <w:szCs w:val="28"/>
          <w:shd w:val="clear" w:color="auto" w:fill="FFFFFF"/>
          <w:lang w:val="en-US"/>
        </w:rPr>
        <w:t>Federation</w:t>
      </w:r>
      <w:r w:rsidRPr="00095412">
        <w:rPr>
          <w:rFonts w:ascii="Times New Roman" w:hAnsi="Times New Roman" w:cs="Times New Roman"/>
          <w:b/>
          <w:bCs/>
          <w:sz w:val="28"/>
          <w:szCs w:val="28"/>
          <w:shd w:val="clear" w:color="auto" w:fill="FFFFFF"/>
        </w:rPr>
        <w:t xml:space="preserve"> </w:t>
      </w:r>
      <w:r w:rsidRPr="00095412">
        <w:rPr>
          <w:rFonts w:ascii="Times New Roman" w:hAnsi="Times New Roman" w:cs="Times New Roman"/>
          <w:b/>
          <w:bCs/>
          <w:sz w:val="28"/>
          <w:szCs w:val="28"/>
          <w:shd w:val="clear" w:color="auto" w:fill="FFFFFF"/>
          <w:lang w:val="en-US"/>
        </w:rPr>
        <w:t>of</w:t>
      </w:r>
      <w:r w:rsidRPr="00095412">
        <w:rPr>
          <w:rFonts w:ascii="Times New Roman" w:hAnsi="Times New Roman" w:cs="Times New Roman"/>
          <w:b/>
          <w:bCs/>
          <w:sz w:val="28"/>
          <w:szCs w:val="28"/>
          <w:shd w:val="clear" w:color="auto" w:fill="FFFFFF"/>
        </w:rPr>
        <w:t xml:space="preserve"> </w:t>
      </w:r>
      <w:r w:rsidRPr="00095412">
        <w:rPr>
          <w:rFonts w:ascii="Times New Roman" w:hAnsi="Times New Roman" w:cs="Times New Roman"/>
          <w:b/>
          <w:bCs/>
          <w:sz w:val="28"/>
          <w:szCs w:val="28"/>
          <w:shd w:val="clear" w:color="auto" w:fill="FFFFFF"/>
          <w:lang w:val="en-US"/>
        </w:rPr>
        <w:t>Gynecology</w:t>
      </w:r>
      <w:r w:rsidRPr="00095412">
        <w:rPr>
          <w:rFonts w:ascii="Times New Roman" w:hAnsi="Times New Roman" w:cs="Times New Roman"/>
          <w:b/>
          <w:bCs/>
          <w:sz w:val="28"/>
          <w:szCs w:val="28"/>
          <w:shd w:val="clear" w:color="auto" w:fill="FFFFFF"/>
        </w:rPr>
        <w:t xml:space="preserve"> </w:t>
      </w:r>
      <w:r w:rsidRPr="00095412">
        <w:rPr>
          <w:rFonts w:ascii="Times New Roman" w:hAnsi="Times New Roman" w:cs="Times New Roman"/>
          <w:b/>
          <w:bCs/>
          <w:sz w:val="28"/>
          <w:szCs w:val="28"/>
          <w:shd w:val="clear" w:color="auto" w:fill="FFFFFF"/>
          <w:lang w:val="en-US"/>
        </w:rPr>
        <w:t>and</w:t>
      </w:r>
      <w:r w:rsidRPr="00095412">
        <w:rPr>
          <w:rFonts w:ascii="Times New Roman" w:hAnsi="Times New Roman" w:cs="Times New Roman"/>
          <w:b/>
          <w:bCs/>
          <w:sz w:val="28"/>
          <w:szCs w:val="28"/>
          <w:shd w:val="clear" w:color="auto" w:fill="FFFFFF"/>
        </w:rPr>
        <w:t xml:space="preserve"> </w:t>
      </w:r>
      <w:r w:rsidRPr="00095412">
        <w:rPr>
          <w:rFonts w:ascii="Times New Roman" w:hAnsi="Times New Roman" w:cs="Times New Roman"/>
          <w:b/>
          <w:bCs/>
          <w:sz w:val="28"/>
          <w:szCs w:val="28"/>
          <w:shd w:val="clear" w:color="auto" w:fill="FFFFFF"/>
          <w:lang w:val="en-US"/>
        </w:rPr>
        <w:t>Obstetrics</w:t>
      </w:r>
      <w:r w:rsidRPr="00095412">
        <w:rPr>
          <w:rFonts w:ascii="Times New Roman" w:hAnsi="Times New Roman" w:cs="Times New Roman"/>
          <w:b/>
          <w:bCs/>
          <w:sz w:val="28"/>
          <w:szCs w:val="28"/>
          <w:shd w:val="clear" w:color="auto" w:fill="FFFFFF"/>
        </w:rPr>
        <w:t xml:space="preserve"> (</w:t>
      </w:r>
      <w:r w:rsidRPr="00095412">
        <w:rPr>
          <w:rFonts w:ascii="Times New Roman" w:hAnsi="Times New Roman" w:cs="Times New Roman"/>
          <w:b/>
          <w:bCs/>
          <w:sz w:val="28"/>
          <w:szCs w:val="28"/>
          <w:shd w:val="clear" w:color="auto" w:fill="FFFFFF"/>
          <w:lang w:val="en-US"/>
        </w:rPr>
        <w:t>FIGO</w:t>
      </w:r>
      <w:r w:rsidRPr="00095412">
        <w:rPr>
          <w:rFonts w:ascii="Times New Roman" w:hAnsi="Times New Roman" w:cs="Times New Roman"/>
          <w:b/>
          <w:bCs/>
          <w:sz w:val="28"/>
          <w:szCs w:val="28"/>
          <w:shd w:val="clear" w:color="auto" w:fill="FFFFFF"/>
        </w:rPr>
        <w:t>)</w:t>
      </w:r>
      <w:r w:rsidRPr="00095412">
        <w:rPr>
          <w:rFonts w:ascii="Times New Roman" w:hAnsi="Times New Roman" w:cs="Times New Roman"/>
          <w:sz w:val="28"/>
          <w:szCs w:val="28"/>
          <w:shd w:val="clear" w:color="auto" w:fill="FFFFFF"/>
        </w:rPr>
        <w:t xml:space="preserve"> – </w:t>
      </w:r>
      <w:r w:rsidRPr="00095412">
        <w:rPr>
          <w:rFonts w:ascii="Times New Roman" w:hAnsi="Times New Roman" w:cs="Times New Roman"/>
          <w:sz w:val="28"/>
          <w:szCs w:val="28"/>
          <w:lang w:eastAsia="ru-RU"/>
        </w:rPr>
        <w:t>международная федерация</w:t>
      </w:r>
      <w:r w:rsidRPr="00095412">
        <w:rPr>
          <w:rFonts w:ascii="Times New Roman" w:hAnsi="Times New Roman" w:cs="Times New Roman"/>
          <w:bCs/>
          <w:sz w:val="28"/>
          <w:szCs w:val="28"/>
          <w:lang w:eastAsia="ru-RU"/>
        </w:rPr>
        <w:t xml:space="preserve"> акушеров и гинекологов, разрабатывающих классификацию стадий злокачественных опухолей женских половых органов, являющейся основой классификации </w:t>
      </w:r>
      <w:r w:rsidRPr="00095412">
        <w:rPr>
          <w:rFonts w:ascii="Times New Roman" w:hAnsi="Times New Roman" w:cs="Times New Roman"/>
          <w:bCs/>
          <w:sz w:val="28"/>
          <w:szCs w:val="28"/>
          <w:lang w:val="en-US" w:eastAsia="ru-RU"/>
        </w:rPr>
        <w:t>TNM</w:t>
      </w:r>
      <w:r w:rsidRPr="00095412">
        <w:rPr>
          <w:rFonts w:ascii="Times New Roman" w:hAnsi="Times New Roman" w:cs="Times New Roman"/>
          <w:bCs/>
          <w:sz w:val="28"/>
          <w:szCs w:val="28"/>
          <w:lang w:eastAsia="ru-RU"/>
        </w:rPr>
        <w:t>.</w:t>
      </w:r>
      <w:r w:rsidR="004B1F41" w:rsidRPr="00095412">
        <w:rPr>
          <w:rFonts w:ascii="Times New Roman" w:hAnsi="Times New Roman" w:cs="Times New Roman"/>
          <w:b/>
          <w:sz w:val="28"/>
          <w:szCs w:val="28"/>
          <w:lang w:eastAsia="ru-RU"/>
        </w:rPr>
        <w:br w:type="page"/>
      </w:r>
    </w:p>
    <w:p w14:paraId="71BC9A65" w14:textId="77777777" w:rsidR="004B1F41" w:rsidRPr="00A43B9C" w:rsidRDefault="004B1F41" w:rsidP="00AE28CD">
      <w:pPr>
        <w:pStyle w:val="1"/>
        <w:spacing w:line="240" w:lineRule="auto"/>
        <w:rPr>
          <w:rFonts w:eastAsia="Times New Roman"/>
          <w:lang w:eastAsia="ru-RU"/>
        </w:rPr>
      </w:pPr>
      <w:bookmarkStart w:id="4" w:name="_Toc93007680"/>
      <w:bookmarkStart w:id="5" w:name="_Toc102937602"/>
      <w:r w:rsidRPr="00A43B9C">
        <w:rPr>
          <w:rFonts w:eastAsia="Times New Roman"/>
          <w:lang w:eastAsia="ru-RU"/>
        </w:rPr>
        <w:lastRenderedPageBreak/>
        <w:t>ОБОЗНАЧЕНИЯ И СОКРАЩЕНИЯ</w:t>
      </w:r>
      <w:bookmarkEnd w:id="4"/>
      <w:bookmarkEnd w:id="5"/>
    </w:p>
    <w:p w14:paraId="6B7C0D06" w14:textId="77777777" w:rsidR="004B1F41" w:rsidRPr="00A43B9C" w:rsidRDefault="004B1F41" w:rsidP="00AE28CD">
      <w:pPr>
        <w:spacing w:after="0" w:line="240" w:lineRule="auto"/>
        <w:ind w:firstLine="709"/>
        <w:rPr>
          <w:rFonts w:ascii="Times New Roman" w:eastAsia="Times New Roman" w:hAnsi="Times New Roman" w:cs="Times New Roman"/>
          <w:sz w:val="28"/>
          <w:szCs w:val="28"/>
          <w:lang w:eastAsia="ru-RU"/>
        </w:rPr>
      </w:pPr>
    </w:p>
    <w:tbl>
      <w:tblPr>
        <w:tblStyle w:val="ad"/>
        <w:tblW w:w="94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89"/>
        <w:gridCol w:w="7569"/>
      </w:tblGrid>
      <w:tr w:rsidR="00CF336A" w:rsidRPr="00A43B9C" w14:paraId="5B3524AC" w14:textId="77777777" w:rsidTr="008B7DC0">
        <w:tc>
          <w:tcPr>
            <w:tcW w:w="1889" w:type="dxa"/>
          </w:tcPr>
          <w:p w14:paraId="37F767A0" w14:textId="164D493A" w:rsidR="00CF336A" w:rsidRPr="00A43B9C" w:rsidRDefault="00CF336A" w:rsidP="00671F1E">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vertAlign w:val="superscript"/>
                <w:lang w:eastAsia="ru-RU"/>
              </w:rPr>
              <w:t>18</w:t>
            </w:r>
            <w:r w:rsidRPr="00A43B9C">
              <w:rPr>
                <w:rFonts w:ascii="Times New Roman" w:eastAsia="Times New Roman" w:hAnsi="Times New Roman" w:cs="Times New Roman"/>
                <w:color w:val="000000"/>
                <w:sz w:val="28"/>
                <w:szCs w:val="28"/>
                <w:lang w:eastAsia="ru-RU"/>
              </w:rPr>
              <w:t>F-FDG</w:t>
            </w:r>
          </w:p>
        </w:tc>
        <w:tc>
          <w:tcPr>
            <w:tcW w:w="7569" w:type="dxa"/>
          </w:tcPr>
          <w:p w14:paraId="5D387D8B" w14:textId="15E08ECA" w:rsidR="00CF336A" w:rsidRPr="00A43B9C" w:rsidRDefault="00CF336A" w:rsidP="00671F1E">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vertAlign w:val="superscript"/>
                <w:lang w:eastAsia="ru-RU"/>
              </w:rPr>
              <w:t>18</w:t>
            </w:r>
            <w:r w:rsidRPr="00A43B9C">
              <w:rPr>
                <w:rFonts w:ascii="Times New Roman" w:eastAsia="Times New Roman" w:hAnsi="Times New Roman" w:cs="Times New Roman"/>
                <w:color w:val="000000"/>
                <w:sz w:val="28"/>
                <w:szCs w:val="28"/>
                <w:lang w:eastAsia="ru-RU"/>
              </w:rPr>
              <w:t>F-фтордезоксиглюкоза</w:t>
            </w:r>
          </w:p>
        </w:tc>
      </w:tr>
      <w:tr w:rsidR="00CF336A" w:rsidRPr="00A43B9C" w14:paraId="34A5B597" w14:textId="77777777" w:rsidTr="008B7DC0">
        <w:tc>
          <w:tcPr>
            <w:tcW w:w="1889" w:type="dxa"/>
          </w:tcPr>
          <w:p w14:paraId="20CCB8E5" w14:textId="56202226" w:rsidR="00CF336A" w:rsidRPr="00A43B9C" w:rsidRDefault="00CF336A" w:rsidP="00671F1E">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iCs/>
                <w:sz w:val="28"/>
                <w:szCs w:val="28"/>
                <w:lang w:val="en-US"/>
              </w:rPr>
              <w:t>AJCC</w:t>
            </w:r>
          </w:p>
        </w:tc>
        <w:tc>
          <w:tcPr>
            <w:tcW w:w="7569" w:type="dxa"/>
          </w:tcPr>
          <w:p w14:paraId="2763A460" w14:textId="53B7A2EC" w:rsidR="00CF336A" w:rsidRPr="00A43B9C" w:rsidRDefault="00CF336A" w:rsidP="00671F1E">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iCs/>
                <w:sz w:val="28"/>
                <w:szCs w:val="28"/>
              </w:rPr>
              <w:t>Американский объединенный комитет по борьбе с раком</w:t>
            </w:r>
          </w:p>
        </w:tc>
      </w:tr>
      <w:tr w:rsidR="00CF336A" w:rsidRPr="00A43B9C" w14:paraId="0D9CC9AD" w14:textId="77777777" w:rsidTr="008B7DC0">
        <w:tc>
          <w:tcPr>
            <w:tcW w:w="1889" w:type="dxa"/>
          </w:tcPr>
          <w:p w14:paraId="54343CF8" w14:textId="0129D7A5" w:rsidR="00CF336A" w:rsidRPr="00A43B9C" w:rsidRDefault="00CF336A" w:rsidP="00671F1E">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val="en-US" w:eastAsia="ru-RU"/>
              </w:rPr>
              <w:t>AUC</w:t>
            </w:r>
          </w:p>
        </w:tc>
        <w:tc>
          <w:tcPr>
            <w:tcW w:w="7569" w:type="dxa"/>
          </w:tcPr>
          <w:p w14:paraId="5964DDC6" w14:textId="419DFA06" w:rsidR="00CF336A" w:rsidRPr="00A43B9C" w:rsidRDefault="00CF336A" w:rsidP="00671F1E">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202124"/>
                <w:sz w:val="28"/>
                <w:szCs w:val="28"/>
                <w:lang w:eastAsia="ru-RU"/>
              </w:rPr>
              <w:t>Площадь под кривой</w:t>
            </w:r>
          </w:p>
        </w:tc>
      </w:tr>
      <w:tr w:rsidR="00CF336A" w:rsidRPr="00A43B9C" w14:paraId="44F12B70" w14:textId="77777777" w:rsidTr="008B7DC0">
        <w:tc>
          <w:tcPr>
            <w:tcW w:w="1889" w:type="dxa"/>
          </w:tcPr>
          <w:p w14:paraId="52F1B608" w14:textId="7E45455E" w:rsidR="00CF336A" w:rsidRPr="00A43B9C" w:rsidRDefault="00CF336A" w:rsidP="00671F1E">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iCs/>
                <w:sz w:val="28"/>
                <w:szCs w:val="28"/>
                <w:lang w:val="en-US"/>
              </w:rPr>
              <w:t>FIGO</w:t>
            </w:r>
          </w:p>
        </w:tc>
        <w:tc>
          <w:tcPr>
            <w:tcW w:w="7569" w:type="dxa"/>
          </w:tcPr>
          <w:p w14:paraId="63E0DFA8" w14:textId="6F1F1E56" w:rsidR="00CF336A" w:rsidRPr="00A43B9C" w:rsidRDefault="00CF336A" w:rsidP="00671F1E">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iCs/>
                <w:sz w:val="28"/>
                <w:szCs w:val="28"/>
              </w:rPr>
              <w:t>Международная федерация акушерства и гинекологии</w:t>
            </w:r>
          </w:p>
        </w:tc>
      </w:tr>
      <w:tr w:rsidR="00CF336A" w:rsidRPr="00A43B9C" w14:paraId="10F1DBF1" w14:textId="77777777" w:rsidTr="008B7DC0">
        <w:tc>
          <w:tcPr>
            <w:tcW w:w="1889" w:type="dxa"/>
          </w:tcPr>
          <w:p w14:paraId="731C47BE" w14:textId="2D1AB3D3" w:rsidR="00CF336A" w:rsidRPr="00A43B9C" w:rsidRDefault="00CF336A" w:rsidP="00671F1E">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HU</w:t>
            </w:r>
          </w:p>
        </w:tc>
        <w:tc>
          <w:tcPr>
            <w:tcW w:w="7569" w:type="dxa"/>
          </w:tcPr>
          <w:p w14:paraId="5AF1FFDE" w14:textId="7C559272" w:rsidR="00CF336A" w:rsidRPr="00A43B9C" w:rsidRDefault="00CF336A" w:rsidP="00671F1E">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Единица шкалы Хаунсфилда</w:t>
            </w:r>
          </w:p>
        </w:tc>
      </w:tr>
      <w:tr w:rsidR="00CF336A" w:rsidRPr="00A43B9C" w14:paraId="04758A15" w14:textId="77777777" w:rsidTr="008B7DC0">
        <w:tc>
          <w:tcPr>
            <w:tcW w:w="1889" w:type="dxa"/>
          </w:tcPr>
          <w:p w14:paraId="298F5C6F" w14:textId="3EA1117D" w:rsidR="00CF336A" w:rsidRPr="00A43B9C" w:rsidRDefault="00CF336A" w:rsidP="00671F1E">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sz w:val="28"/>
                <w:szCs w:val="28"/>
                <w:shd w:val="clear" w:color="auto" w:fill="FFFFFF"/>
                <w:lang w:val="en-US"/>
              </w:rPr>
              <w:t>IARC</w:t>
            </w:r>
          </w:p>
        </w:tc>
        <w:tc>
          <w:tcPr>
            <w:tcW w:w="7569" w:type="dxa"/>
          </w:tcPr>
          <w:p w14:paraId="6C51429E" w14:textId="7DE34336" w:rsidR="00CF336A" w:rsidRPr="00A43B9C" w:rsidRDefault="00CF336A" w:rsidP="00671F1E">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sz w:val="28"/>
                <w:szCs w:val="28"/>
                <w:shd w:val="clear" w:color="auto" w:fill="FFFFFF"/>
              </w:rPr>
              <w:t>Международное агентство исследований рака</w:t>
            </w:r>
          </w:p>
        </w:tc>
      </w:tr>
      <w:tr w:rsidR="00D85264" w:rsidRPr="00A43B9C" w14:paraId="44472102" w14:textId="77777777" w:rsidTr="008B7DC0">
        <w:tc>
          <w:tcPr>
            <w:tcW w:w="1889" w:type="dxa"/>
          </w:tcPr>
          <w:p w14:paraId="56B8A93F" w14:textId="52BBF49B" w:rsidR="00D85264" w:rsidRPr="00A43B9C" w:rsidRDefault="00D85264" w:rsidP="00671F1E">
            <w:pPr>
              <w:spacing w:after="0" w:line="240" w:lineRule="auto"/>
              <w:jc w:val="both"/>
              <w:rPr>
                <w:rFonts w:ascii="Times New Roman" w:hAnsi="Times New Roman" w:cs="Times New Roman"/>
                <w:sz w:val="28"/>
                <w:szCs w:val="28"/>
                <w:shd w:val="clear" w:color="auto" w:fill="FFFFFF"/>
                <w:lang w:val="en-US"/>
              </w:rPr>
            </w:pPr>
            <w:r w:rsidRPr="00A43B9C">
              <w:rPr>
                <w:rFonts w:ascii="Times New Roman" w:eastAsia="Times New Roman" w:hAnsi="Times New Roman" w:cs="Times New Roman"/>
                <w:sz w:val="28"/>
                <w:szCs w:val="28"/>
                <w:lang w:val="en-US"/>
              </w:rPr>
              <w:t>LM</w:t>
            </w:r>
          </w:p>
        </w:tc>
        <w:tc>
          <w:tcPr>
            <w:tcW w:w="7569" w:type="dxa"/>
          </w:tcPr>
          <w:p w14:paraId="0541B19A" w14:textId="51A1A326" w:rsidR="00D85264" w:rsidRPr="00A43B9C" w:rsidRDefault="00D83043" w:rsidP="00671F1E">
            <w:pPr>
              <w:spacing w:after="0" w:line="240" w:lineRule="auto"/>
              <w:jc w:val="both"/>
              <w:rPr>
                <w:rFonts w:ascii="Times New Roman" w:hAnsi="Times New Roman" w:cs="Times New Roman"/>
                <w:sz w:val="28"/>
                <w:szCs w:val="28"/>
                <w:shd w:val="clear" w:color="auto" w:fill="FFFFFF"/>
              </w:rPr>
            </w:pPr>
            <w:r>
              <w:rPr>
                <w:rFonts w:ascii="Times New Roman" w:eastAsia="Times New Roman" w:hAnsi="Times New Roman" w:cs="Times New Roman"/>
                <w:sz w:val="28"/>
                <w:szCs w:val="28"/>
              </w:rPr>
              <w:t>М</w:t>
            </w:r>
            <w:r w:rsidR="00D85264" w:rsidRPr="00A43B9C">
              <w:rPr>
                <w:rFonts w:ascii="Times New Roman" w:eastAsia="Times New Roman" w:hAnsi="Times New Roman" w:cs="Times New Roman"/>
                <w:sz w:val="28"/>
                <w:szCs w:val="28"/>
              </w:rPr>
              <w:t xml:space="preserve">етастазирование </w:t>
            </w:r>
            <w:r>
              <w:rPr>
                <w:rFonts w:ascii="Times New Roman" w:eastAsia="Times New Roman" w:hAnsi="Times New Roman" w:cs="Times New Roman"/>
                <w:sz w:val="28"/>
                <w:szCs w:val="28"/>
              </w:rPr>
              <w:t xml:space="preserve">брюшины </w:t>
            </w:r>
            <w:r w:rsidR="00D85264" w:rsidRPr="00A43B9C">
              <w:rPr>
                <w:rFonts w:ascii="Times New Roman" w:eastAsia="Times New Roman" w:hAnsi="Times New Roman" w:cs="Times New Roman"/>
                <w:sz w:val="28"/>
                <w:szCs w:val="28"/>
              </w:rPr>
              <w:t>(метаста</w:t>
            </w:r>
            <w:r>
              <w:rPr>
                <w:rFonts w:ascii="Times New Roman" w:eastAsia="Times New Roman" w:hAnsi="Times New Roman" w:cs="Times New Roman"/>
                <w:sz w:val="28"/>
                <w:szCs w:val="28"/>
              </w:rPr>
              <w:t>тическое поражение брюшины</w:t>
            </w:r>
            <w:r w:rsidR="00D85264" w:rsidRPr="00A43B9C">
              <w:rPr>
                <w:rFonts w:ascii="Times New Roman" w:eastAsia="Times New Roman" w:hAnsi="Times New Roman" w:cs="Times New Roman"/>
                <w:sz w:val="28"/>
                <w:szCs w:val="28"/>
              </w:rPr>
              <w:t>)</w:t>
            </w:r>
          </w:p>
        </w:tc>
      </w:tr>
      <w:tr w:rsidR="0097135F" w:rsidRPr="00A43B9C" w14:paraId="4FDF5A9A" w14:textId="77777777" w:rsidTr="008B7DC0">
        <w:tc>
          <w:tcPr>
            <w:tcW w:w="1889" w:type="dxa"/>
          </w:tcPr>
          <w:p w14:paraId="7189452C" w14:textId="2EC3860B" w:rsidR="0097135F" w:rsidRPr="00A43B9C" w:rsidRDefault="0097135F" w:rsidP="00671F1E">
            <w:pPr>
              <w:spacing w:after="0" w:line="240" w:lineRule="auto"/>
              <w:jc w:val="both"/>
              <w:rPr>
                <w:rFonts w:ascii="Times New Roman" w:eastAsia="Times New Roman" w:hAnsi="Times New Roman" w:cs="Times New Roman"/>
                <w:sz w:val="28"/>
                <w:szCs w:val="28"/>
                <w:lang w:val="en-US"/>
              </w:rPr>
            </w:pPr>
            <w:r w:rsidRPr="00A43B9C">
              <w:rPr>
                <w:rFonts w:ascii="Times New Roman" w:eastAsia="Times New Roman" w:hAnsi="Times New Roman" w:cs="Times New Roman"/>
                <w:bCs/>
                <w:sz w:val="28"/>
                <w:szCs w:val="28"/>
                <w:lang w:val="en-US" w:eastAsia="ru-RU"/>
              </w:rPr>
              <w:t>M</w:t>
            </w:r>
          </w:p>
        </w:tc>
        <w:tc>
          <w:tcPr>
            <w:tcW w:w="7569" w:type="dxa"/>
          </w:tcPr>
          <w:p w14:paraId="3A2F9E79" w14:textId="67ABBDC8" w:rsidR="0097135F" w:rsidRPr="00A43B9C" w:rsidRDefault="0097135F" w:rsidP="00671F1E">
            <w:pPr>
              <w:spacing w:after="0" w:line="240" w:lineRule="auto"/>
              <w:jc w:val="both"/>
              <w:rPr>
                <w:rFonts w:ascii="Times New Roman" w:eastAsia="Times New Roman" w:hAnsi="Times New Roman" w:cs="Times New Roman"/>
                <w:sz w:val="28"/>
                <w:szCs w:val="28"/>
              </w:rPr>
            </w:pPr>
            <w:r w:rsidRPr="00A43B9C">
              <w:rPr>
                <w:rFonts w:ascii="Times New Roman" w:eastAsia="Times New Roman" w:hAnsi="Times New Roman" w:cs="Times New Roman"/>
                <w:bCs/>
                <w:sz w:val="28"/>
                <w:szCs w:val="28"/>
                <w:lang w:eastAsia="ru-RU"/>
              </w:rPr>
              <w:t>Наличие или отсутствие отдаленных метастазов (</w:t>
            </w:r>
            <w:r w:rsidRPr="00A43B9C">
              <w:rPr>
                <w:rFonts w:ascii="Times New Roman" w:eastAsia="Times New Roman" w:hAnsi="Times New Roman" w:cs="Times New Roman"/>
                <w:bCs/>
                <w:sz w:val="28"/>
                <w:szCs w:val="28"/>
                <w:lang w:val="en-US" w:eastAsia="ru-RU"/>
              </w:rPr>
              <w:t>metastasis</w:t>
            </w:r>
            <w:r w:rsidRPr="00A43B9C">
              <w:rPr>
                <w:rFonts w:ascii="Times New Roman" w:eastAsia="Times New Roman" w:hAnsi="Times New Roman" w:cs="Times New Roman"/>
                <w:bCs/>
                <w:sz w:val="28"/>
                <w:szCs w:val="28"/>
                <w:lang w:eastAsia="ru-RU"/>
              </w:rPr>
              <w:t>)</w:t>
            </w:r>
          </w:p>
        </w:tc>
      </w:tr>
      <w:tr w:rsidR="00CF336A" w:rsidRPr="00A43B9C" w14:paraId="1AD1F23F" w14:textId="77777777" w:rsidTr="008B7DC0">
        <w:tc>
          <w:tcPr>
            <w:tcW w:w="1889" w:type="dxa"/>
          </w:tcPr>
          <w:p w14:paraId="2C3F03A6" w14:textId="626F7FA1" w:rsidR="00CF336A" w:rsidRPr="00A43B9C" w:rsidRDefault="00CF336A" w:rsidP="00671F1E">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val="en-US" w:eastAsia="ru-RU"/>
              </w:rPr>
              <w:t>MTV</w:t>
            </w:r>
          </w:p>
        </w:tc>
        <w:tc>
          <w:tcPr>
            <w:tcW w:w="7569" w:type="dxa"/>
          </w:tcPr>
          <w:p w14:paraId="0E2ACB9D" w14:textId="08F772CD" w:rsidR="00CF336A" w:rsidRPr="00A43B9C" w:rsidRDefault="00CF336A" w:rsidP="00671F1E">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Метаболический объем опухоли</w:t>
            </w:r>
          </w:p>
        </w:tc>
      </w:tr>
      <w:tr w:rsidR="0097135F" w:rsidRPr="00A43B9C" w14:paraId="3B79D690" w14:textId="77777777" w:rsidTr="008B7DC0">
        <w:tc>
          <w:tcPr>
            <w:tcW w:w="1889" w:type="dxa"/>
          </w:tcPr>
          <w:p w14:paraId="51A6176F" w14:textId="7A6C024A" w:rsidR="0097135F" w:rsidRPr="00A43B9C" w:rsidRDefault="0097135F" w:rsidP="00671F1E">
            <w:pPr>
              <w:spacing w:after="0" w:line="240" w:lineRule="auto"/>
              <w:jc w:val="both"/>
              <w:rPr>
                <w:rFonts w:ascii="Times New Roman" w:eastAsia="Times New Roman" w:hAnsi="Times New Roman" w:cs="Times New Roman"/>
                <w:color w:val="000000"/>
                <w:sz w:val="28"/>
                <w:szCs w:val="28"/>
                <w:lang w:val="en-US" w:eastAsia="ru-RU"/>
              </w:rPr>
            </w:pPr>
            <w:r w:rsidRPr="00A43B9C">
              <w:rPr>
                <w:rFonts w:ascii="Times New Roman" w:eastAsia="Times New Roman" w:hAnsi="Times New Roman" w:cs="Times New Roman"/>
                <w:bCs/>
                <w:sz w:val="28"/>
                <w:szCs w:val="28"/>
                <w:lang w:val="en-US" w:eastAsia="ru-RU"/>
              </w:rPr>
              <w:t>N</w:t>
            </w:r>
          </w:p>
        </w:tc>
        <w:tc>
          <w:tcPr>
            <w:tcW w:w="7569" w:type="dxa"/>
          </w:tcPr>
          <w:p w14:paraId="6BDDEA7E" w14:textId="1B2E0196" w:rsidR="0097135F" w:rsidRPr="00A43B9C" w:rsidRDefault="009C5FDC" w:rsidP="00671F1E">
            <w:pPr>
              <w:spacing w:after="0" w:line="240" w:lineRule="auto"/>
              <w:jc w:val="both"/>
              <w:rPr>
                <w:rFonts w:ascii="Times New Roman" w:eastAsia="Times New Roman" w:hAnsi="Times New Roman" w:cs="Times New Roman"/>
                <w:color w:val="000000"/>
                <w:sz w:val="28"/>
                <w:szCs w:val="28"/>
                <w:lang w:eastAsia="ru-RU"/>
              </w:rPr>
            </w:pPr>
            <w:r w:rsidRPr="00A43B9C">
              <w:rPr>
                <w:rFonts w:ascii="Times New Roman" w:eastAsia="Times New Roman" w:hAnsi="Times New Roman" w:cs="Times New Roman"/>
                <w:bCs/>
                <w:sz w:val="28"/>
                <w:szCs w:val="28"/>
                <w:lang w:eastAsia="ru-RU"/>
              </w:rPr>
              <w:t>Р</w:t>
            </w:r>
            <w:r w:rsidR="0097135F" w:rsidRPr="00A43B9C">
              <w:rPr>
                <w:rFonts w:ascii="Times New Roman" w:eastAsia="Times New Roman" w:hAnsi="Times New Roman" w:cs="Times New Roman"/>
                <w:bCs/>
                <w:sz w:val="28"/>
                <w:szCs w:val="28"/>
                <w:lang w:eastAsia="ru-RU"/>
              </w:rPr>
              <w:t>аспространение опухолевого процесса на регионарные лимфатические узлы (</w:t>
            </w:r>
            <w:r w:rsidR="0097135F" w:rsidRPr="00A43B9C">
              <w:rPr>
                <w:rFonts w:ascii="Times New Roman" w:eastAsia="Times New Roman" w:hAnsi="Times New Roman" w:cs="Times New Roman"/>
                <w:bCs/>
                <w:sz w:val="28"/>
                <w:szCs w:val="28"/>
                <w:lang w:val="en-US" w:eastAsia="ru-RU"/>
              </w:rPr>
              <w:t>nodus</w:t>
            </w:r>
            <w:r w:rsidR="0097135F" w:rsidRPr="00A43B9C">
              <w:rPr>
                <w:rFonts w:ascii="Times New Roman" w:eastAsia="Times New Roman" w:hAnsi="Times New Roman" w:cs="Times New Roman"/>
                <w:bCs/>
                <w:sz w:val="28"/>
                <w:szCs w:val="28"/>
                <w:lang w:eastAsia="ru-RU"/>
              </w:rPr>
              <w:t>)</w:t>
            </w:r>
          </w:p>
        </w:tc>
      </w:tr>
      <w:tr w:rsidR="00D85264" w:rsidRPr="00A43B9C" w14:paraId="2DFC80B8" w14:textId="77777777" w:rsidTr="008B7DC0">
        <w:tc>
          <w:tcPr>
            <w:tcW w:w="1889" w:type="dxa"/>
          </w:tcPr>
          <w:p w14:paraId="04F37F2A" w14:textId="57B0723F" w:rsidR="00D85264" w:rsidRPr="00A43B9C" w:rsidRDefault="00D85264" w:rsidP="00671F1E">
            <w:pPr>
              <w:spacing w:after="0" w:line="240" w:lineRule="auto"/>
              <w:jc w:val="both"/>
              <w:rPr>
                <w:rFonts w:ascii="Times New Roman" w:eastAsia="Times New Roman" w:hAnsi="Times New Roman" w:cs="Times New Roman"/>
                <w:b/>
                <w:bCs/>
                <w:color w:val="000000"/>
                <w:sz w:val="28"/>
                <w:szCs w:val="28"/>
                <w:lang w:val="en-US" w:eastAsia="ru-RU"/>
              </w:rPr>
            </w:pPr>
            <w:r w:rsidRPr="00A43B9C">
              <w:rPr>
                <w:rFonts w:ascii="Times New Roman" w:eastAsia="Times New Roman" w:hAnsi="Times New Roman" w:cs="Times New Roman"/>
                <w:sz w:val="28"/>
                <w:szCs w:val="28"/>
                <w:lang w:val="en-US"/>
              </w:rPr>
              <w:t>nLM</w:t>
            </w:r>
          </w:p>
        </w:tc>
        <w:tc>
          <w:tcPr>
            <w:tcW w:w="7569" w:type="dxa"/>
          </w:tcPr>
          <w:p w14:paraId="0C6230F3" w14:textId="517E4EFA" w:rsidR="00D85264" w:rsidRPr="00A43B9C" w:rsidRDefault="00D85264" w:rsidP="00671F1E">
            <w:pPr>
              <w:spacing w:after="0" w:line="240" w:lineRule="auto"/>
              <w:jc w:val="both"/>
              <w:rPr>
                <w:rFonts w:ascii="Times New Roman" w:eastAsia="Times New Roman" w:hAnsi="Times New Roman" w:cs="Times New Roman"/>
                <w:color w:val="000000"/>
                <w:sz w:val="28"/>
                <w:szCs w:val="28"/>
                <w:lang w:eastAsia="ru-RU"/>
              </w:rPr>
            </w:pPr>
            <w:r w:rsidRPr="00A43B9C">
              <w:rPr>
                <w:rFonts w:ascii="Times New Roman" w:eastAsia="Times New Roman" w:hAnsi="Times New Roman" w:cs="Times New Roman"/>
                <w:sz w:val="28"/>
                <w:szCs w:val="28"/>
                <w:lang w:eastAsia="ru-RU"/>
              </w:rPr>
              <w:t xml:space="preserve">Отсутствие метастазирования в </w:t>
            </w:r>
            <w:r w:rsidR="00D83043">
              <w:rPr>
                <w:rFonts w:ascii="Times New Roman" w:eastAsia="Times New Roman" w:hAnsi="Times New Roman" w:cs="Times New Roman"/>
                <w:sz w:val="28"/>
                <w:szCs w:val="28"/>
                <w:lang w:eastAsia="ru-RU"/>
              </w:rPr>
              <w:t>брюшину</w:t>
            </w:r>
          </w:p>
        </w:tc>
      </w:tr>
      <w:tr w:rsidR="00CF336A" w:rsidRPr="00A43B9C" w14:paraId="2F56B583" w14:textId="77777777" w:rsidTr="008B7DC0">
        <w:tc>
          <w:tcPr>
            <w:tcW w:w="1889" w:type="dxa"/>
          </w:tcPr>
          <w:p w14:paraId="50AAF8D2" w14:textId="62653787" w:rsidR="00CF336A" w:rsidRPr="00A43B9C" w:rsidRDefault="00CF336A" w:rsidP="00171191">
            <w:pPr>
              <w:spacing w:after="0" w:line="240" w:lineRule="auto"/>
              <w:jc w:val="both"/>
              <w:rPr>
                <w:rFonts w:ascii="Times New Roman" w:eastAsia="Times New Roman" w:hAnsi="Times New Roman" w:cs="Times New Roman"/>
                <w:color w:val="000000"/>
                <w:sz w:val="28"/>
                <w:szCs w:val="28"/>
                <w:lang w:eastAsia="ru-RU"/>
              </w:rPr>
            </w:pPr>
            <w:r w:rsidRPr="00A43B9C">
              <w:rPr>
                <w:rFonts w:ascii="Times New Roman" w:eastAsia="Times New Roman" w:hAnsi="Times New Roman" w:cs="Times New Roman"/>
                <w:sz w:val="28"/>
                <w:szCs w:val="28"/>
                <w:lang w:val="en-US" w:eastAsia="ru-RU"/>
              </w:rPr>
              <w:t>NPV</w:t>
            </w:r>
          </w:p>
        </w:tc>
        <w:tc>
          <w:tcPr>
            <w:tcW w:w="7569" w:type="dxa"/>
          </w:tcPr>
          <w:p w14:paraId="2861145B" w14:textId="016E5886" w:rsidR="00CF336A" w:rsidRPr="00A43B9C" w:rsidRDefault="00CF336A" w:rsidP="00171191">
            <w:pPr>
              <w:spacing w:after="0" w:line="240" w:lineRule="auto"/>
              <w:jc w:val="both"/>
              <w:rPr>
                <w:rFonts w:ascii="Times New Roman" w:eastAsia="Times New Roman" w:hAnsi="Times New Roman" w:cs="Times New Roman"/>
                <w:color w:val="000000"/>
                <w:sz w:val="28"/>
                <w:szCs w:val="28"/>
                <w:lang w:eastAsia="ru-RU"/>
              </w:rPr>
            </w:pPr>
            <w:r w:rsidRPr="00A43B9C">
              <w:rPr>
                <w:rFonts w:ascii="Times New Roman" w:eastAsia="Times New Roman" w:hAnsi="Times New Roman" w:cs="Times New Roman"/>
                <w:sz w:val="28"/>
                <w:szCs w:val="28"/>
                <w:lang w:eastAsia="ru-RU"/>
              </w:rPr>
              <w:t>Отрицательная прогностическая ценность</w:t>
            </w:r>
          </w:p>
        </w:tc>
      </w:tr>
      <w:tr w:rsidR="00CF336A" w:rsidRPr="00A43B9C" w14:paraId="381333DC" w14:textId="77777777" w:rsidTr="008B7DC0">
        <w:tc>
          <w:tcPr>
            <w:tcW w:w="1889" w:type="dxa"/>
          </w:tcPr>
          <w:p w14:paraId="034714CF" w14:textId="25897879" w:rsidR="00CF336A" w:rsidRPr="00A43B9C" w:rsidRDefault="00CF336A" w:rsidP="00671F1E">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P</w:t>
            </w:r>
          </w:p>
        </w:tc>
        <w:tc>
          <w:tcPr>
            <w:tcW w:w="7569" w:type="dxa"/>
          </w:tcPr>
          <w:p w14:paraId="72440F7D" w14:textId="77B25637" w:rsidR="00CF336A" w:rsidRPr="00A43B9C" w:rsidRDefault="00CF336A" w:rsidP="0087599B">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Полость малого таза</w:t>
            </w:r>
          </w:p>
        </w:tc>
      </w:tr>
      <w:tr w:rsidR="00D85264" w:rsidRPr="00A43B9C" w14:paraId="67A422E1" w14:textId="77777777" w:rsidTr="008B7DC0">
        <w:tc>
          <w:tcPr>
            <w:tcW w:w="1889" w:type="dxa"/>
          </w:tcPr>
          <w:p w14:paraId="5A71F18B" w14:textId="4DB42A66" w:rsidR="00D85264" w:rsidRPr="00A43B9C" w:rsidRDefault="00D85264" w:rsidP="00671F1E">
            <w:pPr>
              <w:spacing w:after="0" w:line="240" w:lineRule="auto"/>
              <w:jc w:val="both"/>
              <w:rPr>
                <w:rFonts w:ascii="Times New Roman" w:eastAsia="Times New Roman" w:hAnsi="Times New Roman" w:cs="Times New Roman"/>
                <w:b/>
                <w:bCs/>
                <w:sz w:val="28"/>
                <w:szCs w:val="28"/>
                <w:lang w:eastAsia="ru-RU"/>
              </w:rPr>
            </w:pPr>
            <w:r w:rsidRPr="00A43B9C">
              <w:rPr>
                <w:rFonts w:ascii="Times New Roman" w:eastAsia="Times New Roman" w:hAnsi="Times New Roman" w:cs="Times New Roman"/>
                <w:sz w:val="28"/>
                <w:szCs w:val="28"/>
                <w:lang w:val="en-US"/>
              </w:rPr>
              <w:t>pLM</w:t>
            </w:r>
          </w:p>
        </w:tc>
        <w:tc>
          <w:tcPr>
            <w:tcW w:w="7569" w:type="dxa"/>
          </w:tcPr>
          <w:p w14:paraId="604C3BEF" w14:textId="05A0CAB6" w:rsidR="00D85264" w:rsidRPr="00A43B9C" w:rsidRDefault="00D85264" w:rsidP="0087599B">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 xml:space="preserve">Наличие метастазирования в </w:t>
            </w:r>
            <w:r w:rsidR="00D83043">
              <w:rPr>
                <w:rFonts w:ascii="Times New Roman" w:eastAsia="Times New Roman" w:hAnsi="Times New Roman" w:cs="Times New Roman"/>
                <w:sz w:val="28"/>
                <w:szCs w:val="28"/>
                <w:lang w:eastAsia="ru-RU"/>
              </w:rPr>
              <w:t>брюшину</w:t>
            </w:r>
          </w:p>
        </w:tc>
      </w:tr>
      <w:tr w:rsidR="00CF336A" w:rsidRPr="00A43B9C" w14:paraId="7567DFAB" w14:textId="77777777" w:rsidTr="008B7DC0">
        <w:tc>
          <w:tcPr>
            <w:tcW w:w="1889" w:type="dxa"/>
          </w:tcPr>
          <w:p w14:paraId="63378380" w14:textId="0BE01CB2" w:rsidR="00CF336A" w:rsidRPr="00A43B9C" w:rsidRDefault="00CF336A" w:rsidP="00671F1E">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val="en-US" w:eastAsia="ru-RU"/>
              </w:rPr>
              <w:t>PPV</w:t>
            </w:r>
          </w:p>
        </w:tc>
        <w:tc>
          <w:tcPr>
            <w:tcW w:w="7569" w:type="dxa"/>
          </w:tcPr>
          <w:p w14:paraId="5733B306" w14:textId="20DA5209" w:rsidR="00CF336A" w:rsidRPr="00A43B9C" w:rsidRDefault="00CF336A" w:rsidP="0087599B">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Положительная прогностическая ценность</w:t>
            </w:r>
          </w:p>
        </w:tc>
      </w:tr>
      <w:tr w:rsidR="00CF336A" w:rsidRPr="00A43B9C" w14:paraId="11AF9952" w14:textId="77777777" w:rsidTr="008B7DC0">
        <w:tc>
          <w:tcPr>
            <w:tcW w:w="1889" w:type="dxa"/>
          </w:tcPr>
          <w:p w14:paraId="4521FE49" w14:textId="6D113BE8" w:rsidR="00CF336A" w:rsidRPr="00A43B9C" w:rsidRDefault="00CF336A" w:rsidP="00671F1E">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iCs/>
                <w:sz w:val="28"/>
                <w:szCs w:val="28"/>
                <w:lang w:val="en-US"/>
              </w:rPr>
              <w:t>PTL</w:t>
            </w:r>
          </w:p>
        </w:tc>
        <w:tc>
          <w:tcPr>
            <w:tcW w:w="7569" w:type="dxa"/>
          </w:tcPr>
          <w:p w14:paraId="5A0BCC75" w14:textId="6EEB6A00" w:rsidR="00CF336A" w:rsidRPr="00A43B9C" w:rsidRDefault="00CF336A" w:rsidP="0087599B">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iCs/>
                <w:sz w:val="28"/>
                <w:szCs w:val="28"/>
              </w:rPr>
              <w:t>Локализация первичной опухоли</w:t>
            </w:r>
          </w:p>
        </w:tc>
      </w:tr>
      <w:tr w:rsidR="00B016A2" w:rsidRPr="00A43B9C" w14:paraId="11C38409" w14:textId="77777777" w:rsidTr="008B7DC0">
        <w:tc>
          <w:tcPr>
            <w:tcW w:w="1889" w:type="dxa"/>
          </w:tcPr>
          <w:p w14:paraId="1E850AF9" w14:textId="4F440B8E" w:rsidR="00B016A2" w:rsidRPr="00B016A2" w:rsidRDefault="00B016A2" w:rsidP="00671F1E">
            <w:pPr>
              <w:spacing w:after="0" w:line="240" w:lineRule="auto"/>
              <w:jc w:val="both"/>
              <w:rPr>
                <w:rFonts w:ascii="Times New Roman" w:hAnsi="Times New Roman" w:cs="Times New Roman"/>
                <w:iCs/>
                <w:sz w:val="28"/>
                <w:szCs w:val="28"/>
                <w:lang w:val="en-US"/>
              </w:rPr>
            </w:pPr>
            <w:r>
              <w:rPr>
                <w:rFonts w:ascii="Times New Roman" w:hAnsi="Times New Roman" w:cs="Times New Roman"/>
                <w:iCs/>
                <w:sz w:val="28"/>
                <w:szCs w:val="28"/>
                <w:lang w:val="en-US"/>
              </w:rPr>
              <w:t>PV</w:t>
            </w:r>
          </w:p>
        </w:tc>
        <w:tc>
          <w:tcPr>
            <w:tcW w:w="7569" w:type="dxa"/>
          </w:tcPr>
          <w:p w14:paraId="7102C16E" w14:textId="7532E640" w:rsidR="00B016A2" w:rsidRPr="00A43B9C" w:rsidRDefault="00B016A2" w:rsidP="0087599B">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Прогностическая ценность</w:t>
            </w:r>
          </w:p>
        </w:tc>
      </w:tr>
      <w:tr w:rsidR="00CF336A" w:rsidRPr="00A43B9C" w14:paraId="359EB962" w14:textId="77777777" w:rsidTr="008B7DC0">
        <w:tc>
          <w:tcPr>
            <w:tcW w:w="1889" w:type="dxa"/>
          </w:tcPr>
          <w:p w14:paraId="18999916" w14:textId="012D6036" w:rsidR="00CF336A" w:rsidRPr="00A43B9C" w:rsidRDefault="00CF336A" w:rsidP="00671F1E">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RE</w:t>
            </w:r>
          </w:p>
        </w:tc>
        <w:tc>
          <w:tcPr>
            <w:tcW w:w="7569" w:type="dxa"/>
          </w:tcPr>
          <w:p w14:paraId="2F283C51" w14:textId="7E2490D2" w:rsidR="00CF336A" w:rsidRPr="00A43B9C" w:rsidRDefault="00CF336A" w:rsidP="0087599B">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Собственно эпигастральная область</w:t>
            </w:r>
          </w:p>
        </w:tc>
      </w:tr>
      <w:tr w:rsidR="00CF336A" w:rsidRPr="00A43B9C" w14:paraId="773EA0FC" w14:textId="77777777" w:rsidTr="008B7DC0">
        <w:tc>
          <w:tcPr>
            <w:tcW w:w="1889" w:type="dxa"/>
          </w:tcPr>
          <w:p w14:paraId="253AA2CB" w14:textId="4CEB8362" w:rsidR="00CF336A" w:rsidRPr="00A43B9C" w:rsidRDefault="00CF336A" w:rsidP="00671F1E">
            <w:pPr>
              <w:spacing w:after="0" w:line="240" w:lineRule="auto"/>
              <w:jc w:val="both"/>
              <w:rPr>
                <w:rFonts w:ascii="Times New Roman" w:hAnsi="Times New Roman" w:cs="Times New Roman"/>
                <w:sz w:val="28"/>
                <w:szCs w:val="28"/>
                <w:lang w:val="en-US" w:eastAsia="ru-RU"/>
              </w:rPr>
            </w:pPr>
            <w:r w:rsidRPr="00A43B9C">
              <w:rPr>
                <w:rFonts w:ascii="Times New Roman" w:eastAsia="Times New Roman" w:hAnsi="Times New Roman" w:cs="Times New Roman"/>
                <w:sz w:val="28"/>
                <w:szCs w:val="28"/>
                <w:lang w:eastAsia="ru-RU"/>
              </w:rPr>
              <w:t>RL</w:t>
            </w:r>
            <w:r w:rsidRPr="00A43B9C">
              <w:rPr>
                <w:rFonts w:ascii="Times New Roman" w:eastAsia="Times New Roman" w:hAnsi="Times New Roman" w:cs="Times New Roman"/>
                <w:sz w:val="28"/>
                <w:szCs w:val="28"/>
                <w:lang w:val="en-US" w:eastAsia="ru-RU"/>
              </w:rPr>
              <w:t>H</w:t>
            </w:r>
          </w:p>
        </w:tc>
        <w:tc>
          <w:tcPr>
            <w:tcW w:w="7569" w:type="dxa"/>
          </w:tcPr>
          <w:p w14:paraId="475DDEF1" w14:textId="17940DBD" w:rsidR="00CF336A" w:rsidRPr="00A43B9C" w:rsidRDefault="00CF336A" w:rsidP="0087599B">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Левая подреберная область</w:t>
            </w:r>
          </w:p>
        </w:tc>
      </w:tr>
      <w:tr w:rsidR="00CF336A" w:rsidRPr="00A43B9C" w14:paraId="04FB3ED6" w14:textId="77777777" w:rsidTr="008B7DC0">
        <w:tc>
          <w:tcPr>
            <w:tcW w:w="1889" w:type="dxa"/>
          </w:tcPr>
          <w:p w14:paraId="38B2D0CB" w14:textId="42F0DC85" w:rsidR="00CF336A" w:rsidRPr="00A43B9C" w:rsidRDefault="00CF336A" w:rsidP="0087599B">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RLI</w:t>
            </w:r>
          </w:p>
        </w:tc>
        <w:tc>
          <w:tcPr>
            <w:tcW w:w="7569" w:type="dxa"/>
          </w:tcPr>
          <w:p w14:paraId="1D1D3808" w14:textId="094E1B7F" w:rsidR="00CF336A" w:rsidRPr="00A43B9C" w:rsidRDefault="00CF336A" w:rsidP="0087599B">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Левая подвздошно-паховая область</w:t>
            </w:r>
          </w:p>
        </w:tc>
      </w:tr>
      <w:tr w:rsidR="00CF336A" w:rsidRPr="00A43B9C" w14:paraId="1C90B6EC" w14:textId="77777777" w:rsidTr="008B7DC0">
        <w:tc>
          <w:tcPr>
            <w:tcW w:w="1889" w:type="dxa"/>
          </w:tcPr>
          <w:p w14:paraId="35A64680" w14:textId="2DB7D91C" w:rsidR="00CF336A" w:rsidRPr="00A43B9C" w:rsidRDefault="00CF336A" w:rsidP="0087599B">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RLL</w:t>
            </w:r>
          </w:p>
        </w:tc>
        <w:tc>
          <w:tcPr>
            <w:tcW w:w="7569" w:type="dxa"/>
          </w:tcPr>
          <w:p w14:paraId="4E61E4BB" w14:textId="5165AB98" w:rsidR="00CF336A" w:rsidRPr="00A43B9C" w:rsidRDefault="00CF336A" w:rsidP="0087599B">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Левая боковая область</w:t>
            </w:r>
          </w:p>
        </w:tc>
      </w:tr>
      <w:tr w:rsidR="00CF336A" w:rsidRPr="00A43B9C" w14:paraId="39AE9DEC" w14:textId="77777777" w:rsidTr="008B7DC0">
        <w:tc>
          <w:tcPr>
            <w:tcW w:w="1889" w:type="dxa"/>
          </w:tcPr>
          <w:p w14:paraId="007AC60C" w14:textId="37BFD09D" w:rsidR="00CF336A" w:rsidRPr="00A43B9C" w:rsidRDefault="00CF336A" w:rsidP="0087599B">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val="en-US" w:eastAsia="ru-RU"/>
              </w:rPr>
              <w:t>ROC</w:t>
            </w:r>
          </w:p>
        </w:tc>
        <w:tc>
          <w:tcPr>
            <w:tcW w:w="7569" w:type="dxa"/>
          </w:tcPr>
          <w:p w14:paraId="528E570E" w14:textId="6EE655F9" w:rsidR="00CF336A" w:rsidRPr="00A43B9C" w:rsidRDefault="00CF336A" w:rsidP="0087599B">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Рабочая характеристика приемника</w:t>
            </w:r>
          </w:p>
        </w:tc>
      </w:tr>
      <w:tr w:rsidR="00CF336A" w:rsidRPr="00A43B9C" w14:paraId="335BDF23" w14:textId="77777777" w:rsidTr="008B7DC0">
        <w:tc>
          <w:tcPr>
            <w:tcW w:w="1889" w:type="dxa"/>
          </w:tcPr>
          <w:p w14:paraId="7AED2C31" w14:textId="6122F2D3" w:rsidR="00CF336A" w:rsidRPr="00A43B9C" w:rsidRDefault="00CF336A" w:rsidP="0087599B">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val="en-US" w:eastAsia="ru-RU"/>
              </w:rPr>
              <w:t>ROI</w:t>
            </w:r>
          </w:p>
        </w:tc>
        <w:tc>
          <w:tcPr>
            <w:tcW w:w="7569" w:type="dxa"/>
          </w:tcPr>
          <w:p w14:paraId="64A5452E" w14:textId="13B4CA4E" w:rsidR="00CF336A" w:rsidRPr="00A43B9C" w:rsidRDefault="00CF336A" w:rsidP="0087599B">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Область интереса</w:t>
            </w:r>
          </w:p>
        </w:tc>
      </w:tr>
      <w:tr w:rsidR="00CF336A" w:rsidRPr="00A43B9C" w14:paraId="51997890" w14:textId="77777777" w:rsidTr="008B7DC0">
        <w:tc>
          <w:tcPr>
            <w:tcW w:w="1889" w:type="dxa"/>
          </w:tcPr>
          <w:p w14:paraId="668C0AFE" w14:textId="582405A1" w:rsidR="00CF336A" w:rsidRPr="00A43B9C" w:rsidRDefault="00CF336A" w:rsidP="0087599B">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val="en-US" w:eastAsia="ru-RU"/>
              </w:rPr>
              <w:t>RP</w:t>
            </w:r>
          </w:p>
        </w:tc>
        <w:tc>
          <w:tcPr>
            <w:tcW w:w="7569" w:type="dxa"/>
          </w:tcPr>
          <w:p w14:paraId="6C569B87" w14:textId="1DABB9DB" w:rsidR="00CF336A" w:rsidRPr="00A43B9C" w:rsidRDefault="00CF336A" w:rsidP="0087599B">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Надлобковая область</w:t>
            </w:r>
          </w:p>
        </w:tc>
      </w:tr>
      <w:tr w:rsidR="00CF336A" w:rsidRPr="00A43B9C" w14:paraId="3BB34A54" w14:textId="77777777" w:rsidTr="008B7DC0">
        <w:tc>
          <w:tcPr>
            <w:tcW w:w="1889" w:type="dxa"/>
          </w:tcPr>
          <w:p w14:paraId="07B30328" w14:textId="115A82EB" w:rsidR="00CF336A" w:rsidRPr="00A43B9C" w:rsidRDefault="00CF336A" w:rsidP="0087599B">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RRI</w:t>
            </w:r>
          </w:p>
        </w:tc>
        <w:tc>
          <w:tcPr>
            <w:tcW w:w="7569" w:type="dxa"/>
          </w:tcPr>
          <w:p w14:paraId="2C07A0DF" w14:textId="109696E6" w:rsidR="00CF336A" w:rsidRPr="00A43B9C" w:rsidRDefault="00CF336A" w:rsidP="0087599B">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Правая подвздошно-паховая область</w:t>
            </w:r>
          </w:p>
        </w:tc>
      </w:tr>
      <w:tr w:rsidR="00CF336A" w:rsidRPr="00A43B9C" w14:paraId="59338A0C" w14:textId="77777777" w:rsidTr="008B7DC0">
        <w:tc>
          <w:tcPr>
            <w:tcW w:w="1889" w:type="dxa"/>
          </w:tcPr>
          <w:p w14:paraId="68373EA5" w14:textId="1AB681FD" w:rsidR="00CF336A" w:rsidRPr="00A43B9C" w:rsidRDefault="00CF336A" w:rsidP="0087599B">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RRL</w:t>
            </w:r>
          </w:p>
        </w:tc>
        <w:tc>
          <w:tcPr>
            <w:tcW w:w="7569" w:type="dxa"/>
          </w:tcPr>
          <w:p w14:paraId="6F9F9C13" w14:textId="00FD7DFC" w:rsidR="00CF336A" w:rsidRPr="00A43B9C" w:rsidRDefault="00CF336A" w:rsidP="0087599B">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Правая боковая область</w:t>
            </w:r>
          </w:p>
        </w:tc>
      </w:tr>
      <w:tr w:rsidR="00CF336A" w:rsidRPr="00A43B9C" w14:paraId="1F95AD4D" w14:textId="77777777" w:rsidTr="008B7DC0">
        <w:tc>
          <w:tcPr>
            <w:tcW w:w="1889" w:type="dxa"/>
          </w:tcPr>
          <w:p w14:paraId="2943E606" w14:textId="40E62008" w:rsidR="00CF336A" w:rsidRPr="00A43B9C" w:rsidRDefault="00CF336A" w:rsidP="0087599B">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RU</w:t>
            </w:r>
          </w:p>
        </w:tc>
        <w:tc>
          <w:tcPr>
            <w:tcW w:w="7569" w:type="dxa"/>
          </w:tcPr>
          <w:p w14:paraId="15600467" w14:textId="55B1DAD3" w:rsidR="00CF336A" w:rsidRPr="00A43B9C" w:rsidRDefault="00CF336A" w:rsidP="0087599B">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Пупочная область</w:t>
            </w:r>
          </w:p>
        </w:tc>
      </w:tr>
      <w:tr w:rsidR="00CF336A" w:rsidRPr="00A43B9C" w14:paraId="1E262E10" w14:textId="77777777" w:rsidTr="008B7DC0">
        <w:tc>
          <w:tcPr>
            <w:tcW w:w="1889" w:type="dxa"/>
          </w:tcPr>
          <w:p w14:paraId="4C261A32" w14:textId="4790FAC0" w:rsidR="00CF336A" w:rsidRPr="00A43B9C" w:rsidRDefault="00CF336A" w:rsidP="0087599B">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val="en-US" w:eastAsia="ru-RU"/>
              </w:rPr>
              <w:t>SAT</w:t>
            </w:r>
          </w:p>
        </w:tc>
        <w:tc>
          <w:tcPr>
            <w:tcW w:w="7569" w:type="dxa"/>
          </w:tcPr>
          <w:p w14:paraId="46DCC2B3" w14:textId="025B1EBD" w:rsidR="00CF336A" w:rsidRPr="00A43B9C" w:rsidRDefault="00CF336A" w:rsidP="0087599B">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Подкожная жировая ткань</w:t>
            </w:r>
          </w:p>
        </w:tc>
      </w:tr>
      <w:tr w:rsidR="00CF336A" w:rsidRPr="00A43B9C" w14:paraId="691842BD" w14:textId="77777777" w:rsidTr="008B7DC0">
        <w:tc>
          <w:tcPr>
            <w:tcW w:w="1889" w:type="dxa"/>
          </w:tcPr>
          <w:p w14:paraId="5CF02190" w14:textId="3DFF932C" w:rsidR="00CF336A" w:rsidRPr="00A43B9C" w:rsidRDefault="00CF336A" w:rsidP="00171191">
            <w:pPr>
              <w:spacing w:after="0" w:line="240" w:lineRule="auto"/>
              <w:jc w:val="both"/>
              <w:rPr>
                <w:rFonts w:ascii="Times New Roman" w:eastAsia="Times New Roman" w:hAnsi="Times New Roman" w:cs="Times New Roman"/>
                <w:sz w:val="28"/>
                <w:szCs w:val="28"/>
                <w:lang w:val="en-US" w:eastAsia="ru-RU"/>
              </w:rPr>
            </w:pPr>
            <w:r w:rsidRPr="00A43B9C">
              <w:rPr>
                <w:rFonts w:ascii="Times New Roman" w:eastAsia="Times New Roman" w:hAnsi="Times New Roman" w:cs="Times New Roman"/>
                <w:sz w:val="28"/>
                <w:szCs w:val="28"/>
                <w:lang w:val="en-US" w:eastAsia="ru-RU"/>
              </w:rPr>
              <w:t>Se</w:t>
            </w:r>
          </w:p>
        </w:tc>
        <w:tc>
          <w:tcPr>
            <w:tcW w:w="7569" w:type="dxa"/>
          </w:tcPr>
          <w:p w14:paraId="75C386D3" w14:textId="590BF677" w:rsidR="00CF336A" w:rsidRPr="00A43B9C" w:rsidRDefault="00CF336A" w:rsidP="00171191">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Чувствительность</w:t>
            </w:r>
          </w:p>
        </w:tc>
      </w:tr>
      <w:tr w:rsidR="00CF336A" w:rsidRPr="00A43B9C" w14:paraId="7F4C44AF" w14:textId="77777777" w:rsidTr="008B7DC0">
        <w:tc>
          <w:tcPr>
            <w:tcW w:w="1889" w:type="dxa"/>
          </w:tcPr>
          <w:p w14:paraId="572A2EDC" w14:textId="40014489" w:rsidR="00CF336A" w:rsidRPr="00A43B9C" w:rsidRDefault="00CF336A" w:rsidP="00171191">
            <w:pPr>
              <w:spacing w:after="0" w:line="240" w:lineRule="auto"/>
              <w:jc w:val="both"/>
              <w:rPr>
                <w:rFonts w:ascii="Times New Roman" w:eastAsia="Times New Roman" w:hAnsi="Times New Roman" w:cs="Times New Roman"/>
                <w:sz w:val="28"/>
                <w:szCs w:val="28"/>
                <w:lang w:val="en-US" w:eastAsia="ru-RU"/>
              </w:rPr>
            </w:pPr>
            <w:r w:rsidRPr="00A43B9C">
              <w:rPr>
                <w:rFonts w:ascii="Times New Roman" w:eastAsia="Times New Roman" w:hAnsi="Times New Roman" w:cs="Times New Roman"/>
                <w:sz w:val="28"/>
                <w:szCs w:val="28"/>
                <w:lang w:val="en-US" w:eastAsia="ru-RU"/>
              </w:rPr>
              <w:t>Sp</w:t>
            </w:r>
          </w:p>
        </w:tc>
        <w:tc>
          <w:tcPr>
            <w:tcW w:w="7569" w:type="dxa"/>
          </w:tcPr>
          <w:p w14:paraId="2EDD6A85" w14:textId="499135B4" w:rsidR="00CF336A" w:rsidRPr="00A43B9C" w:rsidRDefault="00CF336A" w:rsidP="00171191">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Специфичность</w:t>
            </w:r>
          </w:p>
        </w:tc>
      </w:tr>
      <w:tr w:rsidR="00CF336A" w:rsidRPr="00A43B9C" w14:paraId="2E2E1F5D" w14:textId="77777777" w:rsidTr="008B7DC0">
        <w:tc>
          <w:tcPr>
            <w:tcW w:w="1889" w:type="dxa"/>
          </w:tcPr>
          <w:p w14:paraId="39C1D7E8" w14:textId="7BB8DFB9"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SUV</w:t>
            </w:r>
          </w:p>
        </w:tc>
        <w:tc>
          <w:tcPr>
            <w:tcW w:w="7569" w:type="dxa"/>
          </w:tcPr>
          <w:p w14:paraId="68E18166" w14:textId="65296E97"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Стандартизированный уровень накопления</w:t>
            </w:r>
          </w:p>
        </w:tc>
      </w:tr>
      <w:tr w:rsidR="0097135F" w:rsidRPr="00A43B9C" w14:paraId="63541DAD" w14:textId="77777777" w:rsidTr="008B7DC0">
        <w:tc>
          <w:tcPr>
            <w:tcW w:w="1889" w:type="dxa"/>
          </w:tcPr>
          <w:p w14:paraId="3F0AD333" w14:textId="262272EE" w:rsidR="0097135F" w:rsidRPr="00A43B9C" w:rsidRDefault="0097135F" w:rsidP="00171191">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bCs/>
                <w:sz w:val="28"/>
                <w:szCs w:val="28"/>
                <w:lang w:val="en-US" w:eastAsia="ru-RU"/>
              </w:rPr>
              <w:t>T</w:t>
            </w:r>
          </w:p>
        </w:tc>
        <w:tc>
          <w:tcPr>
            <w:tcW w:w="7569" w:type="dxa"/>
          </w:tcPr>
          <w:p w14:paraId="1D551004" w14:textId="23502ECB" w:rsidR="0097135F" w:rsidRPr="00A43B9C" w:rsidRDefault="0097135F" w:rsidP="00171191">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bCs/>
                <w:sz w:val="28"/>
                <w:szCs w:val="28"/>
                <w:lang w:eastAsia="ru-RU"/>
              </w:rPr>
              <w:t>Местное распространение первичного опухолевого процесса (</w:t>
            </w:r>
            <w:r w:rsidRPr="00A43B9C">
              <w:rPr>
                <w:rFonts w:ascii="Times New Roman" w:eastAsia="Times New Roman" w:hAnsi="Times New Roman" w:cs="Times New Roman"/>
                <w:bCs/>
                <w:sz w:val="28"/>
                <w:szCs w:val="28"/>
                <w:lang w:val="en-US" w:eastAsia="ru-RU"/>
              </w:rPr>
              <w:t>tumor</w:t>
            </w:r>
            <w:r w:rsidRPr="00A43B9C">
              <w:rPr>
                <w:rFonts w:ascii="Times New Roman" w:eastAsia="Times New Roman" w:hAnsi="Times New Roman" w:cs="Times New Roman"/>
                <w:bCs/>
                <w:sz w:val="28"/>
                <w:szCs w:val="28"/>
                <w:lang w:eastAsia="ru-RU"/>
              </w:rPr>
              <w:t>)</w:t>
            </w:r>
          </w:p>
        </w:tc>
      </w:tr>
      <w:tr w:rsidR="00CF336A" w:rsidRPr="00A43B9C" w14:paraId="1CD8B2A3" w14:textId="77777777" w:rsidTr="008B7DC0">
        <w:tc>
          <w:tcPr>
            <w:tcW w:w="1889" w:type="dxa"/>
          </w:tcPr>
          <w:p w14:paraId="3A760F8C" w14:textId="1A1C9DFC"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val="en-US" w:eastAsia="ru-RU"/>
              </w:rPr>
              <w:t>TLG</w:t>
            </w:r>
          </w:p>
        </w:tc>
        <w:tc>
          <w:tcPr>
            <w:tcW w:w="7569" w:type="dxa"/>
          </w:tcPr>
          <w:p w14:paraId="3BF0B83C" w14:textId="63536F6D"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Общий гликолиз очага поражения</w:t>
            </w:r>
          </w:p>
        </w:tc>
      </w:tr>
      <w:tr w:rsidR="00CF336A" w:rsidRPr="00A43B9C" w14:paraId="72E7EE87" w14:textId="77777777" w:rsidTr="008B7DC0">
        <w:tc>
          <w:tcPr>
            <w:tcW w:w="1889" w:type="dxa"/>
          </w:tcPr>
          <w:p w14:paraId="4049CCB7" w14:textId="64B988B0"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val="en-US" w:eastAsia="ru-RU"/>
              </w:rPr>
              <w:t>VAT</w:t>
            </w:r>
          </w:p>
        </w:tc>
        <w:tc>
          <w:tcPr>
            <w:tcW w:w="7569" w:type="dxa"/>
          </w:tcPr>
          <w:p w14:paraId="1AE589E6" w14:textId="00473C05"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Висцеральная жировая ткань</w:t>
            </w:r>
          </w:p>
        </w:tc>
      </w:tr>
      <w:tr w:rsidR="00CF336A" w:rsidRPr="00A43B9C" w14:paraId="26D620E2" w14:textId="77777777" w:rsidTr="008B7DC0">
        <w:tc>
          <w:tcPr>
            <w:tcW w:w="1889" w:type="dxa"/>
          </w:tcPr>
          <w:p w14:paraId="04132D98" w14:textId="776F9D8B"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sz w:val="28"/>
                <w:szCs w:val="28"/>
                <w:lang w:val="en-US"/>
              </w:rPr>
              <w:t>WCRF AICR</w:t>
            </w:r>
          </w:p>
        </w:tc>
        <w:tc>
          <w:tcPr>
            <w:tcW w:w="7569" w:type="dxa"/>
          </w:tcPr>
          <w:p w14:paraId="2A8AB889" w14:textId="13417F32"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Всемирный фонд исследований рака Американского института исследований рака</w:t>
            </w:r>
          </w:p>
        </w:tc>
      </w:tr>
      <w:tr w:rsidR="00CF336A" w:rsidRPr="00A43B9C" w14:paraId="36C8B6AD" w14:textId="77777777" w:rsidTr="008B7DC0">
        <w:tc>
          <w:tcPr>
            <w:tcW w:w="1889" w:type="dxa"/>
          </w:tcPr>
          <w:p w14:paraId="0218B2E8" w14:textId="346E6C0E" w:rsidR="00CF336A" w:rsidRPr="00A43B9C" w:rsidRDefault="00CF336A" w:rsidP="00CF336A">
            <w:pPr>
              <w:pStyle w:val="p"/>
              <w:spacing w:before="0" w:beforeAutospacing="0" w:after="0" w:afterAutospacing="0"/>
              <w:jc w:val="both"/>
              <w:rPr>
                <w:sz w:val="28"/>
                <w:szCs w:val="28"/>
                <w:lang w:val="en-US"/>
              </w:rPr>
            </w:pPr>
            <w:r w:rsidRPr="00A43B9C">
              <w:rPr>
                <w:rFonts w:eastAsia="TimesNewRomanPSMT"/>
                <w:sz w:val="28"/>
                <w:szCs w:val="28"/>
              </w:rPr>
              <w:t>БМЦ УДП РК</w:t>
            </w:r>
          </w:p>
        </w:tc>
        <w:tc>
          <w:tcPr>
            <w:tcW w:w="7569" w:type="dxa"/>
          </w:tcPr>
          <w:p w14:paraId="089427D4" w14:textId="22A6DB08" w:rsidR="00CF336A" w:rsidRPr="00A43B9C" w:rsidRDefault="00CF336A" w:rsidP="00CF336A">
            <w:pPr>
              <w:pStyle w:val="p"/>
              <w:spacing w:before="0" w:beforeAutospacing="0" w:after="0" w:afterAutospacing="0"/>
              <w:jc w:val="both"/>
              <w:rPr>
                <w:sz w:val="28"/>
                <w:szCs w:val="28"/>
              </w:rPr>
            </w:pPr>
            <w:r w:rsidRPr="00A43B9C">
              <w:rPr>
                <w:rFonts w:eastAsia="TimesNewRomanPSMT"/>
                <w:sz w:val="28"/>
                <w:szCs w:val="28"/>
              </w:rPr>
              <w:t xml:space="preserve">Больница медицинского центра </w:t>
            </w:r>
            <w:r w:rsidR="00A00AA1">
              <w:rPr>
                <w:rFonts w:eastAsia="TimesNewRomanPSMT"/>
                <w:sz w:val="28"/>
                <w:szCs w:val="28"/>
              </w:rPr>
              <w:t>У</w:t>
            </w:r>
            <w:r w:rsidRPr="00A43B9C">
              <w:rPr>
                <w:rFonts w:eastAsia="TimesNewRomanPSMT"/>
                <w:sz w:val="28"/>
                <w:szCs w:val="28"/>
              </w:rPr>
              <w:t>правления делами Президента Республики Казахстан</w:t>
            </w:r>
          </w:p>
        </w:tc>
      </w:tr>
      <w:tr w:rsidR="00CF336A" w:rsidRPr="00A43B9C" w14:paraId="1C05ACC9" w14:textId="77777777" w:rsidTr="008B7DC0">
        <w:tc>
          <w:tcPr>
            <w:tcW w:w="1889" w:type="dxa"/>
          </w:tcPr>
          <w:p w14:paraId="376C84D4" w14:textId="5F91F8F2" w:rsidR="00CF336A" w:rsidRPr="00A43B9C" w:rsidRDefault="00CF336A" w:rsidP="00171191">
            <w:pPr>
              <w:spacing w:after="0" w:line="240" w:lineRule="auto"/>
              <w:jc w:val="both"/>
              <w:rPr>
                <w:rFonts w:ascii="Times New Roman" w:hAnsi="Times New Roman" w:cs="Times New Roman"/>
                <w:sz w:val="28"/>
                <w:szCs w:val="28"/>
                <w:lang w:val="en-US"/>
              </w:rPr>
            </w:pPr>
            <w:r w:rsidRPr="00A43B9C">
              <w:rPr>
                <w:rFonts w:ascii="Times New Roman" w:eastAsia="Times New Roman" w:hAnsi="Times New Roman" w:cs="Times New Roman"/>
                <w:sz w:val="28"/>
                <w:szCs w:val="28"/>
                <w:lang w:eastAsia="ru-RU"/>
              </w:rPr>
              <w:t>ДИ</w:t>
            </w:r>
          </w:p>
        </w:tc>
        <w:tc>
          <w:tcPr>
            <w:tcW w:w="7569" w:type="dxa"/>
          </w:tcPr>
          <w:p w14:paraId="35230864" w14:textId="505E1D47" w:rsidR="00CF336A" w:rsidRPr="00A43B9C" w:rsidRDefault="00CF336A" w:rsidP="00171191">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Доверительный интервал</w:t>
            </w:r>
          </w:p>
        </w:tc>
      </w:tr>
      <w:tr w:rsidR="00CF336A" w:rsidRPr="00A43B9C" w14:paraId="1C945B29" w14:textId="77777777" w:rsidTr="008B7DC0">
        <w:tc>
          <w:tcPr>
            <w:tcW w:w="1889" w:type="dxa"/>
          </w:tcPr>
          <w:p w14:paraId="7FB85205" w14:textId="00FD252E" w:rsidR="00CF336A" w:rsidRPr="00A43B9C" w:rsidRDefault="00CF336A" w:rsidP="00171191">
            <w:pPr>
              <w:pStyle w:val="HTML"/>
              <w:rPr>
                <w:rFonts w:ascii="Times New Roman" w:hAnsi="Times New Roman" w:cs="Times New Roman"/>
                <w:sz w:val="28"/>
                <w:szCs w:val="28"/>
              </w:rPr>
            </w:pPr>
            <w:r w:rsidRPr="00A43B9C">
              <w:rPr>
                <w:rFonts w:ascii="Times New Roman" w:hAnsi="Times New Roman" w:cs="Times New Roman"/>
                <w:sz w:val="28"/>
                <w:szCs w:val="28"/>
              </w:rPr>
              <w:t>ЖКТ</w:t>
            </w:r>
          </w:p>
        </w:tc>
        <w:tc>
          <w:tcPr>
            <w:tcW w:w="7569" w:type="dxa"/>
          </w:tcPr>
          <w:p w14:paraId="0092D8D0" w14:textId="20758F04" w:rsidR="00CF336A" w:rsidRPr="00A43B9C" w:rsidRDefault="00CF336A" w:rsidP="00171191">
            <w:pPr>
              <w:pStyle w:val="HTML"/>
              <w:rPr>
                <w:rFonts w:ascii="Times New Roman" w:hAnsi="Times New Roman" w:cs="Times New Roman"/>
                <w:sz w:val="28"/>
                <w:szCs w:val="28"/>
              </w:rPr>
            </w:pPr>
            <w:r w:rsidRPr="00A43B9C">
              <w:rPr>
                <w:rFonts w:ascii="Times New Roman" w:hAnsi="Times New Roman" w:cs="Times New Roman"/>
                <w:sz w:val="28"/>
                <w:szCs w:val="28"/>
              </w:rPr>
              <w:t>Желудочно-кишечный тракт</w:t>
            </w:r>
          </w:p>
        </w:tc>
      </w:tr>
      <w:tr w:rsidR="00CF336A" w:rsidRPr="00A43B9C" w14:paraId="43B369A8" w14:textId="77777777" w:rsidTr="008B7DC0">
        <w:tc>
          <w:tcPr>
            <w:tcW w:w="1889" w:type="dxa"/>
          </w:tcPr>
          <w:p w14:paraId="42CA2906" w14:textId="3FD84351" w:rsidR="00CF336A" w:rsidRPr="00A43B9C" w:rsidRDefault="00CF336A" w:rsidP="00171191">
            <w:pPr>
              <w:pStyle w:val="HTML"/>
              <w:rPr>
                <w:rFonts w:ascii="Times New Roman" w:hAnsi="Times New Roman" w:cs="Times New Roman"/>
                <w:sz w:val="28"/>
                <w:szCs w:val="28"/>
              </w:rPr>
            </w:pPr>
            <w:r w:rsidRPr="00A43B9C">
              <w:rPr>
                <w:rFonts w:ascii="Times New Roman" w:hAnsi="Times New Roman" w:cs="Times New Roman"/>
                <w:sz w:val="28"/>
                <w:szCs w:val="28"/>
              </w:rPr>
              <w:lastRenderedPageBreak/>
              <w:t>КазНИИОиР</w:t>
            </w:r>
          </w:p>
        </w:tc>
        <w:tc>
          <w:tcPr>
            <w:tcW w:w="7569" w:type="dxa"/>
          </w:tcPr>
          <w:p w14:paraId="6094B367" w14:textId="4377E049" w:rsidR="00CF336A" w:rsidRPr="00A43B9C" w:rsidRDefault="00CF336A" w:rsidP="00171191">
            <w:pPr>
              <w:pStyle w:val="HTML"/>
              <w:rPr>
                <w:rFonts w:ascii="Times New Roman" w:hAnsi="Times New Roman" w:cs="Times New Roman"/>
                <w:sz w:val="28"/>
                <w:szCs w:val="28"/>
              </w:rPr>
            </w:pPr>
            <w:r w:rsidRPr="00A43B9C">
              <w:rPr>
                <w:rFonts w:ascii="Times New Roman" w:hAnsi="Times New Roman" w:cs="Times New Roman"/>
                <w:sz w:val="28"/>
                <w:szCs w:val="28"/>
              </w:rPr>
              <w:t>Казахский научно-исследовательский институт онкологии и радиологии</w:t>
            </w:r>
          </w:p>
        </w:tc>
      </w:tr>
      <w:tr w:rsidR="00CF336A" w:rsidRPr="00A43B9C" w14:paraId="203E3AE9" w14:textId="77777777" w:rsidTr="008B7DC0">
        <w:tc>
          <w:tcPr>
            <w:tcW w:w="1889" w:type="dxa"/>
          </w:tcPr>
          <w:p w14:paraId="56CD79B9" w14:textId="73BE94BC" w:rsidR="00CF336A" w:rsidRPr="00A43B9C" w:rsidRDefault="00CF336A" w:rsidP="00171191">
            <w:pPr>
              <w:pStyle w:val="HTML"/>
              <w:rPr>
                <w:rFonts w:ascii="Times New Roman" w:hAnsi="Times New Roman" w:cs="Times New Roman"/>
                <w:sz w:val="28"/>
                <w:szCs w:val="28"/>
              </w:rPr>
            </w:pPr>
            <w:r w:rsidRPr="00A43B9C">
              <w:rPr>
                <w:rFonts w:ascii="Times New Roman" w:hAnsi="Times New Roman" w:cs="Times New Roman"/>
                <w:sz w:val="28"/>
                <w:szCs w:val="28"/>
              </w:rPr>
              <w:t>КазНУ</w:t>
            </w:r>
          </w:p>
        </w:tc>
        <w:tc>
          <w:tcPr>
            <w:tcW w:w="7569" w:type="dxa"/>
          </w:tcPr>
          <w:p w14:paraId="23C38E7E" w14:textId="51B0BA73" w:rsidR="00CF336A" w:rsidRPr="00A43B9C" w:rsidRDefault="00CF336A" w:rsidP="00171191">
            <w:pPr>
              <w:pStyle w:val="HTML"/>
              <w:rPr>
                <w:rFonts w:ascii="Times New Roman" w:hAnsi="Times New Roman" w:cs="Times New Roman"/>
                <w:sz w:val="28"/>
                <w:szCs w:val="28"/>
              </w:rPr>
            </w:pPr>
            <w:r w:rsidRPr="00A43B9C">
              <w:rPr>
                <w:rFonts w:ascii="Times New Roman" w:hAnsi="Times New Roman" w:cs="Times New Roman"/>
                <w:sz w:val="28"/>
                <w:szCs w:val="28"/>
              </w:rPr>
              <w:t>Казахский национальный университет</w:t>
            </w:r>
          </w:p>
        </w:tc>
      </w:tr>
      <w:tr w:rsidR="00CF336A" w:rsidRPr="00A43B9C" w14:paraId="067B3E61" w14:textId="77777777" w:rsidTr="008B7DC0">
        <w:tc>
          <w:tcPr>
            <w:tcW w:w="1889" w:type="dxa"/>
          </w:tcPr>
          <w:p w14:paraId="027A0532" w14:textId="5FB1663F"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КРР</w:t>
            </w:r>
          </w:p>
        </w:tc>
        <w:tc>
          <w:tcPr>
            <w:tcW w:w="7569" w:type="dxa"/>
          </w:tcPr>
          <w:p w14:paraId="356F3619" w14:textId="0EC85907"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Колоректальный рак</w:t>
            </w:r>
          </w:p>
        </w:tc>
      </w:tr>
      <w:tr w:rsidR="00CF336A" w:rsidRPr="00A43B9C" w14:paraId="46AEF6B0" w14:textId="77777777" w:rsidTr="008B7DC0">
        <w:tc>
          <w:tcPr>
            <w:tcW w:w="1889" w:type="dxa"/>
          </w:tcPr>
          <w:p w14:paraId="4114D093" w14:textId="4F4F8395"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КТ</w:t>
            </w:r>
          </w:p>
        </w:tc>
        <w:tc>
          <w:tcPr>
            <w:tcW w:w="7569" w:type="dxa"/>
          </w:tcPr>
          <w:p w14:paraId="4D4E0F54" w14:textId="1FC80B03"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Компьютерная томография</w:t>
            </w:r>
          </w:p>
        </w:tc>
      </w:tr>
      <w:tr w:rsidR="0020110A" w:rsidRPr="00A43B9C" w14:paraId="5BA29BC9" w14:textId="77777777" w:rsidTr="008B7DC0">
        <w:tc>
          <w:tcPr>
            <w:tcW w:w="1889" w:type="dxa"/>
          </w:tcPr>
          <w:p w14:paraId="4D85A4A1" w14:textId="7389EF95" w:rsidR="0020110A" w:rsidRPr="00A43B9C" w:rsidRDefault="0020110A" w:rsidP="0020110A">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ЛКБ</w:t>
            </w:r>
          </w:p>
        </w:tc>
        <w:tc>
          <w:tcPr>
            <w:tcW w:w="7569" w:type="dxa"/>
          </w:tcPr>
          <w:p w14:paraId="1B09A243" w14:textId="67CF924F" w:rsidR="0020110A" w:rsidRPr="00A43B9C" w:rsidRDefault="0020110A" w:rsidP="0020110A">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Локальная комиссия по биоэтике</w:t>
            </w:r>
          </w:p>
        </w:tc>
      </w:tr>
      <w:tr w:rsidR="00CF336A" w:rsidRPr="00A43B9C" w14:paraId="018E9658" w14:textId="77777777" w:rsidTr="008B7DC0">
        <w:tc>
          <w:tcPr>
            <w:tcW w:w="1889" w:type="dxa"/>
          </w:tcPr>
          <w:p w14:paraId="413A8A5D" w14:textId="3F38222E"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ЛУ</w:t>
            </w:r>
          </w:p>
        </w:tc>
        <w:tc>
          <w:tcPr>
            <w:tcW w:w="7569" w:type="dxa"/>
          </w:tcPr>
          <w:p w14:paraId="542098B1" w14:textId="179AEBA8"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Лимфатический узел</w:t>
            </w:r>
          </w:p>
        </w:tc>
      </w:tr>
      <w:tr w:rsidR="0020110A" w:rsidRPr="00A43B9C" w14:paraId="642DB9B2" w14:textId="77777777" w:rsidTr="008B7DC0">
        <w:tc>
          <w:tcPr>
            <w:tcW w:w="1889" w:type="dxa"/>
          </w:tcPr>
          <w:p w14:paraId="4BA00D24" w14:textId="6283DDAD" w:rsidR="0020110A" w:rsidRPr="0020110A" w:rsidRDefault="0020110A" w:rsidP="0020110A">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ЛЭК</w:t>
            </w:r>
          </w:p>
        </w:tc>
        <w:tc>
          <w:tcPr>
            <w:tcW w:w="7569" w:type="dxa"/>
          </w:tcPr>
          <w:p w14:paraId="5624FDE9" w14:textId="2E376C6D" w:rsidR="0020110A" w:rsidRPr="0020110A" w:rsidRDefault="0020110A" w:rsidP="0020110A">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Локальный этический комитет</w:t>
            </w:r>
          </w:p>
        </w:tc>
      </w:tr>
      <w:tr w:rsidR="00CF336A" w:rsidRPr="00A43B9C" w14:paraId="1E189B73" w14:textId="77777777" w:rsidTr="008B7DC0">
        <w:tc>
          <w:tcPr>
            <w:tcW w:w="1889" w:type="dxa"/>
          </w:tcPr>
          <w:p w14:paraId="562A71DA" w14:textId="61E39B37"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МБк</w:t>
            </w:r>
          </w:p>
        </w:tc>
        <w:tc>
          <w:tcPr>
            <w:tcW w:w="7569" w:type="dxa"/>
          </w:tcPr>
          <w:p w14:paraId="0B56DAE8" w14:textId="08A93418"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Мегабеккерель</w:t>
            </w:r>
          </w:p>
        </w:tc>
      </w:tr>
      <w:tr w:rsidR="00CF336A" w:rsidRPr="00A43B9C" w14:paraId="76034499" w14:textId="77777777" w:rsidTr="008B7DC0">
        <w:tc>
          <w:tcPr>
            <w:tcW w:w="1889" w:type="dxa"/>
          </w:tcPr>
          <w:p w14:paraId="311041DA" w14:textId="58132189"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мЗв</w:t>
            </w:r>
          </w:p>
        </w:tc>
        <w:tc>
          <w:tcPr>
            <w:tcW w:w="7569" w:type="dxa"/>
          </w:tcPr>
          <w:p w14:paraId="3E3E45A9" w14:textId="54EB2585"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Миллизиверт</w:t>
            </w:r>
          </w:p>
        </w:tc>
      </w:tr>
      <w:tr w:rsidR="00CF336A" w:rsidRPr="00A43B9C" w14:paraId="6E350DCE" w14:textId="77777777" w:rsidTr="008B7DC0">
        <w:tc>
          <w:tcPr>
            <w:tcW w:w="1889" w:type="dxa"/>
          </w:tcPr>
          <w:p w14:paraId="766BAA79" w14:textId="692E668A" w:rsidR="00CF336A" w:rsidRPr="00A43B9C" w:rsidRDefault="00CF336A" w:rsidP="00171191">
            <w:pPr>
              <w:spacing w:after="0" w:line="240" w:lineRule="auto"/>
              <w:rPr>
                <w:rFonts w:ascii="Times New Roman" w:hAnsi="Times New Roman" w:cs="Times New Roman"/>
                <w:sz w:val="28"/>
                <w:szCs w:val="28"/>
                <w:lang w:eastAsia="ru-RU"/>
              </w:rPr>
            </w:pPr>
            <w:r w:rsidRPr="00A43B9C">
              <w:rPr>
                <w:rFonts w:ascii="Times New Roman" w:hAnsi="Times New Roman" w:cs="Times New Roman"/>
                <w:sz w:val="28"/>
                <w:szCs w:val="28"/>
              </w:rPr>
              <w:t>МКИ</w:t>
            </w:r>
          </w:p>
        </w:tc>
        <w:tc>
          <w:tcPr>
            <w:tcW w:w="7569" w:type="dxa"/>
          </w:tcPr>
          <w:p w14:paraId="60A9D3F3" w14:textId="3CB3C63D" w:rsidR="00CF336A" w:rsidRPr="00A43B9C" w:rsidRDefault="00CF336A" w:rsidP="00171191">
            <w:pPr>
              <w:spacing w:after="0" w:line="240" w:lineRule="auto"/>
              <w:rPr>
                <w:rFonts w:ascii="Times New Roman" w:hAnsi="Times New Roman" w:cs="Times New Roman"/>
                <w:sz w:val="28"/>
                <w:szCs w:val="28"/>
                <w:lang w:eastAsia="ru-RU"/>
              </w:rPr>
            </w:pPr>
            <w:r w:rsidRPr="00A43B9C">
              <w:rPr>
                <w:rFonts w:ascii="Times New Roman" w:hAnsi="Times New Roman" w:cs="Times New Roman"/>
                <w:sz w:val="28"/>
                <w:szCs w:val="28"/>
              </w:rPr>
              <w:t>Межквартильный интервал</w:t>
            </w:r>
          </w:p>
        </w:tc>
      </w:tr>
      <w:tr w:rsidR="00CF336A" w:rsidRPr="00A43B9C" w14:paraId="120D41EE" w14:textId="77777777" w:rsidTr="008B7DC0">
        <w:tc>
          <w:tcPr>
            <w:tcW w:w="1889" w:type="dxa"/>
          </w:tcPr>
          <w:p w14:paraId="045F93B2" w14:textId="3781311E" w:rsidR="00CF336A" w:rsidRPr="00A43B9C" w:rsidRDefault="00CF336A" w:rsidP="00171191">
            <w:pPr>
              <w:spacing w:after="0" w:line="240" w:lineRule="auto"/>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МРТ</w:t>
            </w:r>
          </w:p>
        </w:tc>
        <w:tc>
          <w:tcPr>
            <w:tcW w:w="7569" w:type="dxa"/>
          </w:tcPr>
          <w:p w14:paraId="7DA730EF" w14:textId="59B6422C" w:rsidR="00CF336A" w:rsidRPr="00A43B9C" w:rsidRDefault="00CF336A" w:rsidP="00171191">
            <w:pPr>
              <w:spacing w:after="0" w:line="240" w:lineRule="auto"/>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Магнитно-резонансная томография</w:t>
            </w:r>
          </w:p>
        </w:tc>
      </w:tr>
      <w:tr w:rsidR="00CF336A" w:rsidRPr="00A43B9C" w14:paraId="562EA695" w14:textId="77777777" w:rsidTr="008B7DC0">
        <w:tc>
          <w:tcPr>
            <w:tcW w:w="1889" w:type="dxa"/>
          </w:tcPr>
          <w:p w14:paraId="1FA99EB4" w14:textId="21CACB72" w:rsidR="00CF336A" w:rsidRPr="00A43B9C" w:rsidRDefault="00CF336A" w:rsidP="00171191">
            <w:pPr>
              <w:spacing w:after="0" w:line="240" w:lineRule="auto"/>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НАО</w:t>
            </w:r>
          </w:p>
        </w:tc>
        <w:tc>
          <w:tcPr>
            <w:tcW w:w="7569" w:type="dxa"/>
          </w:tcPr>
          <w:p w14:paraId="493A21C7" w14:textId="3354BC08" w:rsidR="00CF336A" w:rsidRPr="00A43B9C" w:rsidRDefault="00CF336A" w:rsidP="00171191">
            <w:pPr>
              <w:spacing w:after="0" w:line="240" w:lineRule="auto"/>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Некоммерческое Акционерное Общество</w:t>
            </w:r>
          </w:p>
        </w:tc>
      </w:tr>
      <w:tr w:rsidR="00CF336A" w:rsidRPr="00A43B9C" w14:paraId="36894F00" w14:textId="77777777" w:rsidTr="008B7DC0">
        <w:tc>
          <w:tcPr>
            <w:tcW w:w="1889" w:type="dxa"/>
          </w:tcPr>
          <w:p w14:paraId="317E1742" w14:textId="2F0D9337" w:rsidR="00CF336A" w:rsidRPr="00A43B9C" w:rsidRDefault="00CF336A" w:rsidP="00171191">
            <w:pPr>
              <w:spacing w:after="0" w:line="240" w:lineRule="auto"/>
              <w:jc w:val="both"/>
              <w:rPr>
                <w:rFonts w:ascii="Times New Roman" w:eastAsia="Times New Roman" w:hAnsi="Times New Roman" w:cs="Times New Roman"/>
                <w:color w:val="000000"/>
                <w:sz w:val="28"/>
                <w:szCs w:val="28"/>
                <w:lang w:eastAsia="ru-RU"/>
              </w:rPr>
            </w:pPr>
            <w:r w:rsidRPr="00A43B9C">
              <w:rPr>
                <w:rFonts w:ascii="Times New Roman" w:eastAsia="Times New Roman" w:hAnsi="Times New Roman" w:cs="Times New Roman"/>
                <w:color w:val="000000"/>
                <w:sz w:val="28"/>
                <w:szCs w:val="28"/>
                <w:lang w:eastAsia="ru-RU"/>
              </w:rPr>
              <w:t>ОР</w:t>
            </w:r>
          </w:p>
        </w:tc>
        <w:tc>
          <w:tcPr>
            <w:tcW w:w="7569" w:type="dxa"/>
          </w:tcPr>
          <w:p w14:paraId="6DF3A18B" w14:textId="2163D7AA" w:rsidR="00CF336A" w:rsidRPr="00A43B9C" w:rsidRDefault="00CF336A" w:rsidP="00171191">
            <w:pPr>
              <w:spacing w:after="0" w:line="240" w:lineRule="auto"/>
              <w:jc w:val="both"/>
              <w:rPr>
                <w:rFonts w:ascii="Times New Roman" w:eastAsia="Times New Roman" w:hAnsi="Times New Roman" w:cs="Times New Roman"/>
                <w:color w:val="000000"/>
                <w:sz w:val="28"/>
                <w:szCs w:val="28"/>
                <w:lang w:eastAsia="ru-RU"/>
              </w:rPr>
            </w:pPr>
            <w:r w:rsidRPr="00A43B9C">
              <w:rPr>
                <w:rFonts w:ascii="Times New Roman" w:eastAsia="Times New Roman" w:hAnsi="Times New Roman" w:cs="Times New Roman"/>
                <w:sz w:val="28"/>
                <w:szCs w:val="28"/>
                <w:lang w:eastAsia="ru-RU"/>
              </w:rPr>
              <w:t>Относительный риск</w:t>
            </w:r>
          </w:p>
        </w:tc>
      </w:tr>
      <w:tr w:rsidR="00CF336A" w:rsidRPr="00A43B9C" w14:paraId="7B17D854" w14:textId="77777777" w:rsidTr="008B7DC0">
        <w:tc>
          <w:tcPr>
            <w:tcW w:w="1889" w:type="dxa"/>
          </w:tcPr>
          <w:p w14:paraId="4D347A90" w14:textId="60B330F3" w:rsidR="00CF336A" w:rsidRPr="00A43B9C" w:rsidRDefault="00CF336A" w:rsidP="00171191">
            <w:pPr>
              <w:spacing w:after="0" w:line="240" w:lineRule="auto"/>
              <w:jc w:val="both"/>
              <w:rPr>
                <w:rFonts w:ascii="Times New Roman" w:eastAsia="Times New Roman" w:hAnsi="Times New Roman" w:cs="Times New Roman"/>
                <w:color w:val="000000"/>
                <w:sz w:val="28"/>
                <w:szCs w:val="28"/>
                <w:lang w:eastAsia="ru-RU"/>
              </w:rPr>
            </w:pPr>
            <w:r w:rsidRPr="00A43B9C">
              <w:rPr>
                <w:rFonts w:ascii="Times New Roman" w:eastAsia="Times New Roman" w:hAnsi="Times New Roman" w:cs="Times New Roman"/>
                <w:sz w:val="28"/>
                <w:szCs w:val="28"/>
                <w:lang w:eastAsia="ru-RU"/>
              </w:rPr>
              <w:t>ОШ</w:t>
            </w:r>
          </w:p>
        </w:tc>
        <w:tc>
          <w:tcPr>
            <w:tcW w:w="7569" w:type="dxa"/>
          </w:tcPr>
          <w:p w14:paraId="74625305" w14:textId="79970AF4" w:rsidR="00CF336A" w:rsidRPr="00A43B9C" w:rsidRDefault="00CF336A" w:rsidP="00171191">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Отношение шансов</w:t>
            </w:r>
          </w:p>
        </w:tc>
      </w:tr>
      <w:tr w:rsidR="0020110A" w:rsidRPr="00A43B9C" w14:paraId="01F9EA1B" w14:textId="77777777" w:rsidTr="008B7DC0">
        <w:tc>
          <w:tcPr>
            <w:tcW w:w="1889" w:type="dxa"/>
          </w:tcPr>
          <w:p w14:paraId="35C48AC4" w14:textId="000726A1" w:rsidR="0020110A" w:rsidRPr="00A43B9C" w:rsidRDefault="0020110A" w:rsidP="00171191">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ОЯМ ЦД</w:t>
            </w:r>
          </w:p>
        </w:tc>
        <w:tc>
          <w:tcPr>
            <w:tcW w:w="7569" w:type="dxa"/>
          </w:tcPr>
          <w:p w14:paraId="500C4683" w14:textId="6C634FC7" w:rsidR="0020110A" w:rsidRPr="00A43B9C" w:rsidRDefault="0020110A" w:rsidP="00171191">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Отделение ядерной медицины Центра диагностики</w:t>
            </w:r>
          </w:p>
        </w:tc>
      </w:tr>
      <w:tr w:rsidR="00CF336A" w:rsidRPr="00A43B9C" w14:paraId="51869F0B" w14:textId="77777777" w:rsidTr="008B7DC0">
        <w:tc>
          <w:tcPr>
            <w:tcW w:w="1889" w:type="dxa"/>
          </w:tcPr>
          <w:p w14:paraId="21A6F9BD" w14:textId="1BF73D82"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ПЭТ/КТ</w:t>
            </w:r>
          </w:p>
        </w:tc>
        <w:tc>
          <w:tcPr>
            <w:tcW w:w="7569" w:type="dxa"/>
          </w:tcPr>
          <w:p w14:paraId="0DDC2510" w14:textId="12B5A2B1"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Позитронно-эмиссионная томография, совмещенная с компьютерной томографией</w:t>
            </w:r>
          </w:p>
        </w:tc>
      </w:tr>
      <w:tr w:rsidR="00CF336A" w:rsidRPr="00A43B9C" w14:paraId="232FB639" w14:textId="77777777" w:rsidTr="008B7DC0">
        <w:tc>
          <w:tcPr>
            <w:tcW w:w="1889" w:type="dxa"/>
          </w:tcPr>
          <w:p w14:paraId="0B950742" w14:textId="5D175B1D" w:rsidR="00CF336A" w:rsidRPr="00A43B9C" w:rsidRDefault="00CF336A" w:rsidP="00CF336A">
            <w:pPr>
              <w:pStyle w:val="p"/>
              <w:spacing w:before="0" w:beforeAutospacing="0" w:after="0" w:afterAutospacing="0"/>
              <w:jc w:val="both"/>
              <w:rPr>
                <w:color w:val="000000"/>
                <w:sz w:val="28"/>
                <w:szCs w:val="28"/>
              </w:rPr>
            </w:pPr>
            <w:r w:rsidRPr="00A43B9C">
              <w:rPr>
                <w:rFonts w:eastAsia="TimesNewRomanPSMT"/>
                <w:sz w:val="28"/>
                <w:szCs w:val="28"/>
              </w:rPr>
              <w:t>РГП на ПХВ</w:t>
            </w:r>
          </w:p>
        </w:tc>
        <w:tc>
          <w:tcPr>
            <w:tcW w:w="7569" w:type="dxa"/>
          </w:tcPr>
          <w:p w14:paraId="6F441D94" w14:textId="06F62200" w:rsidR="00CF336A" w:rsidRPr="00A43B9C" w:rsidRDefault="00CF336A" w:rsidP="00CF336A">
            <w:pPr>
              <w:pStyle w:val="p"/>
              <w:spacing w:before="0" w:beforeAutospacing="0" w:after="0" w:afterAutospacing="0"/>
              <w:jc w:val="both"/>
              <w:rPr>
                <w:color w:val="000000"/>
                <w:sz w:val="28"/>
                <w:szCs w:val="28"/>
              </w:rPr>
            </w:pPr>
            <w:r w:rsidRPr="00A43B9C">
              <w:rPr>
                <w:rFonts w:eastAsia="TimesNewRomanPSMT"/>
                <w:sz w:val="28"/>
                <w:szCs w:val="28"/>
              </w:rPr>
              <w:t>Республиканское государственное предприятие на праве хозяйственного ведения</w:t>
            </w:r>
          </w:p>
        </w:tc>
      </w:tr>
      <w:tr w:rsidR="00CF336A" w:rsidRPr="00A43B9C" w14:paraId="44180F7F" w14:textId="77777777" w:rsidTr="008B7DC0">
        <w:tc>
          <w:tcPr>
            <w:tcW w:w="1889" w:type="dxa"/>
          </w:tcPr>
          <w:p w14:paraId="204E8A81" w14:textId="2F8B9EAC" w:rsidR="00CF336A" w:rsidRPr="00A43B9C" w:rsidRDefault="00CF336A" w:rsidP="00171191">
            <w:pPr>
              <w:spacing w:after="0" w:line="240" w:lineRule="auto"/>
              <w:jc w:val="both"/>
              <w:rPr>
                <w:rFonts w:ascii="Times New Roman" w:eastAsia="Times New Roman" w:hAnsi="Times New Roman" w:cs="Times New Roman"/>
                <w:color w:val="000000"/>
                <w:sz w:val="28"/>
                <w:szCs w:val="28"/>
                <w:lang w:eastAsia="ru-RU"/>
              </w:rPr>
            </w:pPr>
            <w:r w:rsidRPr="00A43B9C">
              <w:rPr>
                <w:rFonts w:ascii="Times New Roman" w:hAnsi="Times New Roman" w:cs="Times New Roman"/>
                <w:sz w:val="28"/>
                <w:szCs w:val="28"/>
              </w:rPr>
              <w:t>РК</w:t>
            </w:r>
          </w:p>
        </w:tc>
        <w:tc>
          <w:tcPr>
            <w:tcW w:w="7569" w:type="dxa"/>
          </w:tcPr>
          <w:p w14:paraId="06569ED5" w14:textId="7E15D2BF" w:rsidR="00CF336A" w:rsidRPr="00A43B9C" w:rsidRDefault="00CF336A" w:rsidP="00171191">
            <w:pPr>
              <w:spacing w:after="0" w:line="240" w:lineRule="auto"/>
              <w:jc w:val="both"/>
              <w:rPr>
                <w:rFonts w:ascii="Times New Roman" w:eastAsia="Times New Roman" w:hAnsi="Times New Roman" w:cs="Times New Roman"/>
                <w:color w:val="000000"/>
                <w:sz w:val="28"/>
                <w:szCs w:val="28"/>
                <w:lang w:eastAsia="ru-RU"/>
              </w:rPr>
            </w:pPr>
            <w:r w:rsidRPr="00A43B9C">
              <w:rPr>
                <w:rFonts w:ascii="Times New Roman" w:hAnsi="Times New Roman" w:cs="Times New Roman"/>
                <w:sz w:val="28"/>
                <w:szCs w:val="28"/>
              </w:rPr>
              <w:t>Республика Казахстан</w:t>
            </w:r>
          </w:p>
        </w:tc>
      </w:tr>
      <w:tr w:rsidR="00CF336A" w:rsidRPr="00A43B9C" w14:paraId="5B180453" w14:textId="77777777" w:rsidTr="008B7DC0">
        <w:tc>
          <w:tcPr>
            <w:tcW w:w="1889" w:type="dxa"/>
          </w:tcPr>
          <w:p w14:paraId="349046BB" w14:textId="5677D15E" w:rsidR="00CF336A" w:rsidRPr="00A43B9C" w:rsidRDefault="00CF336A" w:rsidP="00171191">
            <w:pPr>
              <w:spacing w:after="0" w:line="240" w:lineRule="auto"/>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РФП</w:t>
            </w:r>
          </w:p>
        </w:tc>
        <w:tc>
          <w:tcPr>
            <w:tcW w:w="7569" w:type="dxa"/>
          </w:tcPr>
          <w:p w14:paraId="0E688737" w14:textId="41C0802F" w:rsidR="00CF336A" w:rsidRPr="00A43B9C" w:rsidRDefault="00CF336A" w:rsidP="00171191">
            <w:pPr>
              <w:spacing w:after="0" w:line="240" w:lineRule="auto"/>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Радиофармацевтический препарат</w:t>
            </w:r>
          </w:p>
        </w:tc>
      </w:tr>
      <w:tr w:rsidR="00CF336A" w:rsidRPr="00A43B9C" w14:paraId="1E94D30A" w14:textId="77777777" w:rsidTr="008B7DC0">
        <w:tc>
          <w:tcPr>
            <w:tcW w:w="1889" w:type="dxa"/>
          </w:tcPr>
          <w:p w14:paraId="436AB899" w14:textId="5C708826" w:rsidR="00CF336A" w:rsidRPr="00A43B9C" w:rsidRDefault="00CF336A" w:rsidP="00171191">
            <w:pPr>
              <w:spacing w:after="0" w:line="240" w:lineRule="auto"/>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РЭА</w:t>
            </w:r>
          </w:p>
        </w:tc>
        <w:tc>
          <w:tcPr>
            <w:tcW w:w="7569" w:type="dxa"/>
          </w:tcPr>
          <w:p w14:paraId="459C772D" w14:textId="2D0D132A" w:rsidR="00CF336A" w:rsidRPr="00A43B9C" w:rsidRDefault="00CF336A" w:rsidP="00171191">
            <w:pPr>
              <w:spacing w:after="0" w:line="240" w:lineRule="auto"/>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Раковый эмбриональный антиген</w:t>
            </w:r>
          </w:p>
        </w:tc>
      </w:tr>
      <w:tr w:rsidR="00CF336A" w:rsidRPr="00A43B9C" w14:paraId="698B5A25" w14:textId="77777777" w:rsidTr="008B7DC0">
        <w:tc>
          <w:tcPr>
            <w:tcW w:w="1889" w:type="dxa"/>
          </w:tcPr>
          <w:p w14:paraId="4E70EA5E" w14:textId="406DB1A5"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УЗИ</w:t>
            </w:r>
          </w:p>
        </w:tc>
        <w:tc>
          <w:tcPr>
            <w:tcW w:w="7569" w:type="dxa"/>
          </w:tcPr>
          <w:p w14:paraId="7E0A3B21" w14:textId="691FA20C"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Ультразвуковое исследование</w:t>
            </w:r>
          </w:p>
        </w:tc>
      </w:tr>
      <w:tr w:rsidR="00CF336A" w:rsidRPr="00A43B9C" w14:paraId="4A169A38" w14:textId="77777777" w:rsidTr="008B7DC0">
        <w:tc>
          <w:tcPr>
            <w:tcW w:w="1889" w:type="dxa"/>
          </w:tcPr>
          <w:p w14:paraId="220E32B5" w14:textId="75D7BB65"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ЭРЯ</w:t>
            </w:r>
          </w:p>
        </w:tc>
        <w:tc>
          <w:tcPr>
            <w:tcW w:w="7569" w:type="dxa"/>
          </w:tcPr>
          <w:p w14:paraId="69786063" w14:textId="56A5EEB0"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Эпителиальный рак яичников</w:t>
            </w:r>
          </w:p>
        </w:tc>
      </w:tr>
    </w:tbl>
    <w:p w14:paraId="2AE23D3C" w14:textId="793AA635" w:rsidR="004B1F41" w:rsidRPr="00A43B9C" w:rsidRDefault="004B1F41" w:rsidP="00F4733A">
      <w:pPr>
        <w:spacing w:after="0" w:line="240" w:lineRule="auto"/>
        <w:jc w:val="both"/>
        <w:rPr>
          <w:rFonts w:ascii="Times New Roman" w:hAnsi="Times New Roman" w:cs="Times New Roman"/>
          <w:b/>
          <w:sz w:val="28"/>
          <w:szCs w:val="28"/>
          <w:lang w:eastAsia="ru-RU"/>
        </w:rPr>
      </w:pPr>
      <w:r w:rsidRPr="00A43B9C">
        <w:rPr>
          <w:rFonts w:ascii="Times New Roman" w:hAnsi="Times New Roman" w:cs="Times New Roman"/>
          <w:b/>
          <w:sz w:val="28"/>
          <w:szCs w:val="28"/>
          <w:lang w:eastAsia="ru-RU"/>
        </w:rPr>
        <w:br w:type="page"/>
      </w:r>
    </w:p>
    <w:p w14:paraId="2D045072" w14:textId="77777777" w:rsidR="00772843" w:rsidRPr="00A43B9C" w:rsidRDefault="00772843" w:rsidP="00AE28CD">
      <w:pPr>
        <w:pStyle w:val="1"/>
        <w:spacing w:line="240" w:lineRule="auto"/>
      </w:pPr>
      <w:bookmarkStart w:id="6" w:name="_Toc93007681"/>
      <w:bookmarkStart w:id="7" w:name="_Toc101861796"/>
      <w:bookmarkStart w:id="8" w:name="_Toc102937603"/>
      <w:r w:rsidRPr="00A43B9C">
        <w:lastRenderedPageBreak/>
        <w:t>ВВЕДЕНИЕ</w:t>
      </w:r>
      <w:bookmarkEnd w:id="6"/>
      <w:bookmarkEnd w:id="7"/>
      <w:bookmarkEnd w:id="8"/>
    </w:p>
    <w:p w14:paraId="1742616D" w14:textId="77777777" w:rsidR="003447F3" w:rsidRPr="00A43B9C" w:rsidRDefault="003447F3" w:rsidP="00772843">
      <w:pPr>
        <w:tabs>
          <w:tab w:val="left" w:pos="0"/>
        </w:tabs>
        <w:spacing w:after="0" w:line="240" w:lineRule="auto"/>
        <w:ind w:firstLine="709"/>
        <w:rPr>
          <w:rFonts w:ascii="Times New Roman" w:eastAsia="Times New Roman" w:hAnsi="Times New Roman" w:cs="Times New Roman"/>
          <w:bCs/>
          <w:sz w:val="28"/>
          <w:szCs w:val="28"/>
          <w:lang w:eastAsia="ru-RU"/>
        </w:rPr>
      </w:pPr>
    </w:p>
    <w:p w14:paraId="18D2CC9D" w14:textId="36A29BDE" w:rsidR="00772843" w:rsidRPr="00A43B9C" w:rsidRDefault="00772843" w:rsidP="00772843">
      <w:pPr>
        <w:tabs>
          <w:tab w:val="left" w:pos="0"/>
        </w:tabs>
        <w:spacing w:after="0" w:line="240" w:lineRule="auto"/>
        <w:ind w:firstLine="709"/>
        <w:rPr>
          <w:rFonts w:ascii="Times New Roman" w:eastAsia="Times New Roman" w:hAnsi="Times New Roman" w:cs="Times New Roman"/>
          <w:b/>
          <w:sz w:val="28"/>
          <w:szCs w:val="28"/>
          <w:lang w:eastAsia="ru-RU"/>
        </w:rPr>
      </w:pPr>
      <w:r w:rsidRPr="00A43B9C">
        <w:rPr>
          <w:rFonts w:ascii="Times New Roman" w:eastAsia="Times New Roman" w:hAnsi="Times New Roman" w:cs="Times New Roman"/>
          <w:b/>
          <w:sz w:val="28"/>
          <w:szCs w:val="28"/>
          <w:lang w:eastAsia="ru-RU"/>
        </w:rPr>
        <w:t>Актуальность проблемы</w:t>
      </w:r>
    </w:p>
    <w:p w14:paraId="7A0A6E58" w14:textId="7F0A8FB1" w:rsidR="00772843" w:rsidRPr="00AE3687" w:rsidRDefault="00772843" w:rsidP="00772843">
      <w:pPr>
        <w:tabs>
          <w:tab w:val="left" w:pos="851"/>
        </w:tabs>
        <w:spacing w:after="0" w:line="240" w:lineRule="auto"/>
        <w:ind w:firstLine="709"/>
        <w:jc w:val="both"/>
        <w:rPr>
          <w:rFonts w:ascii="Times New Roman" w:eastAsia="Times New Roman" w:hAnsi="Times New Roman" w:cs="Times New Roman"/>
          <w:bCs/>
          <w:sz w:val="28"/>
          <w:szCs w:val="28"/>
          <w:lang w:eastAsia="ru-RU"/>
        </w:rPr>
      </w:pPr>
      <w:r w:rsidRPr="00A43B9C">
        <w:rPr>
          <w:rFonts w:ascii="Times New Roman" w:hAnsi="Times New Roman" w:cs="Times New Roman"/>
          <w:sz w:val="28"/>
          <w:szCs w:val="23"/>
        </w:rPr>
        <w:t>Рак яичников является актуальной проблемой современной онкогинекологии, обусловленн</w:t>
      </w:r>
      <w:r w:rsidR="00B522BB" w:rsidRPr="00A43B9C">
        <w:rPr>
          <w:rFonts w:ascii="Times New Roman" w:hAnsi="Times New Roman" w:cs="Times New Roman"/>
          <w:sz w:val="28"/>
          <w:szCs w:val="23"/>
        </w:rPr>
        <w:t>ой</w:t>
      </w:r>
      <w:r w:rsidRPr="00A43B9C">
        <w:rPr>
          <w:rFonts w:ascii="Times New Roman" w:hAnsi="Times New Roman" w:cs="Times New Roman"/>
          <w:sz w:val="28"/>
          <w:szCs w:val="23"/>
        </w:rPr>
        <w:t xml:space="preserve"> отсутствием эффективных методов ранней диагностики (большая часть случаев заболевания диагностируется на III–IV стадиях опухолевого процесса), неблагоприятными эпидемиологическими показателями (эпителиальн</w:t>
      </w:r>
      <w:r w:rsidR="00CD22A4">
        <w:rPr>
          <w:rFonts w:ascii="Times New Roman" w:hAnsi="Times New Roman" w:cs="Times New Roman"/>
          <w:sz w:val="28"/>
          <w:szCs w:val="23"/>
        </w:rPr>
        <w:t>ый</w:t>
      </w:r>
      <w:r w:rsidR="00AE3687">
        <w:rPr>
          <w:rFonts w:ascii="Times New Roman" w:hAnsi="Times New Roman" w:cs="Times New Roman"/>
          <w:sz w:val="28"/>
          <w:szCs w:val="23"/>
        </w:rPr>
        <w:t xml:space="preserve"> </w:t>
      </w:r>
      <w:r w:rsidR="00CD22A4">
        <w:rPr>
          <w:rFonts w:ascii="Times New Roman" w:hAnsi="Times New Roman" w:cs="Times New Roman"/>
          <w:sz w:val="28"/>
          <w:szCs w:val="23"/>
        </w:rPr>
        <w:t>вид рака</w:t>
      </w:r>
      <w:r w:rsidR="00AE3687">
        <w:rPr>
          <w:rFonts w:ascii="Times New Roman" w:hAnsi="Times New Roman" w:cs="Times New Roman"/>
          <w:sz w:val="28"/>
          <w:szCs w:val="23"/>
        </w:rPr>
        <w:t xml:space="preserve"> </w:t>
      </w:r>
      <w:r w:rsidR="00614BB4">
        <w:rPr>
          <w:rFonts w:ascii="Times New Roman" w:hAnsi="Times New Roman" w:cs="Times New Roman"/>
          <w:sz w:val="28"/>
          <w:szCs w:val="23"/>
          <w:lang w:val="en-US"/>
        </w:rPr>
        <w:t>c</w:t>
      </w:r>
      <w:r w:rsidRPr="00A43B9C">
        <w:rPr>
          <w:rFonts w:ascii="Times New Roman" w:hAnsi="Times New Roman" w:cs="Times New Roman"/>
          <w:sz w:val="28"/>
          <w:szCs w:val="23"/>
        </w:rPr>
        <w:t>оставляет до 90% новообразований яичника) и высокими показателями смертности</w:t>
      </w:r>
      <w:r w:rsidR="001F5E60" w:rsidRPr="00A43B9C">
        <w:rPr>
          <w:rFonts w:ascii="Times New Roman" w:hAnsi="Times New Roman" w:cs="Times New Roman"/>
          <w:sz w:val="28"/>
          <w:szCs w:val="23"/>
        </w:rPr>
        <w:t xml:space="preserve"> </w:t>
      </w:r>
      <w:r w:rsidR="001F5E60" w:rsidRPr="00A43B9C">
        <w:rPr>
          <w:rFonts w:ascii="Times New Roman" w:hAnsi="Times New Roman" w:cs="Times New Roman"/>
          <w:sz w:val="28"/>
          <w:szCs w:val="23"/>
        </w:rPr>
        <w:fldChar w:fldCharType="begin"/>
      </w:r>
      <w:r w:rsidR="00F6152F">
        <w:rPr>
          <w:rFonts w:ascii="Times New Roman" w:hAnsi="Times New Roman" w:cs="Times New Roman"/>
          <w:sz w:val="28"/>
          <w:szCs w:val="23"/>
        </w:rPr>
        <w:instrText xml:space="preserve"> ADDIN ZOTERO_ITEM CSL_CITATION {"citationID":"arddioav31","properties":{"formattedCitation":"[1]","plainCitation":"[1]","noteIndex":0},"citationItems":[{"id":223,"uris":["http://zotero.org/users/8787459/items/7EPFEKJT"],"itemData":{"id":223,"type":"article-journal","abstract":"Epithelial ovarian cancer (EOC) is the most lethal gynecological malignancy, with relapse occurring in about 70% of advanced cases with poor prognosis. Fluorine-18-2-fluoro-2-deoxy-d-glucose PET/CT (18F-FDGPET/CT) is the most specific radiological imaging used to assess recurrence. Some intensity-based and volume-based PET parameters, maximum standardized uptake values (SUVmax), metabolic tumor volume (MTV) and total lesion glycolysis (TLG), are indicated to have a correlation with treatment response. The aim of our study is to correlate these parameters with post relapse survival (PRS) and overall survival (OS) in Epithelial Ovarian Cancer (EOC) relapse. The study included 50 patients affected by EOC relapse who underwent 18F-FDGPET/CT before surgery. All imaging was reviewed and SUVmax, MTV and TLG were calculated and correlated to PRS and OS. PRS and OS were obtained from the first relapse and from the first diagnosis to the last follow up or death, respectively. SUVmax, MTV and TLG were tested in a univariate logistic regression analysis, only SUVmax demonstrated to be significantly associated to PRS and OS (p = 0.005 and p = 0.024 respectively). Multivariate analysis confirmed the results. We found a cut-off of SUVmax of 13 that defined worse or better survival (p = 0.003). In the first relapse of EOC, SUVmax is correlated to PRS and OS, and when SUVmax is greater than 13, it is an unfavorable prognostic factor.","container-title":"Cancers","DOI":"10.3390/cancers11050713","ISSN":"2072-6694","issue":"5","language":"en","license":"http://creativecommons.org/licenses/by/3.0/","note":"number: 5\npublisher: Multidisciplinary Digital Publishing Institute","page":"713","source":"www.mdpi.com","title":"Potential Prognostic Role of 18F-FDG PET/CT in Invasive Epithelial Ovarian Cancer Relapse. A Preliminary Study","volume":"11","author":[{"family":"Perrone","given":"Anna Myriam"},{"family":"Dondi","given":"Giulia"},{"family":"Lima","given":"Giacomo Maria"},{"family":"Castellucci","given":"Paolo"},{"family":"Tesei","given":"Marco"},{"family":"Coluccelli","given":"Sara"},{"family":"Gasparre","given":"Giuseppe"},{"family":"Porcelli","given":"Anna Maria"},{"family":"Nanni","given":"Cristina"},{"family":"Fanti","given":"Stefano"},{"family":"De Iaco","given":"Pierandrea"}],"issued":{"date-parts":[["2019",5]]}}}],"schema":"https://github.com/citation-style-language/schema/raw/master/csl-citation.json"} </w:instrText>
      </w:r>
      <w:r w:rsidR="001F5E60" w:rsidRPr="00A43B9C">
        <w:rPr>
          <w:rFonts w:ascii="Times New Roman" w:hAnsi="Times New Roman" w:cs="Times New Roman"/>
          <w:sz w:val="28"/>
          <w:szCs w:val="23"/>
        </w:rPr>
        <w:fldChar w:fldCharType="separate"/>
      </w:r>
      <w:r w:rsidR="00F6152F" w:rsidRPr="00F6152F">
        <w:rPr>
          <w:rFonts w:ascii="Times New Roman" w:hAnsi="Times New Roman" w:cs="Times New Roman"/>
          <w:sz w:val="28"/>
        </w:rPr>
        <w:t>[1]</w:t>
      </w:r>
      <w:r w:rsidR="001F5E60" w:rsidRPr="00A43B9C">
        <w:rPr>
          <w:rFonts w:ascii="Times New Roman" w:hAnsi="Times New Roman" w:cs="Times New Roman"/>
          <w:sz w:val="28"/>
          <w:szCs w:val="23"/>
        </w:rPr>
        <w:fldChar w:fldCharType="end"/>
      </w:r>
      <w:r w:rsidRPr="00A43B9C">
        <w:rPr>
          <w:rFonts w:ascii="Times New Roman" w:hAnsi="Times New Roman" w:cs="Times New Roman"/>
          <w:sz w:val="28"/>
          <w:szCs w:val="23"/>
        </w:rPr>
        <w:t>.</w:t>
      </w:r>
      <w:r w:rsidR="00B317D3" w:rsidRPr="00A43B9C">
        <w:rPr>
          <w:rFonts w:ascii="Times New Roman" w:hAnsi="Times New Roman" w:cs="Times New Roman"/>
          <w:sz w:val="28"/>
          <w:szCs w:val="23"/>
        </w:rPr>
        <w:t xml:space="preserve"> </w:t>
      </w:r>
      <w:r w:rsidRPr="00A43B9C">
        <w:rPr>
          <w:rStyle w:val="hl"/>
          <w:rFonts w:ascii="Times New Roman" w:hAnsi="Times New Roman" w:cs="Times New Roman"/>
          <w:color w:val="000000"/>
          <w:sz w:val="28"/>
          <w:szCs w:val="28"/>
          <w:bdr w:val="none" w:sz="0" w:space="0" w:color="auto" w:frame="1"/>
        </w:rPr>
        <w:t xml:space="preserve">Выявление и прогнозирование течения </w:t>
      </w:r>
      <w:r w:rsidR="00AE3687">
        <w:rPr>
          <w:rStyle w:val="hl"/>
          <w:rFonts w:ascii="Times New Roman" w:hAnsi="Times New Roman" w:cs="Times New Roman"/>
          <w:color w:val="000000"/>
          <w:sz w:val="28"/>
          <w:szCs w:val="28"/>
          <w:bdr w:val="none" w:sz="0" w:space="0" w:color="auto" w:frame="1"/>
        </w:rPr>
        <w:t xml:space="preserve">овариального рака </w:t>
      </w:r>
      <w:r w:rsidRPr="00A43B9C">
        <w:rPr>
          <w:rFonts w:ascii="Times New Roman" w:hAnsi="Times New Roman" w:cs="Times New Roman"/>
          <w:color w:val="000000"/>
          <w:sz w:val="28"/>
          <w:szCs w:val="28"/>
        </w:rPr>
        <w:t>затруднены, что делает актуальным поиск прогностических критериев этой патологии. При этом прогностическое значение некоторых факторов остается малоизученным</w:t>
      </w:r>
      <w:r w:rsidR="00AF7B38" w:rsidRPr="00355757">
        <w:rPr>
          <w:rFonts w:ascii="Times New Roman" w:hAnsi="Times New Roman" w:cs="Times New Roman"/>
          <w:color w:val="000000"/>
          <w:sz w:val="28"/>
          <w:szCs w:val="28"/>
        </w:rPr>
        <w:t xml:space="preserve"> </w:t>
      </w:r>
      <w:r w:rsidR="00AF7B38" w:rsidRPr="00A43B9C">
        <w:rPr>
          <w:rFonts w:ascii="Times New Roman" w:hAnsi="Times New Roman" w:cs="Times New Roman"/>
          <w:color w:val="000000"/>
          <w:sz w:val="28"/>
          <w:szCs w:val="28"/>
          <w:lang w:val="en-US"/>
        </w:rPr>
        <w:fldChar w:fldCharType="begin"/>
      </w:r>
      <w:r w:rsidR="00F6152F">
        <w:rPr>
          <w:rFonts w:ascii="Times New Roman" w:hAnsi="Times New Roman" w:cs="Times New Roman"/>
          <w:color w:val="000000"/>
          <w:sz w:val="28"/>
          <w:szCs w:val="28"/>
        </w:rPr>
        <w:instrText xml:space="preserve"> ADDIN ZOTERO_ITEM CSL_CITATION {"citationID":"ao5qt1knt","properties":{"formattedCitation":"[2]","plainCitation":"[2]","noteIndex":0},"citationItems":[{"id":673,"uris":["http://zotero.org/users/8787459/items/YXVLRNTL"],"itemData":{"id":673,"type":"article-journal","abstract":"PURPOSE: Ovarian cancer is the eighth most common malignancy among women and has a high mortality rate. Prognostic factors able to drive an effective therapy are essential. (18)F-Fluoro-2-deoxyglucose positron emission tomography/computed tomography ((18)F-FDG PET/CT) has been investigated in patients with epithelial ovarian cancer and showed promise in diagnosing, staging, detecting recurrent lesions and monitoring treatment response. Conversely, its prognostic role remains unclear. We aimed at assessing the prognostic value of (18)F-FDG PET/CT performed in the restaging process in a multicentre study.\nMETHODS: We evaluated 168 patients affected by ovarian carcinoma, who underwent a restaging (18)F-FDG PET/CT. The presence of local recurrences, lymph node involvement and distant metastasis was recorded as well as lesion dimensions, maximum and mean standardized uptake values (SUVmax and SUVmean, respectively). Progression-free survival (PFS) and overall survival (OS) at 3 and 4 years were computed by using Kaplan-Meier curves. Increased odds ratio was assessed using Cox regression analysis testing all lesion parameters measured by PET/CT.\nRESULTS: PFS was significantly longer in patients with a negative than a positive restaging PET/CT study (3- and 4-year PFS 64 and 53% vs 23 and 12%, respectively; p &lt; 0.001). Similarly, a negative study was associated with a significantly higher OS rate after 4 years of follow-up (67 vs 25% in negative and positive groups, respectively; p &lt; 0.001). Lymph node or distant involvement were also independently associated with an increased risk of disease progression [hazard ratio (HR) 1.6 and 2.2, respectively; p = 0.003]. Moreover, PET/CT showed an incremental prognostic value compared to the International Federation of Gynecology and Obstetrics (FIGO) staging system. In the analysis of patient subsets, individuals with the same FIGO stage I-II but with negative PET had a significantly better 4-year OS than patients with low FIGO stage but positive PET. This implies that patients with the same FIGO stage can be further prognostically stratified using PET (p = 0.01). At receiver-operating characteristic (ROC) analysis, no thresholds for semiquantitative parameters were predictive of a worse outcome.\nCONCLUSION: (18)F-FDG PET/CT has an important prognostic value in assessing the risk of disease progression and mortality rate. An efficacious therapy planning might therefore effectively rely on (18)F-FDG PET/CT findings. Semiquantitative data were not proven to be an effective tool to predict disease progression.","container-title":"European Journal of Nuclear Medicine and Molecular Imaging","DOI":"10.1007/s00259-015-3184-5","ISSN":"1619-7089","issue":"3","journalAbbreviation":"Eur J Nucl Med Mol Imaging","language":"eng","note":"PMID: 26381775","page":"404-413","source":"PubMed","title":"Predictive value of (18)F-FDG PET/CT in restaging patients affected by ovarian carcinoma: a multicentre study","title-short":"Predictive value of (18)F-FDG PET/CT in restaging patients affected by ovarian carcinoma","volume":"43","author":[{"family":"Caobelli","given":"Federico"},{"family":"Alongi","given":"Pierpaolo"},{"family":"Evangelista","given":"Laura"},{"family":"Picchio","given":"Maria"},{"family":"Saladini","given":"Giorgio"},{"family":"Rensi","given":"Marco"},{"family":"Geatti","given":"Onelio"},{"family":"Castello","given":"Angelo"},{"family":"Laghai","given":"Iashar"},{"family":"Popescu","given":"Cristina E."},{"family":"Dolci","given":"Carlotta"},{"family":"Crivellaro","given":"Cinzia"},{"family":"Seghezzi","given":"Silvia"},{"family":"Kirienko","given":"Margarita"},{"family":"De Biasi","given":"Vincenzo"},{"family":"Cocciolillo","given":"Fabrizio"},{"family":"Quartuccio","given":"Natale"},{"literal":"Young AIMN Working Group"}],"issued":{"date-parts":[["2016",3]]}}}],"schema":"https://github.com/citation-style-language/schema/raw/master/csl-citation.json"} </w:instrText>
      </w:r>
      <w:r w:rsidR="00AF7B38" w:rsidRPr="00A43B9C">
        <w:rPr>
          <w:rFonts w:ascii="Times New Roman" w:hAnsi="Times New Roman" w:cs="Times New Roman"/>
          <w:color w:val="000000"/>
          <w:sz w:val="28"/>
          <w:szCs w:val="28"/>
          <w:lang w:val="en-US"/>
        </w:rPr>
        <w:fldChar w:fldCharType="separate"/>
      </w:r>
      <w:r w:rsidR="00F6152F" w:rsidRPr="00F6152F">
        <w:rPr>
          <w:rFonts w:ascii="Times New Roman" w:hAnsi="Times New Roman" w:cs="Times New Roman"/>
          <w:sz w:val="28"/>
        </w:rPr>
        <w:t>[2]</w:t>
      </w:r>
      <w:r w:rsidR="00AF7B38" w:rsidRPr="00A43B9C">
        <w:rPr>
          <w:rFonts w:ascii="Times New Roman" w:hAnsi="Times New Roman" w:cs="Times New Roman"/>
          <w:color w:val="000000"/>
          <w:sz w:val="28"/>
          <w:szCs w:val="28"/>
          <w:lang w:val="en-US"/>
        </w:rPr>
        <w:fldChar w:fldCharType="end"/>
      </w:r>
      <w:r w:rsidRPr="00A43B9C">
        <w:rPr>
          <w:rFonts w:ascii="Times New Roman" w:hAnsi="Times New Roman" w:cs="Times New Roman"/>
          <w:color w:val="000000"/>
          <w:sz w:val="28"/>
          <w:szCs w:val="28"/>
        </w:rPr>
        <w:t>.</w:t>
      </w:r>
      <w:r w:rsidR="00B317D3" w:rsidRPr="00A43B9C">
        <w:rPr>
          <w:rFonts w:ascii="Times New Roman" w:hAnsi="Times New Roman" w:cs="Times New Roman"/>
          <w:color w:val="000000"/>
          <w:sz w:val="28"/>
          <w:szCs w:val="28"/>
        </w:rPr>
        <w:t xml:space="preserve"> </w:t>
      </w:r>
      <w:r w:rsidRPr="00A43B9C">
        <w:rPr>
          <w:rFonts w:ascii="Times New Roman" w:hAnsi="Times New Roman" w:cs="Times New Roman"/>
          <w:sz w:val="28"/>
        </w:rPr>
        <w:t xml:space="preserve">Раковые клетки эпителия яичников могут </w:t>
      </w:r>
      <w:r w:rsidR="00B522BB" w:rsidRPr="00A43B9C">
        <w:rPr>
          <w:rFonts w:ascii="Times New Roman" w:hAnsi="Times New Roman" w:cs="Times New Roman"/>
          <w:sz w:val="28"/>
        </w:rPr>
        <w:t xml:space="preserve">напрямую </w:t>
      </w:r>
      <w:r w:rsidRPr="00A43B9C">
        <w:rPr>
          <w:rFonts w:ascii="Times New Roman" w:hAnsi="Times New Roman" w:cs="Times New Roman"/>
          <w:sz w:val="28"/>
        </w:rPr>
        <w:t xml:space="preserve">распространяться из первичной опухоли в брюшную полость и </w:t>
      </w:r>
      <w:r w:rsidRPr="00A43B9C">
        <w:rPr>
          <w:rFonts w:ascii="Times New Roman" w:hAnsi="Times New Roman" w:cs="Times New Roman"/>
          <w:sz w:val="28"/>
          <w:lang w:val="kk-KZ"/>
        </w:rPr>
        <w:t xml:space="preserve">диссеминировать в </w:t>
      </w:r>
      <w:r w:rsidRPr="00A43B9C">
        <w:rPr>
          <w:rFonts w:ascii="Times New Roman" w:hAnsi="Times New Roman" w:cs="Times New Roman"/>
          <w:sz w:val="28"/>
        </w:rPr>
        <w:t>органы брюшной полости</w:t>
      </w:r>
      <w:r w:rsidR="00B522BB" w:rsidRPr="00A43B9C">
        <w:rPr>
          <w:rFonts w:ascii="Times New Roman" w:hAnsi="Times New Roman" w:cs="Times New Roman"/>
          <w:sz w:val="28"/>
        </w:rPr>
        <w:t xml:space="preserve">, при этом </w:t>
      </w:r>
      <w:r w:rsidR="00AE3687">
        <w:rPr>
          <w:rFonts w:ascii="Times New Roman" w:hAnsi="Times New Roman" w:cs="Times New Roman"/>
          <w:sz w:val="28"/>
        </w:rPr>
        <w:t xml:space="preserve">эпителиальный рак яичников </w:t>
      </w:r>
      <w:r w:rsidRPr="00A43B9C">
        <w:rPr>
          <w:rFonts w:ascii="Times New Roman" w:hAnsi="Times New Roman" w:cs="Times New Roman"/>
          <w:sz w:val="28"/>
        </w:rPr>
        <w:t>преимущественно метастазирует в сальник</w:t>
      </w:r>
      <w:r w:rsidR="00B317D3" w:rsidRPr="00A43B9C">
        <w:rPr>
          <w:rFonts w:ascii="Times New Roman" w:hAnsi="Times New Roman" w:cs="Times New Roman"/>
          <w:sz w:val="28"/>
        </w:rPr>
        <w:t xml:space="preserve"> </w:t>
      </w:r>
      <w:r w:rsidR="00B317D3" w:rsidRPr="00A43B9C">
        <w:rPr>
          <w:rFonts w:ascii="Times New Roman" w:hAnsi="Times New Roman" w:cs="Times New Roman"/>
          <w:sz w:val="28"/>
        </w:rPr>
        <w:fldChar w:fldCharType="begin"/>
      </w:r>
      <w:r w:rsidR="00F6152F">
        <w:rPr>
          <w:rFonts w:ascii="Times New Roman" w:hAnsi="Times New Roman" w:cs="Times New Roman"/>
          <w:sz w:val="28"/>
        </w:rPr>
        <w:instrText xml:space="preserve"> ADDIN ZOTERO_ITEM CSL_CITATION {"citationID":"a13dvmapnj","properties":{"formattedCitation":"[3]","plainCitation":"[3]","noteIndex":0},"citationItems":[{"id":506,"uris":["http://zotero.org/users/8787459/items/ZRK3JR7R"],"itemData":{"id":506,"type":"article-journal","abstract":"The liver is the commonest site of metastatic disease for patients with colorectal cancer, with at least 25% developing colorectal liver metastases (CRLM) during the course of their illness. The management of CRLM has evolved into a complex field requiring input from experienced members of a multi-disciplinary team involving radiology (cross sectional, nuclear medicine and interventional), Oncology, Liver surgery, Colorectal surgery, and Histopathology. Patient management is based on assessment of sophisticated clinical, radiological and biomarker information. Despite incomplete evidence in this very heterogeneous patient group, maximising resection of CRLM using all available techniques remains a key objective and provides the best chance of long-term survival and cure. To this end, liver resection is maximised by the use of downsizing chemotherapy, optimisation of liver remnant by portal vein embolization, associating liver partition and portal vein ligation for staged hepatectomy, and combining resection with ablation, in the context of improvements in the functional assessment of the future remnant liver. Liver resection may safely be carried out laparoscopically or open, and synchronously with, or before, colorectal surgery in selected patients. For unresectable patients, treatment options including systemic chemotherapy, targeted biological agents, intra-arterial infusion or bead delivered chemotherapy, tumour ablation, stereotactic radiotherapy, and selective internal radiotherapy contribute to improve survival and may convert initially unresectable patients to operability. Currently evolving areas include biomarker characterisation of tumours, the development of novel systemic agents targeting specific oncogenic pathways, and the potential re-emergence of radical surgical options such as liver transplantation.","container-title":"World Journal of Clinical Oncology","DOI":"10.5306/wjco.v11.i10.761","ISSN":"2218-4333","issue":"10","journalAbbreviation":"World J Clin Oncol","language":"eng","note":"PMID: 33200074\nPMCID: PMC7643190","page":"761-808","source":"PubMed","title":"Colorectal liver metastases: Current management and future perspectives","title-short":"Colorectal liver metastases","volume":"11","author":[{"family":"Martin","given":"Jack"},{"family":"Petrillo","given":"Angelica"},{"family":"Smyth","given":"Elizabeth C."},{"family":"Shaida","given":"Nadeem"},{"family":"Khwaja","given":"Samir"},{"family":"Cheow","given":"H. K."},{"family":"Duckworth","given":"Adam"},{"family":"Heister","given":"Paula"},{"family":"Praseedom","given":"Raaj"},{"family":"Jah","given":"Asif"},{"family":"Balakrishnan","given":"Anita"},{"family":"Harper","given":"Simon"},{"family":"Liau","given":"Siong"},{"family":"Kosmoliaptsis","given":"Vasilis"},{"family":"Huguet","given":"Emmanuel"}],"issued":{"date-parts":[["2020",10,24]]}}}],"schema":"https://github.com/citation-style-language/schema/raw/master/csl-citation.json"} </w:instrText>
      </w:r>
      <w:r w:rsidR="00B317D3" w:rsidRPr="00A43B9C">
        <w:rPr>
          <w:rFonts w:ascii="Times New Roman" w:hAnsi="Times New Roman" w:cs="Times New Roman"/>
          <w:sz w:val="28"/>
        </w:rPr>
        <w:fldChar w:fldCharType="separate"/>
      </w:r>
      <w:r w:rsidR="00F6152F" w:rsidRPr="00F6152F">
        <w:rPr>
          <w:rFonts w:ascii="Times New Roman" w:hAnsi="Times New Roman" w:cs="Times New Roman"/>
          <w:sz w:val="28"/>
        </w:rPr>
        <w:t>[3]</w:t>
      </w:r>
      <w:r w:rsidR="00B317D3" w:rsidRPr="00A43B9C">
        <w:rPr>
          <w:rFonts w:ascii="Times New Roman" w:hAnsi="Times New Roman" w:cs="Times New Roman"/>
          <w:sz w:val="28"/>
        </w:rPr>
        <w:fldChar w:fldCharType="end"/>
      </w:r>
      <w:r w:rsidRPr="00A43B9C">
        <w:rPr>
          <w:rFonts w:ascii="Times New Roman" w:hAnsi="Times New Roman" w:cs="Times New Roman"/>
          <w:sz w:val="28"/>
        </w:rPr>
        <w:t>.</w:t>
      </w:r>
    </w:p>
    <w:p w14:paraId="7D38215F" w14:textId="483C5654" w:rsidR="00772843" w:rsidRPr="00DC209B" w:rsidRDefault="00772843" w:rsidP="00772843">
      <w:pPr>
        <w:tabs>
          <w:tab w:val="left" w:pos="851"/>
        </w:tabs>
        <w:spacing w:after="0" w:line="240" w:lineRule="auto"/>
        <w:ind w:firstLine="709"/>
        <w:jc w:val="both"/>
        <w:rPr>
          <w:rFonts w:ascii="Times New Roman" w:hAnsi="Times New Roman" w:cs="Times New Roman"/>
          <w:sz w:val="28"/>
          <w:szCs w:val="24"/>
        </w:rPr>
      </w:pPr>
      <w:r w:rsidRPr="00A43B9C">
        <w:rPr>
          <w:rFonts w:ascii="Times New Roman" w:hAnsi="Times New Roman" w:cs="Times New Roman"/>
          <w:sz w:val="28"/>
          <w:szCs w:val="24"/>
          <w:lang w:val="kk-KZ"/>
        </w:rPr>
        <w:t xml:space="preserve">Колоректальный рак также </w:t>
      </w:r>
      <w:r w:rsidRPr="00A43B9C">
        <w:rPr>
          <w:rFonts w:ascii="Times New Roman" w:hAnsi="Times New Roman" w:cs="Times New Roman"/>
          <w:sz w:val="28"/>
          <w:szCs w:val="24"/>
        </w:rPr>
        <w:t xml:space="preserve">является одним из самых распространенных злокачественных </w:t>
      </w:r>
      <w:r w:rsidR="00B522BB" w:rsidRPr="00A43B9C">
        <w:rPr>
          <w:rFonts w:ascii="Times New Roman" w:hAnsi="Times New Roman" w:cs="Times New Roman"/>
          <w:sz w:val="28"/>
          <w:szCs w:val="24"/>
          <w:lang w:val="kk-KZ"/>
        </w:rPr>
        <w:t>новообразований</w:t>
      </w:r>
      <w:r w:rsidR="00B522BB" w:rsidRPr="00A43B9C">
        <w:rPr>
          <w:rFonts w:ascii="Times New Roman" w:hAnsi="Times New Roman" w:cs="Times New Roman"/>
          <w:sz w:val="28"/>
          <w:szCs w:val="24"/>
        </w:rPr>
        <w:t xml:space="preserve"> </w:t>
      </w:r>
      <w:r w:rsidRPr="00A43B9C">
        <w:rPr>
          <w:rFonts w:ascii="Times New Roman" w:hAnsi="Times New Roman" w:cs="Times New Roman"/>
          <w:sz w:val="28"/>
          <w:szCs w:val="24"/>
        </w:rPr>
        <w:t xml:space="preserve">в мире, в основе </w:t>
      </w:r>
      <w:r w:rsidR="00B522BB" w:rsidRPr="00A43B9C">
        <w:rPr>
          <w:rFonts w:ascii="Times New Roman" w:hAnsi="Times New Roman" w:cs="Times New Roman"/>
          <w:sz w:val="28"/>
          <w:szCs w:val="24"/>
        </w:rPr>
        <w:t xml:space="preserve">лечения </w:t>
      </w:r>
      <w:r w:rsidRPr="00A43B9C">
        <w:rPr>
          <w:rFonts w:ascii="Times New Roman" w:hAnsi="Times New Roman" w:cs="Times New Roman"/>
          <w:sz w:val="28"/>
          <w:szCs w:val="24"/>
        </w:rPr>
        <w:t>которого леж</w:t>
      </w:r>
      <w:r w:rsidR="002437EE">
        <w:rPr>
          <w:rFonts w:ascii="Times New Roman" w:hAnsi="Times New Roman" w:cs="Times New Roman"/>
          <w:sz w:val="28"/>
          <w:szCs w:val="24"/>
        </w:rPr>
        <w:t>а</w:t>
      </w:r>
      <w:r w:rsidRPr="00A43B9C">
        <w:rPr>
          <w:rFonts w:ascii="Times New Roman" w:hAnsi="Times New Roman" w:cs="Times New Roman"/>
          <w:sz w:val="28"/>
          <w:szCs w:val="24"/>
        </w:rPr>
        <w:t xml:space="preserve">т хирургический и химиотерапевтический методы </w:t>
      </w:r>
      <w:r w:rsidR="00B317D3" w:rsidRPr="00A43B9C">
        <w:rPr>
          <w:rFonts w:ascii="Times New Roman" w:hAnsi="Times New Roman" w:cs="Times New Roman"/>
          <w:sz w:val="28"/>
          <w:szCs w:val="24"/>
        </w:rPr>
        <w:fldChar w:fldCharType="begin"/>
      </w:r>
      <w:r w:rsidR="00F6152F">
        <w:rPr>
          <w:rFonts w:ascii="Times New Roman" w:hAnsi="Times New Roman" w:cs="Times New Roman"/>
          <w:sz w:val="28"/>
          <w:szCs w:val="24"/>
        </w:rPr>
        <w:instrText xml:space="preserve"> ADDIN ZOTERO_ITEM CSL_CITATION {"citationID":"a1r4072nsl","properties":{"formattedCitation":"[4]","plainCitation":"[4]","noteIndex":0},"citationItems":[{"id":226,"uris":["http://zotero.org/users/8787459/items/PK35LSRF"],"itemData":{"id":226,"type":"webpage","title":"Colorectal cancer | Nature Reviews Disease Primers","title-short":"Colorectal cancer","URL":"https://www.nature.com/articles/nrdp201565","author":[{"family":"Ernst J. Kuipers","given":""},{"family":"William M. Grady","given":""},{"family":"David Lieberman","given":""},{"family":"Thomas Seufferlein","given":""},{"family":"Joseph J. Sung","given":""},{"family":"Petra G. Boelens","given":""},{"family":"Cornelis J. H. van de Velde","given":""},{"family":"Toshiaki Watanabe","given":""}],"accessed":{"date-parts":[["2022",4,26]]},"issued":{"date-parts":[["2015",11,5]]}}}],"schema":"https://github.com/citation-style-language/schema/raw/master/csl-citation.json"} </w:instrText>
      </w:r>
      <w:r w:rsidR="00B317D3" w:rsidRPr="00A43B9C">
        <w:rPr>
          <w:rFonts w:ascii="Times New Roman" w:hAnsi="Times New Roman" w:cs="Times New Roman"/>
          <w:sz w:val="28"/>
          <w:szCs w:val="24"/>
        </w:rPr>
        <w:fldChar w:fldCharType="separate"/>
      </w:r>
      <w:r w:rsidR="00F6152F" w:rsidRPr="00F6152F">
        <w:rPr>
          <w:rFonts w:ascii="Times New Roman" w:hAnsi="Times New Roman" w:cs="Times New Roman"/>
          <w:sz w:val="28"/>
        </w:rPr>
        <w:t>[4]</w:t>
      </w:r>
      <w:r w:rsidR="00B317D3" w:rsidRPr="00A43B9C">
        <w:rPr>
          <w:rFonts w:ascii="Times New Roman" w:hAnsi="Times New Roman" w:cs="Times New Roman"/>
          <w:sz w:val="28"/>
          <w:szCs w:val="24"/>
        </w:rPr>
        <w:fldChar w:fldCharType="end"/>
      </w:r>
      <w:r w:rsidRPr="00A43B9C">
        <w:rPr>
          <w:rFonts w:ascii="Times New Roman" w:hAnsi="Times New Roman" w:cs="Times New Roman"/>
          <w:sz w:val="28"/>
          <w:szCs w:val="24"/>
        </w:rPr>
        <w:t xml:space="preserve">. Результаты лечения </w:t>
      </w:r>
      <w:r w:rsidR="00AE3687">
        <w:rPr>
          <w:rFonts w:ascii="Times New Roman" w:hAnsi="Times New Roman" w:cs="Times New Roman"/>
          <w:sz w:val="28"/>
          <w:szCs w:val="24"/>
        </w:rPr>
        <w:t xml:space="preserve">колоректального рака </w:t>
      </w:r>
      <w:r w:rsidRPr="00A43B9C">
        <w:rPr>
          <w:rFonts w:ascii="Times New Roman" w:hAnsi="Times New Roman" w:cs="Times New Roman"/>
          <w:sz w:val="28"/>
          <w:szCs w:val="24"/>
        </w:rPr>
        <w:t>остаются неудовлетворительными в связи с его частым рецидивированием и метастазированием</w:t>
      </w:r>
      <w:r w:rsidR="00B53FA4" w:rsidRPr="00A43B9C">
        <w:rPr>
          <w:rFonts w:ascii="Times New Roman" w:hAnsi="Times New Roman" w:cs="Times New Roman"/>
          <w:sz w:val="28"/>
          <w:szCs w:val="24"/>
        </w:rPr>
        <w:t xml:space="preserve"> </w:t>
      </w:r>
      <w:r w:rsidR="00B53FA4" w:rsidRPr="00A43B9C">
        <w:rPr>
          <w:rFonts w:ascii="Times New Roman" w:hAnsi="Times New Roman" w:cs="Times New Roman"/>
          <w:sz w:val="28"/>
          <w:szCs w:val="24"/>
        </w:rPr>
        <w:fldChar w:fldCharType="begin"/>
      </w:r>
      <w:r w:rsidR="00F6152F">
        <w:rPr>
          <w:rFonts w:ascii="Times New Roman" w:hAnsi="Times New Roman" w:cs="Times New Roman"/>
          <w:sz w:val="28"/>
          <w:szCs w:val="24"/>
        </w:rPr>
        <w:instrText xml:space="preserve"> ADDIN ZOTERO_ITEM CSL_CITATION {"citationID":"a14sjheuue6","properties":{"formattedCitation":"[5]","plainCitation":"[5]","noteIndex":0},"citationItems":[{"id":219,"uris":["http://zotero.org/users/8787459/items/GUUSN3MV"],"itemData":{"id":219,"type":"article-journal","abstract":"Each year, the American Cancer Society estimates the numbers of new cancer cases and deaths in the United States and compiles the most recent data on population-based cancer occurrence and outcomes. Incidence data (through 2018) were collected by the Surveillance, Epidemiology, and End Results program; the National Program of Cancer Registries; and the North American Association of Central Cancer Registries. Mortality data (through 2019) were collected by the National Center for Health Statistics. In 2022, 1,918,030 new cancer cases and 609,360 cancer deaths are projected to occur in the United States, including approximately 350 deaths per day from lung cancer, the leading cause of cancer death. Incidence during 2014 through 2018 continued a slow increase for female breast cancer (by 0.5% annually) and remained stable for prostate cancer, despite a 4% to 6% annual increase for advanced disease since 2011. Consequently, the proportion of prostate cancer diagnosed at a distant stage increased from 3.9% to 8.2% over the past decade. In contrast, lung cancer incidence continued to decline steeply for advanced disease while rates for localized-stage increased suddenly by 4.5% annually, contributing to gains both in the proportion of localized-stage diagnoses (from 17% in 2004 to 28% in 2018) and 3-year relative survival (from 21% to 31%). Mortality patterns reflect incidence trends, with declines accelerating for lung cancer, slowing for breast cancer, and stabilizing for prostate cancer. In summary, progress has stagnated for breast and prostate cancers but strengthened for lung cancer, coinciding with changes in medical practice related to cancer screening and/or treatment. More targeted cancer control interventions and investment in improved early detection and treatment would facilitate reductions in cancer mortality.","container-title":"CA: A Cancer Journal for Clinicians","DOI":"10.3322/caac.21708","ISSN":"1542-4863","issue":"1","language":"en","note":"_eprint: https://onlinelibrary.wiley.com/doi/pdf/10.3322/caac.21708","page":"7-33","source":"Wiley Online Library","title":"Cancer statistics, 2022","volume":"72","author":[{"family":"Siegel","given":"Rebecca L."},{"family":"Miller","given":"Kimberly D."},{"family":"Fuchs","given":"Hannah E."},{"family":"Jemal","given":"Ahmedin"}],"issued":{"date-parts":[["2022"]]}}}],"schema":"https://github.com/citation-style-language/schema/raw/master/csl-citation.json"} </w:instrText>
      </w:r>
      <w:r w:rsidR="00B53FA4" w:rsidRPr="00A43B9C">
        <w:rPr>
          <w:rFonts w:ascii="Times New Roman" w:hAnsi="Times New Roman" w:cs="Times New Roman"/>
          <w:sz w:val="28"/>
          <w:szCs w:val="24"/>
        </w:rPr>
        <w:fldChar w:fldCharType="separate"/>
      </w:r>
      <w:r w:rsidR="00F6152F" w:rsidRPr="00F6152F">
        <w:rPr>
          <w:rFonts w:ascii="Times New Roman" w:hAnsi="Times New Roman" w:cs="Times New Roman"/>
          <w:sz w:val="28"/>
        </w:rPr>
        <w:t>[5]</w:t>
      </w:r>
      <w:r w:rsidR="00B53FA4" w:rsidRPr="00A43B9C">
        <w:rPr>
          <w:rFonts w:ascii="Times New Roman" w:hAnsi="Times New Roman" w:cs="Times New Roman"/>
          <w:sz w:val="28"/>
          <w:szCs w:val="24"/>
        </w:rPr>
        <w:fldChar w:fldCharType="end"/>
      </w:r>
      <w:r w:rsidRPr="00A43B9C">
        <w:rPr>
          <w:rFonts w:ascii="Times New Roman" w:hAnsi="Times New Roman" w:cs="Times New Roman"/>
          <w:sz w:val="28"/>
          <w:szCs w:val="24"/>
        </w:rPr>
        <w:t xml:space="preserve">. По данным авторов разных стран метастазирование в </w:t>
      </w:r>
      <w:r w:rsidR="00FD338B">
        <w:rPr>
          <w:rFonts w:ascii="Times New Roman" w:hAnsi="Times New Roman" w:cs="Times New Roman"/>
          <w:sz w:val="28"/>
          <w:szCs w:val="24"/>
        </w:rPr>
        <w:t>брюшину</w:t>
      </w:r>
      <w:r w:rsidR="00FD5F23" w:rsidRPr="00A43B9C">
        <w:rPr>
          <w:rFonts w:ascii="Times New Roman" w:hAnsi="Times New Roman" w:cs="Times New Roman"/>
          <w:sz w:val="28"/>
          <w:szCs w:val="24"/>
        </w:rPr>
        <w:t xml:space="preserve"> </w:t>
      </w:r>
      <w:r w:rsidRPr="00A43B9C">
        <w:rPr>
          <w:rFonts w:ascii="Times New Roman" w:hAnsi="Times New Roman" w:cs="Times New Roman"/>
          <w:sz w:val="28"/>
          <w:szCs w:val="24"/>
        </w:rPr>
        <w:t xml:space="preserve">является одним из наиболее важных прогностических факторов при </w:t>
      </w:r>
      <w:r w:rsidR="00AE3687">
        <w:rPr>
          <w:rFonts w:ascii="Times New Roman" w:hAnsi="Times New Roman" w:cs="Times New Roman"/>
          <w:sz w:val="28"/>
          <w:szCs w:val="24"/>
        </w:rPr>
        <w:t>колоректальном раке</w:t>
      </w:r>
      <w:r w:rsidRPr="00A43B9C">
        <w:rPr>
          <w:rFonts w:ascii="Times New Roman" w:hAnsi="Times New Roman" w:cs="Times New Roman"/>
          <w:sz w:val="28"/>
          <w:szCs w:val="24"/>
        </w:rPr>
        <w:t xml:space="preserve">, поскольку выживаемость среди пациентов </w:t>
      </w:r>
      <w:r w:rsidR="00AE3687">
        <w:rPr>
          <w:rFonts w:ascii="Times New Roman" w:hAnsi="Times New Roman" w:cs="Times New Roman"/>
          <w:sz w:val="28"/>
          <w:szCs w:val="24"/>
        </w:rPr>
        <w:t xml:space="preserve">колоректальным раком </w:t>
      </w:r>
      <w:r w:rsidRPr="00A43B9C">
        <w:rPr>
          <w:rFonts w:ascii="Times New Roman" w:hAnsi="Times New Roman" w:cs="Times New Roman"/>
          <w:sz w:val="28"/>
          <w:szCs w:val="24"/>
        </w:rPr>
        <w:t xml:space="preserve">с метастазами значительно ниже, чем у </w:t>
      </w:r>
      <w:r w:rsidRPr="00DC209B">
        <w:rPr>
          <w:rFonts w:ascii="Times New Roman" w:hAnsi="Times New Roman" w:cs="Times New Roman"/>
          <w:sz w:val="28"/>
          <w:szCs w:val="24"/>
        </w:rPr>
        <w:t>пациентов без метастазов</w:t>
      </w:r>
      <w:r w:rsidR="00B53FA4" w:rsidRPr="00DC209B">
        <w:rPr>
          <w:rFonts w:ascii="Times New Roman" w:hAnsi="Times New Roman" w:cs="Times New Roman"/>
          <w:sz w:val="28"/>
          <w:szCs w:val="24"/>
        </w:rPr>
        <w:t xml:space="preserve"> </w:t>
      </w:r>
      <w:r w:rsidR="00B53FA4" w:rsidRPr="00DC209B">
        <w:rPr>
          <w:rFonts w:ascii="Times New Roman" w:hAnsi="Times New Roman" w:cs="Times New Roman"/>
          <w:sz w:val="28"/>
          <w:szCs w:val="24"/>
        </w:rPr>
        <w:fldChar w:fldCharType="begin"/>
      </w:r>
      <w:r w:rsidR="00F6152F" w:rsidRPr="00DC209B">
        <w:rPr>
          <w:rFonts w:ascii="Times New Roman" w:hAnsi="Times New Roman" w:cs="Times New Roman"/>
          <w:sz w:val="28"/>
          <w:szCs w:val="24"/>
        </w:rPr>
        <w:instrText xml:space="preserve"> ADDIN ZOTERO_ITEM CSL_CITATION {"citationID":"a2flue2sd11","properties":{"formattedCitation":"[5\\uc0\\u8211{}7]","plainCitation":"[5–7]","noteIndex":0},"citationItems":[{"id":432,"uris":["http://zotero.org/users/8787459/items/A6EGQ3E3"],"itemData":{"id":432,"type":"article-journal","abstract":"[18F]Fluorodeoxyglucose (FDG)\npositron emission tomography (PET) is a useful imaging tool in the evolving management of patients with colorectal carcinoma. This technique is able to measure and visualize metabolic changes in cancer cells. This feature results in the ability to distinguish viable tumor from scar tissue, in the detection of tumor foci at an earlier stage than possible by conventional anatomic imaging and in the measurement of alterations in tumor metabolism, indicative of tumor response to therapy. Nowadays, FDG-PET plays a pivotal role in staging patients before surgical resection of recurrence and metastases, in the localization of recurrence in patients with an unexplained rise in serum carcinoembryonic antigen and in assessment of residual masses after treatment. In the presurgical evaluation, FDG-PET may be best used in conjunction with anatomic imaging in order to combine the benefits of both anatomical (CT) and functional (PET) information, which leads to significant improvements in preoperative liver staging and preoperative judgment on the feasibility of resection. Integration of FDG-PET into the management algorithm of these categories of patients alters and improves therapeutic management, reduces morbidity due to futile surgery, leads to substantial cost savings and probably also to a better patient outcome. FDG-PET also appears to have great potential in monitoring the success of local ablative therapies soon after intervention and in the prediction and evaluation of response to radiotherapy, systemic therapy, and combinations thereof. This review aims to outline the current and future role of FDG-PET in the field of colorectal cancer.","container-title":"Cancer Imaging","DOI":"10.1102/1470-7330.2006.9014","ISSN":"1740-5025","issue":"Spec No A","journalAbbreviation":"Cancer Imaging","note":"PMID: 17114081\nPMCID: PMC1805073","page":"S71-S81","source":"PubMed Central","title":"FDG-PET in colorectal cancer","volume":"6","author":[{"family":"Geus-Oei","given":"Lioe-Fee","non-dropping-particle":"de"},{"family":"Ruers","given":"Theo J M"},{"family":"Punt","given":"Cornelis J A"},{"family":"Willem Leer","given":"Jan"},{"family":"Corstens","given":"Frans H M"},{"family":"Oyen","given":"Wim J G"}],"issued":{"date-parts":[["2006",10,31]]}},"label":"page"},{"id":219,"uris":["http://zotero.org/users/8787459/items/GUUSN3MV"],"itemData":{"id":219,"type":"article-journal","abstract":"Each year, the American Cancer Society estimates the numbers of new cancer cases and deaths in the United States and compiles the most recent data on population-based cancer occurrence and outcomes. Incidence data (through 2018) were collected by the Surveillance, Epidemiology, and End Results program; the National Program of Cancer Registries; and the North American Association of Central Cancer Registries. Mortality data (through 2019) were collected by the National Center for Health Statistics. In 2022, 1,918,030 new cancer cases and 609,360 cancer deaths are projected to occur in the United States, including approximately 350 deaths per day from lung cancer, the leading cause of cancer death. Incidence during 2014 through 2018 continued a slow increase for female breast cancer (by 0.5% annually) and remained stable for prostate cancer, despite a 4% to 6% annual increase for advanced disease since 2011. Consequently, the proportion of prostate cancer diagnosed at a distant stage increased from 3.9% to 8.2% over the past decade. In contrast, lung cancer incidence continued to decline steeply for advanced disease while rates for localized-stage increased suddenly by 4.5% annually, contributing to gains both in the proportion of localized-stage diagnoses (from 17% in 2004 to 28% in 2018) and 3-year relative survival (from 21% to 31%). Mortality patterns reflect incidence trends, with declines accelerating for lung cancer, slowing for breast cancer, and stabilizing for prostate cancer. In summary, progress has stagnated for breast and prostate cancers but strengthened for lung cancer, coinciding with changes in medical practice related to cancer screening and/or treatment. More targeted cancer control interventions and investment in improved early detection and treatment would facilitate reductions in cancer mortality.","container-title":"CA: A Cancer Journal for Clinicians","DOI":"10.3322/caac.21708","ISSN":"1542-4863","issue":"1","language":"en","note":"_eprint: https://onlinelibrary.wiley.com/doi/pdf/10.3322/caac.21708","page":"7-33","source":"Wiley Online Library","title":"Cancer statistics, 2022","volume":"72","author":[{"family":"Siegel","given":"Rebecca L."},{"family":"Miller","given":"Kimberly D."},{"family":"Fuchs","given":"Hannah E."},{"family":"Jemal","given":"Ahmedin"}],"issued":{"date-parts":[["2022"]]}},"label":"page"},{"id":658,"uris":["http://zotero.org/users/8787459/items/WBV5YHW8"],"itemData":{"id":658,"type":"article-journal","abstract":"The role of 18-fluorodeoxyglucose positron emission tomography CT (18FDG PET/CT), as a prognostic factor for survival in colorectal cancer patients with liver metastases, is still controversial. We sought to perform a meta-analysis of the literature to address this issue.","container-title":"Cancer Imaging","DOI":"10.1186/s40644-015-0055-z","ISSN":"1470-7330","issue":"1","journalAbbreviation":"Cancer Imaging","page":"19","source":"BioMed Central","title":"Prognostic significance of 18FDG PET/CT in colorectal cancer patients with liver metastases: a meta-analysis","title-short":"Prognostic significance of 18FDG PET/CT in colorectal cancer patients with liver metastases","volume":"15","author":[{"family":"Xia","given":"Qian"},{"family":"Liu","given":"Jianjun"},{"family":"Wu","given":"Cheng"},{"family":"Song","given":"Shaoli"},{"family":"Tong","given":"Linjun"},{"family":"Huang","given":"Gang"},{"family":"Feng","given":"Yuanbo"},{"family":"Jiang","given":"Yansheng"},{"family":"Liu","given":"Yewei"},{"family":"Yin","given":"Ting"},{"family":"Ni","given":"Yicheng"}],"issued":{"date-parts":[["2015",11,20]]}},"label":"page"}],"schema":"https://github.com/citation-style-language/schema/raw/master/csl-citation.json"} </w:instrText>
      </w:r>
      <w:r w:rsidR="00B53FA4" w:rsidRPr="00DC209B">
        <w:rPr>
          <w:rFonts w:ascii="Times New Roman" w:hAnsi="Times New Roman" w:cs="Times New Roman"/>
          <w:sz w:val="28"/>
          <w:szCs w:val="24"/>
        </w:rPr>
        <w:fldChar w:fldCharType="separate"/>
      </w:r>
      <w:r w:rsidR="00F6152F" w:rsidRPr="00DC209B">
        <w:rPr>
          <w:rFonts w:ascii="Times New Roman" w:hAnsi="Times New Roman" w:cs="Times New Roman"/>
          <w:sz w:val="28"/>
          <w:szCs w:val="24"/>
        </w:rPr>
        <w:t>[</w:t>
      </w:r>
      <w:r w:rsidR="007217A6" w:rsidRPr="00DC209B">
        <w:rPr>
          <w:rFonts w:ascii="Times New Roman" w:hAnsi="Times New Roman" w:cs="Times New Roman"/>
          <w:sz w:val="28"/>
          <w:szCs w:val="24"/>
        </w:rPr>
        <w:t xml:space="preserve">6, </w:t>
      </w:r>
      <w:r w:rsidR="00F6152F" w:rsidRPr="00DC209B">
        <w:rPr>
          <w:rFonts w:ascii="Times New Roman" w:hAnsi="Times New Roman" w:cs="Times New Roman"/>
          <w:sz w:val="28"/>
          <w:szCs w:val="24"/>
        </w:rPr>
        <w:t>7]</w:t>
      </w:r>
      <w:r w:rsidR="00B53FA4" w:rsidRPr="00DC209B">
        <w:rPr>
          <w:rFonts w:ascii="Times New Roman" w:hAnsi="Times New Roman" w:cs="Times New Roman"/>
          <w:sz w:val="28"/>
          <w:szCs w:val="24"/>
        </w:rPr>
        <w:fldChar w:fldCharType="end"/>
      </w:r>
      <w:r w:rsidRPr="00DC209B">
        <w:rPr>
          <w:rFonts w:ascii="Times New Roman" w:hAnsi="Times New Roman" w:cs="Times New Roman"/>
          <w:sz w:val="28"/>
          <w:szCs w:val="24"/>
        </w:rPr>
        <w:t>.</w:t>
      </w:r>
    </w:p>
    <w:p w14:paraId="3766EEF8" w14:textId="230EE90A" w:rsidR="00772843" w:rsidRPr="006D6032" w:rsidRDefault="00772843" w:rsidP="00D85264">
      <w:pPr>
        <w:tabs>
          <w:tab w:val="left" w:pos="0"/>
        </w:tabs>
        <w:spacing w:after="0" w:line="240" w:lineRule="auto"/>
        <w:ind w:firstLine="709"/>
        <w:jc w:val="both"/>
        <w:rPr>
          <w:rFonts w:ascii="Times New Roman" w:hAnsi="Times New Roman" w:cs="Times New Roman"/>
          <w:sz w:val="28"/>
          <w:szCs w:val="28"/>
          <w:shd w:val="clear" w:color="auto" w:fill="FFFFFF"/>
        </w:rPr>
      </w:pPr>
      <w:r w:rsidRPr="00A43B9C">
        <w:rPr>
          <w:rFonts w:ascii="Times New Roman" w:hAnsi="Times New Roman" w:cs="Times New Roman"/>
          <w:sz w:val="28"/>
          <w:szCs w:val="24"/>
        </w:rPr>
        <w:t xml:space="preserve">Традиционные методы визуализации, имеющие </w:t>
      </w:r>
      <w:r w:rsidR="00B522BB" w:rsidRPr="00A43B9C">
        <w:rPr>
          <w:rFonts w:ascii="Times New Roman" w:hAnsi="Times New Roman" w:cs="Times New Roman"/>
          <w:sz w:val="28"/>
          <w:szCs w:val="24"/>
        </w:rPr>
        <w:t xml:space="preserve">значимую </w:t>
      </w:r>
      <w:r w:rsidRPr="00A43B9C">
        <w:rPr>
          <w:rFonts w:ascii="Times New Roman" w:hAnsi="Times New Roman" w:cs="Times New Roman"/>
          <w:sz w:val="28"/>
          <w:szCs w:val="24"/>
        </w:rPr>
        <w:t xml:space="preserve">диагностическую роль в выявлении метастазов злокачественных опухолей, отражают только размер, плотность и морфологию </w:t>
      </w:r>
      <w:r w:rsidR="00AE3687">
        <w:rPr>
          <w:rFonts w:ascii="Times New Roman" w:hAnsi="Times New Roman" w:cs="Times New Roman"/>
          <w:sz w:val="28"/>
          <w:szCs w:val="24"/>
        </w:rPr>
        <w:t>узлов</w:t>
      </w:r>
      <w:r w:rsidR="00506F16" w:rsidRPr="00A43B9C">
        <w:rPr>
          <w:rFonts w:ascii="Times New Roman" w:hAnsi="Times New Roman" w:cs="Times New Roman"/>
          <w:sz w:val="28"/>
          <w:szCs w:val="24"/>
        </w:rPr>
        <w:t xml:space="preserve">, </w:t>
      </w:r>
      <w:r w:rsidRPr="00A43B9C">
        <w:rPr>
          <w:rFonts w:ascii="Times New Roman" w:hAnsi="Times New Roman" w:cs="Times New Roman"/>
          <w:sz w:val="28"/>
          <w:szCs w:val="24"/>
        </w:rPr>
        <w:t xml:space="preserve">в то время как биологическая активность и агрессивность </w:t>
      </w:r>
      <w:r w:rsidR="00AE3687">
        <w:rPr>
          <w:rFonts w:ascii="Times New Roman" w:hAnsi="Times New Roman" w:cs="Times New Roman"/>
          <w:sz w:val="28"/>
          <w:szCs w:val="24"/>
        </w:rPr>
        <w:t>лимфатических узлов</w:t>
      </w:r>
      <w:r w:rsidR="00506F16" w:rsidRPr="00A43B9C">
        <w:rPr>
          <w:rFonts w:ascii="Times New Roman" w:hAnsi="Times New Roman" w:cs="Times New Roman"/>
          <w:sz w:val="28"/>
          <w:szCs w:val="24"/>
        </w:rPr>
        <w:t xml:space="preserve"> </w:t>
      </w:r>
      <w:r w:rsidRPr="00A43B9C">
        <w:rPr>
          <w:rFonts w:ascii="Times New Roman" w:hAnsi="Times New Roman" w:cs="Times New Roman"/>
          <w:sz w:val="28"/>
          <w:szCs w:val="24"/>
        </w:rPr>
        <w:t xml:space="preserve">не может быть определена традиционными методами визуализации, которые лучше отражают биологическое поведение </w:t>
      </w:r>
      <w:r w:rsidR="00AE3687">
        <w:rPr>
          <w:rFonts w:ascii="Times New Roman" w:hAnsi="Times New Roman" w:cs="Times New Roman"/>
          <w:sz w:val="28"/>
          <w:szCs w:val="24"/>
        </w:rPr>
        <w:t>узловых образований</w:t>
      </w:r>
      <w:r w:rsidRPr="00A43B9C">
        <w:rPr>
          <w:rFonts w:ascii="Times New Roman" w:hAnsi="Times New Roman" w:cs="Times New Roman"/>
          <w:sz w:val="28"/>
          <w:szCs w:val="24"/>
        </w:rPr>
        <w:t xml:space="preserve"> при </w:t>
      </w:r>
      <w:r w:rsidR="00AE3687">
        <w:rPr>
          <w:rFonts w:ascii="Times New Roman" w:hAnsi="Times New Roman" w:cs="Times New Roman"/>
          <w:sz w:val="28"/>
          <w:szCs w:val="24"/>
        </w:rPr>
        <w:t>эпителиальном раке яичников и колоректальном раке</w:t>
      </w:r>
      <w:r w:rsidR="00C97DA9" w:rsidRPr="00A43B9C">
        <w:rPr>
          <w:rFonts w:ascii="Times New Roman" w:hAnsi="Times New Roman" w:cs="Times New Roman"/>
          <w:sz w:val="28"/>
          <w:szCs w:val="24"/>
        </w:rPr>
        <w:t xml:space="preserve"> </w:t>
      </w:r>
      <w:r w:rsidR="00C97DA9" w:rsidRPr="00A43B9C">
        <w:rPr>
          <w:rFonts w:ascii="Times New Roman" w:hAnsi="Times New Roman" w:cs="Times New Roman"/>
          <w:sz w:val="28"/>
          <w:szCs w:val="24"/>
          <w:lang w:val="en-US"/>
        </w:rPr>
        <w:fldChar w:fldCharType="begin"/>
      </w:r>
      <w:r w:rsidR="00F6152F">
        <w:rPr>
          <w:rFonts w:ascii="Times New Roman" w:hAnsi="Times New Roman" w:cs="Times New Roman"/>
          <w:sz w:val="28"/>
          <w:szCs w:val="24"/>
        </w:rPr>
        <w:instrText xml:space="preserve"> ADDIN ZOTERO_ITEM CSL_CITATION {"citationID":"a23fcvp2m4h","properties":{"formattedCitation":"[8\\uc0\\u8211{}23]","plainCitation":"[8–23]","noteIndex":0},"citationItems":[{"id":323,"uris":["http://zotero.org/users/8787459/items/W5AX9BCM"],"itemData":{"id":323,"type":"article-journal","abstract":"Accurate diagnosis and staging are essential for the optimal management of cancer patients. Positron emission tomography with 2-deoxy-2-[fluorine-18]fluoro- D-glucose integrated with computed tomography (18F-FDG PET/CT) has emerged as a powerful imaging tool for the detection of various cancers. The combined acquisition of PET and CT has synergistic advantages over PET or CT alone and minimizes their individual limitations. It is a valuable tool for staging and restaging of some tumors and has an important role in the detection of recurrence in asymptomatic patients with rising tumor marker levels and patients with negative or equivocal findings on conventional imaging techniques. It also allows for monitoring response to therapy and permitting timely modification of therapeutic regimens. In about 27% of the patients, the course of managment is changed. This review provides guidance for oncologists/ radiotherapists and clinical and surgical specialists on the use of 18F-FDG PET/CT in oncology.","container-title":"Annals of Saudi Medicine","DOI":"10.4103/0256-4947.75771","ISSN":"0256-4947","issue":"1","journalAbbreviation":"Ann Saudi Med","note":"PMID: 21245592\nPMCID: PMC3101722","page":"3-13","source":"PubMed Central","title":"18F-FDG PET/CT Imaging In Oncology","volume":"31","author":[{"family":"Almuhaideb","given":"Ahmad"},{"family":"Papathanasiou","given":"Nikolaos"},{"family":"Bomanji","given":"Jamshed"}],"issued":{"date-parts":[["2011"]]}},"label":"page"},{"id":279,"uris":["http://zotero.org/users/8787459/items/DTA2AYFZ"],"itemData":{"id":279,"type":"article-journal","abstract":"Multimodality imaging, as represented by its greatest exponent, PET/CT, has a firm place in the evaluation of a patient presenting with cancer. With 18F-FDG, PET/CT is rapidly becoming the key investigative tool for the staging and assessment of cancer recurrence. In the last 5 y, PET/CT has also gained widespread acceptance as a key tool used to demonstrate early response to intervention and therapy. In this setting, a major clinical need is being addressed with 18F-FDG PET/CT, because of its inherent ability to demonstrate (before other markers of response) if disease modification has occurred. This review presents available evidence to this effect.","container-title":"Journal of Nuclear Medicine: Official Publication, Society of Nuclear Medicine","DOI":"10.2967/jnumed.108.054205","ISSN":"0161-5505","issue":"1","journalAbbreviation":"J Nucl Med","language":"eng","note":"PMID: 19139187","page":"88-99","source":"PubMed","title":"18F-FDG PET and PET/CT in the evaluation of cancer treatment response","volume":"50","author":[{"family":"Ben-Haim","given":"Simona"},{"family":"Ell","given":"Peter"}],"issued":{"date-parts":[["2009",1]]}},"label":"page"},{"id":430,"uris":["http://zotero.org/users/8787459/items/UG6Q8Y52"],"itemData":{"id":430,"type":"article-journal","abstract":"Positron emission Tomography (PET) with 2-[(18)F]-fluoro-2-deoxy-d-glucose (FDG) is a functional imaging technique with increasing value in special diagnostic fields of gastrointestinal tumours. In the initial staging of esophageal and gastric cancer, FDG-PET is useful in the staging of patients with advanced but local resectable disease. The detection of distant metastases results in an up-staging, and these patients should not be treated by surgery. Furthermore, FDG-PET is sufficient for monitoring early therapy responses after neoadjuvant treatment and enables one to select non-responders who may benefit from therapy alterations. Major indications for FDG-PET in patients with rectal carcinoma are therapy monitoring and diagnosis of relapses, especially the differentiation between tumour and scar and also the localisation of tumour manifestations in cases with increasing tumour markers. FDG-PET is very efficient in the imaging of pulmonal and hepatic metastases of colorectal cancer but not in lymph node staging. In diagnostic procedures for pancreatic carcinoma, FDG-PET can be recommended to explore the dignity of pancreatic lesions and in the imaging of tumour relapses. For gastrointestinal stroma tumours, FDG-PET is useful for the monitoring of therapy and the initial staging. For imaging of hepatocellular carcinoma and carcinoma of the gall bladder, FDG-PET is not sufficient.","container-title":"Zeitschrift Fur Gastroenterologie","DOI":"10.1055/s-2007-963637","ISSN":"0044-2771","issue":"4","journalAbbreviation":"Z Gastroenterol","language":"ger","note":"PMID: 18393156","page":"367-375","source":"PubMed","title":"[[18F]-FDG-PET in the diagnostics of gastrointestinal tumors]","volume":"46","author":[{"family":"Buchmann","given":"I."},{"family":"Ganten","given":"T. M."},{"family":"Haberkorn","given":"U."}],"issued":{"date-parts":[["2008",4]]}},"label":"page"},{"id":316,"uris":["http://zotero.org/users/8787459/items/F92CH7GB"],"itemData":{"id":316,"type":"article-journal","abstract":"AIM: To evaluate the value of 18F-DG PET/CT in detecting recurrence and/or metastasis of colorectal cancer (CRC)., METHODS: Combined visual analysis with semiquantitative analysis, the 18F-DG PET/CT whole-body imaging results and the corresponding clinical data of 68 postoperative CRC patients including 48 male and 20 female with average age of 58.1 were analyzed retrospectively., RESULTS: Recurrence and/or metastasis were confirmed in 56 patients in the clinical follow-up after the PET/CT imaging. The sensitivity of PET/CT diagnosis of CRC recurrence and/or metastasis was 94.6%, and the specificity was 83.3%. The positive predictive value (PPV) was 96.4% and the negative predictive value (NPV) was 76.9%. PET/CT imaging detected one or more occult malignant lesions in 8 cases where abdominal/pelvic CT and/or ultrasonography showed negative findings, and also detected more lesions than CT or ultrasonography did in 30.4% (17/56) cases. Recurrence and/or metastasis was detected in 91.7% (22/24) cases with elevated serum CEA levels by 18F-DG PET/CT imaging., CONCLUSION: 18F-DG PET/CT could detect the recurrence and/or metastasis of CRC with high sensitivity and specificity.","container-title":"World Journal of Gastroenterology : WJG","DOI":"10.3748/wjg.v13.i37.5025","ISSN":"1007-9327","issue":"37","journalAbbreviation":"World J Gastroenterol","note":"PMID: 17854148\nPMCID: PMC4434629","page":"5025-5029","source":"PubMed Central","title":"18F-DG PET/CT in detection of recurrence and metastasis of colorectal cancer","volume":"13","author":[{"family":"Chen","given":"Long-Bang"},{"family":"Tong","given":"Jin-Long"},{"family":"Song","given":"Hai-Zhu"},{"family":"Zhu","given":"Hong"},{"family":"Wang","given":"Yu-Cai"}],"issued":{"date-parts":[["2007",10,7]]}},"label":"page"},{"id":632,"uris":["http://zotero.org/users/8787459/items/22L9UWXV"],"itemData":{"id":632,"type":"article-journal","abstract":"INTRODUCTION: 18F-fluoro-2-deoxyglucose positron emission tomography/computed tomography (18F-FDG PET/CT) is a diagnostic tool widely used in oncology, but to date there are no established recommendations for its use in malignant ovarian germ cell tumors. The aim of this study was to evaluate the role of 18F-FDG PET/CT in the clinical management of patients with malignant ovarian germ cell tumors.\nMETHODS: This was a retrospective review of 18F-FDG PET/CT scans performed in patients diagnosed with malignant ovarian germ cell tumors treated at the gynecology department of San Gerardo Hospital (Monza, Italy) from June 2006 to December 2016. Data collected included clinical history, radiological, biochemical and pathological evaluation, treatment, follow-up, outcome, and clinical indication for the PET/CT scan. PET/CT findings were categorized as negative/normal (no abnormal FDG uptake or physiological uptake), positive/abnormal (FDG uptake considered to indicate active germ cell malignancy), or equivocal (FDG uptake of uncertain significance, not clearly correlated to neoplastic disease).\nRESULTS: A total of 69 PET/CT scans in 37 patients were evaluated. The mean age at diagnosis was 25 years (range 20-48). The majority of patients had International Federation of Gynecology and Obstetrics (FIGO) stage I (22/37) disease and had a diagnosis of dysgerminomas (18/37). Imaging indications were initial staging before treatment (4/69, 6%), staging after inadequate staging surgery (24/69, 35%), restaging after adjuvant chemotherapy (17/69, 25%), relapse suspect (9/69, 13%), and follow-up (15/69, 21%). Pathology confirmation of PET/CT results was available in 28/69 (40.5%) studies. All negative PET/CT (15/28) cases were confirmed with laparoscopy as true negative; among 13/28 positive PET cases, histopathology confirmed 7 (54%) as true positive and 6 (46%) as false positive (5 inflammatory and 1 mature teratoma implants). Patient-based analysis showed 100% sensitivity, 71% specificity, 54% positive predictive value, 100% negative predictive value, and 79% accuracy. Clinical follow-up was available in 41 (59.4%) of 69 PET/CT images: 28/41 studies were negative and 13/41 positive. A mean follow-up of 28 months (median 15, range 5-102) confirmed negative PET/CT studies. A total of 13 positive PET/CT patients underwent chemotherapy with subsequent evidence of disease response.\nDISCUSSION: PET/CT in malignant ovarian germ cell tumors was mainly performed for staging after inadequate staging surgery or for restaging after adjuvant chemotherapy. PET/CT was associated with high sensitivity and negative predictive value.","container-title":"International Journal of Gynecological Cancer: Official Journal of the International Gynecological Cancer Society","DOI":"10.1136/ijgc-2019-000586","ISSN":"1525-1438","issue":"8","journalAbbreviation":"Int J Gynecol Cancer","language":"eng","note":"PMID: 31366569","page":"1298-1303","source":"PubMed","title":"Role of 18 F-fluoro-2-deoxyglucose positron emission tomography/computed tomography (18F-FDG PET/CT) in malignant ovarian germ cell tumors: a single-center experience with long term follow-up","title-short":"Role of 18 F-fluoro-2-deoxyglucose positron emission tomography/computed tomography (18F-FDG PET/CT) in malignant ovarian germ cell tumors","volume":"29","author":[{"family":"Dolci","given":"Carlotta"},{"family":"Ceppi","given":"Lorenzo"},{"family":"Guerra","given":"Luca"},{"family":"Crivellaro","given":"Cinzia"},{"family":"Lamanna","given":"Maria"},{"family":"Adorni","given":"Marco"},{"family":"Elisei","given":"Federica"},{"family":"Bonazzi","given":"Cristina Maria"},{"family":"Sina","given":"Federica"},{"family":"Fruscio","given":"Robert"},{"family":"Messa","given":"Cristina"}],"issued":{"date-parts":[["2019",10]]}},"label":"page"},{"id":650,"uris":["http://zotero.org/users/8787459/items/U9XRWYPL"],"itemData":{"id":650,"type":"article-journal","abstract":"Fluorine-18 fluorodeoxyglucose positron emission tomography/computed tomography (FDG-PET/CT) has become a routine imaging modality for many malignancies and its use is currently increasing. In the present review article, we will summarize the evidence for FDG-PET/CT use in digestive cancers (excluding neuroendocrine tumours), and review the existing recommendations. While PET/CT is nowadays considered to be an important tool in the initial workup of oesophageal and anal cancers, new data are emerging regarding its use in assessing therapeutic efficacy, radiotherapy treatment planning, and detection of recurrence in case of isolated tumour marker elevation. Moreover, PET/CT may help decision making by detecting distant metastatic sites especially in potentially resectable metastatic colorectal cancer and, to a lesser extent, in localized gastric and pancreatic cancers. Finally, incidental focal colonic FDG uptakes require exploration by colonoscopy, as they are often associated with premalignant or malignant lesions.","container-title":"Digestive and Liver Disease: Official Journal of the Italian Society of Gastroenterology and the Italian Association for the Study of the Liver","DOI":"10.1016/j.dld.2015.02.005","ISSN":"1878-3562","issue":"6","journalAbbreviation":"Dig Liver Dis","language":"eng","note":"PMID: 25766918","page":"443-454","source":"PubMed","title":"Role of fluorine 18 fluorodeoxyglucose positron emission tomography/computed tomography in gastrointestinal cancers","volume":"47","author":[{"family":"Gauthé","given":"Mathieu"},{"family":"Richard-Molard","given":"Marion"},{"family":"Cacheux","given":"Wulfran"},{"family":"Michel","given":"Pierre"},{"family":"Jouve","given":"Jean-Louis"},{"family":"Mitry","given":"Emmanuel"},{"family":"Alberini","given":"Jean-Louis"},{"family":"Lièvre","given":"Astrid"},{"literal":"Fédération Francophone de Cancérologie Digestive (FFCD)"}],"issued":{"date-parts":[["2015",6]]}},"label":"page"},{"id":588,"uris":["http://zotero.org/users/8787459/items/ZDT9LMXY"],"itemData":{"id":588,"type":"article-journal","container-title":"Journal of Nuclear Medicine: Official Publication, Society of Nuclear Medicine","ISSN":"0161-5505","issue":"1","journalAbbreviation":"J Nucl Med","language":"eng","note":"PMID: 12515873","page":"30-32","source":"PubMed","title":"18F-FDG PET in candidates for radiation therapy: is it important and how do we validate its impact?","title-short":"18F-FDG PET in candidates for radiation therapy","volume":"44","author":[{"family":"Hicks","given":"Rodney J."},{"family":"Mac Manus","given":"Michael P."}],"issued":{"date-parts":[["2003",1]]}},"label":"page"},{"id":374,"uris":["http://zotero.org/users/8787459/items/RDSX5VCG"],"itemData":{"id":374,"type":"article-journal","abstract":"Positron emission tomography using 18F-fluorodeoxyglucose (FDG-PET) is a encouraging imaging technique allowing a highly sensitive whole-body search for malignant foci detected by their increased glucose metabolism compared with benign tissues. Several studies are now available that indicate its added value for diagnosis and staging of colorectal cancer. In all, patient management seems to be changed in 20-30% of patients who undergo Fluorodeoxyglucose positron emission tomography in addition to standard staging procedures. Fluorodeoxyglucose positron emission tomography is also useful in monitoring radiation therapy and chemotherapy. Regarding preoperative staging of primary colorectal cancer the literature is very limited.","container-title":"Acta Medica Austriaca","DOI":"10.1046/j.1563-2571.2002.02044.x","ISSN":"0303-8173","issue":"5","journalAbbreviation":"Acta Med Austriaca","language":"ger","note":"PMID: 12506769","page":"176-179","source":"PubMed","title":"[18F-fluorodeoxyglucose positron emission tomography in colorectal cancer: value in primary staging and follow-up]","title-short":"[18F-fluorodeoxyglucose positron emission tomography in colorectal cancer","volume":"29","author":[{"family":"Jörg","given":"L."},{"family":"Heinisch","given":"M."},{"family":"Rechberger","given":"E."},{"family":"Kurz","given":"F."},{"family":"Klug","given":"R."},{"family":"Aufschnaiter","given":"M."},{"family":"Hammer","given":"J."},{"family":"Langsteger","given":"W."}],"issued":{"date-parts":[["2002"]]}},"label":"page"},{"id":338,"uris":["http://zotero.org/users/8787459/items/7ADE8IDI"],"itemData":{"id":338,"type":"article-journal","abstract":"PURPOSE: 2-(18F)-fluoro-2-deoxy-D-glucose positron emission tomography (FDG-PET) is a noninvasive imaging technique used clinically to detect malignant tumors. FDG-PET has been established as a tool for diagnosis of recurrent or metastatic colorectal carcinoma. Several case series suggest that FDG-PET also detects larger adenomas. The goal of this study was to investigate whether FDG-PET is able to detect colonic adenomas.\nPATIENTS AND METHODS: FDG-PET was performed in 100 consecutive patients in whom colonic adenomas were suspected on barium enema (n = 47) or sigmoidoscopy (n = 53). A positive scan was defined as focal large bowel FDG accumulation. FDG-PET was followed in all cases by colonoscopy, and removed adenomas were examined histopathologically.\nRESULTS: Colonoscopy confirmed the presence of adenomas in 68 of 100 patients. In 35 patients, there was focal FDG accumulation at site of the adenoma. The sensitivity of FDG-PET increased with adenoma size (21%, adenomas 1 to 5 mm; 47%, 6 to 10 mm; and 72%, &gt; 11 mm). The sensitivity of FDG-PET also increased with the grade of dysplasia (33%, low grade; 76%, high grade; and 89%, carcinomas). The overall specificity was 84%.\nCONCLUSION: FDG-PET detects colonic adenomas and the diagnostic test characteristics improve with size and grade of dysplasia of the adenoma.","container-title":"Journal of Clinical Oncology: Official Journal of the American Society of Clinical Oncology","DOI":"10.1200/JCO.2005.02.401","ISSN":"0732-183X","issue":"16","journalAbbreviation":"J Clin Oncol","language":"eng","note":"PMID: 15923568","page":"3713-3717","source":"PubMed","title":"2-(18F)-fluoro-2-deoxy-D-glucose positron emission tomography detects clinical relevant adenomas of the colon: a prospective study","title-short":"2-(18F)-fluoro-2-deoxy-D-glucose positron emission tomography detects clinical relevant adenomas of the colon","volume":"23","author":[{"family":"Kouwen","given":"Mariëtte C. A.","non-dropping-particle":"van"},{"family":"Nagengast","given":"Fokko M."},{"family":"Jansen","given":"Jan B. M. J."},{"family":"Oyen","given":"Wim J. G."},{"family":"Drenth","given":"Joost P. H."}],"issued":{"date-parts":[["2005",6,1]]}},"label":"page"},{"id":602,"uris":["http://zotero.org/users/8787459/items/8LBT9PWG"],"itemData":{"id":602,"type":"article-journal","abstract":"PURPOSE: This study aimed to explore the clinical and prognostic significance of 18F-fluoro-2-deoxy-D-glucose positron emission tomography/computed tomography (18F-FDG PET/CT) in epithelial ovarian cancer (EOC).\nMETHODS: We retrospectively investigated 48 EOC patients who underwent preoperative 18F-FDG PET/CT and primary cytoreductive surgery at our hospital between January 2010 and June 2015. None of these patients received neoadjuvant chemotherapy. PET/CT parameters including the maximum and average standardized uptake value (SUVmax, SUVavg), the metabolic tumor volume (MTV) were measured. Tumor proliferation marker Ki67 was evaluated using immunohistochemistry. The relationships between the PET/CT parameters and chemosensitivity, tumor proliferation, and overall survival (OS) were analyzed, respectively.\nRESULTS: The median (range) SUVmax, SUVavg, and MTV values were 11.42 (3.14-20.20), 4.8 (2.55-9.47), and 150.11 (0.19-792.46), respectively. Overall, 93.8% (45/48) of patients had high-grade serous ovarian cancer. The SUVmax value had a positive correlation with the Ki67 index (P = 0.030, r = 0.314), and a higher SUVmax level was associated with chemosensitivity (P = 0.026). However, neither SUVavg nor MTV had associations with the patients' clinicopathological parameters. None of these three PET/CT parameters were found to be potential predictors of OS.\nCONCLUSIONS: Preoperative 18F-FDG PET/CT had a predictive value on chemosensitivity and proliferation after primary debulking surgery in EOC patients noninvasively.","container-title":"Japanese Journal of Radiology","DOI":"10.1007/s11604-018-0755-y","ISSN":"1867-108X","issue":"9","journalAbbreviation":"Jpn J Radiol","language":"eng","note":"PMID: 29943313","page":"544-550","source":"PubMed","title":"18F-FDG PET/CT can predict chemosensitivity and proliferation of epithelial ovarian cancer via SUVmax value","volume":"36","author":[{"family":"Liu","given":"Shuai"},{"family":"Feng","given":"Zheng"},{"family":"Wen","given":"Hao"},{"family":"Jiang","given":"Zhaoxia"},{"family":"Pan","given":"Herong"},{"family":"Deng","given":"Yu"},{"family":"Zhang","given":"Lei"},{"family":"Ju","given":"Xingzhu"},{"family":"Chen","given":"Xiaojun"},{"family":"Wu","given":"Xiaohua"}],"issued":{"date-parts":[["2018",9]]}},"label":"page"},{"id":473,"uris":["http://zotero.org/users/8787459/items/AAHUVDF3"],"itemData":{"id":473,"type":"article-journal","abstract":"OBJECTIVE: There is currently no conclusive scientific evidence available regarding the role of the 18F-FDG PET/CT for detecting pulmonary metastases from colorectal cancer (PMCRC) in patients operated on for colorectal liver metastases (CRLM). In the follow up of patients who underwent surgery for CRLM, we compare CT-scan and 18F-FDG PET/CT in patients with PMCRC.\nMETHODS: We designed the study prospectively performing an 18F-FDG PET/CT on all patients operated on for CRLM where the CT-scan detected PMCRC during the follow up. We included patients who were operated on for PMCRC because the histological findings were taken as a control rather than biopsies.\nRESULTS: Of the 101 pulmonary nodules removed from 57 patients, the CT-scan identified a greater number (89 nodules) than the 18F-FDG PET/CT (75 nodules) (p &lt; 0.001). Sensitivity was greater with the CT-scan (90 vs 76%, respectively) with a lower specificity (50 vs 75%, respectively) than with the 18F-FDG PET/CT. There were no differences between positive-predictive value and negative-predictive value. The 18F-FDG PET/CT detected more pulmonary nodules in four patients (one PMCRC in each of these patients) and more extrapulmonary disease in six patients (four mediastinal lymph nodes, one retroperitoneal lymph node and one liver metastases) that the CT-scan had not detected.\nCONCLUSION: Although CT-scans have a greater capacity to detect PMCRC, the 18F-FDG PET/CT could be useful in the detection of more pulmonary and extrapulmonary disease not identified by the CT-scan. Advances in knowledge: We tried to clarify the utility of 18F-FDG PET/CT in the management of this subpopulation of patients.","container-title":"The British Journal of Radiology","DOI":"10.1259/bjr.20170216","ISSN":"1748-880X","issue":"1081","journalAbbreviation":"Br J Radiol","language":"eng","note":"PMID: 29034693\nPMCID: PMC5966201","page":"20170216","source":"PubMed","title":"Role of 18F-FDG PET/CT vs CT-scan in patients with pulmonary metastases previously operated on for colorectal liver metastases","volume":"91","author":[{"family":"Lopez-Lopez","given":"Victor"},{"family":"Robles","given":"Ricardo"},{"family":"Brusadin","given":"Roberto"},{"family":"López Conesa","given":"Asuncion"},{"family":"Torres","given":"Juan"},{"family":"Perez Flores","given":"Domingo"},{"family":"Navarro","given":"Jose Luis"},{"family":"Gil","given":"Pedro Jose"},{"family":"Parrilla","given":"Pascual"}],"issued":{"date-parts":[["2018",1]]}},"label":"page"},{"id":531,"uris":["http://zotero.org/users/8787459/items/TMJCX72B"],"itemData":{"id":531,"type":"article-journal","abstract":"BACKGROUND: Although many factors have been investigated in connection with the prognoses of colorectal carcinoma patients with metastases to the liver, a means for evaluating response and prognosis prior to the administration of standard chemotherapy has not been available. Positron emission tomography (PET) is a noninvasive means of measuring the distribution of radiolabeled cytostatic agents in tumor regions.\nMETHODS: Prior to the administration of 5-fluorouracil chemotherapy, the authors examined 14 colorectal carcinoma patients with unresectable liver metastases using a single PET scan and 18F-labeled fluorouracil (18F-FU). Clinical response and survival time were correlated with 18F-FU uptake values (SUV) measured in liver metastases 120 minutes after tracer infusion.\nRESULTS: Trapping of 18F-FU varied even among different metastases in the same patient. The range of SUV was 0.9-4.3 (mean, 2.20). Four patients with SUV exceeding 2.8 had stable disease for longer than 12 months and survived longer than 21 months. Three patients with SUV less than 1.2 had progressive disease and survived less than 12 months. The 6 patients with partial remission or stable disease had a mean SUV of 2.96 and a mean survival of 31.6 months. Eight patients with progressive disease had a mean SUV of 1.59 and a mean survival of 14.5 months (Student's t-test, P &lt; 0.012). In scatterplot analysis, there was a statistically significant correlation between SUV and survival time.\nCONCLUSIONS: Patients with high 18F-FU uptake values are more likely to achieve at least stabilization of disease with planned chemotherapy. 18F-FU PET may be a valuable new tool for determining, prior to 5-FU-based chemotherapy, which patients are likely to have good responses and prolonged survival.","container-title":"Cancer","ISSN":"0008-543X","issue":"2","journalAbbreviation":"Cancer","language":"eng","note":"PMID: 9669806","page":"245-253","source":"PubMed","title":"18F-labeled fluorouracil positron emission tomography and the prognoses of colorectal carcinoma patients with metastases to the liver treated with 5-fluorouracil","volume":"83","author":[{"family":"Moehler","given":"M."},{"family":"Dimitrakopoulou-Strauss","given":"A."},{"family":"Gutzler","given":"F."},{"family":"Raeth","given":"U."},{"family":"Strauss","given":"L. G."},{"family":"Stremmel","given":"W."}],"issued":{"date-parts":[["1998",7,15]]}},"label":"page"},{"id":669,"uris":["http://zotero.org/users/8787459/items/G5GA4JJQ"],"itemData":{"id":669,"type":"article-journal","abstract":"For many types of cancer, (18)F-FDG PET/CT is commonly used in evaluation and management, including tumor diagnosis, staging, restaging, treatment monitoring, and radiation therapy planning. Meticulous patient preparation including restrictions of diet and activity and management of blood glucose levels in diabetic patients, as well as an awareness of the effect of medications and environmental conditions, plays an important role toward obtaining good-quality images, which are essential for accurate interpretation. Protocol guidelines for performing PET/CT have been proposed by various societies and groups, including the Society of Nuclear Medicine and Molecular Imaging, the European Association of Nuclear Medicine, the American College of Radiology, and the National Cancer Institute. Standardization of the PET/CT procedure is necessary to enable use of metabolic parameters as imaging biomarkers in routine clinical decision making and to ensure reproducibility and allow comparison examinations across different sites. Though several published articles, including various society guidelines, have addressed the relevant patient preparation variables individually, we believe there is need for further clarification. This article summarizes existing data and proposes a standard patient preparation protocol.","container-title":"Journal of Nuclear Medicine Technology","DOI":"10.2967/jnmt.113.132621","ISSN":"1535-5675","issue":"1","journalAbbreviation":"J Nucl Med Technol","language":"eng","note":"PMID: 24503347","page":"5-13","source":"PubMed","title":"¹⁸F-FDG PET and PET/CT patient preparation: a review of the literature","title-short":"¹⁸F-FDG PET and PET/CT patient preparation","volume":"42","author":[{"family":"Surasi","given":"Devaki Shilpa"},{"family":"Bhambhvani","given":"Pradeep"},{"family":"Baldwin","given":"Jon A."},{"family":"Almodovar","given":"Samuel E."},{"family":"O'Malley","given":"Janis P."}],"issued":{"date-parts":[["2014",3]]}},"label":"page"},{"id":600,"uris":["http://zotero.org/users/8787459/items/C5BEXH7Z"],"itemData":{"id":600,"type":"article-journal","abstract":"OBJECTIVE: The aim of this study was to examine the relationship between the reduction of maximum standardized uptake values (SUVmax) in 18F-FDG-PET/CT to histopathological changes obtained with neoadjuvant chemotherapy (NACT) in advanced epithelial ovarian cancer (EOC). We wanted to evaluate whether 18F-FDG-PET/CT is useful for identifying patients who will not respond to NACT and would therefore benefit from second-line chemotherapy instead of interval debulking surgery (IDS).\nMETHODS: Twenty-six primarily inoperable EOC patients treated with NACT were enrolled in this study. 18F-FDG-PET/CT imaging was performed before diagnostic laparoscopy and after three to four NACT cycles. The relationship between the decrease in omental SUVmax from before to after NACT with omental histopathological response was examined in samples taken from the corresponding anatomical sites during IDS. Patients were divided into three groups according to chemotherapy-induced histopathological changes. Serum CA125 and HE4 halftimes during NACT as well as Ki-67 antigen expression in IDS samples were determined.\nRESULTS: The median omental SUVmax change during NACT was -64% (range-16% to -84%), and it was associated with histopathological response (p=0.004, OR 0.9, CI 0.84-0.97). A SUVmax decrease of less than 57% identified histopathological non-responders. Progression-free survival (PFS) differed between the poor, moderate and good histopathological response groups (0.9 year vs. 1.2 years vs. 1.4 years, respectively, p=0.05). The SUVmax change was not associated with PFS.\nCONCLUSION: 18F-FDG-PET/CT was able to identify patients who would not respond to NACT. To obtain a histopathological response in EOC, a substantial metabolic response in 18F-FDG-PET/CT is necessary.","container-title":"Gynecologic Oncology","DOI":"10.1016/j.ygyno.2015.10.018","ISSN":"1095-6859","issue":"1","journalAbbreviation":"Gynecol Oncol","language":"eng","note":"PMID: 26515076","page":"29-35","source":"PubMed","title":"18F-FDG-PET/CT can identify histopathological non-responders to platinum-based neoadjuvant chemotherapy in advanced epithelial ovarian cancer","volume":"140","author":[{"family":"Vallius","given":"Tuulia"},{"family":"Peter","given":"Anniina"},{"family":"Auranen","given":"Annika"},{"family":"Carpén","given":"Olli"},{"family":"Kemppainen","given":"Jukka"},{"family":"Matomäki","given":"Jaakko"},{"family":"Oksa","given":"Sinikka"},{"family":"Roering","given":"Pia"},{"family":"Seppänen","given":"Marko"},{"family":"Grénman","given":"Seija"},{"family":"Hynninen","given":"Johanna"}],"issued":{"date-parts":[["2016",1]]}},"label":"page"},{"id":598,"uris":["http://zotero.org/users/8787459/items/I4JPMJZU"],"itemData":{"id":598,"type":"article-journal","abstract":"OBJECTIVE: To evaluate the predictive potential of total metabolic tumor volume (MTV) reduction during neoadjuvant chemotherapy (NACT) with 18F-FDG-PET/CT in an advanced FIGO stage III/IV epithelial ovarian cancer (EOC) patient cohort.\nMETHODS: Twenty-nine primarily inoperable EOC patients underwent 18F-FDG-PET/CT before and after NACT. The pre- and post-NACT total MTV, in addition to the percentage MTV reduction during NACT, were compared with primary therapy outcome and progression-free survival (PFS). ROC-analysis determined an optimal threshold for MTV reduction identifying patients with progressive or stable disease (PD/SD) at the end of primary therapy. A multivariate analysis with residual tumor (0/&gt;0), FIGO stage (III/IV) and MTV reduction compared to PFS was performed. The association between MTV reduction and overall survival (OS) was evaluated.\nRESULTS: The median pre- and post-NACT total MTV were 352 cm3 (range 150 to 1322 cm3) and 51 cm3 (range 0 to 417 cm3), respectively. The median MTV reduction during NACT was 89% (range 24% to 100%). Post-NACT MTV and MTV reduction associated with primary therapy outcome (MTV post-NACT p = 0.007, MTV reduction p = 0.001) and PFS (MTV post-NACT p = 0.005, MTV reduction p = 0.005). MTV reduction &lt;85% identified the PD/SD patients (sensitivity 70%, specificity 78%, AUC 0.79). In a multivariate analysis, MTV reduction (p = 0.002) and FIGO stage (p = 0.003) were statistically significant variables associated with PFS. MTV reduction during NACT corresponded to OS (p = 0.05).\nCONCLUSION: 18F-FDG-PET/CT is helpful in NACT response evaluation. Patients with total MTV reduction &lt;85% during NACT might be candidates for second-line chemotherapy and clinical trials, instead of interval debulking surgery.","container-title":"European Journal of Nuclear Medicine and Molecular Imaging","DOI":"10.1007/s00259-018-3961-z","ISSN":"1619-7089","issue":"7","journalAbbreviation":"Eur J Nucl Med Mol Imaging","language":"eng","note":"PMID: 29476227","page":"1224-1232","source":"PubMed","title":"18F-FDG-PET/CT based total metabolic tumor volume change during neoadjuvant chemotherapy predicts outcome in advanced epithelial ovarian cancer","volume":"45","author":[{"family":"Vallius","given":"Tuulia"},{"family":"Hynninen","given":"Johanna"},{"family":"Kemppainen","given":"Jukka"},{"family":"Alves","given":"Victor"},{"family":"Auranen","given":"Kari"},{"family":"Matomäki","given":"Jaakko"},{"family":"Oksa","given":"Sinikka"},{"family":"Virtanen","given":"Johanna"},{"family":"Grénman","given":"Seija"},{"family":"Auranen","given":"Annika"},{"family":"Seppänen","given":"Marko"}],"issued":{"date-parts":[["2018",7]]}},"label":"page"},{"id":488,"uris":["http://zotero.org/users/8787459/items/8XDR5W5D"],"itemData":{"id":488,"type":"article-journal","abstract":"Positron emission tomography (PET) using [(18)F]-2-deoxy-2-fluoro-d-glucose (FDG) has emerged as a promising diagnostic modality in recurrent colorectal cancer. Data in the literature show that the addition of FDG-PET changes disease management in up to 30% of patients with potentially resectable liver metastases, mainly by detecting previously unknown extrahepatic disease. Furthermore, FDG-PET is useful in the follow-up of patients who underwent surgical procedures of the liver, since it is exquisitely sensitive in detecting residual or relapse malignancy in scarred liver tissue following both resection and local ablative techniques. For follow-up during systemic therapy, early FDG-PET appears predictive for response to therapy. However, at present, the available data are insufficient to justify the FDG-PET-driven management of patients treated with chemotherapy. FDG-PET and computerized tomography are complimentary techniques in staging and restaging patients with advanced colorectal cancer. The combination of these two modalities significantly impacts upon patient management.","container-title":"Expert Review of Anticancer Therapy","DOI":"10.1586/14737140.4.4.607","ISSN":"1473-7140","issue":"4","journalAbbreviation":"Expert Rev Anticancer Ther","language":"eng","note":"PMID: 15270664","page":"607-613","source":"PubMed","title":"Role of FDG-PET in the diagnosis and treatment of colorectal liver metastases","volume":"4","author":[{"family":"Wiering","given":"Bastiaan"},{"family":"Ruers","given":"Theo J. M."},{"family":"Oyen","given":"Wim J. G."}],"issued":{"date-parts":[["2004",8]]}},"label":"page"}],"schema":"https://github.com/citation-style-language/schema/raw/master/csl-citation.json"} </w:instrText>
      </w:r>
      <w:r w:rsidR="00C97DA9" w:rsidRPr="00A43B9C">
        <w:rPr>
          <w:rFonts w:ascii="Times New Roman" w:hAnsi="Times New Roman" w:cs="Times New Roman"/>
          <w:sz w:val="28"/>
          <w:szCs w:val="24"/>
          <w:lang w:val="en-US"/>
        </w:rPr>
        <w:fldChar w:fldCharType="separate"/>
      </w:r>
      <w:r w:rsidR="00F6152F" w:rsidRPr="00F6152F">
        <w:rPr>
          <w:rFonts w:ascii="Times New Roman" w:hAnsi="Times New Roman" w:cs="Times New Roman"/>
          <w:sz w:val="28"/>
          <w:szCs w:val="24"/>
        </w:rPr>
        <w:t>[8</w:t>
      </w:r>
      <w:r w:rsidR="00FF4BDB">
        <w:rPr>
          <w:rFonts w:ascii="Times New Roman" w:hAnsi="Times New Roman" w:cs="Times New Roman"/>
          <w:sz w:val="28"/>
          <w:szCs w:val="24"/>
        </w:rPr>
        <w:t>-</w:t>
      </w:r>
      <w:r w:rsidR="00F6152F" w:rsidRPr="00F6152F">
        <w:rPr>
          <w:rFonts w:ascii="Times New Roman" w:hAnsi="Times New Roman" w:cs="Times New Roman"/>
          <w:sz w:val="28"/>
          <w:szCs w:val="24"/>
        </w:rPr>
        <w:t>23]</w:t>
      </w:r>
      <w:r w:rsidR="00C97DA9" w:rsidRPr="00A43B9C">
        <w:rPr>
          <w:rFonts w:ascii="Times New Roman" w:hAnsi="Times New Roman" w:cs="Times New Roman"/>
          <w:sz w:val="28"/>
          <w:szCs w:val="24"/>
          <w:lang w:val="en-US"/>
        </w:rPr>
        <w:fldChar w:fldCharType="end"/>
      </w:r>
      <w:r w:rsidRPr="00A43B9C">
        <w:rPr>
          <w:rFonts w:ascii="Times New Roman" w:hAnsi="Times New Roman" w:cs="Times New Roman"/>
          <w:sz w:val="28"/>
          <w:szCs w:val="24"/>
        </w:rPr>
        <w:t>.</w:t>
      </w:r>
      <w:r w:rsidR="00B522BB" w:rsidRPr="00A43B9C">
        <w:rPr>
          <w:rFonts w:ascii="Times New Roman" w:hAnsi="Times New Roman" w:cs="Times New Roman"/>
          <w:sz w:val="28"/>
          <w:szCs w:val="24"/>
        </w:rPr>
        <w:t xml:space="preserve"> При этом </w:t>
      </w:r>
      <w:r w:rsidR="00B522BB" w:rsidRPr="00A43B9C">
        <w:rPr>
          <w:rFonts w:ascii="Times New Roman" w:hAnsi="Times New Roman" w:cs="Times New Roman"/>
          <w:sz w:val="28"/>
        </w:rPr>
        <w:t>н</w:t>
      </w:r>
      <w:r w:rsidRPr="00A43B9C">
        <w:rPr>
          <w:rFonts w:ascii="Times New Roman" w:hAnsi="Times New Roman" w:cs="Times New Roman"/>
          <w:sz w:val="28"/>
        </w:rPr>
        <w:t>арушение регуляции висцеральной жировой ткани способствует секреции различных противовоспалительных адипокинов как результата системного воспаления, играющих ключевую роль в метастазировании</w:t>
      </w:r>
      <w:r w:rsidR="00BE318E" w:rsidRPr="00A43B9C">
        <w:rPr>
          <w:rFonts w:ascii="Times New Roman" w:hAnsi="Times New Roman" w:cs="Times New Roman"/>
          <w:sz w:val="28"/>
        </w:rPr>
        <w:t xml:space="preserve"> </w:t>
      </w:r>
      <w:r w:rsidR="00BE318E" w:rsidRPr="00A43B9C">
        <w:rPr>
          <w:rFonts w:ascii="Times New Roman" w:hAnsi="Times New Roman" w:cs="Times New Roman"/>
          <w:sz w:val="28"/>
        </w:rPr>
        <w:fldChar w:fldCharType="begin"/>
      </w:r>
      <w:r w:rsidR="00F6152F">
        <w:rPr>
          <w:rFonts w:ascii="Times New Roman" w:hAnsi="Times New Roman" w:cs="Times New Roman"/>
          <w:sz w:val="28"/>
        </w:rPr>
        <w:instrText xml:space="preserve"> ADDIN ZOTERO_ITEM CSL_CITATION {"citationID":"a2ia8j8lm3","properties":{"formattedCitation":"[24\\uc0\\u8211{}29]","plainCitation":"[24–29]","noteIndex":0},"citationItems":[{"id":680,"uris":["http://zotero.org/users/8787459/items/BWYWRE7L"],"itemData":{"id":680,"type":"article-journal","abstract":"PURPOSE\nWe aimed to examine the possible relationship between abdominal adiposity parameters and the presence of colorectal cancer (CRC) and between these adiposity parameters and various histopathologic findings of the tumor.\n\nMETHODS\nA total of 60 control subjects and 111 CRC patients, 63 with early-stage and 48 with advanced-stage disease, were enrolled. Medical data and abdominopelvic computed tomography (CT) examinations of each study group were retrospectively reviewed. Abdominal adiposity parameters, including visceral adipose tissue (VAT) volume, subcutaneous adipose tissue (SAT) volume, and total adipose tissue (TAT) volume, were calculated on all slices of the CT examinations with specialized software, and results for each study group were compared. Adiposity parameters were also compared with tumor histopathologic findings.\n\nRESULTS\nWe found lower VAT and higher SAT volumes in advanced-stage CRC patients, compared with the early-stage group. However, this relationship was not statistically significant (P = 0.721 for VAT and P = 0.432 for SAT volumes). We detected significantly lower VAT and SAT volumes in the early-stage CRC group compared with the control group (P = 0.014 for both). There was no significant relationship between TAT volumes and the study groups (P = 0.06). No statistically significant relationship was detected between adipose tissue parameters and histopathologic features of the CRC group (P &gt; 0.05).\n\nCONCLUSION\nWe found statistically significant lower VAT and SAT volumes in patients with early-stage CRC compared with the control group. Volumetric adipose tissue measurements may be more accurate than area measurements and can easily be performed on abdominopelvic CT examination, which is the routine imaging modality for CRC patients.","container-title":"Diagnostic and Interventional Radiology","DOI":"10.5152/dir.2019.18350","ISSN":"1305-3825","issue":"5","journalAbbreviation":"Diagn Interv Radiol","note":"PMID: 31287430\nPMCID: PMC6727813","page":"338-345","source":"PubMed Central","title":"Is visceral obesity associated with colorectal cancer? The first volumetric study using all CT slices","title-short":"Is visceral obesity associated with colorectal cancer?","volume":"25","author":[{"family":"Akay","given":"Sinan"},{"family":"Urkan","given":"Murat"},{"family":"Balyemez","given":"Uğurcan"},{"family":"Erşen","given":"Mehmet"},{"family":"Taşar","given":"Mustafa"}],"issued":{"date-parts":[["2019",9]]}},"label":"page"},{"id":678,"uris":["http://zotero.org/users/8787459/items/K7G785KC"],"itemData":{"id":678,"type":"article-journal","abstract":"In this study, we unravel a molecular imaging marker correlated with the known reduction of cardiovascular events (most commonly related to vulnerable plaques) in morbidly obese patients after bariatric surgery (BaS).We prospectively imaged 10 morbidly obese subjects with F-fluorodeoxyglucose (F-FDG) positron emission tomography/computed tomography before and 1 year after BaS. F-FDG uptake-which is enhanced in inflamed, atherosclerotic vessels and in metabolically active adipose tissues-was quantified in the carotids, pericardial adipose tissue (PAT), visceral adipose tissue (VAT), as well as brown adipose tissue (BAT). The degree of carotid inflammation was compared to lean and overweight controls.Carotid inflammation significantly declined leading to an F-FDG uptake comparable to the 2 control groups. Metabolic activity significantly decreased in PAT and VAT and increased in BAT.BaS leads to a normalization of carotid artery inflammation and a beneficial impact on the metabolic activity in PAT, VAT, and BAT that is related to the metabolic syndrome observed in this patient group.","container-title":"Medicine","DOI":"10.1097/MD.0000000000000725","ISSN":"1536-5964","issue":"20","journalAbbreviation":"Medicine (Baltimore)","language":"eng","note":"PMID: 25997038\nPMCID: PMC4602867","page":"e725","source":"PubMed","title":"Impact of bariatric surgery on carotid artery inflammation and the metabolic activity in different adipose tissues","volume":"94","author":[{"family":"Bucerius","given":"Jan"},{"family":"Vijgen","given":"Guy H. E. J."},{"family":"Brans","given":"Boudewijn"},{"family":"Bouvy","given":"Nicole D."},{"family":"Bauwens","given":"Matthias"},{"family":"Rudd","given":"James H. F."},{"family":"Havekes","given":"Bas"},{"family":"Fayad","given":"Zahi A."},{"family":"Marken Lichtenbelt","given":"Wouter D.","non-dropping-particle":"van"},{"family":"Mottaghy","given":"Felix M."}],"issued":{"date-parts":[["2015",5]]}},"label":"page"},{"id":679,"uris":["http://zotero.org/users/8787459/items/EBEV8YJ2"],"itemData":{"id":679,"type":"article-journal","abstract":"OBJECTIVES: The current study tested the hypothesis that glucose utilization differs between visceral adipose tissue (VAT) and subcutaneous adipose tissue (SAT), and investigated potential mechanisms for such a finding.\nBACKGROUND: VAT burden correlates better with cardiovascular risk than does SAT burden. Beyond volumetric measurement, glucose uptake in adipose tissue (AT) might reflect metabolic activity and provide pathophysiologic insight and aid risk stratification.\nMETHODS: We retrospectively studied tissue-specific glucose uptake in vivo in clinically obtained whole-body fluorodeoxyglucose positron emission tomography (FDG-PET) scans in humans. We also assessed glucose uptake in vitro, using stromal vascular cells isolated from SAT and VAT of diet-induced obese C57BL/6 mice. Quantitative polymerase chain reaction (PCR) evaluated the expression of multiple genes involved in cellular glucose metabolism, including glucose transporters (GLUT-1, -3, and -4) and hexokinases (HK-1 and -2) in SAT and VAT of obese C57BL/6 mice.\nRESULTS: We analyzed whole-body FDG-PET scans from 31 obese and 26 lean patients. VAT exhibited higher FDG uptake compared with SAT (p &lt; 0.0001) independent of age, sex, body mass index, comorbidities, and medications. To investigate mechanisms underlying this observation, we studied glucose uptake in the stromal vascular cell fraction of AT, which is rich in inflammatory cells. Stromal vascular cells from VAT of diet-induced obese C57BL/6 mice exhibited higher glucose uptake than those from SAT (p = 0.01). Evaluation of expression of glucose transporters (GLUT-1, -3, and -4) and hexokinases (HK-1 and -2), revealed increased expression of HK-1 in VAT-derived compared with SAT-derived stromal vascular cells, and also in visceral versus subcutaneous unfractionated AT.\nCONCLUSIONS: In humans in vivo, VAT has increased glucose uptake compared with SAT, as determined noninvasively with FDG PET imaging. Differential stromal metabolic activity may be 1 mechanism underlying differences in metabolic activity of visceral and subcutaneous AT.","container-title":"JACC. Cardiovascular imaging","DOI":"10.1016/j.jcmg.2010.06.004","ISSN":"1876-7591","issue":"8","journalAbbreviation":"JACC Cardiovasc Imaging","language":"eng","note":"PMID: 20705265\nPMCID: PMC4042675","page":"843-851","source":"PubMed","title":"Increased glucose uptake in visceral versus subcutaneous adipose tissue revealed by PET imaging","volume":"3","author":[{"family":"Christen","given":"Thomas"},{"family":"Sheikine","given":"Yuri"},{"family":"Rocha","given":"Viviane Z."},{"family":"Hurwitz","given":"Shelley"},{"family":"Goldfine","given":"Allison B."},{"family":"Di Carli","given":"Marcelo"},{"family":"Libby","given":"Peter"}],"issued":{"date-parts":[["2010",8]]}},"label":"page"},{"id":573,"uris":["http://zotero.org/users/8787459/items/U3C2FIIJ"],"itemData":{"id":573,"type":"article-journal","abstract":"BACKGROUND: Whereas obesity has been associated with an increased risk of colon cancer in men, a weak or no association has been observed in women. Results for rectal cancer have also been inconsistent.\nOBJECTIVE: The objective was to perform a meta-analysis to summarize the available evidence from prospective studies on the associations of overall and abdominal obesity with the risk of colon and rectal cancer.\nDESIGN: We searched MEDLINE (1966-April 2007) and the references of the retrieved articles. Study-specific relative risks (RRs) were pooled by using a random-effects model.\nRESULTS: Thirty prospective studies were included in the meta-analysis of body mass index (BMI; in kg/m(2)). Overall, a 5-unit increase in BMI was related to an increased risk of colon cancer in both men (RR: 1.30; 95% CI: 1.25, 1.35) and women (RR: 1.12; 95% CI: 1.07, 1.18), but the association was stronger in men (P &lt; 0.001). BMI was positively associated with rectal cancer in men (RR: 1.12; 95% CI: 1.09, 1.16) but not in women (RR: 1.03; 95% CI: 0.99, 1.08). The difference in RRs between cancer sites was statistically significant (P &lt; 0.001 in men and P = 0.04 in women). Colon cancer risk increased with increasing waist circumference (per 10-cm increase) in both men (RR: 1.33; 95% CI: 1.19, 1.49) and women (RR: 1.16; 95% CI: 1.09, 1.23) and with increasing waist-hip ratio (per 0.1-unit increase) in both men (RR: 1.43; 95% CI: 1.19, 1.71) and women (RR: 1.20; 95% CI: 1.08, 1.33).\nCONCLUSIONS: The association between obesity and colon and rectal cancer risk varies by sex and cancer site.","container-title":"The American Journal of Clinical Nutrition","DOI":"10.1093/ajcn/86.3.556","ISSN":"0002-9165","issue":"3","journalAbbreviation":"Am J Clin Nutr","language":"eng","note":"PMID: 17823417","page":"556-565","source":"PubMed","title":"Obesity and colon and rectal cancer risk: a meta-analysis of prospective studies","title-short":"Obesity and colon and rectal cancer risk","volume":"86","author":[{"family":"Larsson","given":"Susanna C."},{"family":"Wolk","given":"Alicja"}],"issued":{"date-parts":[["2007",9]]}},"label":"page"},{"id":684,"uris":["http://zotero.org/users/8787459/items/4JD97NHI"],"itemData":{"id":684,"type":"article-journal","abstract":"OBJECTIVES: To investigate the role of functional visceral fat activity assessed by preoperative F-18 fluorodeoxyglucose positron emission tomography/computed tomography (18F-FDG PET/CT) in colorectal cancer (CRC) for predicting regional lymph node (LN) or distant metastasis.\nMETHOD: We evaluated 131 patients with newly diagnosed CRC. They all underwent pre-operative 18F-FDG PET/CT and surgery. Functional fat activity was measured by maximum standardized uptake value (SUVmax) using 18F-FDG PET/CT. Functional visceral fat activity was measured by SUVmax of visceral fat/SUVmax of subcutaneous fat (V/S) ratio. Mann-Whitney U test, χ2 test, Fisher's exact test, receiver-operating characteristic (ROC) analysis, Spearrman's correlation coefficient, and uni- and multivariate logistic regression statistical analyses were done.\nRESULTS: Patients with higher V/S ratio displayed a significantly higher rate of regional LN (p = 0.004) and distant metastasis (p&lt;0.001). In addition, V/S ratio was the only factor that was significantly associated with distant metastasis. An optimal cut-off V/S ratio of 1.88 was proposed for predicting distant metastasis with a sensitivity of 84.6% and specificity of 78.8% (area under the curve: 0.86; p&lt;0.0001).\nCONCLUSION: Functional visceral fat activity is significantly associated with distant metastasis in CRC patients. Furthermore, V/S ratio can be useful as a complementary factor in predicting distant metastasis.","container-title":"PloS One","DOI":"10.1371/journal.pone.0148776","ISSN":"1932-6203","issue":"2","journalAbbreviation":"PLoS One","language":"eng","note":"PMID: 26862754\nPMCID: PMC4749214","page":"e0148776","source":"PubMed","title":"Predictive Role of Functional Visceral Fat Activity Assessed by Preoperative F-18 FDG PET/CT for Regional Lymph Node or Distant Metastasis in Patients with Colorectal Cancer","volume":"11","author":[{"family":"Pahk","given":"Kisoo"},{"family":"Rhee","given":"Seunghong"},{"family":"Kim","given":"Sungeun"},{"family":"Choe","given":"Jae Gol"}],"issued":{"date-parts":[["2016"]]}},"label":"page"},{"id":681,"uris":["http://zotero.org/users/8787459/items/P2HUSZHS"],"itemData":{"id":681,"type":"article-journal","abstract":"INTRODUCTION: Compared to subcutaneous fat, visceral fat is more metabolically active, leading to chronic inflammation and tumorigenesis. The aim of this study is to describe the effect of visceral obesity on colorectal cancer outcomes using computed tomography (CT) imaging to measure visceral fat.\nMATERIALS AND METHODS: We conducted a retrospective chart review of patients who underwent surgical resection for colorectal cancer. Visceral fat volume was measured by preoperative CT scans. Final analysis was performed by stratifying patients based on oncologic stage.\nRESULTS: Two hundred nineteen patients met the inclusion criteria, 111 viscerally obese and 108 nonobese. Body mass index (BMI) weakly correlated with visceral fat volume measurements (R                   (2) = 0.304). Whereas obese patients had no difference in survival when categorizing obesity by BMI, categorizing based on visceral fat volume resulted in significant differences in stage II and stage III patients. In stage II cancer, viscerally obese patients had a nearly threefold decrease in disease-free survival (hazard ratio (HR) = 2.72; 95 % confidence interval (CI) = 1.21, 6.10). In stage III cancer, viscerally obese patients had a longer time to recurrence (HR = 0.39; 95 % CI = 0.16, 0.99).\nCONCLUSION: This study shows that viscerally obese patients with stage II colorectal cancer are at higher risk for poor outcomes and should be increasingly considered for adjuvant chemotherapy.","container-title":"Journal of Gastrointestinal Surgery: Official Journal of the Society for Surgery of the Alimentary Tract","DOI":"10.1007/s11605-012-2045-9","ISSN":"1873-4626","issue":"1","journalAbbreviation":"J Gastrointest Surg","language":"eng","note":"PMID: 23090279","page":"133-143; discussion p.143","source":"PubMed","title":"Visceral obesity and colorectal cancer: are we missing the boat with BMI?","title-short":"Visceral obesity and colorectal cancer","volume":"17","author":[{"family":"Rickles","given":"Aaron S."},{"family":"Iannuzzi","given":"James C."},{"family":"Mironov","given":"Oleg"},{"family":"Deeb","given":"Andrew-Paul"},{"family":"Sharma","given":"Abhiram"},{"family":"Fleming","given":"Fergal J."},{"family":"Monson","given":"John R. T."}],"issued":{"date-parts":[["2013",1]]}},"label":"page"}],"schema":"https://github.com/citation-style-language/schema/raw/master/csl-citation.json"} </w:instrText>
      </w:r>
      <w:r w:rsidR="00BE318E" w:rsidRPr="00A43B9C">
        <w:rPr>
          <w:rFonts w:ascii="Times New Roman" w:hAnsi="Times New Roman" w:cs="Times New Roman"/>
          <w:sz w:val="28"/>
        </w:rPr>
        <w:fldChar w:fldCharType="separate"/>
      </w:r>
      <w:r w:rsidR="00F6152F" w:rsidRPr="00F6152F">
        <w:rPr>
          <w:rFonts w:ascii="Times New Roman" w:hAnsi="Times New Roman" w:cs="Times New Roman"/>
          <w:sz w:val="28"/>
          <w:szCs w:val="24"/>
        </w:rPr>
        <w:t>[24</w:t>
      </w:r>
      <w:r w:rsidR="00FF4BDB">
        <w:rPr>
          <w:rFonts w:ascii="Times New Roman" w:hAnsi="Times New Roman" w:cs="Times New Roman"/>
          <w:sz w:val="28"/>
          <w:szCs w:val="24"/>
        </w:rPr>
        <w:t>-</w:t>
      </w:r>
      <w:r w:rsidR="00F6152F" w:rsidRPr="00F6152F">
        <w:rPr>
          <w:rFonts w:ascii="Times New Roman" w:hAnsi="Times New Roman" w:cs="Times New Roman"/>
          <w:sz w:val="28"/>
          <w:szCs w:val="24"/>
        </w:rPr>
        <w:t>29]</w:t>
      </w:r>
      <w:r w:rsidR="00BE318E" w:rsidRPr="00A43B9C">
        <w:rPr>
          <w:rFonts w:ascii="Times New Roman" w:hAnsi="Times New Roman" w:cs="Times New Roman"/>
          <w:sz w:val="28"/>
        </w:rPr>
        <w:fldChar w:fldCharType="end"/>
      </w:r>
      <w:r w:rsidRPr="00A43B9C">
        <w:rPr>
          <w:rFonts w:ascii="Times New Roman" w:hAnsi="Times New Roman" w:cs="Times New Roman"/>
          <w:sz w:val="28"/>
        </w:rPr>
        <w:t>.</w:t>
      </w:r>
      <w:r w:rsidR="00D85264" w:rsidRPr="00A43B9C">
        <w:rPr>
          <w:rFonts w:ascii="Times New Roman" w:hAnsi="Times New Roman" w:cs="Times New Roman"/>
          <w:sz w:val="28"/>
        </w:rPr>
        <w:t xml:space="preserve"> </w:t>
      </w:r>
      <w:r w:rsidR="00796BCF" w:rsidRPr="00A43B9C">
        <w:rPr>
          <w:rFonts w:ascii="Times New Roman" w:eastAsia="Times New Roman" w:hAnsi="Times New Roman" w:cs="Times New Roman"/>
          <w:color w:val="000000"/>
          <w:sz w:val="28"/>
          <w:szCs w:val="28"/>
          <w:lang w:eastAsia="ru-RU"/>
        </w:rPr>
        <w:t xml:space="preserve">Позитронно-эмиссионная томография, совмещенная </w:t>
      </w:r>
      <w:r w:rsidR="006B1078" w:rsidRPr="00A43B9C">
        <w:rPr>
          <w:rFonts w:ascii="Times New Roman" w:eastAsia="Times New Roman" w:hAnsi="Times New Roman" w:cs="Times New Roman"/>
          <w:color w:val="000000"/>
          <w:sz w:val="28"/>
          <w:szCs w:val="28"/>
          <w:lang w:eastAsia="ru-RU"/>
        </w:rPr>
        <w:t>с компьютерной томографией,</w:t>
      </w:r>
      <w:r w:rsidR="00796BCF" w:rsidRPr="00A43B9C">
        <w:rPr>
          <w:rFonts w:ascii="Times New Roman" w:eastAsia="Times New Roman" w:hAnsi="Times New Roman" w:cs="Times New Roman"/>
          <w:sz w:val="28"/>
          <w:szCs w:val="28"/>
          <w:lang w:eastAsia="ru-RU"/>
        </w:rPr>
        <w:t xml:space="preserve"> </w:t>
      </w:r>
      <w:r w:rsidR="00EB676A" w:rsidRPr="00A43B9C">
        <w:rPr>
          <w:rFonts w:ascii="Times New Roman" w:hAnsi="Times New Roman" w:cs="Times New Roman"/>
          <w:sz w:val="28"/>
          <w:szCs w:val="28"/>
        </w:rPr>
        <w:t xml:space="preserve">считается </w:t>
      </w:r>
      <w:r w:rsidR="00DC48A6" w:rsidRPr="00A43B9C">
        <w:rPr>
          <w:rFonts w:ascii="Times New Roman" w:hAnsi="Times New Roman" w:cs="Times New Roman"/>
          <w:sz w:val="28"/>
          <w:szCs w:val="28"/>
        </w:rPr>
        <w:t>высокот</w:t>
      </w:r>
      <w:r w:rsidRPr="00A43B9C">
        <w:rPr>
          <w:rFonts w:ascii="Times New Roman" w:hAnsi="Times New Roman" w:cs="Times New Roman"/>
          <w:sz w:val="28"/>
          <w:szCs w:val="28"/>
        </w:rPr>
        <w:t>ехнологи</w:t>
      </w:r>
      <w:r w:rsidR="00DC48A6" w:rsidRPr="00A43B9C">
        <w:rPr>
          <w:rFonts w:ascii="Times New Roman" w:hAnsi="Times New Roman" w:cs="Times New Roman"/>
          <w:sz w:val="28"/>
          <w:szCs w:val="28"/>
        </w:rPr>
        <w:t>чн</w:t>
      </w:r>
      <w:r w:rsidR="00EB676A" w:rsidRPr="00A43B9C">
        <w:rPr>
          <w:rFonts w:ascii="Times New Roman" w:hAnsi="Times New Roman" w:cs="Times New Roman"/>
          <w:sz w:val="28"/>
          <w:szCs w:val="28"/>
        </w:rPr>
        <w:t>ым</w:t>
      </w:r>
      <w:r w:rsidR="00DC48A6" w:rsidRPr="00A43B9C">
        <w:rPr>
          <w:rFonts w:ascii="Times New Roman" w:hAnsi="Times New Roman" w:cs="Times New Roman"/>
          <w:sz w:val="28"/>
          <w:szCs w:val="28"/>
        </w:rPr>
        <w:t xml:space="preserve"> исследование</w:t>
      </w:r>
      <w:r w:rsidR="00EB676A" w:rsidRPr="00A43B9C">
        <w:rPr>
          <w:rFonts w:ascii="Times New Roman" w:hAnsi="Times New Roman" w:cs="Times New Roman"/>
          <w:sz w:val="28"/>
          <w:szCs w:val="28"/>
        </w:rPr>
        <w:t>м</w:t>
      </w:r>
      <w:r w:rsidRPr="00A43B9C">
        <w:rPr>
          <w:rFonts w:ascii="Times New Roman" w:hAnsi="Times New Roman" w:cs="Times New Roman"/>
          <w:sz w:val="28"/>
          <w:szCs w:val="28"/>
        </w:rPr>
        <w:t xml:space="preserve">, </w:t>
      </w:r>
      <w:r w:rsidR="00AE3687">
        <w:rPr>
          <w:rFonts w:ascii="Times New Roman" w:hAnsi="Times New Roman" w:cs="Times New Roman"/>
          <w:sz w:val="28"/>
          <w:szCs w:val="28"/>
        </w:rPr>
        <w:t xml:space="preserve">который </w:t>
      </w:r>
      <w:r w:rsidRPr="00A43B9C">
        <w:rPr>
          <w:rFonts w:ascii="Times New Roman" w:hAnsi="Times New Roman" w:cs="Times New Roman"/>
          <w:sz w:val="28"/>
          <w:szCs w:val="28"/>
        </w:rPr>
        <w:t>объединя</w:t>
      </w:r>
      <w:r w:rsidR="00AE3687">
        <w:rPr>
          <w:rFonts w:ascii="Times New Roman" w:hAnsi="Times New Roman" w:cs="Times New Roman"/>
          <w:sz w:val="28"/>
          <w:szCs w:val="28"/>
        </w:rPr>
        <w:t>ет</w:t>
      </w:r>
      <w:r w:rsidRPr="00A43B9C">
        <w:rPr>
          <w:rFonts w:ascii="Times New Roman" w:hAnsi="Times New Roman" w:cs="Times New Roman"/>
          <w:sz w:val="28"/>
          <w:szCs w:val="28"/>
        </w:rPr>
        <w:t xml:space="preserve"> </w:t>
      </w:r>
      <w:r w:rsidR="00AE3687">
        <w:rPr>
          <w:rFonts w:ascii="Times New Roman" w:hAnsi="Times New Roman" w:cs="Times New Roman"/>
          <w:sz w:val="28"/>
          <w:szCs w:val="28"/>
        </w:rPr>
        <w:t xml:space="preserve">в себе </w:t>
      </w:r>
      <w:r w:rsidRPr="00A43B9C">
        <w:rPr>
          <w:rFonts w:ascii="Times New Roman" w:hAnsi="Times New Roman" w:cs="Times New Roman"/>
          <w:sz w:val="28"/>
          <w:szCs w:val="28"/>
        </w:rPr>
        <w:t>два современных метода обследования</w:t>
      </w:r>
      <w:r w:rsidR="00B740F7" w:rsidRPr="00A43B9C">
        <w:rPr>
          <w:rFonts w:ascii="Times New Roman" w:hAnsi="Times New Roman" w:cs="Times New Roman"/>
          <w:sz w:val="28"/>
          <w:szCs w:val="28"/>
        </w:rPr>
        <w:t xml:space="preserve"> - </w:t>
      </w:r>
      <w:r w:rsidRPr="00A43B9C">
        <w:rPr>
          <w:rFonts w:ascii="Times New Roman" w:hAnsi="Times New Roman" w:cs="Times New Roman"/>
          <w:sz w:val="28"/>
          <w:szCs w:val="28"/>
        </w:rPr>
        <w:t xml:space="preserve">ПЭТ и КТ. </w:t>
      </w:r>
      <w:r w:rsidR="00DC48A6" w:rsidRPr="00A43B9C">
        <w:rPr>
          <w:rFonts w:ascii="Times New Roman" w:hAnsi="Times New Roman" w:cs="Times New Roman"/>
          <w:sz w:val="28"/>
          <w:szCs w:val="28"/>
        </w:rPr>
        <w:t>Это гибридный диагностический м</w:t>
      </w:r>
      <w:r w:rsidRPr="00A43B9C">
        <w:rPr>
          <w:rFonts w:ascii="Times New Roman" w:hAnsi="Times New Roman" w:cs="Times New Roman"/>
          <w:sz w:val="28"/>
          <w:szCs w:val="28"/>
        </w:rPr>
        <w:t>етод</w:t>
      </w:r>
      <w:r w:rsidR="00DC48A6" w:rsidRPr="00A43B9C">
        <w:rPr>
          <w:rFonts w:ascii="Times New Roman" w:hAnsi="Times New Roman" w:cs="Times New Roman"/>
          <w:sz w:val="28"/>
          <w:szCs w:val="28"/>
        </w:rPr>
        <w:t>,</w:t>
      </w:r>
      <w:r w:rsidRPr="00A43B9C">
        <w:rPr>
          <w:rFonts w:ascii="Times New Roman" w:hAnsi="Times New Roman" w:cs="Times New Roman"/>
          <w:sz w:val="28"/>
          <w:szCs w:val="28"/>
        </w:rPr>
        <w:t xml:space="preserve"> позволя</w:t>
      </w:r>
      <w:r w:rsidR="00DC48A6" w:rsidRPr="00A43B9C">
        <w:rPr>
          <w:rFonts w:ascii="Times New Roman" w:hAnsi="Times New Roman" w:cs="Times New Roman"/>
          <w:sz w:val="28"/>
          <w:szCs w:val="28"/>
        </w:rPr>
        <w:t>ющий</w:t>
      </w:r>
      <w:r w:rsidRPr="00A43B9C">
        <w:rPr>
          <w:rFonts w:ascii="Times New Roman" w:hAnsi="Times New Roman" w:cs="Times New Roman"/>
          <w:sz w:val="28"/>
          <w:szCs w:val="28"/>
        </w:rPr>
        <w:t xml:space="preserve"> </w:t>
      </w:r>
      <w:r w:rsidR="00DC48A6" w:rsidRPr="00A43B9C">
        <w:rPr>
          <w:rFonts w:ascii="Times New Roman" w:hAnsi="Times New Roman" w:cs="Times New Roman"/>
          <w:sz w:val="28"/>
          <w:szCs w:val="28"/>
        </w:rPr>
        <w:t>визуализировать не только анатомию и морфологию органов, но и определять метаболизм различных веществ в органах и тканях, таким образом определяя патологические изменения на молекулярном уровне</w:t>
      </w:r>
      <w:r w:rsidRPr="00A43B9C">
        <w:rPr>
          <w:rFonts w:ascii="Times New Roman" w:hAnsi="Times New Roman" w:cs="Times New Roman"/>
          <w:sz w:val="28"/>
          <w:szCs w:val="28"/>
        </w:rPr>
        <w:t xml:space="preserve">. Специфичность ПЭТ/КТ заключается в возможности визуализации жизнеспособной опухолевой ткани и оценки ее биологической активности по степени интенсивности накопления в тканях </w:t>
      </w:r>
      <w:r w:rsidR="00824607" w:rsidRPr="00A43B9C">
        <w:rPr>
          <w:rFonts w:ascii="Times New Roman" w:hAnsi="Times New Roman" w:cs="Times New Roman"/>
          <w:sz w:val="28"/>
          <w:szCs w:val="28"/>
        </w:rPr>
        <w:fldChar w:fldCharType="begin"/>
      </w:r>
      <w:r w:rsidR="00F6152F">
        <w:rPr>
          <w:rFonts w:ascii="Times New Roman" w:hAnsi="Times New Roman" w:cs="Times New Roman"/>
          <w:sz w:val="28"/>
          <w:szCs w:val="28"/>
        </w:rPr>
        <w:instrText xml:space="preserve"> ADDIN ZOTERO_ITEM CSL_CITATION {"citationID":"alociukv42","properties":{"formattedCitation":"[30\\uc0\\u8211{}33]","plainCitation":"[30–33]","noteIndex":0},"citationItems":[{"id":311,"uris":["http://zotero.org/users/8787459/items/AGWWLERQ"],"itemData":{"id":311,"type":"article-journal","abstract":"The evaluation of patients with known or suspected recurrent colorectal carcinoma is now an accepted indication for positron emission tomography using (18)F-fluorodeoxyglucose (FDG-PET) imaging. FDG-PET does not replace imaging modalities such as computed tomography (CT) for preoperative anatomic evaluation but is indicated as the initial test for diagnosis and staging of recurrence and for preoperative staging (N and M) of known recurrence that is considered to be resectable. FDG-PET imaging is valuable for the differentiation of posttreatment changes from recurrent tumor, differentiation of benign from malignant lesions (indeterminate lymph nodes, hepatic and pulmonary lesions), and the evaluation of patients with rising tumor markers in the absence of a known source. The addition of FDG-PET to the evaluation of these patients reduces overall treatment costs by accurately identifying patients who will and will not benefit from surgical procedures. Although initial staging at the time of diagnosis is often performed during colectomy, FDG-PET imaging is recommended for a subgroup of patients at high risk (with elevated CEA levels) and normal CT and for whom surgery can be avoided if FDG-PET shows metastases. Screening for recurrence in patients at high risk has also been advocated. FDG-PET imaging seems promising for monitoring patient response to therapy but larger studies are necessary. The diagnostic implications of integrated PET-CT imaging include improved detection of lesions on both the CT and FDG-PET images, better differentiation of physiologic from pathologic foci of metabolism, and better localization of the pathologic foci. This new powerful technology provides more accurate interpretation of both CT and FDG-PET images and therefore more optimal patient care. PET-CT fusion images affect the clinical management by guiding further procedures (biopsy, surgery, radiation therapy), excluding the need for additional procedures, and changing both inter- and intramodality therapy.","container-title":"Seminars in Nuclear Medicine","DOI":"10.1053/j.semnuclmed.2004.03.006","ISSN":"0001-2998","issue":"3","journalAbbreviation":"Semin Nucl Med","language":"eng","note":"PMID: 15202102","page":"209-223","source":"PubMed","title":"PET and PET-CT for evaluation of colorectal carcinoma","volume":"34","author":[{"family":"Delbeke","given":"Dominique"},{"family":"Martin","given":"William H."}],"issued":{"date-parts":[["2004",7]]}},"label":"page"},{"id":313,"uris":["http://zotero.org/users/8787459/items/KCX9UK3A"],"itemData":{"id":313,"type":"article-journal","abstract":"Since its introduction in the early nineties as a promising functional imaging technique in the management of neoplastic disorders, FDG-PET, and subsequently FDG-PET/CT, has become a cornerstone in several oncologic procedures such as tumor staging and restaging, treatment efficacy assessment during or after treatment end and radiotherapy planning. Moreover, the continuous technological progress of image generation and the introduction of sophisticated software to use PET scan as a biomarker paved the way to calculate new prognostic markers such as the metabolic tumor volume (MTV) and the total amount of tumor glycolysis (TLG). FDG-PET/CT proved more sensitive than contrast-enhanced CT scan in staging of several type of lymphoma or in detecting widespread tumor dissemination in several solid cancers, such as breast, lung, colon, ovary and head and neck carcinoma. As a consequence the stage of patients was upgraded, with a change of treatment in 10%-15% of them. One of the most evident advantages of FDG-PET was its ability to detect, very early during treatment, significant changes in glucose metabolism or even complete shutoff of the neoplastic cell metabolism as a surrogate of tumor chemosensitivity assessment. This could enable clinicians to detect much earlier the effectiveness of a given antineoplastic treatment, as compared to the traditional radiological detection of tumor shrinkage, which usually takes time and occurs much later.","container-title":"Cancers","DOI":"10.3390/cancers6041821","ISSN":"2072-6694","issue":"4","journalAbbreviation":"Cancers (Basel)","language":"eng","note":"PMID: 25268160\nPMCID: PMC4276948","page":"1821-1889","source":"PubMed","title":"Positron Emission Tomography (PET) in Oncology","volume":"6","author":[{"family":"Gallamini","given":"Andrea"},{"family":"Zwarthoed","given":"Colette"},{"family":"Borra","given":"Anna"}],"issued":{"date-parts":[["2014",9,29]]}},"label":"page"},{"id":443,"uris":["http://zotero.org/users/8787459/items/ANGHD9JN"],"itemData":{"id":443,"type":"article-journal","abstract":"The current follow-up programmes for patients with colorectal cancer (CRC) after curative surgery do not include 18F-fluorodeoxyglucose-positron emission tomography (PET). Several small studies on selected patient populations indicate a high sensitivity of PET/computed tomography (CT) on visualizing relapse in patients with CRC after curative surgery. Therefore, PET/CT could probably be valuable in patients with unexplained increase in carcinoembryonic antigen level or a clinical suspicion of relapse, but PET/CT is not recommended as a standard in follow-up after CRC.","container-title":"Ugeskrift for Laeger","ISSN":"1603-6824","issue":"37","journalAbbreviation":"Ugeskr Laeger","language":"dan","note":"PMID: 27649583","page":"V03160229","source":"PubMed","title":"[Positron emission tomography/computed tomography in follow-up programmes for patients with colorectal cancer]","volume":"178","author":[{"family":"Hansen","given":"Anne Fogh"},{"family":"Jensen","given":"Mads Radmer"},{"family":"Nordholm-Carstensen","given":"Andreas"}],"issued":{"date-parts":[["2016",9,12]]}},"label":"page"},{"id":517,"uris":["http://zotero.org/users/8787459/items/DRMNUQAH"],"itemData":{"id":517,"type":"article-journal","abstract":"PURPOSE: Accurate preoperative staging of colon cancer is essential for providing the optimal treatment strategy and evaluating the expected prognosis. The aim of this study is to assess the value of positron emission tomography/computed tomography (PET/CT) over conventional studies in the staging of colon cancer.\nMETHODS: A total of 266 colon cancer patients diagnosed between January 2008 and December 2010 were assessed with both PET/CT and conventional studies. Discordance with PET/CT and conventional studies were evaluated, and changes in the management strategy were assessed for each stage. Discordant findings were verified by using intraoperative examination, pathology reports, and follow-up imaging studies.\nRESULTS: Multidetector computed tomography (MDCT) and PET/CT showed similar accuracy in detecting lymph node metastasis in patients with clinical stage III (36.2% vs. 42%, P = 0.822) and stage IV (60.3% vs. 63.5%, P = 0.509) disease. PET/CT led to a change in management strategy for 1 of 40 patients (2.5%) with clinical stage I, 0 of 25 patients (0%) with stage II, 9 of 138 patients (6.5%) with stage III, and 8 of 63 patients (12.7%) with stage IV disease.\nCONCLUSION: PET/CT changed the management plan in 6.5% of patients with clinical stage III and 12.7% of patients with clinical stage IV colon cancer. Our findings suggest that PET/CT may be considered as a routine staging tool for clinical stage III and IV colon cancers.","container-title":"Annals of Coloproctology","DOI":"10.3393/ac.2014.30.1.23","ISSN":"2287-9714","issue":"1","journalAbbreviation":"Ann Coloproctol","language":"eng","note":"PMID: 24639967\nPMCID: PMC3953165","page":"23-27","source":"PubMed","title":"Positron emission tomography/computed tomography in the staging of colon cancer","volume":"30","author":[{"family":"Lee","given":"Jae Hyung"},{"family":"Lee","given":"Min Ro"}],"issued":{"date-parts":[["2014",2]]}},"label":"page"}],"schema":"https://github.com/citation-style-language/schema/raw/master/csl-citation.json"} </w:instrText>
      </w:r>
      <w:r w:rsidR="00824607" w:rsidRPr="00A43B9C">
        <w:rPr>
          <w:rFonts w:ascii="Times New Roman" w:hAnsi="Times New Roman" w:cs="Times New Roman"/>
          <w:sz w:val="28"/>
          <w:szCs w:val="28"/>
        </w:rPr>
        <w:fldChar w:fldCharType="separate"/>
      </w:r>
      <w:r w:rsidR="00F6152F" w:rsidRPr="00F6152F">
        <w:rPr>
          <w:rFonts w:ascii="Times New Roman" w:hAnsi="Times New Roman" w:cs="Times New Roman"/>
          <w:sz w:val="28"/>
          <w:szCs w:val="24"/>
        </w:rPr>
        <w:t>[30</w:t>
      </w:r>
      <w:r w:rsidR="00FF4BDB">
        <w:rPr>
          <w:rFonts w:ascii="Times New Roman" w:hAnsi="Times New Roman" w:cs="Times New Roman"/>
          <w:sz w:val="28"/>
          <w:szCs w:val="24"/>
        </w:rPr>
        <w:t>-</w:t>
      </w:r>
      <w:r w:rsidR="00F6152F" w:rsidRPr="00F6152F">
        <w:rPr>
          <w:rFonts w:ascii="Times New Roman" w:hAnsi="Times New Roman" w:cs="Times New Roman"/>
          <w:sz w:val="28"/>
          <w:szCs w:val="24"/>
        </w:rPr>
        <w:t>33]</w:t>
      </w:r>
      <w:r w:rsidR="00824607" w:rsidRPr="00A43B9C">
        <w:rPr>
          <w:rFonts w:ascii="Times New Roman" w:hAnsi="Times New Roman" w:cs="Times New Roman"/>
          <w:sz w:val="28"/>
          <w:szCs w:val="28"/>
        </w:rPr>
        <w:fldChar w:fldCharType="end"/>
      </w:r>
      <w:r w:rsidRPr="00A43B9C">
        <w:rPr>
          <w:rFonts w:ascii="Times New Roman" w:hAnsi="Times New Roman" w:cs="Times New Roman"/>
          <w:sz w:val="28"/>
          <w:szCs w:val="28"/>
        </w:rPr>
        <w:t>.</w:t>
      </w:r>
      <w:r w:rsidR="00D85264" w:rsidRPr="00A43B9C">
        <w:rPr>
          <w:rFonts w:ascii="Times New Roman" w:hAnsi="Times New Roman" w:cs="Times New Roman"/>
          <w:sz w:val="28"/>
          <w:szCs w:val="28"/>
        </w:rPr>
        <w:t xml:space="preserve"> </w:t>
      </w:r>
      <w:r w:rsidRPr="00A43B9C">
        <w:rPr>
          <w:rFonts w:ascii="Times New Roman" w:hAnsi="Times New Roman" w:cs="Times New Roman"/>
          <w:color w:val="000000"/>
          <w:sz w:val="28"/>
          <w:szCs w:val="28"/>
          <w:shd w:val="clear" w:color="auto" w:fill="FFFFFF"/>
        </w:rPr>
        <w:t xml:space="preserve">Преимущество радиоизотопной диагностики перед другими методами </w:t>
      </w:r>
      <w:r w:rsidRPr="00A43B9C">
        <w:rPr>
          <w:rFonts w:ascii="Times New Roman" w:hAnsi="Times New Roman" w:cs="Times New Roman"/>
          <w:color w:val="000000"/>
          <w:sz w:val="28"/>
          <w:szCs w:val="28"/>
          <w:shd w:val="clear" w:color="auto" w:fill="FFFFFF"/>
        </w:rPr>
        <w:lastRenderedPageBreak/>
        <w:t xml:space="preserve">заключается в ее универсальности. Она может быть использована для определения анатомических, функциональных и биохимических изменений в организме человека, что часто соседствует при различных заболеваниях. Данная диагностика основана на возможности качественной и количественной регистрации излучений от </w:t>
      </w:r>
      <w:r w:rsidR="00AE3687">
        <w:rPr>
          <w:rFonts w:ascii="Times New Roman" w:hAnsi="Times New Roman" w:cs="Times New Roman"/>
          <w:color w:val="000000"/>
          <w:sz w:val="28"/>
          <w:szCs w:val="28"/>
          <w:shd w:val="clear" w:color="auto" w:fill="FFFFFF"/>
        </w:rPr>
        <w:t>радиофармпрепарата</w:t>
      </w:r>
      <w:r w:rsidRPr="00A43B9C">
        <w:rPr>
          <w:rFonts w:ascii="Times New Roman" w:hAnsi="Times New Roman" w:cs="Times New Roman"/>
          <w:color w:val="000000"/>
          <w:sz w:val="28"/>
          <w:szCs w:val="28"/>
          <w:shd w:val="clear" w:color="auto" w:fill="FFFFFF"/>
        </w:rPr>
        <w:t>. Радио</w:t>
      </w:r>
      <w:r w:rsidR="00AE3687">
        <w:rPr>
          <w:rFonts w:ascii="Times New Roman" w:hAnsi="Times New Roman" w:cs="Times New Roman"/>
          <w:color w:val="000000"/>
          <w:sz w:val="28"/>
          <w:szCs w:val="28"/>
          <w:shd w:val="clear" w:color="auto" w:fill="FFFFFF"/>
        </w:rPr>
        <w:t>-</w:t>
      </w:r>
      <w:r w:rsidRPr="00A43B9C">
        <w:rPr>
          <w:rFonts w:ascii="Times New Roman" w:hAnsi="Times New Roman" w:cs="Times New Roman"/>
          <w:color w:val="000000"/>
          <w:sz w:val="28"/>
          <w:szCs w:val="28"/>
          <w:shd w:val="clear" w:color="auto" w:fill="FFFFFF"/>
        </w:rPr>
        <w:t xml:space="preserve">нуклиды и их соединения подбираются таким образом, чтобы их поведение в организме человека не отличалось от поведения естественных веществ, а значит, отличие будет только в возможности давать излучение, т.е. «выдавать» свое местонахождение, количество и </w:t>
      </w:r>
      <w:r w:rsidRPr="006D6032">
        <w:rPr>
          <w:rFonts w:ascii="Times New Roman" w:hAnsi="Times New Roman" w:cs="Times New Roman"/>
          <w:sz w:val="28"/>
          <w:szCs w:val="28"/>
          <w:shd w:val="clear" w:color="auto" w:fill="FFFFFF"/>
        </w:rPr>
        <w:t>динамику содержания</w:t>
      </w:r>
      <w:r w:rsidR="00824607" w:rsidRPr="006D6032">
        <w:rPr>
          <w:rFonts w:ascii="Times New Roman" w:hAnsi="Times New Roman" w:cs="Times New Roman"/>
          <w:sz w:val="28"/>
          <w:szCs w:val="28"/>
          <w:shd w:val="clear" w:color="auto" w:fill="FFFFFF"/>
        </w:rPr>
        <w:t xml:space="preserve"> </w:t>
      </w:r>
      <w:r w:rsidR="00824607" w:rsidRPr="006D6032">
        <w:rPr>
          <w:rFonts w:ascii="Times New Roman" w:hAnsi="Times New Roman" w:cs="Times New Roman"/>
          <w:sz w:val="28"/>
          <w:szCs w:val="28"/>
          <w:shd w:val="clear" w:color="auto" w:fill="FFFFFF"/>
        </w:rPr>
        <w:fldChar w:fldCharType="begin"/>
      </w:r>
      <w:r w:rsidR="00F6152F" w:rsidRPr="006D6032">
        <w:rPr>
          <w:rFonts w:ascii="Times New Roman" w:hAnsi="Times New Roman" w:cs="Times New Roman"/>
          <w:sz w:val="28"/>
          <w:szCs w:val="28"/>
          <w:shd w:val="clear" w:color="auto" w:fill="FFFFFF"/>
        </w:rPr>
        <w:instrText xml:space="preserve"> ADDIN ZOTERO_ITEM CSL_CITATION {"citationID":"a1apntbkjkf","properties":{"formattedCitation":"[34\\uc0\\u8211{}37]","plainCitation":"[34–37]","noteIndex":0},"citationItems":[{"id":246,"uris":["http://zotero.org/users/8787459/items/STNCMK9F"],"itemData":{"id":246,"type":"article-journal","container-title":"European Journal of Nuclear Medicine and Molecular Imaging","DOI":"10.1007/s00259-002-0844-z","ISSN":"1619-7070","issue":"6","journalAbbreviation":"Eur J Nucl Med Mol Imaging","language":"eng","note":"PMID: 12029543","page":"719-720","source":"PubMed","title":"PET/CT: a new road map","title-short":"PET/CT","volume":"29","author":[{"family":"Ell","given":"Peter J."},{"family":"Schulthess","given":"Gustav K.","non-dropping-particle":"von"}],"issued":{"date-parts":[["2002",6]]}},"label":"page"},{"id":592,"uris":["http://zotero.org/users/8787459/items/N5S2LMP4"],"itemData":{"id":592,"type":"article-journal","abstract":"PURPOSE: To evaluate the impact of positron emission tomography (PET) on target volume delineation for radiation treatment planning.\nMATERIAL AND METHODS: The data of the literature concerning the use of PET in target volume delineation are summarized. The following points are discussed for each tumor entity: biological background for the PET investigation, sensitivity and specificity of PET (with different tracers) in comparison to computed tomography (CT) and magnetic resonance imaging (MRI) and impact of PET on target volume definition. New PET tracers, which could visualize biological pathways, such as hypoxia, proliferation, angiogenesis, apoptosis and gene expression patterns, will also be discussed.\nRESULTS: The results of clinical studies on the integration of PET in target volume definition for lung, head-and-neck, genitourinary and brain tumors were analyzed. Fluorodeoxyglucose-(FDG-)PET has a significant impact on GTV (gross tumor volume) and PTV (planning target volume) delineation in lung cancer and can detect lymph node involvement and differentiate malignant tissue from atelectasis. In head-and-neck cancer, the value of FDG-PET for radiation treatment planning is still under investigation. For example, FDG-PET could be superior to CT and MRI in the detection of lymph node metastases and unknown primary cancer and in the differentiation of viable tumor tissue after treatment. Therefore, it might play an important role in GTV definition and sparing of normal tissue. Choline PET and acetate PET are promising tracers in the diagnosis of prostate cancer, but their validity in local tumor demarcation, lymph node diagnosis and detection of recurrence has to be defined in future clinical trials. FDG-PET seems to be particularly valuable in lymph node status definition in cervical cancer. In high-grade gliomas and meningiomas, methionine PET helps to define the GTV and differentiate tumor from normal tissue. For other entities like gastrointestinal cancer, lymphomas, sarcomas, etc., the data of the literature are yet insufficient. The imaging of hypoxia, cell proliferation, angiogenesis, apoptosis and gene expression leads to the identification of different areas of a biologically heterogeneous tumor mass that can individually be targeted using intensity modulated radiotherapy (IMRT). In addition, a biological dose distribution can be generated, the socalled dose painting. However, systematic experimental and clinical trials are necessary to validate this hypothesis.\nCONCLUSION: Regarding treatment planning in radiotherapy, PET offers advantages in terms of tumor delineation and the description of biological processes. To define the real impact of this investigation in radiation treatment planning, subsequent experimental, clinical and cost-benefit analyses are required.","container-title":"Strahlentherapie Und Onkologie: Organ Der Deutschen Rontgengesellschaft ... [et Al]","DOI":"10.1007/s00066-005-1422-7","ISSN":"0179-7158","issue":"8","journalAbbreviation":"Strahlenther Onkol","language":"eng","note":"PMID: 16044216","page":"483-499","source":"PubMed","title":"Positron emission tomography for radiation treatment planning","volume":"181","author":[{"family":"Grosu","given":"Anca-Ligia"},{"family":"Piert","given":"Morand"},{"family":"Weber","given":"Wolfgang A."},{"family":"Jeremic","given":"Branislav"},{"family":"Picchio","given":"Maria"},{"family":"Schratzenstaller","given":"Ulrich"},{"family":"Zimmermann","given":"Frank B."},{"family":"Schwaiger","given":"Markus"},{"family":"Molls","given":"Michael"}],"issued":{"date-parts":[["2005",8]]}},"label":"page"},{"id":458,"uris":["http://zotero.org/users/8787459/items/FC35VMKM"],"itemData":{"id":458,"type":"article-journal","abstract":"BACKGROUND/AIMS: The impact of positron emission tomography was prospectively evaluated using 18 (F)-fluoro-deoxyglucose (FDG-PET) for the detection of lymph node (LN) metastasis in preoperative locally advanced colorectal adenocarcinoma, compared with computed tomography (CT) and pathologic findings.\nMETHODOLOGY: Fifty-three patients who were suspected of LN involvement by CT were staged preoperatively for LN metastasis using FDG-PET and CT. Regional LNs were classified into 3 groups, N1, N2-3, and N4, according to the Japanese General Rules for Clinical and Pathological Studies on Cancer of the Colon, Rectum and Anus (6th Edition). A comparison of pathologic findings with CT and FDG-PET findings was used to calculate sensitivity, specificity, and accuracy.\nRESULTS: The sensitivity, specificity and accuracy of CT/FDG-PET were 91.3%/52.2%, 91.7%/75.0% and 65.9%/72.3%, respectively, for N1, 91.7%/75.0%, 72.2%/94.4% and 77.1%/89.6%, respectively, for N2-3, and 100%/100%, 17.6%/100% and 41.7%/100%, respectively, for N4. The detection rate of the num ber of metastatic N1 LNs by CT was significantly higher than by FDG-PET, and not significantly in the N2-4 area. LNs hidden by strong halation of the primary tumor were not detected by FDG-PET.\nCONCLUSIONS: While FDG-PET is markedly more sensitive than CT for detection of N4 LN involve. ment, the number of metastatic LNs is difficult to determine.","container-title":"Hepato-Gastroenterology","ISSN":"0172-6390","issue":"82-83","journalAbbreviation":"Hepatogastroenterology","language":"eng","note":"PMID: 18613374","page":"398-402","source":"PubMed","title":"Positron emission tomography for preoperative staging in patients with locally advanced or metastatic colorectal adenocarcinoma in lymph node metastasis","volume":"55","author":[{"family":"Kosugi","given":"Chihiro"},{"family":"Saito","given":"Norio"},{"family":"Murakami","given":"Koji"},{"family":"Ochiai","given":"Atsushi"},{"family":"Koda","given":"Keiji"},{"family":"Ono","given":"Masato"},{"family":"Sugito","given":"Masanori"},{"family":"Ito","given":"Masaaki"},{"family":"Oda","given":"Kenji"},{"family":"Seike","given":"Kazuhiro"},{"family":"Miyazaki","given":"Masaru"}],"issued":{"date-parts":[["2008",4]]}},"label":"page"},{"id":349,"uris":["http://zotero.org/users/8787459/items/AN8B6XRW"],"itemData":{"id":349,"type":"article-journal","abstract":"Colorectal cancer is a common malignancy that afflicts many in the western world. Imaging studies are frequently used to evaluate patients in the screening, staging and surveillance of colorectal cancer. Cross sectional imaging studies such as ultrasound, computed tomography and magnetic resonance imaging provide anatomic and morphologic information about tumor and patterns of spread. Positron emission tomography (PET) differs in that it provides information about tumor metabolism.[18F]Fluorodeoxyglucose PET has been clinically used for the evaluation of patients with a wide variety of cancers since most malignancies, including colorectal cancer, typically show increased glucose metabolism. This review present the positron emission tomography/computed tomography imaging findings that may be encountered in the diagnosis, staging and follow-up of patients with colorectal cancer.","container-title":"Cancer Imaging","DOI":"10.1102/1470-7330.2008.9009","ISSN":"1740-5025","issue":"Spec Iss A","journalAbbreviation":"Cancer Imaging","note":"PMID: 18852081\nPMCID: PMC2582503","page":"S46-S51","source":"PubMed Central","title":"PET/CT imaging in the diagnosis, staging, and follow-up of colorectal cancer","volume":"8","author":[{"family":"Vikram","given":"Raghu"},{"family":"Iyer","given":"Revathy B."}],"issued":{"date-parts":[["2008",10,4]]}},"label":"page"}],"schema":"https://github.com/citation-style-language/schema/raw/master/csl-citation.json"} </w:instrText>
      </w:r>
      <w:r w:rsidR="00824607" w:rsidRPr="006D6032">
        <w:rPr>
          <w:rFonts w:ascii="Times New Roman" w:hAnsi="Times New Roman" w:cs="Times New Roman"/>
          <w:sz w:val="28"/>
          <w:szCs w:val="28"/>
          <w:shd w:val="clear" w:color="auto" w:fill="FFFFFF"/>
        </w:rPr>
        <w:fldChar w:fldCharType="separate"/>
      </w:r>
      <w:r w:rsidR="00F6152F" w:rsidRPr="006D6032">
        <w:rPr>
          <w:rFonts w:ascii="Times New Roman" w:hAnsi="Times New Roman" w:cs="Times New Roman"/>
          <w:sz w:val="28"/>
          <w:szCs w:val="24"/>
        </w:rPr>
        <w:t>[34</w:t>
      </w:r>
      <w:r w:rsidR="00FF4BDB">
        <w:rPr>
          <w:rFonts w:ascii="Times New Roman" w:hAnsi="Times New Roman" w:cs="Times New Roman"/>
          <w:sz w:val="28"/>
          <w:szCs w:val="24"/>
        </w:rPr>
        <w:t>-</w:t>
      </w:r>
      <w:r w:rsidR="00F6152F" w:rsidRPr="006D6032">
        <w:rPr>
          <w:rFonts w:ascii="Times New Roman" w:hAnsi="Times New Roman" w:cs="Times New Roman"/>
          <w:sz w:val="28"/>
          <w:szCs w:val="24"/>
        </w:rPr>
        <w:t>37]</w:t>
      </w:r>
      <w:r w:rsidR="00824607" w:rsidRPr="006D6032">
        <w:rPr>
          <w:rFonts w:ascii="Times New Roman" w:hAnsi="Times New Roman" w:cs="Times New Roman"/>
          <w:sz w:val="28"/>
          <w:szCs w:val="28"/>
          <w:shd w:val="clear" w:color="auto" w:fill="FFFFFF"/>
        </w:rPr>
        <w:fldChar w:fldCharType="end"/>
      </w:r>
      <w:r w:rsidRPr="006D6032">
        <w:rPr>
          <w:rFonts w:ascii="Times New Roman" w:hAnsi="Times New Roman" w:cs="Times New Roman"/>
          <w:sz w:val="28"/>
          <w:szCs w:val="28"/>
          <w:shd w:val="clear" w:color="auto" w:fill="FFFFFF"/>
        </w:rPr>
        <w:t>.</w:t>
      </w:r>
    </w:p>
    <w:p w14:paraId="21F0C08C" w14:textId="473EDFDD" w:rsidR="00E66C39" w:rsidRPr="006D6032" w:rsidRDefault="00772843" w:rsidP="00E66C39">
      <w:pPr>
        <w:spacing w:after="0" w:line="240" w:lineRule="auto"/>
        <w:ind w:firstLine="709"/>
        <w:jc w:val="both"/>
        <w:rPr>
          <w:rFonts w:ascii="Times New Roman" w:eastAsia="Times New Roman" w:hAnsi="Times New Roman" w:cs="Times New Roman"/>
          <w:bCs/>
          <w:sz w:val="28"/>
          <w:szCs w:val="28"/>
        </w:rPr>
      </w:pPr>
      <w:r w:rsidRPr="006D6032">
        <w:rPr>
          <w:rFonts w:ascii="Times New Roman" w:hAnsi="Times New Roman" w:cs="Times New Roman"/>
          <w:sz w:val="28"/>
          <w:szCs w:val="28"/>
          <w:shd w:val="clear" w:color="auto" w:fill="FFFFFF"/>
        </w:rPr>
        <w:t xml:space="preserve">Препарат </w:t>
      </w:r>
      <w:r w:rsidRPr="006D6032">
        <w:rPr>
          <w:rFonts w:ascii="Times New Roman" w:hAnsi="Times New Roman" w:cs="Times New Roman"/>
          <w:sz w:val="28"/>
          <w:szCs w:val="28"/>
          <w:shd w:val="clear" w:color="auto" w:fill="FFFFFF"/>
          <w:vertAlign w:val="superscript"/>
        </w:rPr>
        <w:t>18</w:t>
      </w:r>
      <w:r w:rsidRPr="006D6032">
        <w:rPr>
          <w:rFonts w:ascii="Times New Roman" w:hAnsi="Times New Roman" w:cs="Times New Roman"/>
          <w:sz w:val="28"/>
          <w:szCs w:val="28"/>
          <w:shd w:val="clear" w:color="auto" w:fill="FFFFFF"/>
        </w:rPr>
        <w:t>F-</w:t>
      </w:r>
      <w:r w:rsidR="00355757" w:rsidRPr="006D6032">
        <w:rPr>
          <w:rFonts w:ascii="Times New Roman" w:hAnsi="Times New Roman" w:cs="Times New Roman"/>
          <w:sz w:val="28"/>
          <w:szCs w:val="28"/>
          <w:shd w:val="clear" w:color="auto" w:fill="FFFFFF"/>
        </w:rPr>
        <w:t>фтордезоксиглюкоза (</w:t>
      </w:r>
      <w:r w:rsidR="00355757" w:rsidRPr="006D6032">
        <w:rPr>
          <w:rFonts w:ascii="Times New Roman" w:hAnsi="Times New Roman" w:cs="Times New Roman"/>
          <w:sz w:val="28"/>
          <w:szCs w:val="28"/>
          <w:shd w:val="clear" w:color="auto" w:fill="FFFFFF"/>
          <w:vertAlign w:val="superscript"/>
        </w:rPr>
        <w:t>18</w:t>
      </w:r>
      <w:r w:rsidR="00355757" w:rsidRPr="006D6032">
        <w:rPr>
          <w:rFonts w:ascii="Times New Roman" w:hAnsi="Times New Roman" w:cs="Times New Roman"/>
          <w:sz w:val="28"/>
          <w:szCs w:val="28"/>
          <w:shd w:val="clear" w:color="auto" w:fill="FFFFFF"/>
        </w:rPr>
        <w:t>F-FDG)</w:t>
      </w:r>
      <w:r w:rsidRPr="006D6032">
        <w:rPr>
          <w:rFonts w:ascii="Times New Roman" w:hAnsi="Times New Roman" w:cs="Times New Roman"/>
          <w:sz w:val="28"/>
          <w:szCs w:val="28"/>
          <w:shd w:val="clear" w:color="auto" w:fill="FFFFFF"/>
        </w:rPr>
        <w:t xml:space="preserve"> является хорошо известным при визуализации на ПЭТ/КТ</w:t>
      </w:r>
      <w:r w:rsidR="00303695" w:rsidRPr="006D6032">
        <w:rPr>
          <w:rFonts w:ascii="Times New Roman" w:hAnsi="Times New Roman" w:cs="Times New Roman"/>
          <w:sz w:val="28"/>
          <w:szCs w:val="28"/>
          <w:shd w:val="clear" w:color="auto" w:fill="FFFFFF"/>
        </w:rPr>
        <w:t xml:space="preserve"> онкологического образования</w:t>
      </w:r>
      <w:r w:rsidR="002E28EB" w:rsidRPr="006D6032">
        <w:rPr>
          <w:rFonts w:ascii="Times New Roman" w:hAnsi="Times New Roman" w:cs="Times New Roman"/>
          <w:sz w:val="28"/>
          <w:szCs w:val="28"/>
          <w:shd w:val="clear" w:color="auto" w:fill="FFFFFF"/>
        </w:rPr>
        <w:t>, в том числе</w:t>
      </w:r>
      <w:r w:rsidRPr="006D6032">
        <w:rPr>
          <w:rFonts w:ascii="Times New Roman" w:hAnsi="Times New Roman" w:cs="Times New Roman"/>
          <w:sz w:val="28"/>
          <w:szCs w:val="28"/>
          <w:shd w:val="clear" w:color="auto" w:fill="FFFFFF"/>
        </w:rPr>
        <w:t xml:space="preserve"> для </w:t>
      </w:r>
      <w:r w:rsidR="002E28EB" w:rsidRPr="006D6032">
        <w:rPr>
          <w:rFonts w:ascii="Times New Roman" w:hAnsi="Times New Roman" w:cs="Times New Roman"/>
          <w:sz w:val="28"/>
          <w:szCs w:val="28"/>
          <w:shd w:val="clear" w:color="auto" w:fill="FFFFFF"/>
        </w:rPr>
        <w:t xml:space="preserve">возможной </w:t>
      </w:r>
      <w:r w:rsidRPr="006D6032">
        <w:rPr>
          <w:rFonts w:ascii="Times New Roman" w:hAnsi="Times New Roman" w:cs="Times New Roman"/>
          <w:sz w:val="28"/>
          <w:szCs w:val="28"/>
          <w:shd w:val="clear" w:color="auto" w:fill="FFFFFF"/>
        </w:rPr>
        <w:t xml:space="preserve">оценки функциональной активности </w:t>
      </w:r>
      <w:r w:rsidR="00AE3687">
        <w:rPr>
          <w:rFonts w:ascii="Times New Roman" w:hAnsi="Times New Roman" w:cs="Times New Roman"/>
          <w:sz w:val="28"/>
          <w:szCs w:val="28"/>
          <w:shd w:val="clear" w:color="auto" w:fill="FFFFFF"/>
        </w:rPr>
        <w:t>висцеральной жировой ткани</w:t>
      </w:r>
      <w:r w:rsidR="00303695" w:rsidRPr="006D6032">
        <w:rPr>
          <w:rFonts w:ascii="Times New Roman" w:hAnsi="Times New Roman" w:cs="Times New Roman"/>
          <w:sz w:val="28"/>
          <w:szCs w:val="28"/>
          <w:shd w:val="clear" w:color="auto" w:fill="FFFFFF"/>
        </w:rPr>
        <w:t xml:space="preserve"> при первичном </w:t>
      </w:r>
      <w:r w:rsidR="00303695" w:rsidRPr="00A8224C">
        <w:rPr>
          <w:rFonts w:ascii="Times New Roman" w:hAnsi="Times New Roman" w:cs="Times New Roman"/>
          <w:sz w:val="28"/>
          <w:szCs w:val="28"/>
          <w:shd w:val="clear" w:color="auto" w:fill="FFFFFF"/>
        </w:rPr>
        <w:t>онкологическом процессе</w:t>
      </w:r>
      <w:r w:rsidRPr="00A8224C">
        <w:rPr>
          <w:rFonts w:ascii="Times New Roman" w:hAnsi="Times New Roman" w:cs="Times New Roman"/>
          <w:sz w:val="28"/>
          <w:szCs w:val="28"/>
          <w:shd w:val="clear" w:color="auto" w:fill="FFFFFF"/>
        </w:rPr>
        <w:t>.</w:t>
      </w:r>
      <w:r w:rsidR="00AE3687" w:rsidRPr="006D6032">
        <w:rPr>
          <w:rFonts w:ascii="Times New Roman" w:hAnsi="Times New Roman" w:cs="Times New Roman"/>
          <w:sz w:val="28"/>
          <w:szCs w:val="28"/>
          <w:shd w:val="clear" w:color="auto" w:fill="FFFFFF"/>
        </w:rPr>
        <w:t xml:space="preserve"> С помощью данного </w:t>
      </w:r>
      <w:r w:rsidR="00AE3687">
        <w:rPr>
          <w:rFonts w:ascii="Times New Roman" w:hAnsi="Times New Roman" w:cs="Times New Roman"/>
          <w:sz w:val="28"/>
          <w:szCs w:val="28"/>
          <w:shd w:val="clear" w:color="auto" w:fill="FFFFFF"/>
        </w:rPr>
        <w:t>радиофарм</w:t>
      </w:r>
      <w:r w:rsidR="00AE3687" w:rsidRPr="006D6032">
        <w:rPr>
          <w:rFonts w:ascii="Times New Roman" w:hAnsi="Times New Roman" w:cs="Times New Roman"/>
          <w:sz w:val="28"/>
          <w:szCs w:val="28"/>
          <w:shd w:val="clear" w:color="auto" w:fill="FFFFFF"/>
        </w:rPr>
        <w:t xml:space="preserve">препарата возможно обнаружение метастазирования у пациентов не только с </w:t>
      </w:r>
      <w:r w:rsidR="00AE3687">
        <w:rPr>
          <w:rFonts w:ascii="Times New Roman" w:hAnsi="Times New Roman" w:cs="Times New Roman"/>
          <w:sz w:val="28"/>
          <w:szCs w:val="28"/>
          <w:shd w:val="clear" w:color="auto" w:fill="FFFFFF"/>
        </w:rPr>
        <w:t>эпителиальным раком яичников</w:t>
      </w:r>
      <w:r w:rsidR="00AE3687" w:rsidRPr="006D6032">
        <w:rPr>
          <w:rFonts w:ascii="Times New Roman" w:hAnsi="Times New Roman" w:cs="Times New Roman"/>
          <w:sz w:val="28"/>
          <w:szCs w:val="28"/>
          <w:shd w:val="clear" w:color="auto" w:fill="FFFFFF"/>
        </w:rPr>
        <w:t xml:space="preserve">, но и </w:t>
      </w:r>
      <w:r w:rsidR="00AE3687">
        <w:rPr>
          <w:rFonts w:ascii="Times New Roman" w:hAnsi="Times New Roman" w:cs="Times New Roman"/>
          <w:sz w:val="28"/>
          <w:szCs w:val="28"/>
          <w:shd w:val="clear" w:color="auto" w:fill="FFFFFF"/>
        </w:rPr>
        <w:t>колоректальным раком</w:t>
      </w:r>
      <w:r w:rsidR="00AE3687" w:rsidRPr="006D6032">
        <w:rPr>
          <w:rFonts w:ascii="Times New Roman" w:hAnsi="Times New Roman" w:cs="Times New Roman"/>
          <w:sz w:val="28"/>
          <w:szCs w:val="28"/>
          <w:shd w:val="clear" w:color="auto" w:fill="FFFFFF"/>
        </w:rPr>
        <w:t xml:space="preserve"> </w:t>
      </w:r>
      <w:r w:rsidR="00AE3687">
        <w:rPr>
          <w:rFonts w:ascii="Times New Roman" w:hAnsi="Times New Roman" w:cs="Times New Roman"/>
          <w:sz w:val="28"/>
          <w:szCs w:val="28"/>
          <w:shd w:val="clear" w:color="auto" w:fill="FFFFFF"/>
        </w:rPr>
        <w:t xml:space="preserve">посредством </w:t>
      </w:r>
      <w:r w:rsidR="00AE3687" w:rsidRPr="006D6032">
        <w:rPr>
          <w:rFonts w:ascii="Times New Roman" w:hAnsi="Times New Roman" w:cs="Times New Roman"/>
          <w:sz w:val="28"/>
          <w:szCs w:val="28"/>
          <w:shd w:val="clear" w:color="auto" w:fill="FFFFFF"/>
        </w:rPr>
        <w:t xml:space="preserve">определения уровня накопления </w:t>
      </w:r>
      <w:r w:rsidR="00AE3687" w:rsidRPr="006D6032">
        <w:rPr>
          <w:rFonts w:ascii="Times New Roman" w:hAnsi="Times New Roman" w:cs="Times New Roman"/>
          <w:sz w:val="28"/>
          <w:szCs w:val="28"/>
          <w:shd w:val="clear" w:color="auto" w:fill="FFFFFF"/>
          <w:vertAlign w:val="superscript"/>
        </w:rPr>
        <w:t>18</w:t>
      </w:r>
      <w:r w:rsidR="00AE3687" w:rsidRPr="006D6032">
        <w:rPr>
          <w:rFonts w:ascii="Times New Roman" w:hAnsi="Times New Roman" w:cs="Times New Roman"/>
          <w:sz w:val="28"/>
          <w:szCs w:val="28"/>
          <w:shd w:val="clear" w:color="auto" w:fill="FFFFFF"/>
        </w:rPr>
        <w:t xml:space="preserve">F-FDG в </w:t>
      </w:r>
      <w:r w:rsidR="00AE3687">
        <w:rPr>
          <w:rFonts w:ascii="Times New Roman" w:hAnsi="Times New Roman" w:cs="Times New Roman"/>
          <w:sz w:val="28"/>
          <w:szCs w:val="28"/>
          <w:shd w:val="clear" w:color="auto" w:fill="FFFFFF"/>
        </w:rPr>
        <w:t xml:space="preserve">висцеральном жире </w:t>
      </w:r>
      <w:r w:rsidR="00AE3687" w:rsidRPr="006D6032">
        <w:rPr>
          <w:rFonts w:ascii="Times New Roman" w:hAnsi="Times New Roman" w:cs="Times New Roman"/>
          <w:sz w:val="28"/>
          <w:szCs w:val="28"/>
          <w:shd w:val="clear" w:color="auto" w:fill="FFFFFF"/>
        </w:rPr>
        <w:t xml:space="preserve">при ПЭТ/КТ исследовании, что позволит определить метастазирование в </w:t>
      </w:r>
      <w:r w:rsidR="00FD338B">
        <w:rPr>
          <w:rFonts w:ascii="Times New Roman" w:hAnsi="Times New Roman" w:cs="Times New Roman"/>
          <w:sz w:val="28"/>
          <w:szCs w:val="28"/>
          <w:shd w:val="clear" w:color="auto" w:fill="FFFFFF"/>
        </w:rPr>
        <w:t>брюшину</w:t>
      </w:r>
      <w:r w:rsidR="00AE3687">
        <w:rPr>
          <w:rFonts w:ascii="Times New Roman" w:hAnsi="Times New Roman" w:cs="Times New Roman"/>
          <w:sz w:val="28"/>
          <w:szCs w:val="28"/>
          <w:shd w:val="clear" w:color="auto" w:fill="FFFFFF"/>
        </w:rPr>
        <w:t>.</w:t>
      </w:r>
      <w:r w:rsidR="00E66C39" w:rsidRPr="006D6032">
        <w:rPr>
          <w:rFonts w:ascii="Times New Roman" w:hAnsi="Times New Roman" w:cs="Times New Roman"/>
          <w:sz w:val="28"/>
          <w:szCs w:val="28"/>
          <w:shd w:val="clear" w:color="auto" w:fill="FFFFFF"/>
        </w:rPr>
        <w:t xml:space="preserve"> </w:t>
      </w:r>
      <w:r w:rsidR="00E66C39" w:rsidRPr="006D6032">
        <w:rPr>
          <w:rFonts w:ascii="Times New Roman" w:eastAsia="Times New Roman" w:hAnsi="Times New Roman" w:cs="Times New Roman"/>
          <w:bCs/>
          <w:sz w:val="28"/>
          <w:szCs w:val="28"/>
        </w:rPr>
        <w:t>Максимальный стандартизированный уровень накопления (</w:t>
      </w:r>
      <w:r w:rsidR="00E66C39" w:rsidRPr="006D6032">
        <w:rPr>
          <w:rFonts w:ascii="Times New Roman" w:eastAsia="Times New Roman" w:hAnsi="Times New Roman" w:cs="Times New Roman"/>
          <w:bCs/>
          <w:sz w:val="28"/>
          <w:szCs w:val="28"/>
          <w:lang w:val="en-US"/>
        </w:rPr>
        <w:t>SUV</w:t>
      </w:r>
      <w:r w:rsidR="00E66C39" w:rsidRPr="006D6032">
        <w:rPr>
          <w:rFonts w:ascii="Times New Roman" w:hAnsi="Times New Roman" w:cs="Times New Roman"/>
          <w:bCs/>
          <w:sz w:val="28"/>
          <w:szCs w:val="28"/>
          <w:shd w:val="clear" w:color="auto" w:fill="FFFFFF"/>
          <w:vertAlign w:val="subscript"/>
          <w:lang w:val="en-US"/>
        </w:rPr>
        <w:t>max</w:t>
      </w:r>
      <w:r w:rsidR="00E66C39" w:rsidRPr="006D6032">
        <w:rPr>
          <w:rFonts w:ascii="Times New Roman" w:eastAsia="Times New Roman" w:hAnsi="Times New Roman" w:cs="Times New Roman"/>
          <w:bCs/>
          <w:sz w:val="28"/>
          <w:szCs w:val="28"/>
        </w:rPr>
        <w:t xml:space="preserve">) считается полуколичественным методом по накоплению </w:t>
      </w:r>
      <w:r w:rsidR="00E66C39" w:rsidRPr="006D6032">
        <w:rPr>
          <w:rFonts w:ascii="Times New Roman" w:hAnsi="Times New Roman" w:cs="Times New Roman"/>
          <w:bCs/>
          <w:sz w:val="28"/>
          <w:szCs w:val="28"/>
          <w:shd w:val="clear" w:color="auto" w:fill="FFFFFF"/>
          <w:vertAlign w:val="superscript"/>
        </w:rPr>
        <w:t>18</w:t>
      </w:r>
      <w:r w:rsidR="00E66C39" w:rsidRPr="006D6032">
        <w:rPr>
          <w:rFonts w:ascii="Times New Roman" w:hAnsi="Times New Roman" w:cs="Times New Roman"/>
          <w:bCs/>
          <w:sz w:val="28"/>
          <w:szCs w:val="28"/>
          <w:shd w:val="clear" w:color="auto" w:fill="FFFFFF"/>
        </w:rPr>
        <w:t>F-FDG</w:t>
      </w:r>
      <w:r w:rsidR="00E66C39" w:rsidRPr="006D6032">
        <w:rPr>
          <w:rFonts w:ascii="Times New Roman" w:eastAsia="Times New Roman" w:hAnsi="Times New Roman" w:cs="Times New Roman"/>
          <w:bCs/>
          <w:sz w:val="28"/>
          <w:szCs w:val="28"/>
        </w:rPr>
        <w:t xml:space="preserve"> в мезентериальном жире, котор</w:t>
      </w:r>
      <w:r w:rsidR="0077696C">
        <w:rPr>
          <w:rFonts w:ascii="Times New Roman" w:eastAsia="Times New Roman" w:hAnsi="Times New Roman" w:cs="Times New Roman"/>
          <w:bCs/>
          <w:sz w:val="28"/>
          <w:szCs w:val="28"/>
        </w:rPr>
        <w:t>ый</w:t>
      </w:r>
      <w:r w:rsidR="00E66C39" w:rsidRPr="006D6032">
        <w:rPr>
          <w:rFonts w:ascii="Times New Roman" w:eastAsia="Times New Roman" w:hAnsi="Times New Roman" w:cs="Times New Roman"/>
          <w:bCs/>
          <w:sz w:val="28"/>
          <w:szCs w:val="28"/>
        </w:rPr>
        <w:t xml:space="preserve"> накапливается при онкологическом процессе с высокой метаболической активностью.</w:t>
      </w:r>
    </w:p>
    <w:p w14:paraId="628702CE" w14:textId="44FE0E2F" w:rsidR="00D12688" w:rsidRDefault="00494AFE" w:rsidP="00D12688">
      <w:pPr>
        <w:spacing w:after="0" w:line="240" w:lineRule="auto"/>
        <w:ind w:firstLine="709"/>
        <w:jc w:val="both"/>
        <w:rPr>
          <w:rFonts w:ascii="Times New Roman" w:hAnsi="Times New Roman" w:cs="Times New Roman"/>
          <w:sz w:val="28"/>
          <w:szCs w:val="28"/>
        </w:rPr>
      </w:pPr>
      <w:r w:rsidRPr="006D6032">
        <w:rPr>
          <w:rFonts w:ascii="Times New Roman" w:hAnsi="Times New Roman" w:cs="Times New Roman"/>
          <w:sz w:val="28"/>
          <w:szCs w:val="28"/>
          <w:shd w:val="clear" w:color="auto" w:fill="FFFFFF"/>
        </w:rPr>
        <w:t xml:space="preserve">Для выбора эффективной тактики лечения </w:t>
      </w:r>
      <w:r w:rsidR="00AE3687">
        <w:rPr>
          <w:rFonts w:ascii="Times New Roman" w:hAnsi="Times New Roman" w:cs="Times New Roman"/>
          <w:sz w:val="28"/>
          <w:szCs w:val="28"/>
          <w:shd w:val="clear" w:color="auto" w:fill="FFFFFF"/>
        </w:rPr>
        <w:t xml:space="preserve">эпителиального рака яичников и колоректального рака </w:t>
      </w:r>
      <w:r w:rsidRPr="006D6032">
        <w:rPr>
          <w:rFonts w:ascii="Times New Roman" w:hAnsi="Times New Roman" w:cs="Times New Roman"/>
          <w:sz w:val="28"/>
          <w:szCs w:val="28"/>
          <w:shd w:val="clear" w:color="auto" w:fill="FFFFFF"/>
        </w:rPr>
        <w:t xml:space="preserve">важное значение имеет определение местной распространенности опухоли путем определения оценки уровня накопления индекса </w:t>
      </w:r>
      <w:r w:rsidRPr="006D6032">
        <w:rPr>
          <w:rFonts w:ascii="Times New Roman" w:hAnsi="Times New Roman" w:cs="Times New Roman"/>
          <w:sz w:val="28"/>
          <w:szCs w:val="28"/>
          <w:shd w:val="clear" w:color="auto" w:fill="FFFFFF"/>
          <w:lang w:val="en-US"/>
        </w:rPr>
        <w:t>SUV</w:t>
      </w:r>
      <w:r w:rsidRPr="006D6032">
        <w:rPr>
          <w:rFonts w:ascii="Times New Roman" w:hAnsi="Times New Roman" w:cs="Times New Roman"/>
          <w:sz w:val="28"/>
          <w:szCs w:val="28"/>
          <w:shd w:val="clear" w:color="auto" w:fill="FFFFFF"/>
          <w:vertAlign w:val="subscript"/>
          <w:lang w:val="en-US"/>
        </w:rPr>
        <w:t>max</w:t>
      </w:r>
      <w:r w:rsidRPr="006D6032">
        <w:rPr>
          <w:rFonts w:ascii="Times New Roman" w:hAnsi="Times New Roman" w:cs="Times New Roman"/>
          <w:sz w:val="28"/>
          <w:szCs w:val="28"/>
          <w:shd w:val="clear" w:color="auto" w:fill="FFFFFF"/>
        </w:rPr>
        <w:t xml:space="preserve"> с помощью </w:t>
      </w:r>
      <w:r w:rsidRPr="006D6032">
        <w:rPr>
          <w:rFonts w:ascii="Times New Roman" w:hAnsi="Times New Roman" w:cs="Times New Roman"/>
          <w:sz w:val="28"/>
          <w:szCs w:val="28"/>
          <w:shd w:val="clear" w:color="auto" w:fill="FFFFFF"/>
          <w:vertAlign w:val="superscript"/>
        </w:rPr>
        <w:t>18</w:t>
      </w:r>
      <w:r w:rsidRPr="006D6032">
        <w:rPr>
          <w:rFonts w:ascii="Times New Roman" w:hAnsi="Times New Roman" w:cs="Times New Roman"/>
          <w:sz w:val="28"/>
          <w:szCs w:val="28"/>
          <w:shd w:val="clear" w:color="auto" w:fill="FFFFFF"/>
        </w:rPr>
        <w:t xml:space="preserve">F-FDG в </w:t>
      </w:r>
      <w:r w:rsidR="009E3213" w:rsidRPr="006D6032">
        <w:rPr>
          <w:rFonts w:ascii="Times New Roman" w:hAnsi="Times New Roman" w:cs="Times New Roman"/>
          <w:sz w:val="28"/>
          <w:szCs w:val="28"/>
          <w:shd w:val="clear" w:color="auto" w:fill="FFFFFF"/>
        </w:rPr>
        <w:t>висцеральном жире</w:t>
      </w:r>
      <w:r w:rsidRPr="006D6032">
        <w:rPr>
          <w:rFonts w:ascii="Times New Roman" w:hAnsi="Times New Roman" w:cs="Times New Roman"/>
          <w:sz w:val="28"/>
          <w:szCs w:val="28"/>
          <w:shd w:val="clear" w:color="auto" w:fill="FFFFFF"/>
        </w:rPr>
        <w:t xml:space="preserve"> при ПЭТ/КТ исследовании.</w:t>
      </w:r>
      <w:r w:rsidR="00726854">
        <w:rPr>
          <w:rFonts w:ascii="Times New Roman" w:hAnsi="Times New Roman" w:cs="Times New Roman"/>
          <w:sz w:val="28"/>
          <w:szCs w:val="28"/>
          <w:shd w:val="clear" w:color="auto" w:fill="FFFFFF"/>
        </w:rPr>
        <w:t xml:space="preserve"> Недостаточные исследования по выявлению и прогнозированию метастазирования </w:t>
      </w:r>
      <w:r w:rsidR="00FD338B">
        <w:rPr>
          <w:rFonts w:ascii="Times New Roman" w:hAnsi="Times New Roman" w:cs="Times New Roman"/>
          <w:sz w:val="28"/>
          <w:szCs w:val="28"/>
          <w:shd w:val="clear" w:color="auto" w:fill="FFFFFF"/>
        </w:rPr>
        <w:t xml:space="preserve">брюшины </w:t>
      </w:r>
      <w:r w:rsidR="00726854">
        <w:rPr>
          <w:rFonts w:ascii="Times New Roman" w:hAnsi="Times New Roman" w:cs="Times New Roman"/>
          <w:sz w:val="28"/>
          <w:szCs w:val="28"/>
          <w:shd w:val="clear" w:color="auto" w:fill="FFFFFF"/>
        </w:rPr>
        <w:t>дела</w:t>
      </w:r>
      <w:r w:rsidR="00D12688">
        <w:rPr>
          <w:rFonts w:ascii="Times New Roman" w:hAnsi="Times New Roman" w:cs="Times New Roman"/>
          <w:sz w:val="28"/>
          <w:szCs w:val="28"/>
          <w:shd w:val="clear" w:color="auto" w:fill="FFFFFF"/>
        </w:rPr>
        <w:t>ю</w:t>
      </w:r>
      <w:r w:rsidR="00726854">
        <w:rPr>
          <w:rFonts w:ascii="Times New Roman" w:hAnsi="Times New Roman" w:cs="Times New Roman"/>
          <w:sz w:val="28"/>
          <w:szCs w:val="28"/>
          <w:shd w:val="clear" w:color="auto" w:fill="FFFFFF"/>
        </w:rPr>
        <w:t xml:space="preserve">т актуальным поиск </w:t>
      </w:r>
      <w:r w:rsidR="00726854" w:rsidRPr="006D6032">
        <w:rPr>
          <w:rFonts w:ascii="Times New Roman" w:hAnsi="Times New Roman" w:cs="Times New Roman"/>
          <w:sz w:val="28"/>
          <w:szCs w:val="28"/>
          <w:shd w:val="clear" w:color="auto" w:fill="FFFFFF"/>
        </w:rPr>
        <w:t>прогностической ценности</w:t>
      </w:r>
      <w:r w:rsidR="00D12688">
        <w:rPr>
          <w:rFonts w:ascii="Times New Roman" w:hAnsi="Times New Roman" w:cs="Times New Roman"/>
          <w:sz w:val="28"/>
          <w:szCs w:val="28"/>
          <w:shd w:val="clear" w:color="auto" w:fill="FFFFFF"/>
        </w:rPr>
        <w:t xml:space="preserve"> </w:t>
      </w:r>
      <w:r w:rsidR="00D12688" w:rsidRPr="006D6032">
        <w:rPr>
          <w:rFonts w:ascii="Times New Roman" w:hAnsi="Times New Roman" w:cs="Times New Roman"/>
          <w:sz w:val="28"/>
          <w:szCs w:val="28"/>
        </w:rPr>
        <w:t>определени</w:t>
      </w:r>
      <w:r w:rsidR="00D12688">
        <w:rPr>
          <w:rFonts w:ascii="Times New Roman" w:hAnsi="Times New Roman" w:cs="Times New Roman"/>
          <w:sz w:val="28"/>
          <w:szCs w:val="28"/>
        </w:rPr>
        <w:t>я</w:t>
      </w:r>
      <w:r w:rsidR="00D12688" w:rsidRPr="006D6032">
        <w:rPr>
          <w:rFonts w:ascii="Times New Roman" w:hAnsi="Times New Roman" w:cs="Times New Roman"/>
          <w:sz w:val="28"/>
          <w:szCs w:val="28"/>
        </w:rPr>
        <w:t xml:space="preserve"> метаболической активности </w:t>
      </w:r>
      <w:r w:rsidR="00D12688" w:rsidRPr="006D6032">
        <w:rPr>
          <w:rFonts w:ascii="Times New Roman" w:hAnsi="Times New Roman" w:cs="Times New Roman"/>
          <w:sz w:val="28"/>
          <w:szCs w:val="28"/>
          <w:vertAlign w:val="superscript"/>
        </w:rPr>
        <w:t>18</w:t>
      </w:r>
      <w:r w:rsidR="00D12688" w:rsidRPr="006D6032">
        <w:rPr>
          <w:rFonts w:ascii="Times New Roman" w:hAnsi="Times New Roman" w:cs="Times New Roman"/>
          <w:sz w:val="28"/>
          <w:szCs w:val="28"/>
        </w:rPr>
        <w:t>F-</w:t>
      </w:r>
      <w:r w:rsidR="00D12688" w:rsidRPr="006D6032">
        <w:rPr>
          <w:rFonts w:ascii="Times New Roman" w:hAnsi="Times New Roman" w:cs="Times New Roman"/>
          <w:sz w:val="28"/>
          <w:szCs w:val="28"/>
          <w:lang w:val="en-US"/>
        </w:rPr>
        <w:t>FDG</w:t>
      </w:r>
      <w:r w:rsidR="00D12688" w:rsidRPr="006D6032">
        <w:rPr>
          <w:rFonts w:ascii="Times New Roman" w:hAnsi="Times New Roman" w:cs="Times New Roman"/>
          <w:sz w:val="28"/>
          <w:szCs w:val="28"/>
        </w:rPr>
        <w:t xml:space="preserve"> ПЭТ/КТ исследования пороговых значений </w:t>
      </w:r>
      <w:r w:rsidR="00D12688" w:rsidRPr="006D6032">
        <w:rPr>
          <w:rFonts w:ascii="Times New Roman" w:hAnsi="Times New Roman" w:cs="Times New Roman"/>
          <w:sz w:val="28"/>
          <w:szCs w:val="28"/>
          <w:lang w:val="en-US"/>
        </w:rPr>
        <w:t>SUV</w:t>
      </w:r>
      <w:r w:rsidR="00D12688" w:rsidRPr="006D6032">
        <w:rPr>
          <w:rFonts w:ascii="Times New Roman" w:hAnsi="Times New Roman" w:cs="Times New Roman"/>
          <w:sz w:val="28"/>
          <w:szCs w:val="28"/>
          <w:vertAlign w:val="subscript"/>
          <w:lang w:val="en-US"/>
        </w:rPr>
        <w:t>max</w:t>
      </w:r>
      <w:r w:rsidR="00D12688">
        <w:rPr>
          <w:rFonts w:ascii="Times New Roman" w:hAnsi="Times New Roman" w:cs="Times New Roman"/>
          <w:sz w:val="28"/>
          <w:szCs w:val="28"/>
        </w:rPr>
        <w:t>, измеренные в висцеральном жире с последующим применением</w:t>
      </w:r>
      <w:r w:rsidR="00D12688" w:rsidRPr="006D6032">
        <w:rPr>
          <w:rFonts w:ascii="Times New Roman" w:hAnsi="Times New Roman" w:cs="Times New Roman"/>
          <w:sz w:val="28"/>
          <w:szCs w:val="28"/>
        </w:rPr>
        <w:t xml:space="preserve"> в клинической практике </w:t>
      </w:r>
      <w:r w:rsidR="00D12688">
        <w:rPr>
          <w:rFonts w:ascii="Times New Roman" w:hAnsi="Times New Roman" w:cs="Times New Roman"/>
          <w:sz w:val="28"/>
          <w:szCs w:val="28"/>
        </w:rPr>
        <w:t xml:space="preserve">для </w:t>
      </w:r>
      <w:r w:rsidR="00D12688" w:rsidRPr="006D6032">
        <w:rPr>
          <w:rFonts w:ascii="Times New Roman" w:hAnsi="Times New Roman" w:cs="Times New Roman"/>
          <w:sz w:val="28"/>
          <w:szCs w:val="28"/>
        </w:rPr>
        <w:t xml:space="preserve">контроля тактики ведения терапии пациентов с </w:t>
      </w:r>
      <w:r w:rsidR="00D12688">
        <w:rPr>
          <w:rFonts w:ascii="Times New Roman" w:hAnsi="Times New Roman" w:cs="Times New Roman"/>
          <w:bCs/>
          <w:sz w:val="28"/>
        </w:rPr>
        <w:t>эпителиальным раком яичников и колоректальным раком</w:t>
      </w:r>
      <w:r w:rsidR="00D12688" w:rsidRPr="006D6032">
        <w:rPr>
          <w:rFonts w:ascii="Times New Roman" w:hAnsi="Times New Roman" w:cs="Times New Roman"/>
          <w:sz w:val="28"/>
          <w:szCs w:val="28"/>
        </w:rPr>
        <w:t>.</w:t>
      </w:r>
    </w:p>
    <w:p w14:paraId="51002C8A" w14:textId="77B1421B" w:rsidR="00303695" w:rsidRPr="006D6032" w:rsidRDefault="00D12688" w:rsidP="00772843">
      <w:pPr>
        <w:spacing w:after="0" w:line="240" w:lineRule="auto"/>
        <w:ind w:firstLine="709"/>
        <w:jc w:val="both"/>
        <w:rPr>
          <w:rFonts w:ascii="Times New Roman" w:hAnsi="Times New Roman" w:cs="Times New Roman"/>
          <w:bCs/>
          <w:sz w:val="28"/>
        </w:rPr>
      </w:pPr>
      <w:r>
        <w:rPr>
          <w:rFonts w:ascii="Times New Roman" w:hAnsi="Times New Roman" w:cs="Times New Roman"/>
          <w:sz w:val="28"/>
          <w:szCs w:val="28"/>
        </w:rPr>
        <w:t>В этой связи, о</w:t>
      </w:r>
      <w:r w:rsidR="00494AFE" w:rsidRPr="006D6032">
        <w:rPr>
          <w:rFonts w:ascii="Times New Roman" w:hAnsi="Times New Roman" w:cs="Times New Roman"/>
          <w:sz w:val="28"/>
          <w:szCs w:val="28"/>
          <w:shd w:val="clear" w:color="auto" w:fill="FFFFFF"/>
        </w:rPr>
        <w:t xml:space="preserve">пределение прогностической ценности </w:t>
      </w:r>
      <w:r w:rsidR="005E4D65" w:rsidRPr="002636FE">
        <w:rPr>
          <w:rFonts w:ascii="Times New Roman" w:hAnsi="Times New Roman" w:cs="Times New Roman"/>
          <w:sz w:val="28"/>
          <w:szCs w:val="28"/>
        </w:rPr>
        <w:t xml:space="preserve">измерения уровня накопления </w:t>
      </w:r>
      <w:r w:rsidR="005E4D65" w:rsidRPr="00A9441B">
        <w:rPr>
          <w:rFonts w:ascii="Times New Roman" w:hAnsi="Times New Roman" w:cs="Times New Roman"/>
          <w:sz w:val="28"/>
          <w:szCs w:val="28"/>
          <w:vertAlign w:val="superscript"/>
        </w:rPr>
        <w:t>18</w:t>
      </w:r>
      <w:r w:rsidR="005E4D65" w:rsidRPr="002636FE">
        <w:rPr>
          <w:rFonts w:ascii="Times New Roman" w:hAnsi="Times New Roman" w:cs="Times New Roman"/>
          <w:sz w:val="28"/>
          <w:szCs w:val="28"/>
        </w:rPr>
        <w:t>F-FDG при ПЭТ/КТ исследовании в висцеральном жире при эпителиальном раке яичников и колоректальном раке в качестве предиктора возможного метастазирования в брюшину</w:t>
      </w:r>
      <w:r w:rsidR="00AE3687">
        <w:rPr>
          <w:rFonts w:ascii="Times New Roman" w:hAnsi="Times New Roman" w:cs="Times New Roman"/>
          <w:bCs/>
          <w:sz w:val="28"/>
        </w:rPr>
        <w:t xml:space="preserve"> </w:t>
      </w:r>
      <w:r>
        <w:rPr>
          <w:rFonts w:ascii="Times New Roman" w:hAnsi="Times New Roman" w:cs="Times New Roman"/>
          <w:bCs/>
          <w:sz w:val="28"/>
        </w:rPr>
        <w:t xml:space="preserve">определило цель проведения </w:t>
      </w:r>
      <w:r w:rsidR="00494AFE" w:rsidRPr="006D6032">
        <w:rPr>
          <w:rFonts w:ascii="Times New Roman" w:hAnsi="Times New Roman" w:cs="Times New Roman"/>
          <w:bCs/>
          <w:sz w:val="28"/>
        </w:rPr>
        <w:t>данного исследования.</w:t>
      </w:r>
    </w:p>
    <w:p w14:paraId="7751E322" w14:textId="77777777" w:rsidR="00772843" w:rsidRPr="00A43B9C" w:rsidRDefault="00772843" w:rsidP="00772843">
      <w:pPr>
        <w:tabs>
          <w:tab w:val="left" w:pos="851"/>
        </w:tabs>
        <w:spacing w:after="0" w:line="240" w:lineRule="auto"/>
        <w:ind w:firstLine="709"/>
        <w:jc w:val="both"/>
        <w:rPr>
          <w:rFonts w:ascii="Times New Roman" w:eastAsia="Times New Roman" w:hAnsi="Times New Roman" w:cs="Times New Roman"/>
          <w:sz w:val="28"/>
          <w:szCs w:val="28"/>
          <w:lang w:eastAsia="ru-RU"/>
        </w:rPr>
      </w:pPr>
    </w:p>
    <w:p w14:paraId="1F2D3A06" w14:textId="304FE967" w:rsidR="00772843" w:rsidRPr="006D6032" w:rsidRDefault="00772843" w:rsidP="00302EA8">
      <w:pPr>
        <w:tabs>
          <w:tab w:val="left" w:pos="851"/>
        </w:tabs>
        <w:spacing w:after="0" w:line="240" w:lineRule="auto"/>
        <w:ind w:firstLine="709"/>
        <w:jc w:val="both"/>
        <w:rPr>
          <w:rFonts w:ascii="Times New Roman" w:eastAsia="Times New Roman" w:hAnsi="Times New Roman" w:cs="Times New Roman"/>
          <w:b/>
          <w:sz w:val="28"/>
          <w:szCs w:val="28"/>
          <w:lang w:eastAsia="ru-RU"/>
        </w:rPr>
      </w:pPr>
      <w:r w:rsidRPr="006D6032">
        <w:rPr>
          <w:rFonts w:ascii="Times New Roman" w:eastAsia="Times New Roman" w:hAnsi="Times New Roman" w:cs="Times New Roman"/>
          <w:b/>
          <w:sz w:val="28"/>
          <w:szCs w:val="28"/>
          <w:lang w:eastAsia="ru-RU"/>
        </w:rPr>
        <w:t xml:space="preserve">Цель </w:t>
      </w:r>
      <w:r w:rsidR="00E00447" w:rsidRPr="006D6032">
        <w:rPr>
          <w:rFonts w:ascii="Times New Roman" w:eastAsia="Times New Roman" w:hAnsi="Times New Roman" w:cs="Times New Roman"/>
          <w:b/>
          <w:sz w:val="28"/>
          <w:szCs w:val="28"/>
          <w:lang w:eastAsia="ru-RU"/>
        </w:rPr>
        <w:t>исследования</w:t>
      </w:r>
      <w:r w:rsidR="00E00447" w:rsidRPr="006D6032">
        <w:rPr>
          <w:rFonts w:ascii="Times New Roman" w:eastAsia="Times New Roman" w:hAnsi="Times New Roman" w:cs="Times New Roman"/>
          <w:bCs/>
          <w:sz w:val="28"/>
          <w:szCs w:val="28"/>
          <w:lang w:eastAsia="ru-RU"/>
        </w:rPr>
        <w:t xml:space="preserve"> - </w:t>
      </w:r>
      <w:r w:rsidR="00AC2714">
        <w:rPr>
          <w:rFonts w:ascii="Times New Roman" w:eastAsia="Times New Roman" w:hAnsi="Times New Roman" w:cs="Times New Roman"/>
          <w:bCs/>
          <w:sz w:val="28"/>
          <w:szCs w:val="28"/>
          <w:lang w:eastAsia="ru-RU"/>
        </w:rPr>
        <w:t>о</w:t>
      </w:r>
      <w:r w:rsidR="00AC2714" w:rsidRPr="00AC2714">
        <w:rPr>
          <w:rFonts w:ascii="Times New Roman" w:eastAsia="Times New Roman" w:hAnsi="Times New Roman" w:cs="Times New Roman"/>
          <w:bCs/>
          <w:sz w:val="28"/>
          <w:szCs w:val="28"/>
          <w:lang w:eastAsia="ru-RU"/>
        </w:rPr>
        <w:t xml:space="preserve">пределение прогностической ценности уровня накопления </w:t>
      </w:r>
      <w:r w:rsidR="00AC2714" w:rsidRPr="00AC2714">
        <w:rPr>
          <w:rFonts w:ascii="Times New Roman" w:eastAsia="Times New Roman" w:hAnsi="Times New Roman" w:cs="Times New Roman"/>
          <w:bCs/>
          <w:sz w:val="28"/>
          <w:szCs w:val="28"/>
          <w:vertAlign w:val="superscript"/>
          <w:lang w:eastAsia="ru-RU"/>
        </w:rPr>
        <w:t>18</w:t>
      </w:r>
      <w:r w:rsidR="00AC2714" w:rsidRPr="00AC2714">
        <w:rPr>
          <w:rFonts w:ascii="Times New Roman" w:eastAsia="Times New Roman" w:hAnsi="Times New Roman" w:cs="Times New Roman"/>
          <w:bCs/>
          <w:sz w:val="28"/>
          <w:szCs w:val="28"/>
          <w:lang w:eastAsia="ru-RU"/>
        </w:rPr>
        <w:t>F-FDG при ПЭТ/КТ в висцеральном жире как предиктора метастазирования в брюшину при эпителиальном раке яичников и колоректальном раке.</w:t>
      </w:r>
    </w:p>
    <w:p w14:paraId="2517C4E9" w14:textId="77777777" w:rsidR="00772843" w:rsidRPr="00A9028C" w:rsidRDefault="00772843" w:rsidP="00772843">
      <w:pPr>
        <w:spacing w:after="0" w:line="240" w:lineRule="auto"/>
        <w:ind w:firstLine="709"/>
        <w:jc w:val="both"/>
        <w:rPr>
          <w:rFonts w:ascii="Times New Roman" w:eastAsia="Times New Roman" w:hAnsi="Times New Roman" w:cs="Times New Roman"/>
          <w:sz w:val="28"/>
          <w:szCs w:val="28"/>
          <w:lang w:eastAsia="ru-RU"/>
        </w:rPr>
      </w:pPr>
    </w:p>
    <w:p w14:paraId="2109A353" w14:textId="77777777" w:rsidR="00D12688" w:rsidRPr="00A9028C" w:rsidRDefault="00D12688" w:rsidP="00772843">
      <w:pPr>
        <w:spacing w:after="0" w:line="240" w:lineRule="auto"/>
        <w:ind w:firstLine="709"/>
        <w:jc w:val="both"/>
        <w:rPr>
          <w:rFonts w:ascii="Times New Roman" w:eastAsia="Times New Roman" w:hAnsi="Times New Roman" w:cs="Times New Roman"/>
          <w:sz w:val="28"/>
          <w:szCs w:val="28"/>
          <w:lang w:eastAsia="ru-RU"/>
        </w:rPr>
      </w:pPr>
      <w:bookmarkStart w:id="9" w:name="_Hlk133852008"/>
    </w:p>
    <w:p w14:paraId="195505F5" w14:textId="77777777" w:rsidR="009B2375" w:rsidRPr="00A9028C" w:rsidRDefault="009B2375" w:rsidP="00772843">
      <w:pPr>
        <w:spacing w:after="0" w:line="240" w:lineRule="auto"/>
        <w:ind w:firstLine="709"/>
        <w:jc w:val="both"/>
        <w:rPr>
          <w:rFonts w:ascii="Times New Roman" w:eastAsia="Times New Roman" w:hAnsi="Times New Roman" w:cs="Times New Roman"/>
          <w:sz w:val="28"/>
          <w:szCs w:val="28"/>
          <w:lang w:eastAsia="ru-RU"/>
        </w:rPr>
      </w:pPr>
    </w:p>
    <w:p w14:paraId="1BE9D21F" w14:textId="2859D534" w:rsidR="00772843" w:rsidRPr="00A43B9C" w:rsidRDefault="00772843" w:rsidP="00772843">
      <w:pPr>
        <w:spacing w:after="0" w:line="240" w:lineRule="auto"/>
        <w:ind w:firstLine="709"/>
        <w:jc w:val="both"/>
        <w:rPr>
          <w:rFonts w:ascii="Times New Roman" w:eastAsia="Times New Roman" w:hAnsi="Times New Roman" w:cs="Times New Roman"/>
          <w:b/>
          <w:sz w:val="28"/>
          <w:szCs w:val="28"/>
          <w:lang w:eastAsia="ru-RU"/>
        </w:rPr>
      </w:pPr>
      <w:r w:rsidRPr="00A43B9C">
        <w:rPr>
          <w:rFonts w:ascii="Times New Roman" w:eastAsia="Times New Roman" w:hAnsi="Times New Roman" w:cs="Times New Roman"/>
          <w:b/>
          <w:sz w:val="28"/>
          <w:szCs w:val="28"/>
          <w:lang w:eastAsia="ru-RU"/>
        </w:rPr>
        <w:lastRenderedPageBreak/>
        <w:t>Задачи исследования</w:t>
      </w:r>
    </w:p>
    <w:bookmarkEnd w:id="9"/>
    <w:p w14:paraId="0D9F2B9E" w14:textId="491F9871" w:rsidR="00F95EF7" w:rsidRPr="00AC2714" w:rsidRDefault="00AC2714" w:rsidP="007D443B">
      <w:pPr>
        <w:pStyle w:val="ac"/>
        <w:numPr>
          <w:ilvl w:val="0"/>
          <w:numId w:val="28"/>
        </w:numPr>
        <w:spacing w:after="0" w:line="240" w:lineRule="auto"/>
        <w:ind w:left="0" w:firstLine="709"/>
        <w:jc w:val="both"/>
        <w:rPr>
          <w:sz w:val="28"/>
          <w:szCs w:val="28"/>
        </w:rPr>
      </w:pPr>
      <w:r w:rsidRPr="007D443B">
        <w:rPr>
          <w:sz w:val="28"/>
          <w:szCs w:val="28"/>
        </w:rPr>
        <w:t>Оценить зависимость физиологического уровня накопления SUV</w:t>
      </w:r>
      <w:r w:rsidRPr="007D443B">
        <w:rPr>
          <w:sz w:val="28"/>
          <w:szCs w:val="28"/>
          <w:vertAlign w:val="subscript"/>
        </w:rPr>
        <w:t>max</w:t>
      </w:r>
      <w:r w:rsidRPr="007D443B">
        <w:rPr>
          <w:sz w:val="28"/>
          <w:szCs w:val="28"/>
        </w:rPr>
        <w:t xml:space="preserve"> при ПЭТ/КТ исследовании с </w:t>
      </w:r>
      <w:r w:rsidRPr="007D443B">
        <w:rPr>
          <w:sz w:val="28"/>
          <w:szCs w:val="28"/>
          <w:vertAlign w:val="superscript"/>
        </w:rPr>
        <w:t>18</w:t>
      </w:r>
      <w:r w:rsidRPr="007D443B">
        <w:rPr>
          <w:sz w:val="28"/>
          <w:szCs w:val="28"/>
        </w:rPr>
        <w:t>F-FDG в висцеральном жире у пациентов с эпителиальным раком яичников и колоректальным раком от стадии заболевания</w:t>
      </w:r>
      <w:r w:rsidR="007D443B" w:rsidRPr="007D443B">
        <w:rPr>
          <w:sz w:val="28"/>
          <w:szCs w:val="28"/>
        </w:rPr>
        <w:t xml:space="preserve"> (</w:t>
      </w:r>
      <w:r w:rsidR="007D443B" w:rsidRPr="007D443B">
        <w:rPr>
          <w:sz w:val="28"/>
          <w:szCs w:val="28"/>
          <w:lang w:val="en-US"/>
        </w:rPr>
        <w:t>TNM</w:t>
      </w:r>
      <w:r w:rsidR="007D443B" w:rsidRPr="007D443B">
        <w:rPr>
          <w:sz w:val="28"/>
          <w:szCs w:val="28"/>
        </w:rPr>
        <w:t>)</w:t>
      </w:r>
      <w:r w:rsidRPr="007D443B">
        <w:rPr>
          <w:sz w:val="28"/>
          <w:szCs w:val="28"/>
        </w:rPr>
        <w:t>, локализации первичного процесса и гистологического типа опухоли</w:t>
      </w:r>
      <w:r w:rsidR="00F95EF7" w:rsidRPr="007D443B">
        <w:rPr>
          <w:sz w:val="28"/>
          <w:szCs w:val="28"/>
        </w:rPr>
        <w:t>.</w:t>
      </w:r>
    </w:p>
    <w:p w14:paraId="2E58F263" w14:textId="5838C1EF" w:rsidR="00F95EF7" w:rsidRPr="00F95EF7" w:rsidRDefault="00AC2714" w:rsidP="00302EA8">
      <w:pPr>
        <w:pStyle w:val="ac"/>
        <w:numPr>
          <w:ilvl w:val="0"/>
          <w:numId w:val="28"/>
        </w:numPr>
        <w:spacing w:after="0" w:line="240" w:lineRule="auto"/>
        <w:ind w:left="0" w:firstLine="709"/>
        <w:jc w:val="both"/>
        <w:rPr>
          <w:sz w:val="28"/>
          <w:szCs w:val="28"/>
        </w:rPr>
      </w:pPr>
      <w:r w:rsidRPr="00AC2714">
        <w:rPr>
          <w:sz w:val="28"/>
          <w:szCs w:val="28"/>
        </w:rPr>
        <w:t>Выявить корреляционную зависимость уровня накопления</w:t>
      </w:r>
      <w:r w:rsidR="001C3B22">
        <w:rPr>
          <w:sz w:val="28"/>
          <w:szCs w:val="28"/>
        </w:rPr>
        <w:br/>
      </w:r>
      <w:r w:rsidRPr="00AC2714">
        <w:rPr>
          <w:sz w:val="28"/>
          <w:szCs w:val="28"/>
          <w:vertAlign w:val="superscript"/>
        </w:rPr>
        <w:t>18</w:t>
      </w:r>
      <w:r w:rsidRPr="00AC2714">
        <w:rPr>
          <w:sz w:val="28"/>
          <w:szCs w:val="28"/>
        </w:rPr>
        <w:t>F-FDG в висцеральном жире у пациентов с эпителиальным раком яичников и колоректальным раком в зависимости от индекса накопления SUV</w:t>
      </w:r>
      <w:r w:rsidRPr="00AC2714">
        <w:rPr>
          <w:sz w:val="28"/>
          <w:szCs w:val="28"/>
          <w:vertAlign w:val="subscript"/>
        </w:rPr>
        <w:t>max</w:t>
      </w:r>
      <w:r w:rsidRPr="00AC2714">
        <w:rPr>
          <w:sz w:val="28"/>
          <w:szCs w:val="28"/>
        </w:rPr>
        <w:t xml:space="preserve"> в зонах брюшной полости и полости малого таза, как предиктора возможного метастазирования брюшины</w:t>
      </w:r>
      <w:r w:rsidR="00F95EF7" w:rsidRPr="00F95EF7">
        <w:rPr>
          <w:sz w:val="28"/>
          <w:szCs w:val="28"/>
        </w:rPr>
        <w:t>.</w:t>
      </w:r>
    </w:p>
    <w:p w14:paraId="5916D251" w14:textId="78A861DC" w:rsidR="00772843" w:rsidRPr="00AC2714" w:rsidRDefault="00AC2714" w:rsidP="00302EA8">
      <w:pPr>
        <w:pStyle w:val="aa"/>
        <w:numPr>
          <w:ilvl w:val="0"/>
          <w:numId w:val="28"/>
        </w:numPr>
        <w:tabs>
          <w:tab w:val="left" w:pos="851"/>
        </w:tabs>
        <w:spacing w:after="0" w:line="240" w:lineRule="auto"/>
        <w:ind w:left="0" w:firstLine="709"/>
        <w:jc w:val="both"/>
        <w:rPr>
          <w:rFonts w:ascii="Times New Roman" w:hAnsi="Times New Roman" w:cs="Times New Roman"/>
          <w:spacing w:val="2"/>
          <w:sz w:val="28"/>
          <w:szCs w:val="28"/>
        </w:rPr>
      </w:pPr>
      <w:r w:rsidRPr="00AC2714">
        <w:rPr>
          <w:rFonts w:ascii="Times New Roman" w:hAnsi="Times New Roman" w:cs="Times New Roman"/>
          <w:sz w:val="28"/>
          <w:szCs w:val="28"/>
        </w:rPr>
        <w:t xml:space="preserve">Определить </w:t>
      </w:r>
      <w:r w:rsidR="009C4C38">
        <w:rPr>
          <w:rFonts w:ascii="Times New Roman" w:hAnsi="Times New Roman" w:cs="Times New Roman"/>
          <w:sz w:val="28"/>
          <w:szCs w:val="28"/>
        </w:rPr>
        <w:t xml:space="preserve">прогностическую ценность </w:t>
      </w:r>
      <w:r w:rsidRPr="00AC2714">
        <w:rPr>
          <w:rFonts w:ascii="Times New Roman" w:hAnsi="Times New Roman" w:cs="Times New Roman"/>
          <w:sz w:val="28"/>
          <w:szCs w:val="28"/>
        </w:rPr>
        <w:t>порогов</w:t>
      </w:r>
      <w:r w:rsidR="009C4C38">
        <w:rPr>
          <w:rFonts w:ascii="Times New Roman" w:hAnsi="Times New Roman" w:cs="Times New Roman"/>
          <w:sz w:val="28"/>
          <w:szCs w:val="28"/>
        </w:rPr>
        <w:t>ого</w:t>
      </w:r>
      <w:r w:rsidRPr="00AC2714">
        <w:rPr>
          <w:rFonts w:ascii="Times New Roman" w:hAnsi="Times New Roman" w:cs="Times New Roman"/>
          <w:sz w:val="28"/>
          <w:szCs w:val="28"/>
        </w:rPr>
        <w:t xml:space="preserve"> уровн</w:t>
      </w:r>
      <w:r w:rsidR="009C4C38">
        <w:rPr>
          <w:rFonts w:ascii="Times New Roman" w:hAnsi="Times New Roman" w:cs="Times New Roman"/>
          <w:sz w:val="28"/>
          <w:szCs w:val="28"/>
        </w:rPr>
        <w:t>я</w:t>
      </w:r>
      <w:r w:rsidRPr="00AC2714">
        <w:rPr>
          <w:rFonts w:ascii="Times New Roman" w:hAnsi="Times New Roman" w:cs="Times New Roman"/>
          <w:sz w:val="28"/>
          <w:szCs w:val="28"/>
        </w:rPr>
        <w:t xml:space="preserve"> физиологического накопления </w:t>
      </w:r>
      <w:r w:rsidRPr="00AC2714">
        <w:rPr>
          <w:rFonts w:ascii="Times New Roman" w:hAnsi="Times New Roman" w:cs="Times New Roman"/>
          <w:sz w:val="28"/>
          <w:szCs w:val="28"/>
          <w:vertAlign w:val="superscript"/>
        </w:rPr>
        <w:t>18</w:t>
      </w:r>
      <w:r w:rsidRPr="00AC2714">
        <w:rPr>
          <w:rFonts w:ascii="Times New Roman" w:hAnsi="Times New Roman" w:cs="Times New Roman"/>
          <w:sz w:val="28"/>
          <w:szCs w:val="28"/>
        </w:rPr>
        <w:t xml:space="preserve">F-FDG при ПЭТ/КТ исследовании в висцеральном жире у пациентов с эпителиальным раком яичников и колоректальным раком в качестве независимого предиктора </w:t>
      </w:r>
      <w:r w:rsidR="009C4C38">
        <w:rPr>
          <w:rFonts w:ascii="Times New Roman" w:hAnsi="Times New Roman" w:cs="Times New Roman"/>
          <w:sz w:val="28"/>
          <w:szCs w:val="28"/>
        </w:rPr>
        <w:t xml:space="preserve">начала </w:t>
      </w:r>
      <w:r w:rsidRPr="00AC2714">
        <w:rPr>
          <w:rFonts w:ascii="Times New Roman" w:hAnsi="Times New Roman" w:cs="Times New Roman"/>
          <w:sz w:val="28"/>
          <w:szCs w:val="28"/>
        </w:rPr>
        <w:t>метастазирования брюшины</w:t>
      </w:r>
      <w:r w:rsidR="00A26D48" w:rsidRPr="00AC2714">
        <w:rPr>
          <w:rFonts w:ascii="Times New Roman" w:hAnsi="Times New Roman" w:cs="Times New Roman"/>
          <w:sz w:val="28"/>
          <w:szCs w:val="28"/>
        </w:rPr>
        <w:t>.</w:t>
      </w:r>
    </w:p>
    <w:p w14:paraId="71D3AE05" w14:textId="77777777" w:rsidR="00F95EF7" w:rsidRPr="00A43B9C" w:rsidRDefault="00F95EF7" w:rsidP="00772843">
      <w:pPr>
        <w:tabs>
          <w:tab w:val="left" w:pos="851"/>
        </w:tabs>
        <w:spacing w:after="0" w:line="240" w:lineRule="auto"/>
        <w:ind w:firstLine="709"/>
        <w:jc w:val="both"/>
        <w:rPr>
          <w:rFonts w:ascii="Times New Roman" w:eastAsia="Times New Roman" w:hAnsi="Times New Roman" w:cs="Times New Roman"/>
          <w:sz w:val="28"/>
          <w:szCs w:val="28"/>
          <w:lang w:eastAsia="ru-RU"/>
        </w:rPr>
      </w:pPr>
    </w:p>
    <w:p w14:paraId="5B8F54D3" w14:textId="77777777" w:rsidR="00772843" w:rsidRPr="00A43B9C" w:rsidRDefault="00772843" w:rsidP="00772843">
      <w:pPr>
        <w:tabs>
          <w:tab w:val="left" w:pos="851"/>
        </w:tabs>
        <w:spacing w:after="0" w:line="240" w:lineRule="auto"/>
        <w:ind w:firstLine="709"/>
        <w:jc w:val="both"/>
        <w:rPr>
          <w:rFonts w:ascii="Times New Roman" w:eastAsia="Batang" w:hAnsi="Times New Roman" w:cs="Times New Roman"/>
          <w:b/>
          <w:sz w:val="28"/>
          <w:szCs w:val="28"/>
          <w:lang w:eastAsia="ru-RU"/>
        </w:rPr>
      </w:pPr>
      <w:r w:rsidRPr="00A43B9C">
        <w:rPr>
          <w:rFonts w:ascii="Times New Roman" w:eastAsia="Batang" w:hAnsi="Times New Roman" w:cs="Times New Roman"/>
          <w:b/>
          <w:sz w:val="28"/>
          <w:szCs w:val="28"/>
          <w:lang w:eastAsia="ru-RU"/>
        </w:rPr>
        <w:t>Научная новизна</w:t>
      </w:r>
    </w:p>
    <w:p w14:paraId="225E1327" w14:textId="7E889ED1" w:rsidR="00553E9D" w:rsidRPr="00A43B9C" w:rsidRDefault="00D12688" w:rsidP="00553E9D">
      <w:pPr>
        <w:spacing w:after="0" w:line="240" w:lineRule="auto"/>
        <w:ind w:firstLine="709"/>
        <w:jc w:val="both"/>
        <w:rPr>
          <w:rFonts w:ascii="Times New Roman" w:eastAsia="Times New Roman" w:hAnsi="Times New Roman" w:cs="Times New Roman"/>
          <w:iCs/>
          <w:sz w:val="28"/>
          <w:szCs w:val="28"/>
          <w:lang w:eastAsia="ru-RU"/>
        </w:rPr>
      </w:pPr>
      <w:r w:rsidRPr="005C2E73">
        <w:rPr>
          <w:rFonts w:ascii="Times New Roman" w:hAnsi="Times New Roman" w:cs="Times New Roman"/>
          <w:sz w:val="28"/>
        </w:rPr>
        <w:t xml:space="preserve">Впервые в Республике Казахстан </w:t>
      </w:r>
      <w:r w:rsidR="00530D3B" w:rsidRPr="00A43B9C">
        <w:rPr>
          <w:rFonts w:ascii="Times New Roman" w:hAnsi="Times New Roman" w:cs="Times New Roman"/>
          <w:sz w:val="28"/>
        </w:rPr>
        <w:t xml:space="preserve">по </w:t>
      </w:r>
      <w:r w:rsidR="00553E9D" w:rsidRPr="00A43B9C">
        <w:rPr>
          <w:rFonts w:ascii="Times New Roman" w:hAnsi="Times New Roman" w:cs="Times New Roman"/>
          <w:sz w:val="28"/>
        </w:rPr>
        <w:t>определени</w:t>
      </w:r>
      <w:r w:rsidR="00530D3B" w:rsidRPr="00A43B9C">
        <w:rPr>
          <w:rFonts w:ascii="Times New Roman" w:hAnsi="Times New Roman" w:cs="Times New Roman"/>
          <w:sz w:val="28"/>
        </w:rPr>
        <w:t>ю</w:t>
      </w:r>
      <w:r w:rsidR="00553E9D" w:rsidRPr="00A43B9C">
        <w:rPr>
          <w:rFonts w:ascii="Times New Roman" w:hAnsi="Times New Roman" w:cs="Times New Roman"/>
          <w:sz w:val="28"/>
        </w:rPr>
        <w:t xml:space="preserve"> прогностической ценности уровня накопления </w:t>
      </w:r>
      <w:r w:rsidR="00553E9D" w:rsidRPr="00A43B9C">
        <w:rPr>
          <w:rFonts w:ascii="Times New Roman" w:hAnsi="Times New Roman" w:cs="Times New Roman"/>
          <w:sz w:val="28"/>
          <w:vertAlign w:val="superscript"/>
        </w:rPr>
        <w:t>18</w:t>
      </w:r>
      <w:r w:rsidR="00553E9D" w:rsidRPr="00A43B9C">
        <w:rPr>
          <w:rFonts w:ascii="Times New Roman" w:hAnsi="Times New Roman" w:cs="Times New Roman"/>
          <w:sz w:val="28"/>
          <w:lang w:val="en-US"/>
        </w:rPr>
        <w:t>F</w:t>
      </w:r>
      <w:r w:rsidR="00553E9D" w:rsidRPr="00A43B9C">
        <w:rPr>
          <w:rFonts w:ascii="Times New Roman" w:hAnsi="Times New Roman" w:cs="Times New Roman"/>
          <w:sz w:val="28"/>
        </w:rPr>
        <w:t>-</w:t>
      </w:r>
      <w:r w:rsidR="00553E9D" w:rsidRPr="00A43B9C">
        <w:rPr>
          <w:rFonts w:ascii="Times New Roman" w:hAnsi="Times New Roman" w:cs="Times New Roman"/>
          <w:sz w:val="28"/>
          <w:lang w:val="en-US"/>
        </w:rPr>
        <w:t>FDG</w:t>
      </w:r>
      <w:r w:rsidR="00553E9D" w:rsidRPr="00A43B9C">
        <w:rPr>
          <w:rFonts w:ascii="Times New Roman" w:hAnsi="Times New Roman" w:cs="Times New Roman"/>
          <w:sz w:val="28"/>
        </w:rPr>
        <w:t xml:space="preserve"> в </w:t>
      </w:r>
      <w:r w:rsidR="00F6678E">
        <w:rPr>
          <w:rFonts w:ascii="Times New Roman" w:hAnsi="Times New Roman" w:cs="Times New Roman"/>
          <w:sz w:val="28"/>
        </w:rPr>
        <w:t>висцеральном жире</w:t>
      </w:r>
      <w:r w:rsidR="00553E9D" w:rsidRPr="00A43B9C">
        <w:rPr>
          <w:rFonts w:ascii="Times New Roman" w:hAnsi="Times New Roman" w:cs="Times New Roman"/>
          <w:sz w:val="28"/>
        </w:rPr>
        <w:t>:</w:t>
      </w:r>
    </w:p>
    <w:p w14:paraId="45C39D34" w14:textId="72324D8C" w:rsidR="00D12688" w:rsidRDefault="00627A7C" w:rsidP="005C2E73">
      <w:pPr>
        <w:spacing w:after="0" w:line="240" w:lineRule="auto"/>
        <w:ind w:firstLine="709"/>
        <w:jc w:val="both"/>
        <w:rPr>
          <w:rFonts w:ascii="Times New Roman" w:hAnsi="Times New Roman" w:cs="Times New Roman"/>
          <w:sz w:val="28"/>
          <w:szCs w:val="28"/>
        </w:rPr>
      </w:pPr>
      <w:r w:rsidRPr="00627A7C">
        <w:rPr>
          <w:rFonts w:ascii="Times New Roman" w:hAnsi="Times New Roman" w:cs="Times New Roman"/>
          <w:sz w:val="28"/>
        </w:rPr>
        <w:t>Оценена зависимость физиологического уровня накопления SUV</w:t>
      </w:r>
      <w:r w:rsidRPr="0058185A">
        <w:rPr>
          <w:rFonts w:ascii="Times New Roman" w:hAnsi="Times New Roman" w:cs="Times New Roman"/>
          <w:sz w:val="28"/>
          <w:vertAlign w:val="subscript"/>
        </w:rPr>
        <w:t>max</w:t>
      </w:r>
      <w:r w:rsidRPr="00627A7C">
        <w:rPr>
          <w:rFonts w:ascii="Times New Roman" w:hAnsi="Times New Roman" w:cs="Times New Roman"/>
          <w:sz w:val="28"/>
        </w:rPr>
        <w:t xml:space="preserve"> при ПЭТ/КТ</w:t>
      </w:r>
      <w:r w:rsidR="00051345">
        <w:rPr>
          <w:rFonts w:ascii="Times New Roman" w:hAnsi="Times New Roman" w:cs="Times New Roman"/>
          <w:sz w:val="28"/>
        </w:rPr>
        <w:t xml:space="preserve"> </w:t>
      </w:r>
      <w:r w:rsidRPr="00627A7C">
        <w:rPr>
          <w:rFonts w:ascii="Times New Roman" w:hAnsi="Times New Roman" w:cs="Times New Roman"/>
          <w:sz w:val="28"/>
        </w:rPr>
        <w:t xml:space="preserve">исследовании с </w:t>
      </w:r>
      <w:r w:rsidRPr="0058185A">
        <w:rPr>
          <w:rFonts w:ascii="Times New Roman" w:hAnsi="Times New Roman" w:cs="Times New Roman"/>
          <w:sz w:val="28"/>
          <w:vertAlign w:val="superscript"/>
        </w:rPr>
        <w:t>18</w:t>
      </w:r>
      <w:r w:rsidRPr="00627A7C">
        <w:rPr>
          <w:rFonts w:ascii="Times New Roman" w:hAnsi="Times New Roman" w:cs="Times New Roman"/>
          <w:sz w:val="28"/>
        </w:rPr>
        <w:t>F-FDG в висцеральном жире у пациентов с эпителиальным раком яичников и колоректальным раком в зависимости от стадии заболевания</w:t>
      </w:r>
      <w:r w:rsidR="007D443B" w:rsidRPr="007D443B">
        <w:rPr>
          <w:rFonts w:ascii="Times New Roman" w:hAnsi="Times New Roman" w:cs="Times New Roman"/>
          <w:sz w:val="28"/>
        </w:rPr>
        <w:t xml:space="preserve"> (</w:t>
      </w:r>
      <w:r w:rsidR="007D443B">
        <w:rPr>
          <w:rFonts w:ascii="Times New Roman" w:hAnsi="Times New Roman" w:cs="Times New Roman"/>
          <w:sz w:val="28"/>
          <w:lang w:val="en-US"/>
        </w:rPr>
        <w:t>TNM</w:t>
      </w:r>
      <w:r w:rsidR="007D443B" w:rsidRPr="007D443B">
        <w:rPr>
          <w:rFonts w:ascii="Times New Roman" w:hAnsi="Times New Roman" w:cs="Times New Roman"/>
          <w:sz w:val="28"/>
        </w:rPr>
        <w:t>)</w:t>
      </w:r>
      <w:r w:rsidRPr="00627A7C">
        <w:rPr>
          <w:rFonts w:ascii="Times New Roman" w:hAnsi="Times New Roman" w:cs="Times New Roman"/>
          <w:sz w:val="28"/>
        </w:rPr>
        <w:t>, локализации первичного процесса и гистологического типа опухоли</w:t>
      </w:r>
      <w:r w:rsidR="00807C61" w:rsidRPr="005C2E73">
        <w:rPr>
          <w:rFonts w:ascii="Times New Roman" w:hAnsi="Times New Roman" w:cs="Times New Roman"/>
          <w:sz w:val="28"/>
          <w:szCs w:val="28"/>
        </w:rPr>
        <w:t>;</w:t>
      </w:r>
    </w:p>
    <w:p w14:paraId="38D5F5D4" w14:textId="66E73571" w:rsidR="00807C61" w:rsidRPr="005C2E73" w:rsidRDefault="00627A7C" w:rsidP="005C2E73">
      <w:pPr>
        <w:spacing w:after="0" w:line="240" w:lineRule="auto"/>
        <w:ind w:firstLine="709"/>
        <w:jc w:val="both"/>
        <w:rPr>
          <w:rFonts w:ascii="Times New Roman" w:hAnsi="Times New Roman" w:cs="Times New Roman"/>
          <w:sz w:val="28"/>
        </w:rPr>
      </w:pPr>
      <w:r w:rsidRPr="00627A7C">
        <w:rPr>
          <w:rFonts w:ascii="Times New Roman" w:hAnsi="Times New Roman" w:cs="Times New Roman"/>
          <w:spacing w:val="2"/>
          <w:sz w:val="28"/>
          <w:szCs w:val="28"/>
        </w:rPr>
        <w:t>Впервые выявлены зоны брюшной полости и малого таза при ПЭТ/КТ</w:t>
      </w:r>
      <w:r w:rsidR="00051345">
        <w:rPr>
          <w:rFonts w:ascii="Times New Roman" w:hAnsi="Times New Roman" w:cs="Times New Roman"/>
          <w:spacing w:val="2"/>
          <w:sz w:val="28"/>
          <w:szCs w:val="28"/>
        </w:rPr>
        <w:t xml:space="preserve"> </w:t>
      </w:r>
      <w:r w:rsidRPr="00627A7C">
        <w:rPr>
          <w:rFonts w:ascii="Times New Roman" w:hAnsi="Times New Roman" w:cs="Times New Roman"/>
          <w:spacing w:val="2"/>
          <w:sz w:val="28"/>
          <w:szCs w:val="28"/>
        </w:rPr>
        <w:t xml:space="preserve">исследовании для уровня накопления </w:t>
      </w:r>
      <w:r w:rsidRPr="0058185A">
        <w:rPr>
          <w:rFonts w:ascii="Times New Roman" w:hAnsi="Times New Roman" w:cs="Times New Roman"/>
          <w:spacing w:val="2"/>
          <w:sz w:val="28"/>
          <w:szCs w:val="28"/>
          <w:vertAlign w:val="superscript"/>
        </w:rPr>
        <w:t>18</w:t>
      </w:r>
      <w:r w:rsidRPr="00627A7C">
        <w:rPr>
          <w:rFonts w:ascii="Times New Roman" w:hAnsi="Times New Roman" w:cs="Times New Roman"/>
          <w:spacing w:val="2"/>
          <w:sz w:val="28"/>
          <w:szCs w:val="28"/>
        </w:rPr>
        <w:t>F-FDG в висцеральном жире у пациентов с эпителиальным раком яичников и колоректальным раком в качестве предиктора возможного метастазирования брюшины</w:t>
      </w:r>
      <w:r w:rsidR="00807C61" w:rsidRPr="005C2E73">
        <w:rPr>
          <w:rFonts w:ascii="Times New Roman" w:hAnsi="Times New Roman" w:cs="Times New Roman"/>
          <w:sz w:val="28"/>
          <w:szCs w:val="28"/>
        </w:rPr>
        <w:t>;</w:t>
      </w:r>
    </w:p>
    <w:p w14:paraId="2B89080B" w14:textId="2210B0C1" w:rsidR="00D12688" w:rsidRPr="00D12688" w:rsidRDefault="00627A7C" w:rsidP="00D12688">
      <w:pPr>
        <w:spacing w:after="0" w:line="240" w:lineRule="auto"/>
        <w:ind w:firstLine="709"/>
        <w:jc w:val="both"/>
        <w:rPr>
          <w:rFonts w:ascii="Times New Roman" w:hAnsi="Times New Roman" w:cs="Times New Roman"/>
          <w:sz w:val="28"/>
          <w:szCs w:val="28"/>
        </w:rPr>
      </w:pPr>
      <w:bookmarkStart w:id="10" w:name="_Hlk164176162"/>
      <w:r w:rsidRPr="00302EA8">
        <w:rPr>
          <w:rFonts w:ascii="Times New Roman" w:hAnsi="Times New Roman" w:cs="Times New Roman"/>
          <w:sz w:val="28"/>
        </w:rPr>
        <w:t xml:space="preserve">Впервые определены пороговые уровни физиологического накопления </w:t>
      </w:r>
      <w:r w:rsidRPr="00302EA8">
        <w:rPr>
          <w:rFonts w:ascii="Times New Roman" w:hAnsi="Times New Roman" w:cs="Times New Roman"/>
          <w:sz w:val="28"/>
          <w:vertAlign w:val="superscript"/>
        </w:rPr>
        <w:t>18</w:t>
      </w:r>
      <w:r w:rsidRPr="00302EA8">
        <w:rPr>
          <w:rFonts w:ascii="Times New Roman" w:hAnsi="Times New Roman" w:cs="Times New Roman"/>
          <w:sz w:val="28"/>
        </w:rPr>
        <w:t>F-FDG (SUV</w:t>
      </w:r>
      <w:r w:rsidRPr="00302EA8">
        <w:rPr>
          <w:rFonts w:ascii="Times New Roman" w:hAnsi="Times New Roman" w:cs="Times New Roman"/>
          <w:sz w:val="28"/>
          <w:vertAlign w:val="subscript"/>
        </w:rPr>
        <w:t>max</w:t>
      </w:r>
      <w:r w:rsidRPr="00302EA8">
        <w:rPr>
          <w:rFonts w:ascii="Times New Roman" w:hAnsi="Times New Roman" w:cs="Times New Roman"/>
          <w:sz w:val="28"/>
        </w:rPr>
        <w:t>) при ПЭТ/КТ исследовании в висцеральном жире в зонах брюшной полости и полости малого таза у пациентов с эпителиальным раком яичников и колоректальным раком в качестве независимого предиктора метастазирования брюшины</w:t>
      </w:r>
      <w:r w:rsidR="00F95EF7" w:rsidRPr="00302EA8">
        <w:rPr>
          <w:rFonts w:ascii="Times New Roman" w:hAnsi="Times New Roman" w:cs="Times New Roman"/>
          <w:sz w:val="28"/>
          <w:szCs w:val="28"/>
        </w:rPr>
        <w:t>.</w:t>
      </w:r>
      <w:bookmarkEnd w:id="10"/>
    </w:p>
    <w:p w14:paraId="650CEDF8" w14:textId="77777777" w:rsidR="00D12688" w:rsidRPr="00A43B9C" w:rsidRDefault="00D12688" w:rsidP="00772843">
      <w:pPr>
        <w:tabs>
          <w:tab w:val="left" w:pos="851"/>
        </w:tabs>
        <w:spacing w:after="0" w:line="240" w:lineRule="auto"/>
        <w:ind w:firstLine="709"/>
        <w:jc w:val="both"/>
        <w:rPr>
          <w:rFonts w:ascii="Times New Roman" w:eastAsia="Times New Roman" w:hAnsi="Times New Roman" w:cs="Times New Roman"/>
          <w:sz w:val="28"/>
          <w:szCs w:val="28"/>
          <w:lang w:eastAsia="ru-RU"/>
        </w:rPr>
      </w:pPr>
    </w:p>
    <w:p w14:paraId="51A774A1" w14:textId="77777777" w:rsidR="00772843" w:rsidRPr="00A43B9C" w:rsidRDefault="00772843" w:rsidP="00772843">
      <w:pPr>
        <w:tabs>
          <w:tab w:val="left" w:pos="851"/>
        </w:tabs>
        <w:spacing w:after="0" w:line="240" w:lineRule="auto"/>
        <w:ind w:firstLine="709"/>
        <w:jc w:val="both"/>
        <w:rPr>
          <w:rFonts w:ascii="Times New Roman" w:eastAsia="Times New Roman" w:hAnsi="Times New Roman" w:cs="Times New Roman"/>
          <w:b/>
          <w:sz w:val="28"/>
          <w:szCs w:val="28"/>
          <w:lang w:eastAsia="ru-RU"/>
        </w:rPr>
      </w:pPr>
      <w:r w:rsidRPr="00A43B9C">
        <w:rPr>
          <w:rFonts w:ascii="Times New Roman" w:eastAsia="Times New Roman" w:hAnsi="Times New Roman" w:cs="Times New Roman"/>
          <w:b/>
          <w:sz w:val="28"/>
          <w:szCs w:val="28"/>
          <w:lang w:eastAsia="ru-RU"/>
        </w:rPr>
        <w:t>Практическая значимость</w:t>
      </w:r>
    </w:p>
    <w:p w14:paraId="43C1827E" w14:textId="7175E826" w:rsidR="00463107" w:rsidRPr="00A43B9C" w:rsidRDefault="00463107" w:rsidP="005766D6">
      <w:pPr>
        <w:autoSpaceDE w:val="0"/>
        <w:autoSpaceDN w:val="0"/>
        <w:adjustRightInd w:val="0"/>
        <w:spacing w:after="0" w:line="240" w:lineRule="auto"/>
        <w:ind w:firstLine="708"/>
        <w:jc w:val="both"/>
        <w:rPr>
          <w:rFonts w:ascii="Times New Roman" w:hAnsi="Times New Roman" w:cs="Times New Roman"/>
          <w:sz w:val="28"/>
          <w:szCs w:val="28"/>
        </w:rPr>
      </w:pPr>
      <w:r w:rsidRPr="00A43B9C">
        <w:rPr>
          <w:rFonts w:ascii="Times New Roman" w:hAnsi="Times New Roman" w:cs="Times New Roman"/>
          <w:sz w:val="28"/>
          <w:szCs w:val="28"/>
        </w:rPr>
        <w:t>Практическая значимость выполненной нами работы сводится к следующим положениям:</w:t>
      </w:r>
    </w:p>
    <w:p w14:paraId="3554F6EE" w14:textId="7457AC85" w:rsidR="005766D6" w:rsidRPr="00A43B9C" w:rsidRDefault="00627A7C" w:rsidP="005766D6">
      <w:pPr>
        <w:autoSpaceDE w:val="0"/>
        <w:autoSpaceDN w:val="0"/>
        <w:adjustRightInd w:val="0"/>
        <w:spacing w:after="0" w:line="240" w:lineRule="auto"/>
        <w:ind w:firstLine="708"/>
        <w:jc w:val="both"/>
        <w:rPr>
          <w:rFonts w:ascii="Times New Roman" w:hAnsi="Times New Roman" w:cs="Times New Roman"/>
          <w:sz w:val="28"/>
          <w:szCs w:val="28"/>
        </w:rPr>
      </w:pPr>
      <w:r w:rsidRPr="00627A7C">
        <w:rPr>
          <w:rFonts w:ascii="Times New Roman" w:hAnsi="Times New Roman" w:cs="Times New Roman"/>
          <w:sz w:val="28"/>
          <w:szCs w:val="28"/>
        </w:rPr>
        <w:t>Физиологический уровень накопления SUV</w:t>
      </w:r>
      <w:r w:rsidRPr="0058185A">
        <w:rPr>
          <w:rFonts w:ascii="Times New Roman" w:hAnsi="Times New Roman" w:cs="Times New Roman"/>
          <w:sz w:val="28"/>
          <w:szCs w:val="28"/>
          <w:vertAlign w:val="subscript"/>
        </w:rPr>
        <w:t>max</w:t>
      </w:r>
      <w:r w:rsidRPr="00627A7C">
        <w:rPr>
          <w:rFonts w:ascii="Times New Roman" w:hAnsi="Times New Roman" w:cs="Times New Roman"/>
          <w:sz w:val="28"/>
          <w:szCs w:val="28"/>
        </w:rPr>
        <w:t xml:space="preserve"> при ПЭТ/КТ</w:t>
      </w:r>
      <w:r w:rsidR="00051345">
        <w:rPr>
          <w:rFonts w:ascii="Times New Roman" w:hAnsi="Times New Roman" w:cs="Times New Roman"/>
          <w:sz w:val="28"/>
          <w:szCs w:val="28"/>
        </w:rPr>
        <w:t xml:space="preserve"> </w:t>
      </w:r>
      <w:r w:rsidRPr="00627A7C">
        <w:rPr>
          <w:rFonts w:ascii="Times New Roman" w:hAnsi="Times New Roman" w:cs="Times New Roman"/>
          <w:sz w:val="28"/>
          <w:szCs w:val="28"/>
        </w:rPr>
        <w:t xml:space="preserve">исследовании с </w:t>
      </w:r>
      <w:r w:rsidRPr="0058185A">
        <w:rPr>
          <w:rFonts w:ascii="Times New Roman" w:hAnsi="Times New Roman" w:cs="Times New Roman"/>
          <w:sz w:val="28"/>
          <w:szCs w:val="28"/>
          <w:vertAlign w:val="superscript"/>
        </w:rPr>
        <w:t>18</w:t>
      </w:r>
      <w:r w:rsidRPr="00627A7C">
        <w:rPr>
          <w:rFonts w:ascii="Times New Roman" w:hAnsi="Times New Roman" w:cs="Times New Roman"/>
          <w:sz w:val="28"/>
          <w:szCs w:val="28"/>
        </w:rPr>
        <w:t>F-FDG в висцеральном жире у пациентов с эпителиальным раком яичников не зависит от стадии заболевания</w:t>
      </w:r>
      <w:r w:rsidR="007D443B">
        <w:rPr>
          <w:rFonts w:ascii="Times New Roman" w:hAnsi="Times New Roman" w:cs="Times New Roman"/>
          <w:sz w:val="28"/>
          <w:szCs w:val="28"/>
        </w:rPr>
        <w:t xml:space="preserve"> (</w:t>
      </w:r>
      <w:r w:rsidR="007D443B">
        <w:rPr>
          <w:rFonts w:ascii="Times New Roman" w:hAnsi="Times New Roman" w:cs="Times New Roman"/>
          <w:sz w:val="28"/>
          <w:szCs w:val="28"/>
          <w:lang w:val="en-US"/>
        </w:rPr>
        <w:t>TNM</w:t>
      </w:r>
      <w:r w:rsidR="007D443B">
        <w:rPr>
          <w:rFonts w:ascii="Times New Roman" w:hAnsi="Times New Roman" w:cs="Times New Roman"/>
          <w:sz w:val="28"/>
          <w:szCs w:val="28"/>
        </w:rPr>
        <w:t>)</w:t>
      </w:r>
      <w:r w:rsidRPr="00627A7C">
        <w:rPr>
          <w:rFonts w:ascii="Times New Roman" w:hAnsi="Times New Roman" w:cs="Times New Roman"/>
          <w:sz w:val="28"/>
          <w:szCs w:val="28"/>
        </w:rPr>
        <w:t>, локализации первичного процесса и гистологического типа опухоли. А уровень накопления SUV</w:t>
      </w:r>
      <w:r w:rsidRPr="0058185A">
        <w:rPr>
          <w:rFonts w:ascii="Times New Roman" w:hAnsi="Times New Roman" w:cs="Times New Roman"/>
          <w:sz w:val="28"/>
          <w:szCs w:val="28"/>
          <w:vertAlign w:val="subscript"/>
        </w:rPr>
        <w:t>max</w:t>
      </w:r>
      <w:r w:rsidRPr="00627A7C">
        <w:rPr>
          <w:rFonts w:ascii="Times New Roman" w:hAnsi="Times New Roman" w:cs="Times New Roman"/>
          <w:sz w:val="28"/>
          <w:szCs w:val="28"/>
        </w:rPr>
        <w:t xml:space="preserve"> при колоректальном раке зависит от локализации первичного процесса</w:t>
      </w:r>
      <w:r>
        <w:rPr>
          <w:rFonts w:ascii="Times New Roman" w:hAnsi="Times New Roman" w:cs="Times New Roman"/>
          <w:sz w:val="28"/>
          <w:szCs w:val="28"/>
        </w:rPr>
        <w:t>;</w:t>
      </w:r>
    </w:p>
    <w:p w14:paraId="40F8C797" w14:textId="34D1D3B9" w:rsidR="00992DA7" w:rsidRPr="00A43B9C" w:rsidRDefault="00627A7C" w:rsidP="005766D6">
      <w:pPr>
        <w:autoSpaceDE w:val="0"/>
        <w:autoSpaceDN w:val="0"/>
        <w:adjustRightInd w:val="0"/>
        <w:spacing w:after="0" w:line="240" w:lineRule="auto"/>
        <w:ind w:firstLine="709"/>
        <w:jc w:val="both"/>
        <w:rPr>
          <w:rFonts w:ascii="Times New Roman" w:hAnsi="Times New Roman" w:cs="Times New Roman"/>
          <w:sz w:val="28"/>
          <w:szCs w:val="28"/>
        </w:rPr>
      </w:pPr>
      <w:r w:rsidRPr="00302EA8">
        <w:rPr>
          <w:rFonts w:ascii="Times New Roman" w:hAnsi="Times New Roman" w:cs="Times New Roman"/>
          <w:sz w:val="28"/>
          <w:szCs w:val="28"/>
        </w:rPr>
        <w:lastRenderedPageBreak/>
        <w:t xml:space="preserve">Выявленная прямая корреляционная зависимость уровня накопления </w:t>
      </w:r>
      <w:r w:rsidRPr="00302EA8">
        <w:rPr>
          <w:rFonts w:ascii="Times New Roman" w:hAnsi="Times New Roman" w:cs="Times New Roman"/>
          <w:sz w:val="28"/>
          <w:szCs w:val="28"/>
          <w:vertAlign w:val="superscript"/>
        </w:rPr>
        <w:t>18</w:t>
      </w:r>
      <w:r w:rsidRPr="00302EA8">
        <w:rPr>
          <w:rFonts w:ascii="Times New Roman" w:hAnsi="Times New Roman" w:cs="Times New Roman"/>
          <w:sz w:val="28"/>
          <w:szCs w:val="28"/>
        </w:rPr>
        <w:t>F-FDG в висцеральном жире у пациентов с эпителиальным раком яичников и колоректальным раком от индекса накопления SUV</w:t>
      </w:r>
      <w:r w:rsidRPr="00302EA8">
        <w:rPr>
          <w:rFonts w:ascii="Times New Roman" w:hAnsi="Times New Roman" w:cs="Times New Roman"/>
          <w:sz w:val="28"/>
          <w:szCs w:val="28"/>
          <w:vertAlign w:val="subscript"/>
        </w:rPr>
        <w:t>max</w:t>
      </w:r>
      <w:r w:rsidRPr="00302EA8">
        <w:rPr>
          <w:rFonts w:ascii="Times New Roman" w:hAnsi="Times New Roman" w:cs="Times New Roman"/>
          <w:sz w:val="28"/>
          <w:szCs w:val="28"/>
        </w:rPr>
        <w:t xml:space="preserve"> в зонах брюшной полости и полости малого таза, мо</w:t>
      </w:r>
      <w:r w:rsidR="00450839" w:rsidRPr="00302EA8">
        <w:rPr>
          <w:rFonts w:ascii="Times New Roman" w:hAnsi="Times New Roman" w:cs="Times New Roman"/>
          <w:sz w:val="28"/>
          <w:szCs w:val="28"/>
        </w:rPr>
        <w:t>же</w:t>
      </w:r>
      <w:r w:rsidRPr="00302EA8">
        <w:rPr>
          <w:rFonts w:ascii="Times New Roman" w:hAnsi="Times New Roman" w:cs="Times New Roman"/>
          <w:sz w:val="28"/>
          <w:szCs w:val="28"/>
        </w:rPr>
        <w:t>т быть использован</w:t>
      </w:r>
      <w:r w:rsidR="00450839" w:rsidRPr="00302EA8">
        <w:rPr>
          <w:rFonts w:ascii="Times New Roman" w:hAnsi="Times New Roman" w:cs="Times New Roman"/>
          <w:sz w:val="28"/>
          <w:szCs w:val="28"/>
        </w:rPr>
        <w:t>а</w:t>
      </w:r>
      <w:r w:rsidRPr="00302EA8">
        <w:rPr>
          <w:rFonts w:ascii="Times New Roman" w:hAnsi="Times New Roman" w:cs="Times New Roman"/>
          <w:sz w:val="28"/>
          <w:szCs w:val="28"/>
        </w:rPr>
        <w:t xml:space="preserve"> в качестве предиктора возможного метастазирования брюшины;</w:t>
      </w:r>
    </w:p>
    <w:p w14:paraId="56BB6A97" w14:textId="37D16E15" w:rsidR="005766D6" w:rsidRDefault="00627A7C" w:rsidP="005766D6">
      <w:pPr>
        <w:spacing w:after="0" w:line="240" w:lineRule="auto"/>
        <w:ind w:firstLine="709"/>
        <w:jc w:val="both"/>
        <w:rPr>
          <w:rFonts w:ascii="Times New Roman" w:hAnsi="Times New Roman" w:cs="Times New Roman"/>
          <w:sz w:val="28"/>
          <w:szCs w:val="28"/>
        </w:rPr>
      </w:pPr>
      <w:r w:rsidRPr="00627A7C">
        <w:rPr>
          <w:rFonts w:ascii="Times New Roman" w:hAnsi="Times New Roman" w:cs="Times New Roman"/>
          <w:sz w:val="28"/>
          <w:szCs w:val="28"/>
        </w:rPr>
        <w:t xml:space="preserve">Максимальный пороговый уровень физиологического накопления </w:t>
      </w:r>
      <w:r w:rsidRPr="0058185A">
        <w:rPr>
          <w:rFonts w:ascii="Times New Roman" w:hAnsi="Times New Roman" w:cs="Times New Roman"/>
          <w:sz w:val="28"/>
          <w:szCs w:val="28"/>
          <w:vertAlign w:val="superscript"/>
        </w:rPr>
        <w:t>18</w:t>
      </w:r>
      <w:r w:rsidRPr="00627A7C">
        <w:rPr>
          <w:rFonts w:ascii="Times New Roman" w:hAnsi="Times New Roman" w:cs="Times New Roman"/>
          <w:sz w:val="28"/>
          <w:szCs w:val="28"/>
        </w:rPr>
        <w:t>F-FDG (SUV</w:t>
      </w:r>
      <w:r w:rsidRPr="0058185A">
        <w:rPr>
          <w:rFonts w:ascii="Times New Roman" w:hAnsi="Times New Roman" w:cs="Times New Roman"/>
          <w:sz w:val="28"/>
          <w:szCs w:val="28"/>
          <w:vertAlign w:val="subscript"/>
        </w:rPr>
        <w:t>max</w:t>
      </w:r>
      <w:r w:rsidRPr="00627A7C">
        <w:rPr>
          <w:rFonts w:ascii="Times New Roman" w:hAnsi="Times New Roman" w:cs="Times New Roman"/>
          <w:sz w:val="28"/>
          <w:szCs w:val="28"/>
        </w:rPr>
        <w:t xml:space="preserve">) в висцеральном жире в зонах брюшной полости и полости малого таза у пациентов с эпителиальным раком яичников и колоректальным раком показывает прогностическую ценность </w:t>
      </w:r>
      <w:r w:rsidRPr="00302EA8">
        <w:rPr>
          <w:rFonts w:ascii="Times New Roman" w:hAnsi="Times New Roman" w:cs="Times New Roman"/>
          <w:sz w:val="28"/>
          <w:szCs w:val="28"/>
        </w:rPr>
        <w:t>ка</w:t>
      </w:r>
      <w:r w:rsidR="00754B92" w:rsidRPr="00302EA8">
        <w:rPr>
          <w:rFonts w:ascii="Times New Roman" w:hAnsi="Times New Roman" w:cs="Times New Roman"/>
          <w:sz w:val="28"/>
          <w:szCs w:val="28"/>
        </w:rPr>
        <w:t>к</w:t>
      </w:r>
      <w:r w:rsidRPr="00302EA8">
        <w:rPr>
          <w:rFonts w:ascii="Times New Roman" w:hAnsi="Times New Roman" w:cs="Times New Roman"/>
          <w:sz w:val="28"/>
          <w:szCs w:val="28"/>
        </w:rPr>
        <w:t xml:space="preserve"> независим</w:t>
      </w:r>
      <w:r w:rsidR="00754B92" w:rsidRPr="00302EA8">
        <w:rPr>
          <w:rFonts w:ascii="Times New Roman" w:hAnsi="Times New Roman" w:cs="Times New Roman"/>
          <w:sz w:val="28"/>
          <w:szCs w:val="28"/>
        </w:rPr>
        <w:t>ый</w:t>
      </w:r>
      <w:r w:rsidRPr="00302EA8">
        <w:rPr>
          <w:rFonts w:ascii="Times New Roman" w:hAnsi="Times New Roman" w:cs="Times New Roman"/>
          <w:sz w:val="28"/>
          <w:szCs w:val="28"/>
        </w:rPr>
        <w:t xml:space="preserve"> предиктор</w:t>
      </w:r>
      <w:r w:rsidRPr="00627A7C">
        <w:rPr>
          <w:rFonts w:ascii="Times New Roman" w:hAnsi="Times New Roman" w:cs="Times New Roman"/>
          <w:sz w:val="28"/>
          <w:szCs w:val="28"/>
        </w:rPr>
        <w:t xml:space="preserve"> метастазирования брюшины</w:t>
      </w:r>
      <w:r>
        <w:rPr>
          <w:rFonts w:ascii="Times New Roman" w:hAnsi="Times New Roman" w:cs="Times New Roman"/>
          <w:sz w:val="28"/>
          <w:szCs w:val="28"/>
        </w:rPr>
        <w:t>;</w:t>
      </w:r>
    </w:p>
    <w:p w14:paraId="7F42854F" w14:textId="2373DD15" w:rsidR="00627A7C" w:rsidRPr="00A43B9C" w:rsidRDefault="00627A7C" w:rsidP="005766D6">
      <w:pPr>
        <w:spacing w:after="0" w:line="240" w:lineRule="auto"/>
        <w:ind w:firstLine="709"/>
        <w:jc w:val="both"/>
        <w:rPr>
          <w:rFonts w:ascii="Times New Roman" w:hAnsi="Times New Roman" w:cs="Times New Roman"/>
          <w:sz w:val="28"/>
          <w:szCs w:val="28"/>
        </w:rPr>
      </w:pPr>
      <w:r w:rsidRPr="00627A7C">
        <w:rPr>
          <w:rFonts w:ascii="Times New Roman" w:hAnsi="Times New Roman" w:cs="Times New Roman"/>
          <w:sz w:val="28"/>
          <w:szCs w:val="28"/>
        </w:rPr>
        <w:t xml:space="preserve">Разработан способ применения прогноза метастазирования брюшины путем измерения уровня накопления </w:t>
      </w:r>
      <w:r w:rsidRPr="0058185A">
        <w:rPr>
          <w:rFonts w:ascii="Times New Roman" w:hAnsi="Times New Roman" w:cs="Times New Roman"/>
          <w:sz w:val="28"/>
          <w:szCs w:val="28"/>
          <w:vertAlign w:val="superscript"/>
        </w:rPr>
        <w:t>18</w:t>
      </w:r>
      <w:r w:rsidRPr="00627A7C">
        <w:rPr>
          <w:rFonts w:ascii="Times New Roman" w:hAnsi="Times New Roman" w:cs="Times New Roman"/>
          <w:sz w:val="28"/>
          <w:szCs w:val="28"/>
        </w:rPr>
        <w:t>F-FDG при ПЭТ/КТ</w:t>
      </w:r>
      <w:r w:rsidR="00051345">
        <w:rPr>
          <w:rFonts w:ascii="Times New Roman" w:hAnsi="Times New Roman" w:cs="Times New Roman"/>
          <w:sz w:val="28"/>
          <w:szCs w:val="28"/>
        </w:rPr>
        <w:t xml:space="preserve"> </w:t>
      </w:r>
      <w:r w:rsidRPr="00627A7C">
        <w:rPr>
          <w:rFonts w:ascii="Times New Roman" w:hAnsi="Times New Roman" w:cs="Times New Roman"/>
          <w:sz w:val="28"/>
          <w:szCs w:val="28"/>
        </w:rPr>
        <w:t>исследовании в висцеральной жировой ткани</w:t>
      </w:r>
      <w:r>
        <w:rPr>
          <w:rFonts w:ascii="Times New Roman" w:hAnsi="Times New Roman" w:cs="Times New Roman"/>
          <w:sz w:val="28"/>
          <w:szCs w:val="28"/>
        </w:rPr>
        <w:t>.</w:t>
      </w:r>
    </w:p>
    <w:p w14:paraId="37750959" w14:textId="07F4DB58" w:rsidR="005766D6" w:rsidRDefault="005766D6" w:rsidP="00992DA7">
      <w:pPr>
        <w:spacing w:after="0" w:line="240" w:lineRule="auto"/>
        <w:ind w:firstLine="709"/>
        <w:jc w:val="both"/>
        <w:rPr>
          <w:rFonts w:ascii="Times New Roman" w:hAnsi="Times New Roman" w:cs="Times New Roman"/>
          <w:color w:val="000000"/>
          <w:sz w:val="28"/>
          <w:szCs w:val="28"/>
        </w:rPr>
      </w:pPr>
    </w:p>
    <w:p w14:paraId="30FE83BC" w14:textId="77777777" w:rsidR="00772843" w:rsidRPr="00A43B9C" w:rsidRDefault="00772843" w:rsidP="00772843">
      <w:pPr>
        <w:tabs>
          <w:tab w:val="left" w:pos="851"/>
        </w:tabs>
        <w:spacing w:after="0" w:line="240" w:lineRule="auto"/>
        <w:ind w:firstLine="709"/>
        <w:jc w:val="both"/>
        <w:rPr>
          <w:rFonts w:ascii="Times New Roman" w:eastAsia="Times New Roman" w:hAnsi="Times New Roman" w:cs="Times New Roman"/>
          <w:b/>
          <w:sz w:val="28"/>
          <w:szCs w:val="28"/>
          <w:lang w:eastAsia="ru-RU"/>
        </w:rPr>
      </w:pPr>
      <w:r w:rsidRPr="00A43B9C">
        <w:rPr>
          <w:rFonts w:ascii="Times New Roman" w:eastAsia="Times New Roman" w:hAnsi="Times New Roman" w:cs="Times New Roman"/>
          <w:b/>
          <w:sz w:val="28"/>
          <w:szCs w:val="28"/>
          <w:lang w:eastAsia="ru-RU"/>
        </w:rPr>
        <w:t>Основные положения, выносимые на защиту</w:t>
      </w:r>
    </w:p>
    <w:p w14:paraId="56355326" w14:textId="49DBF030" w:rsidR="00A9028C" w:rsidRPr="00A9028C" w:rsidRDefault="004E6C8D" w:rsidP="00302EA8">
      <w:pPr>
        <w:tabs>
          <w:tab w:val="left" w:pos="0"/>
        </w:tabs>
        <w:spacing w:after="0" w:line="240" w:lineRule="auto"/>
        <w:ind w:firstLine="709"/>
        <w:jc w:val="both"/>
        <w:rPr>
          <w:rFonts w:ascii="Times New Roman" w:hAnsi="Times New Roman" w:cs="Times New Roman"/>
          <w:sz w:val="28"/>
          <w:szCs w:val="28"/>
        </w:rPr>
      </w:pPr>
      <w:r w:rsidRPr="004E6C8D">
        <w:rPr>
          <w:rFonts w:ascii="Times New Roman" w:hAnsi="Times New Roman" w:cs="Times New Roman"/>
          <w:sz w:val="28"/>
          <w:szCs w:val="28"/>
        </w:rPr>
        <w:t>Обнаружена зависимость физиологического уровня накопления SUV</w:t>
      </w:r>
      <w:r w:rsidRPr="004E6C8D">
        <w:rPr>
          <w:rFonts w:ascii="Times New Roman" w:hAnsi="Times New Roman" w:cs="Times New Roman"/>
          <w:sz w:val="28"/>
          <w:szCs w:val="28"/>
          <w:vertAlign w:val="subscript"/>
        </w:rPr>
        <w:t>max</w:t>
      </w:r>
      <w:r w:rsidRPr="004E6C8D">
        <w:rPr>
          <w:rFonts w:ascii="Times New Roman" w:hAnsi="Times New Roman" w:cs="Times New Roman"/>
          <w:sz w:val="28"/>
          <w:szCs w:val="28"/>
        </w:rPr>
        <w:t xml:space="preserve"> висцерального жира и метастатического поражения брюшины при колоректальном раке от локализации первичного процесса (p </w:t>
      </w:r>
      <w:proofErr w:type="gramStart"/>
      <w:r w:rsidRPr="004E6C8D">
        <w:rPr>
          <w:rFonts w:ascii="Times New Roman" w:hAnsi="Times New Roman" w:cs="Times New Roman"/>
          <w:sz w:val="28"/>
          <w:szCs w:val="28"/>
        </w:rPr>
        <w:t>&lt; 0</w:t>
      </w:r>
      <w:proofErr w:type="gramEnd"/>
      <w:r w:rsidRPr="004E6C8D">
        <w:rPr>
          <w:rFonts w:ascii="Times New Roman" w:hAnsi="Times New Roman" w:cs="Times New Roman"/>
          <w:sz w:val="28"/>
          <w:szCs w:val="28"/>
        </w:rPr>
        <w:t>,05). При эпителиальном раке яичников зависимость от стадии заболевания</w:t>
      </w:r>
      <w:r w:rsidR="007D443B" w:rsidRPr="007D443B">
        <w:rPr>
          <w:rFonts w:ascii="Times New Roman" w:hAnsi="Times New Roman" w:cs="Times New Roman"/>
          <w:sz w:val="28"/>
          <w:szCs w:val="28"/>
        </w:rPr>
        <w:t xml:space="preserve"> (</w:t>
      </w:r>
      <w:r w:rsidR="007D443B">
        <w:rPr>
          <w:rFonts w:ascii="Times New Roman" w:hAnsi="Times New Roman" w:cs="Times New Roman"/>
          <w:sz w:val="28"/>
          <w:szCs w:val="28"/>
          <w:lang w:val="en-US"/>
        </w:rPr>
        <w:t>TNM</w:t>
      </w:r>
      <w:r w:rsidR="007D443B" w:rsidRPr="007D443B">
        <w:rPr>
          <w:rFonts w:ascii="Times New Roman" w:hAnsi="Times New Roman" w:cs="Times New Roman"/>
          <w:sz w:val="28"/>
          <w:szCs w:val="28"/>
        </w:rPr>
        <w:t>)</w:t>
      </w:r>
      <w:r w:rsidRPr="004E6C8D">
        <w:rPr>
          <w:rFonts w:ascii="Times New Roman" w:hAnsi="Times New Roman" w:cs="Times New Roman"/>
          <w:sz w:val="28"/>
          <w:szCs w:val="28"/>
        </w:rPr>
        <w:t>, локализации первичной опухоли и гистологического типа опухоли не обнаружена</w:t>
      </w:r>
      <w:r w:rsidR="00A9028C" w:rsidRPr="00A9028C">
        <w:rPr>
          <w:rFonts w:ascii="Times New Roman" w:hAnsi="Times New Roman" w:cs="Times New Roman"/>
          <w:sz w:val="28"/>
          <w:szCs w:val="28"/>
        </w:rPr>
        <w:t>.</w:t>
      </w:r>
    </w:p>
    <w:p w14:paraId="56C3BF88" w14:textId="0A646C84" w:rsidR="00A9028C" w:rsidRPr="00A9028C" w:rsidRDefault="004E6C8D" w:rsidP="00302EA8">
      <w:pPr>
        <w:tabs>
          <w:tab w:val="left" w:pos="0"/>
        </w:tabs>
        <w:spacing w:after="0" w:line="240" w:lineRule="auto"/>
        <w:ind w:firstLine="709"/>
        <w:jc w:val="both"/>
        <w:rPr>
          <w:rFonts w:ascii="Times New Roman" w:hAnsi="Times New Roman" w:cs="Times New Roman"/>
          <w:sz w:val="28"/>
          <w:szCs w:val="28"/>
        </w:rPr>
      </w:pPr>
      <w:r w:rsidRPr="004E6C8D">
        <w:rPr>
          <w:rFonts w:ascii="Times New Roman" w:hAnsi="Times New Roman" w:cs="Times New Roman"/>
          <w:sz w:val="28"/>
          <w:szCs w:val="28"/>
        </w:rPr>
        <w:t xml:space="preserve">Выявлены зоны брюшной полости и полости малого таза (две зоны при эпителиальном раке яичников и шесть зон при колоректальном раке) с прямой корреляционной зависимостью уровня накопления </w:t>
      </w:r>
      <w:r w:rsidRPr="004E6C8D">
        <w:rPr>
          <w:rFonts w:ascii="Times New Roman" w:hAnsi="Times New Roman" w:cs="Times New Roman"/>
          <w:sz w:val="28"/>
          <w:szCs w:val="28"/>
          <w:vertAlign w:val="superscript"/>
        </w:rPr>
        <w:t>18</w:t>
      </w:r>
      <w:r w:rsidRPr="004E6C8D">
        <w:rPr>
          <w:rFonts w:ascii="Times New Roman" w:hAnsi="Times New Roman" w:cs="Times New Roman"/>
          <w:sz w:val="28"/>
          <w:szCs w:val="28"/>
        </w:rPr>
        <w:t xml:space="preserve">F-FDG в висцеральном жире (p </w:t>
      </w:r>
      <w:proofErr w:type="gramStart"/>
      <w:r w:rsidRPr="004E6C8D">
        <w:rPr>
          <w:rFonts w:ascii="Times New Roman" w:hAnsi="Times New Roman" w:cs="Times New Roman"/>
          <w:sz w:val="28"/>
          <w:szCs w:val="28"/>
        </w:rPr>
        <w:t>&lt; 0</w:t>
      </w:r>
      <w:proofErr w:type="gramEnd"/>
      <w:r w:rsidRPr="004E6C8D">
        <w:rPr>
          <w:rFonts w:ascii="Times New Roman" w:hAnsi="Times New Roman" w:cs="Times New Roman"/>
          <w:sz w:val="28"/>
          <w:szCs w:val="28"/>
        </w:rPr>
        <w:t>,05) как предикторы возможного метастазирования брюшины</w:t>
      </w:r>
      <w:r w:rsidR="00A9028C" w:rsidRPr="00A9028C">
        <w:rPr>
          <w:rFonts w:ascii="Times New Roman" w:hAnsi="Times New Roman" w:cs="Times New Roman"/>
          <w:sz w:val="28"/>
          <w:szCs w:val="28"/>
        </w:rPr>
        <w:t>.</w:t>
      </w:r>
    </w:p>
    <w:p w14:paraId="2E979F5F" w14:textId="62DCAB3C" w:rsidR="00A9028C" w:rsidRPr="004E6C8D" w:rsidRDefault="004E6C8D" w:rsidP="00302EA8">
      <w:pPr>
        <w:tabs>
          <w:tab w:val="left" w:pos="0"/>
        </w:tabs>
        <w:spacing w:after="0" w:line="240" w:lineRule="auto"/>
        <w:ind w:firstLine="709"/>
        <w:jc w:val="both"/>
        <w:rPr>
          <w:rFonts w:ascii="Times New Roman" w:hAnsi="Times New Roman" w:cs="Times New Roman"/>
          <w:sz w:val="28"/>
          <w:szCs w:val="28"/>
        </w:rPr>
      </w:pPr>
      <w:r w:rsidRPr="004E6C8D">
        <w:rPr>
          <w:rFonts w:ascii="Times New Roman" w:hAnsi="Times New Roman" w:cs="Times New Roman"/>
          <w:sz w:val="28"/>
          <w:szCs w:val="28"/>
        </w:rPr>
        <w:t>Показана прогностическая ценность порогового уровня накопления</w:t>
      </w:r>
      <w:r w:rsidR="001C3B22">
        <w:rPr>
          <w:rFonts w:ascii="Times New Roman" w:hAnsi="Times New Roman" w:cs="Times New Roman"/>
          <w:sz w:val="28"/>
          <w:szCs w:val="28"/>
        </w:rPr>
        <w:br/>
      </w:r>
      <w:r w:rsidRPr="004E6C8D">
        <w:rPr>
          <w:rFonts w:ascii="Times New Roman" w:hAnsi="Times New Roman" w:cs="Times New Roman"/>
          <w:sz w:val="28"/>
          <w:szCs w:val="28"/>
          <w:vertAlign w:val="superscript"/>
        </w:rPr>
        <w:t>18</w:t>
      </w:r>
      <w:r w:rsidRPr="004E6C8D">
        <w:rPr>
          <w:rFonts w:ascii="Times New Roman" w:hAnsi="Times New Roman" w:cs="Times New Roman"/>
          <w:sz w:val="28"/>
          <w:szCs w:val="28"/>
        </w:rPr>
        <w:t>F-FDG (SUV</w:t>
      </w:r>
      <w:r w:rsidRPr="004E6C8D">
        <w:rPr>
          <w:rFonts w:ascii="Times New Roman" w:hAnsi="Times New Roman" w:cs="Times New Roman"/>
          <w:sz w:val="28"/>
          <w:szCs w:val="28"/>
          <w:vertAlign w:val="subscript"/>
        </w:rPr>
        <w:t>max</w:t>
      </w:r>
      <w:r w:rsidRPr="004E6C8D">
        <w:rPr>
          <w:rFonts w:ascii="Times New Roman" w:hAnsi="Times New Roman" w:cs="Times New Roman"/>
          <w:sz w:val="28"/>
          <w:szCs w:val="28"/>
        </w:rPr>
        <w:t>) в висцеральном жире (при эпителиальном раке яичников - 1,48, при колоректальном раке – 1,13) как независимый предиктор начала метастазирования брюшины</w:t>
      </w:r>
      <w:r w:rsidR="00A9028C" w:rsidRPr="004E6C8D">
        <w:rPr>
          <w:rFonts w:ascii="Times New Roman" w:hAnsi="Times New Roman" w:cs="Times New Roman"/>
          <w:sz w:val="28"/>
          <w:szCs w:val="28"/>
        </w:rPr>
        <w:t>.</w:t>
      </w:r>
    </w:p>
    <w:p w14:paraId="5BF7A9FE" w14:textId="77777777" w:rsidR="00F95EF7" w:rsidRDefault="00F95EF7" w:rsidP="00772843">
      <w:pPr>
        <w:tabs>
          <w:tab w:val="left" w:pos="851"/>
        </w:tabs>
        <w:spacing w:after="0" w:line="240" w:lineRule="auto"/>
        <w:ind w:firstLine="709"/>
        <w:jc w:val="both"/>
        <w:rPr>
          <w:rFonts w:ascii="Times New Roman" w:eastAsia="Times New Roman" w:hAnsi="Times New Roman" w:cs="Times New Roman"/>
          <w:sz w:val="28"/>
          <w:szCs w:val="28"/>
          <w:lang w:eastAsia="ru-RU"/>
        </w:rPr>
      </w:pPr>
    </w:p>
    <w:p w14:paraId="2A3B46F8" w14:textId="77777777" w:rsidR="00772843" w:rsidRPr="00A43B9C" w:rsidRDefault="00772843" w:rsidP="00772843">
      <w:pPr>
        <w:tabs>
          <w:tab w:val="left" w:pos="851"/>
        </w:tabs>
        <w:spacing w:after="0" w:line="240" w:lineRule="auto"/>
        <w:ind w:firstLine="709"/>
        <w:jc w:val="both"/>
        <w:rPr>
          <w:rFonts w:ascii="Times New Roman" w:eastAsia="Times New Roman" w:hAnsi="Times New Roman" w:cs="Times New Roman"/>
          <w:b/>
          <w:sz w:val="28"/>
          <w:szCs w:val="28"/>
          <w:lang w:eastAsia="ru-RU"/>
        </w:rPr>
      </w:pPr>
      <w:r w:rsidRPr="00A43B9C">
        <w:rPr>
          <w:rFonts w:ascii="Times New Roman" w:eastAsia="Times New Roman" w:hAnsi="Times New Roman" w:cs="Times New Roman"/>
          <w:b/>
          <w:sz w:val="28"/>
          <w:szCs w:val="28"/>
          <w:lang w:eastAsia="ru-RU"/>
        </w:rPr>
        <w:t>Внедрение результатов исследования</w:t>
      </w:r>
    </w:p>
    <w:p w14:paraId="1C0EB3AA" w14:textId="164517E2" w:rsidR="0005290C" w:rsidRPr="00A43B9C" w:rsidRDefault="0005290C" w:rsidP="00AC3215">
      <w:pPr>
        <w:tabs>
          <w:tab w:val="left" w:pos="0"/>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 xml:space="preserve">В настоящее время результаты работы </w:t>
      </w:r>
      <w:r w:rsidR="00992DA7" w:rsidRPr="00A43B9C">
        <w:rPr>
          <w:rFonts w:ascii="Times New Roman" w:eastAsia="Times New Roman" w:hAnsi="Times New Roman" w:cs="Times New Roman"/>
          <w:sz w:val="28"/>
          <w:szCs w:val="28"/>
          <w:lang w:eastAsia="ru-RU"/>
        </w:rPr>
        <w:t xml:space="preserve">применяются в учебных процессах, а также </w:t>
      </w:r>
      <w:r w:rsidRPr="00A43B9C">
        <w:rPr>
          <w:rFonts w:ascii="Times New Roman" w:eastAsia="Times New Roman" w:hAnsi="Times New Roman" w:cs="Times New Roman"/>
          <w:sz w:val="28"/>
          <w:szCs w:val="28"/>
          <w:lang w:eastAsia="ru-RU"/>
        </w:rPr>
        <w:t>используются в клинической практике</w:t>
      </w:r>
      <w:r w:rsidR="00F33F0D">
        <w:rPr>
          <w:rFonts w:ascii="Times New Roman" w:eastAsia="Times New Roman" w:hAnsi="Times New Roman" w:cs="Times New Roman"/>
          <w:sz w:val="28"/>
          <w:szCs w:val="28"/>
          <w:lang w:eastAsia="ru-RU"/>
        </w:rPr>
        <w:t xml:space="preserve"> (Приложение А)</w:t>
      </w:r>
      <w:r w:rsidRPr="00A43B9C">
        <w:rPr>
          <w:rFonts w:ascii="Times New Roman" w:eastAsia="Times New Roman" w:hAnsi="Times New Roman" w:cs="Times New Roman"/>
          <w:sz w:val="28"/>
          <w:szCs w:val="28"/>
          <w:lang w:eastAsia="ru-RU"/>
        </w:rPr>
        <w:t>:</w:t>
      </w:r>
    </w:p>
    <w:p w14:paraId="27265979" w14:textId="3B2EF56E" w:rsidR="00992DA7" w:rsidRPr="00A43B9C" w:rsidRDefault="00B82DBA" w:rsidP="00AC3215">
      <w:pPr>
        <w:pStyle w:val="aa"/>
        <w:numPr>
          <w:ilvl w:val="0"/>
          <w:numId w:val="15"/>
        </w:numPr>
        <w:tabs>
          <w:tab w:val="left" w:pos="0"/>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Pr>
          <w:rFonts w:ascii="Times New Roman" w:hAnsi="Times New Roman" w:cs="Times New Roman"/>
          <w:sz w:val="28"/>
          <w:szCs w:val="28"/>
        </w:rPr>
        <w:t>Ф</w:t>
      </w:r>
      <w:r w:rsidR="00992DA7" w:rsidRPr="00A43B9C">
        <w:rPr>
          <w:rFonts w:ascii="Times New Roman" w:hAnsi="Times New Roman" w:cs="Times New Roman"/>
          <w:sz w:val="28"/>
          <w:szCs w:val="28"/>
        </w:rPr>
        <w:t xml:space="preserve">акультета </w:t>
      </w:r>
      <w:r>
        <w:rPr>
          <w:rFonts w:ascii="Times New Roman" w:hAnsi="Times New Roman" w:cs="Times New Roman"/>
          <w:sz w:val="28"/>
          <w:szCs w:val="28"/>
        </w:rPr>
        <w:t>м</w:t>
      </w:r>
      <w:r w:rsidR="00992DA7" w:rsidRPr="00A43B9C">
        <w:rPr>
          <w:rFonts w:ascii="Times New Roman" w:hAnsi="Times New Roman" w:cs="Times New Roman"/>
          <w:sz w:val="28"/>
          <w:szCs w:val="28"/>
        </w:rPr>
        <w:t xml:space="preserve">едицины и здравоохранения Казахского национального университета им. </w:t>
      </w:r>
      <w:r w:rsidR="00AC3215" w:rsidRPr="00A43B9C">
        <w:rPr>
          <w:rFonts w:ascii="Times New Roman" w:hAnsi="Times New Roman" w:cs="Times New Roman"/>
          <w:sz w:val="28"/>
          <w:szCs w:val="28"/>
        </w:rPr>
        <w:t>а</w:t>
      </w:r>
      <w:r w:rsidR="00992DA7" w:rsidRPr="00A43B9C">
        <w:rPr>
          <w:rFonts w:ascii="Times New Roman" w:hAnsi="Times New Roman" w:cs="Times New Roman"/>
          <w:sz w:val="28"/>
          <w:szCs w:val="28"/>
        </w:rPr>
        <w:t>ль-Фараби</w:t>
      </w:r>
      <w:r w:rsidR="00AC3215" w:rsidRPr="00A43B9C">
        <w:rPr>
          <w:rFonts w:ascii="Times New Roman" w:hAnsi="Times New Roman" w:cs="Times New Roman"/>
          <w:sz w:val="28"/>
          <w:szCs w:val="28"/>
        </w:rPr>
        <w:t xml:space="preserve"> (б/н от 01.07.2022 г.)</w:t>
      </w:r>
      <w:r w:rsidR="00992DA7" w:rsidRPr="00A43B9C">
        <w:rPr>
          <w:rFonts w:ascii="Times New Roman" w:hAnsi="Times New Roman" w:cs="Times New Roman"/>
          <w:sz w:val="28"/>
          <w:szCs w:val="28"/>
        </w:rPr>
        <w:t>;</w:t>
      </w:r>
    </w:p>
    <w:p w14:paraId="7E2FBE37" w14:textId="1A0FC2B4" w:rsidR="00AC3215" w:rsidRPr="00A43B9C" w:rsidRDefault="00AC3215" w:rsidP="00AC3215">
      <w:pPr>
        <w:pStyle w:val="aa"/>
        <w:numPr>
          <w:ilvl w:val="0"/>
          <w:numId w:val="15"/>
        </w:numPr>
        <w:tabs>
          <w:tab w:val="left" w:pos="0"/>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Отделения радиологии и ядерной медицины Казахского научно-исследовательского института онкологии и радиологии (№12-2022 от 04.10.2022 г.);</w:t>
      </w:r>
    </w:p>
    <w:p w14:paraId="08A14B88" w14:textId="128AE22C" w:rsidR="00AC3215" w:rsidRDefault="00AC3215" w:rsidP="00AC3215">
      <w:pPr>
        <w:pStyle w:val="aa"/>
        <w:numPr>
          <w:ilvl w:val="0"/>
          <w:numId w:val="15"/>
        </w:numPr>
        <w:tabs>
          <w:tab w:val="left" w:pos="0"/>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 xml:space="preserve">Отделения ПЭТ/КТ </w:t>
      </w:r>
      <w:r w:rsidR="00643A0D">
        <w:rPr>
          <w:rFonts w:ascii="Times New Roman" w:eastAsia="Times New Roman" w:hAnsi="Times New Roman" w:cs="Times New Roman"/>
          <w:sz w:val="28"/>
          <w:szCs w:val="28"/>
          <w:lang w:eastAsia="ru-RU"/>
        </w:rPr>
        <w:t>медицинского центра</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Orhun</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Medical</w:t>
      </w:r>
      <w:r w:rsidRPr="00A43B9C">
        <w:rPr>
          <w:rFonts w:ascii="Times New Roman" w:eastAsia="Times New Roman" w:hAnsi="Times New Roman" w:cs="Times New Roman"/>
          <w:sz w:val="28"/>
          <w:szCs w:val="28"/>
          <w:lang w:eastAsia="ru-RU"/>
        </w:rPr>
        <w:t xml:space="preserve"> (№13-2022 от 04.10.2022 г.);</w:t>
      </w:r>
    </w:p>
    <w:p w14:paraId="3F1E55D6" w14:textId="08F60ED2" w:rsidR="00772843" w:rsidRPr="00643A0D" w:rsidRDefault="00643A0D" w:rsidP="00AC3215">
      <w:pPr>
        <w:pStyle w:val="aa"/>
        <w:numPr>
          <w:ilvl w:val="0"/>
          <w:numId w:val="15"/>
        </w:numPr>
        <w:tabs>
          <w:tab w:val="left" w:pos="0"/>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643A0D">
        <w:rPr>
          <w:rFonts w:ascii="Times New Roman" w:eastAsia="Times New Roman" w:hAnsi="Times New Roman" w:cs="Times New Roman"/>
          <w:sz w:val="28"/>
          <w:szCs w:val="28"/>
          <w:lang w:eastAsia="ru-RU"/>
        </w:rPr>
        <w:t xml:space="preserve">Центр </w:t>
      </w:r>
      <w:r w:rsidR="0005290C" w:rsidRPr="00643A0D">
        <w:rPr>
          <w:rFonts w:ascii="Times New Roman" w:eastAsia="Times New Roman" w:hAnsi="Times New Roman" w:cs="Times New Roman"/>
          <w:sz w:val="28"/>
          <w:szCs w:val="28"/>
          <w:lang w:eastAsia="ru-RU"/>
        </w:rPr>
        <w:t>ядерной медицины Больницы</w:t>
      </w:r>
      <w:r w:rsidR="00355757" w:rsidRPr="00643A0D">
        <w:rPr>
          <w:rFonts w:ascii="Times New Roman" w:eastAsia="Times New Roman" w:hAnsi="Times New Roman" w:cs="Times New Roman"/>
          <w:sz w:val="28"/>
          <w:szCs w:val="28"/>
          <w:lang w:eastAsia="ru-RU"/>
        </w:rPr>
        <w:t xml:space="preserve"> </w:t>
      </w:r>
      <w:r w:rsidR="0005290C" w:rsidRPr="00643A0D">
        <w:rPr>
          <w:rFonts w:ascii="Times New Roman" w:eastAsia="Times New Roman" w:hAnsi="Times New Roman" w:cs="Times New Roman"/>
          <w:sz w:val="28"/>
          <w:szCs w:val="28"/>
          <w:lang w:eastAsia="ru-RU"/>
        </w:rPr>
        <w:t>медицинского центра Управления делами Президента Р</w:t>
      </w:r>
      <w:r w:rsidR="0020110A" w:rsidRPr="00643A0D">
        <w:rPr>
          <w:rFonts w:ascii="Times New Roman" w:eastAsia="Times New Roman" w:hAnsi="Times New Roman" w:cs="Times New Roman"/>
          <w:sz w:val="28"/>
          <w:szCs w:val="28"/>
          <w:lang w:eastAsia="ru-RU"/>
        </w:rPr>
        <w:t xml:space="preserve">еспублики </w:t>
      </w:r>
      <w:r w:rsidR="0005290C" w:rsidRPr="00643A0D">
        <w:rPr>
          <w:rFonts w:ascii="Times New Roman" w:eastAsia="Times New Roman" w:hAnsi="Times New Roman" w:cs="Times New Roman"/>
          <w:sz w:val="28"/>
          <w:szCs w:val="28"/>
          <w:lang w:eastAsia="ru-RU"/>
        </w:rPr>
        <w:t>К</w:t>
      </w:r>
      <w:r w:rsidR="0020110A" w:rsidRPr="00643A0D">
        <w:rPr>
          <w:rFonts w:ascii="Times New Roman" w:eastAsia="Times New Roman" w:hAnsi="Times New Roman" w:cs="Times New Roman"/>
          <w:sz w:val="28"/>
          <w:szCs w:val="28"/>
          <w:lang w:eastAsia="ru-RU"/>
        </w:rPr>
        <w:t>азахстан</w:t>
      </w:r>
      <w:r w:rsidR="00355757" w:rsidRPr="00643A0D">
        <w:rPr>
          <w:rFonts w:ascii="Times New Roman" w:eastAsia="Times New Roman" w:hAnsi="Times New Roman" w:cs="Times New Roman"/>
          <w:sz w:val="28"/>
          <w:szCs w:val="28"/>
          <w:lang w:eastAsia="ru-RU"/>
        </w:rPr>
        <w:t xml:space="preserve"> (РК)</w:t>
      </w:r>
      <w:r w:rsidRPr="00643A0D">
        <w:rPr>
          <w:rFonts w:ascii="Times New Roman" w:eastAsia="Times New Roman" w:hAnsi="Times New Roman" w:cs="Times New Roman"/>
          <w:sz w:val="28"/>
          <w:szCs w:val="28"/>
          <w:lang w:eastAsia="ru-RU"/>
        </w:rPr>
        <w:t xml:space="preserve"> (№25 от 30.12.2022 г.)</w:t>
      </w:r>
      <w:r w:rsidR="00C17BF2" w:rsidRPr="00643A0D">
        <w:rPr>
          <w:rFonts w:ascii="Times New Roman" w:eastAsia="Times New Roman" w:hAnsi="Times New Roman" w:cs="Times New Roman"/>
          <w:sz w:val="28"/>
          <w:szCs w:val="28"/>
          <w:lang w:eastAsia="ru-RU"/>
        </w:rPr>
        <w:t>.</w:t>
      </w:r>
    </w:p>
    <w:p w14:paraId="05FC6A51" w14:textId="0F93F5B9" w:rsidR="00F92893" w:rsidRDefault="00F92893" w:rsidP="00772843">
      <w:pPr>
        <w:tabs>
          <w:tab w:val="left" w:pos="85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14:paraId="60DE2CF6" w14:textId="77777777" w:rsidR="003F6F6A" w:rsidRDefault="003F6F6A" w:rsidP="00772843">
      <w:pPr>
        <w:tabs>
          <w:tab w:val="left" w:pos="85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14:paraId="09CFBFFF" w14:textId="77777777" w:rsidR="00772843" w:rsidRPr="00A43B9C" w:rsidRDefault="00772843" w:rsidP="00772843">
      <w:pPr>
        <w:tabs>
          <w:tab w:val="left" w:pos="851"/>
        </w:tabs>
        <w:spacing w:after="0" w:line="240" w:lineRule="auto"/>
        <w:ind w:firstLine="709"/>
        <w:jc w:val="both"/>
        <w:rPr>
          <w:rFonts w:ascii="Times New Roman" w:eastAsia="Times New Roman" w:hAnsi="Times New Roman" w:cs="Times New Roman"/>
          <w:b/>
          <w:sz w:val="28"/>
          <w:szCs w:val="28"/>
          <w:lang w:eastAsia="ru-RU"/>
        </w:rPr>
      </w:pPr>
      <w:r w:rsidRPr="00A43B9C">
        <w:rPr>
          <w:rFonts w:ascii="Times New Roman" w:eastAsia="Times New Roman" w:hAnsi="Times New Roman" w:cs="Times New Roman"/>
          <w:b/>
          <w:sz w:val="28"/>
          <w:szCs w:val="28"/>
          <w:lang w:eastAsia="ru-RU"/>
        </w:rPr>
        <w:lastRenderedPageBreak/>
        <w:t>Публикации по теме диссертации</w:t>
      </w:r>
    </w:p>
    <w:p w14:paraId="6FA8C47F" w14:textId="77777777" w:rsidR="00DF4E9E" w:rsidRDefault="003B4B8D" w:rsidP="00C41AB9">
      <w:pPr>
        <w:autoSpaceDE w:val="0"/>
        <w:autoSpaceDN w:val="0"/>
        <w:adjustRightInd w:val="0"/>
        <w:spacing w:after="0" w:line="240" w:lineRule="auto"/>
        <w:ind w:firstLine="709"/>
        <w:jc w:val="both"/>
        <w:rPr>
          <w:rFonts w:ascii="Times New Roman" w:hAnsi="Times New Roman" w:cs="Times New Roman"/>
          <w:color w:val="000000"/>
          <w:sz w:val="28"/>
          <w:szCs w:val="28"/>
        </w:rPr>
      </w:pPr>
      <w:r w:rsidRPr="00A43B9C">
        <w:rPr>
          <w:rFonts w:ascii="Times New Roman" w:hAnsi="Times New Roman" w:cs="Times New Roman"/>
          <w:color w:val="000000"/>
          <w:sz w:val="28"/>
          <w:szCs w:val="28"/>
        </w:rPr>
        <w:t xml:space="preserve">Автором опубликовано всего </w:t>
      </w:r>
      <w:r w:rsidR="00C41AB9">
        <w:rPr>
          <w:rFonts w:ascii="Times New Roman" w:hAnsi="Times New Roman" w:cs="Times New Roman"/>
          <w:color w:val="000000"/>
          <w:sz w:val="28"/>
          <w:szCs w:val="28"/>
        </w:rPr>
        <w:t>9</w:t>
      </w:r>
      <w:r w:rsidRPr="00A43B9C">
        <w:rPr>
          <w:rFonts w:ascii="Times New Roman" w:hAnsi="Times New Roman" w:cs="Times New Roman"/>
          <w:color w:val="000000"/>
          <w:sz w:val="28"/>
          <w:szCs w:val="28"/>
        </w:rPr>
        <w:t xml:space="preserve"> научных статей, из них </w:t>
      </w:r>
      <w:r w:rsidR="00DF4E9E">
        <w:rPr>
          <w:rFonts w:ascii="Times New Roman" w:hAnsi="Times New Roman" w:cs="Times New Roman"/>
          <w:color w:val="000000"/>
          <w:sz w:val="28"/>
          <w:szCs w:val="28"/>
        </w:rPr>
        <w:t>по теме диссертации 9 научных работ:</w:t>
      </w:r>
    </w:p>
    <w:p w14:paraId="6F112BCA" w14:textId="45A55142" w:rsidR="00DF4E9E" w:rsidRDefault="00DF4E9E" w:rsidP="00C41AB9">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3B4B8D" w:rsidRPr="00A43B9C">
        <w:rPr>
          <w:rFonts w:ascii="Times New Roman" w:hAnsi="Times New Roman" w:cs="Times New Roman"/>
          <w:color w:val="000000"/>
          <w:sz w:val="28"/>
          <w:szCs w:val="28"/>
        </w:rPr>
        <w:t>в издани</w:t>
      </w:r>
      <w:r>
        <w:rPr>
          <w:rFonts w:ascii="Times New Roman" w:hAnsi="Times New Roman" w:cs="Times New Roman"/>
          <w:color w:val="000000"/>
          <w:sz w:val="28"/>
          <w:szCs w:val="28"/>
        </w:rPr>
        <w:t xml:space="preserve">ях, рекомендованных </w:t>
      </w:r>
      <w:r w:rsidR="00F95EF7" w:rsidRPr="00F95EF7">
        <w:rPr>
          <w:rFonts w:ascii="Times New Roman" w:hAnsi="Times New Roman" w:cs="Times New Roman"/>
          <w:color w:val="000000"/>
          <w:sz w:val="28"/>
          <w:szCs w:val="28"/>
        </w:rPr>
        <w:t>Комитетом по обеспечению качества в сфере науки и высшего образования Министерства науки и высшего образования</w:t>
      </w:r>
      <w:r w:rsidR="00F95EF7">
        <w:rPr>
          <w:rFonts w:ascii="Times New Roman" w:hAnsi="Times New Roman" w:cs="Times New Roman"/>
          <w:color w:val="000000"/>
          <w:sz w:val="28"/>
          <w:szCs w:val="28"/>
        </w:rPr>
        <w:t xml:space="preserve"> Республики Казахстан</w:t>
      </w:r>
      <w:r w:rsidR="00F95EF7" w:rsidDel="00F95EF7">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sidR="003B4B8D" w:rsidRPr="00A43B9C">
        <w:rPr>
          <w:rFonts w:ascii="Times New Roman" w:hAnsi="Times New Roman" w:cs="Times New Roman"/>
          <w:color w:val="000000"/>
          <w:sz w:val="28"/>
          <w:szCs w:val="28"/>
        </w:rPr>
        <w:t>4</w:t>
      </w:r>
      <w:r>
        <w:rPr>
          <w:rFonts w:ascii="Times New Roman" w:hAnsi="Times New Roman" w:cs="Times New Roman"/>
          <w:color w:val="000000"/>
          <w:sz w:val="28"/>
          <w:szCs w:val="28"/>
        </w:rPr>
        <w:t>;</w:t>
      </w:r>
    </w:p>
    <w:p w14:paraId="0AED2ADF" w14:textId="2DC5FEB5" w:rsidR="00DF4E9E" w:rsidRDefault="00DF4E9E" w:rsidP="00C41AB9">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sidR="003B4B8D" w:rsidRPr="00A43B9C">
        <w:rPr>
          <w:rFonts w:ascii="Times New Roman" w:hAnsi="Times New Roman" w:cs="Times New Roman"/>
          <w:color w:val="000000"/>
          <w:sz w:val="28"/>
          <w:szCs w:val="28"/>
        </w:rPr>
        <w:t xml:space="preserve"> </w:t>
      </w:r>
      <w:r w:rsidR="00F11F05" w:rsidRPr="00F11F05">
        <w:rPr>
          <w:rFonts w:ascii="Times New Roman" w:hAnsi="Times New Roman" w:cs="Times New Roman"/>
          <w:color w:val="000000"/>
          <w:sz w:val="28"/>
          <w:szCs w:val="28"/>
        </w:rPr>
        <w:t>в международном рецензируемом научном журнале базы данных Scopus</w:t>
      </w:r>
      <w:r w:rsidR="003B4B8D" w:rsidRPr="00A43B9C">
        <w:rPr>
          <w:rFonts w:ascii="Times New Roman" w:hAnsi="Times New Roman" w:cs="Times New Roman"/>
          <w:color w:val="000000"/>
          <w:sz w:val="28"/>
          <w:szCs w:val="28"/>
        </w:rPr>
        <w:t xml:space="preserve"> – 1</w:t>
      </w:r>
      <w:r>
        <w:rPr>
          <w:rFonts w:ascii="Times New Roman" w:hAnsi="Times New Roman" w:cs="Times New Roman"/>
          <w:color w:val="000000"/>
          <w:sz w:val="28"/>
          <w:szCs w:val="28"/>
        </w:rPr>
        <w:t>;</w:t>
      </w:r>
    </w:p>
    <w:p w14:paraId="2EFE0905" w14:textId="576F575B" w:rsidR="00F33DA4" w:rsidRDefault="00DF4E9E" w:rsidP="00C41AB9">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sidR="003B4B8D" w:rsidRPr="00A43B9C">
        <w:rPr>
          <w:rFonts w:ascii="Times New Roman" w:hAnsi="Times New Roman" w:cs="Times New Roman"/>
          <w:color w:val="000000"/>
          <w:sz w:val="28"/>
          <w:szCs w:val="28"/>
        </w:rPr>
        <w:t xml:space="preserve"> в материалах зарубежных международных конференций – </w:t>
      </w:r>
      <w:r w:rsidR="00C41AB9">
        <w:rPr>
          <w:rFonts w:ascii="Times New Roman" w:hAnsi="Times New Roman" w:cs="Times New Roman"/>
          <w:color w:val="000000"/>
          <w:sz w:val="28"/>
          <w:szCs w:val="28"/>
        </w:rPr>
        <w:t>4</w:t>
      </w:r>
      <w:r w:rsidR="003B4B8D" w:rsidRPr="00A43B9C">
        <w:rPr>
          <w:rFonts w:ascii="Times New Roman" w:hAnsi="Times New Roman" w:cs="Times New Roman"/>
          <w:color w:val="000000"/>
          <w:sz w:val="28"/>
          <w:szCs w:val="28"/>
        </w:rPr>
        <w:t>.</w:t>
      </w:r>
    </w:p>
    <w:p w14:paraId="4813276E" w14:textId="77777777" w:rsidR="0064342B" w:rsidRDefault="004A2446" w:rsidP="0064342B">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Получено свидетельство о внесении в государственный реестр прав на объекты, охраняемые авторским правом. Номер свидетельства №34670 от 14 апреля 2023 г. Название объекта – «</w:t>
      </w:r>
      <w:r w:rsidRPr="003D6F15">
        <w:rPr>
          <w:rFonts w:ascii="Times New Roman" w:hAnsi="Times New Roman" w:cs="Times New Roman"/>
          <w:color w:val="000000"/>
          <w:sz w:val="28"/>
          <w:szCs w:val="28"/>
        </w:rPr>
        <w:t>Алгоритм применения метода прогнозирования метастазирования в сальниковую сумку и метастатического поражения лимфатических узлов на основании определения активности накопления 18F-FDG при ПЭТ/КТ исследовании в висцеральном жире</w:t>
      </w:r>
      <w:r>
        <w:rPr>
          <w:rFonts w:ascii="Times New Roman" w:hAnsi="Times New Roman" w:cs="Times New Roman"/>
          <w:color w:val="000000"/>
          <w:sz w:val="28"/>
          <w:szCs w:val="28"/>
        </w:rPr>
        <w:t>» (Приложение Ж).</w:t>
      </w:r>
    </w:p>
    <w:p w14:paraId="7453A631" w14:textId="6CA19C1F" w:rsidR="0064342B" w:rsidRPr="004E6C8D" w:rsidRDefault="00D7373B" w:rsidP="00302EA8">
      <w:pPr>
        <w:autoSpaceDE w:val="0"/>
        <w:autoSpaceDN w:val="0"/>
        <w:adjustRightInd w:val="0"/>
        <w:spacing w:after="0" w:line="240" w:lineRule="auto"/>
        <w:ind w:firstLine="709"/>
        <w:jc w:val="both"/>
        <w:rPr>
          <w:rFonts w:ascii="Times New Roman" w:hAnsi="Times New Roman" w:cs="Times New Roman"/>
          <w:sz w:val="28"/>
          <w:szCs w:val="28"/>
        </w:rPr>
      </w:pPr>
      <w:bookmarkStart w:id="11" w:name="_Hlk143028466"/>
      <w:r w:rsidRPr="004E6C8D">
        <w:rPr>
          <w:rFonts w:ascii="Times New Roman" w:hAnsi="Times New Roman" w:cs="Times New Roman"/>
          <w:sz w:val="28"/>
          <w:szCs w:val="28"/>
        </w:rPr>
        <w:t>Получен патент №2023/0827.2 от 08</w:t>
      </w:r>
      <w:r w:rsidR="008A7BF9" w:rsidRPr="004E6C8D">
        <w:rPr>
          <w:rFonts w:ascii="Times New Roman" w:hAnsi="Times New Roman" w:cs="Times New Roman"/>
          <w:sz w:val="28"/>
          <w:szCs w:val="28"/>
        </w:rPr>
        <w:t xml:space="preserve"> августа </w:t>
      </w:r>
      <w:r w:rsidRPr="004E6C8D">
        <w:rPr>
          <w:rFonts w:ascii="Times New Roman" w:hAnsi="Times New Roman" w:cs="Times New Roman"/>
          <w:sz w:val="28"/>
          <w:szCs w:val="28"/>
        </w:rPr>
        <w:t>2023 г. на полезную модель «Способ выявления метастазирования лимфатических узлов при колоректальном раке и эпителиальном раке яичников» в РГП «Национальный институт интеллектуальной собственности» МЮ РК (Приложение И)</w:t>
      </w:r>
      <w:r w:rsidR="0064342B" w:rsidRPr="004E6C8D">
        <w:rPr>
          <w:rFonts w:ascii="Times New Roman" w:hAnsi="Times New Roman" w:cs="Times New Roman"/>
          <w:sz w:val="28"/>
          <w:szCs w:val="28"/>
        </w:rPr>
        <w:t>.</w:t>
      </w:r>
    </w:p>
    <w:bookmarkEnd w:id="11"/>
    <w:p w14:paraId="55A3EE19" w14:textId="77777777" w:rsidR="0064342B" w:rsidRPr="0064342B" w:rsidRDefault="0064342B" w:rsidP="0064342B">
      <w:pPr>
        <w:autoSpaceDE w:val="0"/>
        <w:autoSpaceDN w:val="0"/>
        <w:adjustRightInd w:val="0"/>
        <w:spacing w:after="0" w:line="240" w:lineRule="auto"/>
        <w:ind w:firstLine="709"/>
        <w:jc w:val="both"/>
        <w:rPr>
          <w:rFonts w:ascii="Times New Roman" w:hAnsi="Times New Roman" w:cs="Times New Roman"/>
          <w:color w:val="000000"/>
          <w:sz w:val="28"/>
          <w:szCs w:val="28"/>
        </w:rPr>
      </w:pPr>
    </w:p>
    <w:p w14:paraId="30A6A1F2" w14:textId="1A911F8C" w:rsidR="00772843" w:rsidRPr="00A43B9C" w:rsidRDefault="00772843" w:rsidP="00772843">
      <w:pPr>
        <w:tabs>
          <w:tab w:val="left" w:pos="851"/>
          <w:tab w:val="left" w:pos="1134"/>
        </w:tabs>
        <w:spacing w:after="0" w:line="240" w:lineRule="auto"/>
        <w:ind w:firstLine="709"/>
        <w:jc w:val="both"/>
        <w:rPr>
          <w:rFonts w:ascii="Times New Roman" w:eastAsia="Times New Roman" w:hAnsi="Times New Roman" w:cs="Times New Roman"/>
          <w:b/>
          <w:sz w:val="28"/>
          <w:szCs w:val="28"/>
          <w:lang w:eastAsia="ru-RU"/>
        </w:rPr>
      </w:pPr>
      <w:r w:rsidRPr="00A43B9C">
        <w:rPr>
          <w:rFonts w:ascii="Times New Roman" w:eastAsia="Times New Roman" w:hAnsi="Times New Roman" w:cs="Times New Roman"/>
          <w:b/>
          <w:sz w:val="28"/>
          <w:szCs w:val="28"/>
          <w:lang w:eastAsia="ru-RU"/>
        </w:rPr>
        <w:t>Апробация диссертации</w:t>
      </w:r>
    </w:p>
    <w:p w14:paraId="614C4DE9" w14:textId="5F73CEC2" w:rsidR="003B4B8D" w:rsidRPr="00A43B9C" w:rsidRDefault="003B4B8D" w:rsidP="003B4B8D">
      <w:pPr>
        <w:tabs>
          <w:tab w:val="left" w:pos="0"/>
        </w:tabs>
        <w:spacing w:after="0" w:line="240" w:lineRule="auto"/>
        <w:ind w:firstLine="709"/>
        <w:jc w:val="both"/>
        <w:rPr>
          <w:rFonts w:ascii="Times New Roman" w:eastAsia="Times New Roman" w:hAnsi="Times New Roman" w:cs="Times New Roman"/>
          <w:bCs/>
          <w:sz w:val="28"/>
          <w:szCs w:val="28"/>
          <w:lang w:eastAsia="ru-RU"/>
        </w:rPr>
      </w:pPr>
      <w:r w:rsidRPr="00A43B9C">
        <w:rPr>
          <w:rFonts w:ascii="Times New Roman" w:eastAsia="Times New Roman" w:hAnsi="Times New Roman" w:cs="Times New Roman"/>
          <w:bCs/>
          <w:sz w:val="28"/>
          <w:szCs w:val="28"/>
          <w:lang w:eastAsia="ru-RU"/>
        </w:rPr>
        <w:t xml:space="preserve">Основные положения и результаты диссертационного исследования были доложены и обсуждены на </w:t>
      </w:r>
      <w:r w:rsidR="00613E21" w:rsidRPr="00A43B9C">
        <w:rPr>
          <w:rFonts w:ascii="Times New Roman" w:eastAsia="Times New Roman" w:hAnsi="Times New Roman" w:cs="Times New Roman"/>
          <w:bCs/>
          <w:sz w:val="28"/>
          <w:szCs w:val="28"/>
          <w:lang w:eastAsia="ru-RU"/>
        </w:rPr>
        <w:t>следующих мероприятиях</w:t>
      </w:r>
      <w:r w:rsidRPr="00A43B9C">
        <w:rPr>
          <w:rFonts w:ascii="Times New Roman" w:eastAsia="Times New Roman" w:hAnsi="Times New Roman" w:cs="Times New Roman"/>
          <w:bCs/>
          <w:sz w:val="28"/>
          <w:szCs w:val="28"/>
          <w:lang w:eastAsia="ru-RU"/>
        </w:rPr>
        <w:t>:</w:t>
      </w:r>
    </w:p>
    <w:p w14:paraId="6A899F8B" w14:textId="7D07A946" w:rsidR="007544B6" w:rsidRPr="00A27B02" w:rsidRDefault="007544B6" w:rsidP="003B4B8D">
      <w:pPr>
        <w:pStyle w:val="aa"/>
        <w:numPr>
          <w:ilvl w:val="0"/>
          <w:numId w:val="11"/>
        </w:numPr>
        <w:tabs>
          <w:tab w:val="left" w:pos="0"/>
        </w:tabs>
        <w:spacing w:after="0" w:line="240" w:lineRule="auto"/>
        <w:ind w:left="0" w:firstLine="709"/>
        <w:jc w:val="both"/>
        <w:rPr>
          <w:rFonts w:ascii="Times New Roman" w:eastAsia="Times New Roman" w:hAnsi="Times New Roman" w:cs="Times New Roman"/>
          <w:bCs/>
          <w:sz w:val="28"/>
          <w:szCs w:val="28"/>
          <w:lang w:eastAsia="ru-RU"/>
        </w:rPr>
      </w:pPr>
      <w:r w:rsidRPr="002437EE">
        <w:rPr>
          <w:rFonts w:ascii="Times New Roman" w:hAnsi="Times New Roman" w:cs="Times New Roman"/>
          <w:sz w:val="28"/>
          <w:szCs w:val="28"/>
          <w:lang w:val="en-US"/>
        </w:rPr>
        <w:t>ICRO 2022:</w:t>
      </w:r>
      <w:r>
        <w:rPr>
          <w:rFonts w:ascii="Times New Roman" w:hAnsi="Times New Roman" w:cs="Times New Roman"/>
          <w:sz w:val="28"/>
          <w:szCs w:val="28"/>
          <w:lang w:val="en-US"/>
        </w:rPr>
        <w:t>16.</w:t>
      </w:r>
      <w:r w:rsidRPr="002437EE">
        <w:rPr>
          <w:rFonts w:ascii="Times New Roman" w:hAnsi="Times New Roman" w:cs="Times New Roman"/>
          <w:sz w:val="28"/>
          <w:szCs w:val="28"/>
          <w:lang w:val="en-US"/>
        </w:rPr>
        <w:t xml:space="preserve"> International Conference on Radiation Oncology</w:t>
      </w:r>
      <w:r w:rsidR="007A37BA" w:rsidRPr="007A37BA">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00345562">
        <w:rPr>
          <w:rFonts w:ascii="Times New Roman" w:hAnsi="Times New Roman" w:cs="Times New Roman"/>
          <w:sz w:val="28"/>
          <w:szCs w:val="28"/>
        </w:rPr>
        <w:t>Куала</w:t>
      </w:r>
      <w:r w:rsidR="00345562" w:rsidRPr="00A27B02">
        <w:rPr>
          <w:rFonts w:ascii="Times New Roman" w:hAnsi="Times New Roman" w:cs="Times New Roman"/>
          <w:sz w:val="28"/>
          <w:szCs w:val="28"/>
        </w:rPr>
        <w:t>-</w:t>
      </w:r>
      <w:r w:rsidR="00345562">
        <w:rPr>
          <w:rFonts w:ascii="Times New Roman" w:hAnsi="Times New Roman" w:cs="Times New Roman"/>
          <w:sz w:val="28"/>
          <w:szCs w:val="28"/>
        </w:rPr>
        <w:t>Лумпур</w:t>
      </w:r>
      <w:r w:rsidR="00345562" w:rsidRPr="00A27B02">
        <w:rPr>
          <w:rFonts w:ascii="Times New Roman" w:hAnsi="Times New Roman" w:cs="Times New Roman"/>
          <w:sz w:val="28"/>
          <w:szCs w:val="28"/>
        </w:rPr>
        <w:t xml:space="preserve">, </w:t>
      </w:r>
      <w:r w:rsidR="00345562">
        <w:rPr>
          <w:rFonts w:ascii="Times New Roman" w:hAnsi="Times New Roman" w:cs="Times New Roman"/>
          <w:sz w:val="28"/>
          <w:szCs w:val="28"/>
        </w:rPr>
        <w:t>Малайзия</w:t>
      </w:r>
      <w:r w:rsidR="00345562" w:rsidRPr="00A27B02">
        <w:rPr>
          <w:rFonts w:ascii="Times New Roman" w:hAnsi="Times New Roman" w:cs="Times New Roman"/>
          <w:sz w:val="28"/>
          <w:szCs w:val="28"/>
        </w:rPr>
        <w:t xml:space="preserve">, 30-31 </w:t>
      </w:r>
      <w:r w:rsidR="00345562">
        <w:rPr>
          <w:rFonts w:ascii="Times New Roman" w:hAnsi="Times New Roman" w:cs="Times New Roman"/>
          <w:sz w:val="28"/>
          <w:szCs w:val="28"/>
        </w:rPr>
        <w:t>августа</w:t>
      </w:r>
      <w:r w:rsidR="00345562" w:rsidRPr="00A27B02">
        <w:rPr>
          <w:rFonts w:ascii="Times New Roman" w:hAnsi="Times New Roman" w:cs="Times New Roman"/>
          <w:sz w:val="28"/>
          <w:szCs w:val="28"/>
        </w:rPr>
        <w:t xml:space="preserve"> 2022 </w:t>
      </w:r>
      <w:r w:rsidR="00345562">
        <w:rPr>
          <w:rFonts w:ascii="Times New Roman" w:hAnsi="Times New Roman" w:cs="Times New Roman"/>
          <w:sz w:val="28"/>
          <w:szCs w:val="28"/>
        </w:rPr>
        <w:t>г</w:t>
      </w:r>
      <w:r w:rsidR="00345562" w:rsidRPr="00A27B02">
        <w:rPr>
          <w:rFonts w:ascii="Times New Roman" w:hAnsi="Times New Roman" w:cs="Times New Roman"/>
          <w:sz w:val="28"/>
          <w:szCs w:val="28"/>
        </w:rPr>
        <w:t>.;</w:t>
      </w:r>
    </w:p>
    <w:p w14:paraId="4755BD09" w14:textId="7A2EA555" w:rsidR="003B4B8D" w:rsidRPr="00A43B9C" w:rsidRDefault="003B4B8D" w:rsidP="003B4B8D">
      <w:pPr>
        <w:pStyle w:val="aa"/>
        <w:numPr>
          <w:ilvl w:val="0"/>
          <w:numId w:val="11"/>
        </w:numPr>
        <w:tabs>
          <w:tab w:val="left" w:pos="0"/>
        </w:tabs>
        <w:spacing w:after="0" w:line="240" w:lineRule="auto"/>
        <w:ind w:left="0" w:firstLine="709"/>
        <w:jc w:val="both"/>
        <w:rPr>
          <w:rFonts w:ascii="Times New Roman" w:eastAsia="Times New Roman" w:hAnsi="Times New Roman" w:cs="Times New Roman"/>
          <w:bCs/>
          <w:sz w:val="28"/>
          <w:szCs w:val="28"/>
          <w:lang w:val="en-US" w:eastAsia="ru-RU"/>
        </w:rPr>
      </w:pPr>
      <w:r w:rsidRPr="00A43B9C">
        <w:rPr>
          <w:rFonts w:ascii="Times New Roman" w:hAnsi="Times New Roman" w:cs="Times New Roman"/>
          <w:sz w:val="28"/>
          <w:szCs w:val="28"/>
          <w:lang w:val="en-US"/>
        </w:rPr>
        <w:t xml:space="preserve">ICRMIRO 2022:16. International Conference on Radiology, Medical Imaging and Radiation Oncology. </w:t>
      </w:r>
      <w:r w:rsidRPr="00A43B9C">
        <w:rPr>
          <w:rFonts w:ascii="Times New Roman" w:hAnsi="Times New Roman" w:cs="Times New Roman"/>
          <w:sz w:val="28"/>
          <w:szCs w:val="28"/>
        </w:rPr>
        <w:t>Париж</w:t>
      </w:r>
      <w:r w:rsidRPr="00A43B9C">
        <w:rPr>
          <w:rFonts w:ascii="Times New Roman" w:hAnsi="Times New Roman" w:cs="Times New Roman"/>
          <w:sz w:val="28"/>
          <w:szCs w:val="28"/>
          <w:lang w:val="en-US"/>
        </w:rPr>
        <w:t xml:space="preserve">, </w:t>
      </w:r>
      <w:r w:rsidRPr="00A43B9C">
        <w:rPr>
          <w:rFonts w:ascii="Times New Roman" w:hAnsi="Times New Roman" w:cs="Times New Roman"/>
          <w:sz w:val="28"/>
          <w:szCs w:val="28"/>
        </w:rPr>
        <w:t>Франция</w:t>
      </w:r>
      <w:r w:rsidRPr="00A43B9C">
        <w:rPr>
          <w:rFonts w:ascii="Times New Roman" w:hAnsi="Times New Roman" w:cs="Times New Roman"/>
          <w:sz w:val="28"/>
          <w:szCs w:val="28"/>
          <w:lang w:val="en-US"/>
        </w:rPr>
        <w:t xml:space="preserve">, 23-24 </w:t>
      </w:r>
      <w:r w:rsidRPr="00A43B9C">
        <w:rPr>
          <w:rFonts w:ascii="Times New Roman" w:hAnsi="Times New Roman" w:cs="Times New Roman"/>
          <w:sz w:val="28"/>
          <w:szCs w:val="28"/>
        </w:rPr>
        <w:t>июня</w:t>
      </w:r>
      <w:r w:rsidRPr="00A43B9C">
        <w:rPr>
          <w:rFonts w:ascii="Times New Roman" w:hAnsi="Times New Roman" w:cs="Times New Roman"/>
          <w:sz w:val="28"/>
          <w:szCs w:val="28"/>
          <w:lang w:val="en-US"/>
        </w:rPr>
        <w:t xml:space="preserve"> 2022 </w:t>
      </w:r>
      <w:r w:rsidRPr="00A43B9C">
        <w:rPr>
          <w:rFonts w:ascii="Times New Roman" w:hAnsi="Times New Roman" w:cs="Times New Roman"/>
          <w:sz w:val="28"/>
          <w:szCs w:val="28"/>
        </w:rPr>
        <w:t>г</w:t>
      </w:r>
      <w:r w:rsidRPr="00A43B9C">
        <w:rPr>
          <w:rFonts w:ascii="Times New Roman" w:hAnsi="Times New Roman" w:cs="Times New Roman"/>
          <w:sz w:val="28"/>
          <w:szCs w:val="28"/>
          <w:lang w:val="en-US"/>
        </w:rPr>
        <w:t>.;</w:t>
      </w:r>
    </w:p>
    <w:p w14:paraId="3F41DBF6" w14:textId="77777777" w:rsidR="003B4B8D" w:rsidRPr="00A43B9C" w:rsidRDefault="003B4B8D" w:rsidP="003B4B8D">
      <w:pPr>
        <w:pStyle w:val="aa"/>
        <w:numPr>
          <w:ilvl w:val="0"/>
          <w:numId w:val="11"/>
        </w:numPr>
        <w:tabs>
          <w:tab w:val="left" w:pos="0"/>
        </w:tabs>
        <w:spacing w:after="0" w:line="240" w:lineRule="auto"/>
        <w:ind w:left="0" w:firstLine="709"/>
        <w:jc w:val="both"/>
        <w:rPr>
          <w:rFonts w:ascii="Times New Roman" w:eastAsia="Times New Roman" w:hAnsi="Times New Roman" w:cs="Times New Roman"/>
          <w:bCs/>
          <w:sz w:val="28"/>
          <w:szCs w:val="28"/>
          <w:lang w:eastAsia="ru-RU"/>
        </w:rPr>
      </w:pPr>
      <w:r w:rsidRPr="00A43B9C">
        <w:rPr>
          <w:rFonts w:ascii="Times New Roman" w:hAnsi="Times New Roman" w:cs="Times New Roman"/>
          <w:sz w:val="28"/>
          <w:szCs w:val="28"/>
          <w:shd w:val="clear" w:color="auto" w:fill="FFFFFF"/>
          <w:lang w:val="en-US"/>
        </w:rPr>
        <w:t xml:space="preserve">XXIV European Academic Science and Research, Proceedings of the scientific abstracts, European Academic Science and Research. </w:t>
      </w:r>
      <w:r w:rsidRPr="00A43B9C">
        <w:rPr>
          <w:rFonts w:ascii="Times New Roman" w:hAnsi="Times New Roman" w:cs="Times New Roman"/>
          <w:sz w:val="28"/>
          <w:szCs w:val="28"/>
          <w:shd w:val="clear" w:color="auto" w:fill="FFFFFF"/>
        </w:rPr>
        <w:t>Гамбург, Германия</w:t>
      </w:r>
      <w:r w:rsidRPr="00A43B9C">
        <w:rPr>
          <w:rFonts w:ascii="Times New Roman" w:hAnsi="Times New Roman" w:cs="Times New Roman"/>
          <w:sz w:val="28"/>
          <w:szCs w:val="28"/>
          <w:shd w:val="clear" w:color="auto" w:fill="FFFFFF"/>
          <w:lang w:val="en-US"/>
        </w:rPr>
        <w:t>,</w:t>
      </w:r>
      <w:r w:rsidRPr="00A43B9C">
        <w:rPr>
          <w:rFonts w:ascii="Times New Roman" w:hAnsi="Times New Roman" w:cs="Times New Roman"/>
          <w:sz w:val="28"/>
          <w:szCs w:val="28"/>
          <w:shd w:val="clear" w:color="auto" w:fill="FFFFFF"/>
        </w:rPr>
        <w:t xml:space="preserve"> 16 февраля 2022 г.;</w:t>
      </w:r>
    </w:p>
    <w:p w14:paraId="5CA0301A" w14:textId="0249CCD7" w:rsidR="003B4B8D" w:rsidRPr="00A43B9C" w:rsidRDefault="003B4B8D" w:rsidP="003B4B8D">
      <w:pPr>
        <w:pStyle w:val="aa"/>
        <w:numPr>
          <w:ilvl w:val="0"/>
          <w:numId w:val="11"/>
        </w:numPr>
        <w:tabs>
          <w:tab w:val="left" w:pos="0"/>
        </w:tabs>
        <w:spacing w:after="0" w:line="240" w:lineRule="auto"/>
        <w:ind w:left="0" w:firstLine="709"/>
        <w:jc w:val="both"/>
        <w:rPr>
          <w:rFonts w:ascii="Times New Roman" w:eastAsia="Times New Roman" w:hAnsi="Times New Roman" w:cs="Times New Roman"/>
          <w:bCs/>
          <w:sz w:val="28"/>
          <w:szCs w:val="28"/>
          <w:lang w:eastAsia="ru-RU"/>
        </w:rPr>
      </w:pPr>
      <w:r w:rsidRPr="00A43B9C">
        <w:rPr>
          <w:rFonts w:ascii="Times New Roman" w:hAnsi="Times New Roman" w:cs="Times New Roman"/>
          <w:sz w:val="28"/>
          <w:szCs w:val="28"/>
        </w:rPr>
        <w:t>ХIII Международный конгресс «Невский радиологический форум-2022». Санкт-Петербург, Россия, 22-23 апреля 2022 г.</w:t>
      </w:r>
    </w:p>
    <w:p w14:paraId="570983B8" w14:textId="7BABFD0A" w:rsidR="0005290C" w:rsidRDefault="0005290C" w:rsidP="004F20A1">
      <w:pPr>
        <w:pStyle w:val="aa"/>
        <w:tabs>
          <w:tab w:val="left" w:pos="851"/>
          <w:tab w:val="left" w:pos="1134"/>
        </w:tabs>
        <w:spacing w:after="0" w:line="240" w:lineRule="auto"/>
        <w:ind w:left="1069"/>
        <w:jc w:val="both"/>
        <w:rPr>
          <w:rFonts w:ascii="Times New Roman" w:eastAsia="Times New Roman" w:hAnsi="Times New Roman" w:cs="Times New Roman"/>
          <w:bCs/>
          <w:sz w:val="28"/>
          <w:szCs w:val="28"/>
          <w:lang w:eastAsia="ru-RU"/>
        </w:rPr>
      </w:pPr>
    </w:p>
    <w:p w14:paraId="39D32A70" w14:textId="6083B1D2" w:rsidR="00772843" w:rsidRPr="00A43B9C" w:rsidRDefault="00772843" w:rsidP="00772843">
      <w:pPr>
        <w:tabs>
          <w:tab w:val="left" w:pos="851"/>
        </w:tabs>
        <w:spacing w:after="0" w:line="240" w:lineRule="auto"/>
        <w:ind w:firstLine="709"/>
        <w:jc w:val="both"/>
        <w:rPr>
          <w:rFonts w:ascii="Times New Roman" w:eastAsia="Times New Roman" w:hAnsi="Times New Roman" w:cs="Times New Roman"/>
          <w:b/>
          <w:sz w:val="28"/>
          <w:szCs w:val="28"/>
          <w:lang w:eastAsia="ru-RU"/>
        </w:rPr>
      </w:pPr>
      <w:r w:rsidRPr="00A43B9C">
        <w:rPr>
          <w:rFonts w:ascii="Times New Roman" w:eastAsia="Times New Roman" w:hAnsi="Times New Roman" w:cs="Times New Roman"/>
          <w:b/>
          <w:sz w:val="28"/>
          <w:szCs w:val="28"/>
          <w:lang w:eastAsia="ru-RU"/>
        </w:rPr>
        <w:t>Объем и структура диссертации</w:t>
      </w:r>
    </w:p>
    <w:p w14:paraId="2DF7BA51" w14:textId="216CD7FF" w:rsidR="001510CB" w:rsidRPr="00A43B9C" w:rsidRDefault="003B4B8D" w:rsidP="00A338A4">
      <w:pPr>
        <w:autoSpaceDE w:val="0"/>
        <w:autoSpaceDN w:val="0"/>
        <w:adjustRightInd w:val="0"/>
        <w:spacing w:after="0" w:line="240" w:lineRule="auto"/>
        <w:ind w:firstLine="709"/>
        <w:jc w:val="both"/>
        <w:rPr>
          <w:rFonts w:ascii="Times New Roman" w:hAnsi="Times New Roman" w:cs="Times New Roman"/>
          <w:sz w:val="28"/>
          <w:szCs w:val="28"/>
        </w:rPr>
      </w:pPr>
      <w:bookmarkStart w:id="12" w:name="_Hlk108786044"/>
      <w:r w:rsidRPr="00A43B9C">
        <w:rPr>
          <w:rFonts w:ascii="Times New Roman" w:hAnsi="Times New Roman" w:cs="Times New Roman"/>
          <w:sz w:val="28"/>
          <w:szCs w:val="28"/>
        </w:rPr>
        <w:t>Диссертационное исследование изложено на 1</w:t>
      </w:r>
      <w:r w:rsidR="005D5546" w:rsidRPr="005D5546">
        <w:rPr>
          <w:rFonts w:ascii="Times New Roman" w:hAnsi="Times New Roman" w:cs="Times New Roman"/>
          <w:sz w:val="28"/>
          <w:szCs w:val="28"/>
        </w:rPr>
        <w:t>4</w:t>
      </w:r>
      <w:r w:rsidR="00B018DB" w:rsidRPr="00302EA8">
        <w:rPr>
          <w:rFonts w:ascii="Times New Roman" w:hAnsi="Times New Roman" w:cs="Times New Roman"/>
          <w:sz w:val="28"/>
          <w:szCs w:val="28"/>
        </w:rPr>
        <w:t>1</w:t>
      </w:r>
      <w:r w:rsidRPr="00A43B9C">
        <w:rPr>
          <w:rFonts w:ascii="Times New Roman" w:hAnsi="Times New Roman" w:cs="Times New Roman"/>
          <w:sz w:val="28"/>
          <w:szCs w:val="28"/>
        </w:rPr>
        <w:t xml:space="preserve"> страницах компьютерного текста</w:t>
      </w:r>
      <w:r w:rsidR="0064342B">
        <w:rPr>
          <w:rFonts w:ascii="Times New Roman" w:hAnsi="Times New Roman" w:cs="Times New Roman"/>
          <w:sz w:val="28"/>
          <w:szCs w:val="28"/>
        </w:rPr>
        <w:t xml:space="preserve"> (без учета приложений)</w:t>
      </w:r>
      <w:r w:rsidRPr="00A43B9C">
        <w:rPr>
          <w:rFonts w:ascii="Times New Roman" w:hAnsi="Times New Roman" w:cs="Times New Roman"/>
          <w:sz w:val="28"/>
          <w:szCs w:val="28"/>
        </w:rPr>
        <w:t>, состоит из введения, обзора литературы, описания материала и методов исследования, собственных результатов исследования, обсуждения результатов, выводов, практических рекомендаций, списка литературы из 2</w:t>
      </w:r>
      <w:r w:rsidR="0073495B" w:rsidRPr="00A43B9C">
        <w:rPr>
          <w:rFonts w:ascii="Times New Roman" w:hAnsi="Times New Roman" w:cs="Times New Roman"/>
          <w:sz w:val="28"/>
          <w:szCs w:val="28"/>
        </w:rPr>
        <w:t>0</w:t>
      </w:r>
      <w:r w:rsidR="006208E5" w:rsidRPr="00531EB4">
        <w:rPr>
          <w:rFonts w:ascii="Times New Roman" w:hAnsi="Times New Roman" w:cs="Times New Roman"/>
          <w:sz w:val="28"/>
          <w:szCs w:val="28"/>
        </w:rPr>
        <w:t>6</w:t>
      </w:r>
      <w:r w:rsidRPr="00A43B9C">
        <w:rPr>
          <w:rFonts w:ascii="Times New Roman" w:hAnsi="Times New Roman" w:cs="Times New Roman"/>
          <w:sz w:val="28"/>
          <w:szCs w:val="28"/>
        </w:rPr>
        <w:t xml:space="preserve"> источников, </w:t>
      </w:r>
      <w:r w:rsidR="00D7373B" w:rsidRPr="00302EA8">
        <w:rPr>
          <w:rFonts w:ascii="Times New Roman" w:hAnsi="Times New Roman" w:cs="Times New Roman"/>
          <w:sz w:val="28"/>
          <w:szCs w:val="28"/>
        </w:rPr>
        <w:t>8</w:t>
      </w:r>
      <w:r w:rsidRPr="00A43B9C">
        <w:rPr>
          <w:rFonts w:ascii="Times New Roman" w:hAnsi="Times New Roman" w:cs="Times New Roman"/>
          <w:sz w:val="28"/>
          <w:szCs w:val="28"/>
        </w:rPr>
        <w:t xml:space="preserve"> приложений. Работа иллюстрирована 6</w:t>
      </w:r>
      <w:r w:rsidR="006208E5" w:rsidRPr="00531EB4">
        <w:rPr>
          <w:rFonts w:ascii="Times New Roman" w:hAnsi="Times New Roman" w:cs="Times New Roman"/>
          <w:sz w:val="28"/>
          <w:szCs w:val="28"/>
        </w:rPr>
        <w:t>9</w:t>
      </w:r>
      <w:r w:rsidRPr="00A43B9C">
        <w:rPr>
          <w:rFonts w:ascii="Times New Roman" w:hAnsi="Times New Roman" w:cs="Times New Roman"/>
          <w:sz w:val="28"/>
          <w:szCs w:val="28"/>
        </w:rPr>
        <w:t xml:space="preserve"> рисунками и 45 таблицами.</w:t>
      </w:r>
      <w:bookmarkEnd w:id="12"/>
      <w:r w:rsidR="001510CB" w:rsidRPr="00A43B9C">
        <w:rPr>
          <w:rFonts w:ascii="Times New Roman" w:hAnsi="Times New Roman" w:cs="Times New Roman"/>
          <w:sz w:val="28"/>
          <w:szCs w:val="28"/>
        </w:rPr>
        <w:br w:type="page"/>
      </w:r>
    </w:p>
    <w:p w14:paraId="11A7E083" w14:textId="255387C6" w:rsidR="00D26255" w:rsidRPr="00A43B9C" w:rsidRDefault="007B1136" w:rsidP="003447F3">
      <w:pPr>
        <w:pStyle w:val="1"/>
        <w:spacing w:line="240" w:lineRule="auto"/>
        <w:ind w:firstLine="709"/>
        <w:jc w:val="both"/>
        <w:rPr>
          <w:rFonts w:eastAsia="Times New Roman"/>
          <w:lang w:val="kk-KZ" w:eastAsia="ru-RU"/>
        </w:rPr>
      </w:pPr>
      <w:bookmarkStart w:id="13" w:name="_Toc93225328"/>
      <w:bookmarkStart w:id="14" w:name="_Toc101861797"/>
      <w:bookmarkStart w:id="15" w:name="_Toc102937604"/>
      <w:r w:rsidRPr="00A43B9C">
        <w:rPr>
          <w:rFonts w:eastAsia="Times New Roman"/>
          <w:lang w:eastAsia="ru-RU"/>
        </w:rPr>
        <w:lastRenderedPageBreak/>
        <w:t>1 ОБЗОР ЛИТЕРАТУРЫ</w:t>
      </w:r>
      <w:bookmarkEnd w:id="13"/>
      <w:bookmarkEnd w:id="14"/>
      <w:bookmarkEnd w:id="15"/>
    </w:p>
    <w:p w14:paraId="54285B61" w14:textId="77777777" w:rsidR="003447F3" w:rsidRPr="00A43B9C" w:rsidRDefault="003447F3" w:rsidP="00AE28CD">
      <w:pPr>
        <w:spacing w:after="0" w:line="240" w:lineRule="auto"/>
        <w:ind w:firstLine="709"/>
        <w:jc w:val="both"/>
        <w:rPr>
          <w:rFonts w:ascii="Times New Roman" w:hAnsi="Times New Roman" w:cs="Times New Roman"/>
          <w:sz w:val="28"/>
          <w:szCs w:val="28"/>
          <w:lang w:eastAsia="ru-RU"/>
        </w:rPr>
      </w:pPr>
      <w:bookmarkStart w:id="16" w:name="_Toc93151289"/>
      <w:bookmarkStart w:id="17" w:name="_Toc101861799"/>
      <w:bookmarkStart w:id="18" w:name="_Toc102937605"/>
    </w:p>
    <w:p w14:paraId="103AFA67" w14:textId="29EBBFC3" w:rsidR="00FF1D30" w:rsidRPr="00AF0775" w:rsidRDefault="00FF1D30" w:rsidP="00B32406">
      <w:pPr>
        <w:pStyle w:val="31"/>
        <w:spacing w:before="0" w:line="240" w:lineRule="auto"/>
        <w:ind w:firstLine="709"/>
        <w:jc w:val="both"/>
        <w:rPr>
          <w:rFonts w:ascii="Times New Roman" w:eastAsia="Times New Roman" w:hAnsi="Times New Roman" w:cs="Times New Roman"/>
          <w:b/>
          <w:bCs/>
          <w:color w:val="auto"/>
          <w:sz w:val="28"/>
          <w:szCs w:val="28"/>
          <w:lang w:val="kk-KZ" w:eastAsia="ru-RU"/>
        </w:rPr>
      </w:pPr>
      <w:r w:rsidRPr="00AF0775">
        <w:rPr>
          <w:rFonts w:ascii="Times New Roman" w:eastAsia="Times New Roman" w:hAnsi="Times New Roman" w:cs="Times New Roman"/>
          <w:b/>
          <w:bCs/>
          <w:color w:val="auto"/>
          <w:sz w:val="28"/>
          <w:szCs w:val="28"/>
          <w:lang w:eastAsia="ru-RU"/>
        </w:rPr>
        <w:t>1.1 Эпидемиологи</w:t>
      </w:r>
      <w:r w:rsidR="00C7359B" w:rsidRPr="00AF0775">
        <w:rPr>
          <w:rFonts w:ascii="Times New Roman" w:eastAsia="Times New Roman" w:hAnsi="Times New Roman" w:cs="Times New Roman"/>
          <w:b/>
          <w:bCs/>
          <w:color w:val="auto"/>
          <w:sz w:val="28"/>
          <w:szCs w:val="28"/>
          <w:lang w:eastAsia="ru-RU"/>
        </w:rPr>
        <w:t xml:space="preserve">ческие аспекты </w:t>
      </w:r>
      <w:r w:rsidRPr="00AF0775">
        <w:rPr>
          <w:rFonts w:ascii="Times New Roman" w:eastAsia="Times New Roman" w:hAnsi="Times New Roman" w:cs="Times New Roman"/>
          <w:b/>
          <w:bCs/>
          <w:color w:val="auto"/>
          <w:sz w:val="28"/>
          <w:szCs w:val="28"/>
          <w:lang w:val="kk-KZ" w:eastAsia="ru-RU"/>
        </w:rPr>
        <w:t>эпителиального рака яичников</w:t>
      </w:r>
      <w:bookmarkEnd w:id="16"/>
      <w:bookmarkEnd w:id="17"/>
      <w:r w:rsidRPr="00AF0775">
        <w:rPr>
          <w:rFonts w:ascii="Times New Roman" w:eastAsia="Times New Roman" w:hAnsi="Times New Roman" w:cs="Times New Roman"/>
          <w:b/>
          <w:bCs/>
          <w:color w:val="auto"/>
          <w:sz w:val="28"/>
          <w:szCs w:val="28"/>
          <w:lang w:val="kk-KZ" w:eastAsia="ru-RU"/>
        </w:rPr>
        <w:t xml:space="preserve"> и колоректального рака</w:t>
      </w:r>
      <w:bookmarkEnd w:id="18"/>
      <w:r w:rsidR="00613E21" w:rsidRPr="00AF0775">
        <w:rPr>
          <w:rFonts w:ascii="Times New Roman" w:eastAsia="Times New Roman" w:hAnsi="Times New Roman" w:cs="Times New Roman"/>
          <w:b/>
          <w:bCs/>
          <w:color w:val="auto"/>
          <w:sz w:val="28"/>
          <w:szCs w:val="28"/>
          <w:lang w:val="kk-KZ" w:eastAsia="ru-RU"/>
        </w:rPr>
        <w:t xml:space="preserve"> в Республике Казахстан</w:t>
      </w:r>
    </w:p>
    <w:p w14:paraId="1F6AC9B0" w14:textId="6D22C3CA" w:rsidR="00FF1D30" w:rsidRPr="00A43B9C" w:rsidRDefault="00FF1D30" w:rsidP="00097193">
      <w:pPr>
        <w:spacing w:after="0" w:line="240" w:lineRule="auto"/>
        <w:ind w:firstLine="709"/>
        <w:jc w:val="both"/>
        <w:rPr>
          <w:rFonts w:ascii="Times New Roman" w:eastAsia="Times New Roman" w:hAnsi="Times New Roman" w:cs="Times New Roman"/>
          <w:sz w:val="28"/>
          <w:szCs w:val="28"/>
          <w:lang w:val="kk-KZ" w:eastAsia="ru-RU"/>
        </w:rPr>
      </w:pPr>
      <w:r w:rsidRPr="00A43B9C">
        <w:rPr>
          <w:rFonts w:ascii="Times New Roman" w:eastAsia="TimesNewRomanPSMT" w:hAnsi="Times New Roman" w:cs="Times New Roman"/>
          <w:sz w:val="28"/>
          <w:szCs w:val="28"/>
        </w:rPr>
        <w:t xml:space="preserve">В настоящее время </w:t>
      </w:r>
      <w:r w:rsidR="00605B19">
        <w:rPr>
          <w:rFonts w:ascii="Times New Roman" w:eastAsia="TimesNewRomanPSMT" w:hAnsi="Times New Roman" w:cs="Times New Roman"/>
          <w:sz w:val="28"/>
          <w:szCs w:val="28"/>
        </w:rPr>
        <w:t>овариальный рак</w:t>
      </w:r>
      <w:r w:rsidRPr="00A43B9C">
        <w:rPr>
          <w:rFonts w:ascii="Times New Roman" w:eastAsia="TimesNewRomanPSMT" w:hAnsi="Times New Roman" w:cs="Times New Roman"/>
          <w:sz w:val="28"/>
          <w:szCs w:val="28"/>
        </w:rPr>
        <w:t xml:space="preserve"> остается одним из наиболее актуальных и распространенных онкогинекологических заболеваний, характеризующихся неблагоприятным</w:t>
      </w:r>
      <w:r w:rsidRPr="00A43B9C">
        <w:rPr>
          <w:rFonts w:ascii="Times New Roman" w:eastAsia="TimesNewRomanPSMT" w:hAnsi="Times New Roman" w:cs="Times New Roman"/>
          <w:sz w:val="28"/>
          <w:szCs w:val="28"/>
          <w:lang w:val="kk-KZ"/>
        </w:rPr>
        <w:t xml:space="preserve"> </w:t>
      </w:r>
      <w:r w:rsidRPr="00A43B9C">
        <w:rPr>
          <w:rFonts w:ascii="Times New Roman" w:eastAsia="TimesNewRomanPSMT" w:hAnsi="Times New Roman" w:cs="Times New Roman"/>
          <w:sz w:val="28"/>
          <w:szCs w:val="28"/>
        </w:rPr>
        <w:t xml:space="preserve">течением у </w:t>
      </w:r>
      <w:r w:rsidRPr="00DC209B">
        <w:rPr>
          <w:rFonts w:ascii="Times New Roman" w:eastAsia="TimesNewRomanPSMT" w:hAnsi="Times New Roman" w:cs="Times New Roman"/>
          <w:sz w:val="28"/>
          <w:szCs w:val="28"/>
        </w:rPr>
        <w:t>лиц женского пола</w:t>
      </w:r>
      <w:r w:rsidR="000B6CAC" w:rsidRPr="00DC209B">
        <w:rPr>
          <w:rFonts w:ascii="Times New Roman" w:eastAsia="TimesNewRomanPSMT" w:hAnsi="Times New Roman" w:cs="Times New Roman"/>
          <w:sz w:val="28"/>
          <w:szCs w:val="28"/>
        </w:rPr>
        <w:t xml:space="preserve"> </w:t>
      </w:r>
      <w:r w:rsidR="000B6CAC" w:rsidRPr="00DC209B">
        <w:rPr>
          <w:rFonts w:ascii="Times New Roman" w:eastAsia="TimesNewRomanPSMT" w:hAnsi="Times New Roman" w:cs="Times New Roman"/>
          <w:sz w:val="28"/>
          <w:szCs w:val="28"/>
        </w:rPr>
        <w:fldChar w:fldCharType="begin"/>
      </w:r>
      <w:r w:rsidR="00F6152F" w:rsidRPr="00DC209B">
        <w:rPr>
          <w:rFonts w:ascii="Times New Roman" w:eastAsia="TimesNewRomanPSMT" w:hAnsi="Times New Roman" w:cs="Times New Roman"/>
          <w:sz w:val="28"/>
          <w:szCs w:val="28"/>
        </w:rPr>
        <w:instrText xml:space="preserve"> ADDIN ZOTERO_ITEM CSL_CITATION {"citationID":"a2je8l1lmuh","properties":{"formattedCitation":"[5, 38]","plainCitation":"[5, 38]","noteIndex":0},"citationItems":[{"id":220,"uris":["http://zotero.org/users/8787459/items/HU33Q4US"],"itemData":{"id":220,"type":"article-journal","abstract":"We investigated the effect of the maximum standardized uptake value (SUVmax) and peritoneal dissemination derived from 18F-fluorodeoxyglucose (18F-FDG) positron emission tomography/computed tomography (PET/CT) imaging on prognosis in patients with recurrent ovarian cancer.\n        We retrospectively analyzed 145 patients with suspected recurrent ovarian cancer who had undergone 18F-FDG PET/CT scans after cytoreductive surgery and chemotherapy. The degree of peritoneal spread was classified as localized (1–3 FDG foci) or diffuse (&gt;3 FDG foci). Receiver operating characteristic (ROC) curve analysis was performed to determine the cut-off values for predicting recurrence.\n        A total of 145 patients were retrospectively reviewed in this study. 29 patients were excluded as their follow-up results were not available. One hundred sixteen patients were included in the final analysis. The median duration of progression-free survival was 14 months. 18F-FDG PET/CT detected peritoneal carcinomatosis in 82 patients. With a cut-off SUVmax of 2.0 obtained from the ROC curve analysis, the sensitivity, specificity, accuracy, positive predictive value, and negative predictive value of SUVmax of peritoneal carcinomatosis for predicting recurrence were 77.6%, 87.5%, 65.1%, 97.4%, and 38.9%, respectively. The area under the curve was 0.85. In a multivariate analysis, significant independent prognostic variables were SUVmax of peritoneal disease, peritoneal dissemination, and CA125 levels. In patients with peritoneal involvement, the Kaplan-Meier survival curves showed significantly longer PFS in those with localized disease.\n        SUVmax of peritoneal disease is valuable in predicting the recurrence of ovarian cancer. SUVmax of peritoneal disease, peritoneal dissemination and CA125 level could be used as independent prognostic factors for ovarian cancer patients.","container-title":"Medicine","DOI":"10.1097/MD.0000000000019228","ISSN":"0025-7974","issue":"8","language":"en-US","page":"e19228","source":"journals.lww.com","title":"The maximum standardized uptake value and extent of peritoneal involvement may predict the prognosis of patients with recurrent ovarian cancer after primary treatment: A retrospective clinical study","title-short":"The maximum standardized uptake value and extent of peritoneal involvement may predict the prognosis of patients with recurrent ovarian cancer after primary treatment","volume":"99","author":[{"family":"Jiang","given":"Yuanyuan"},{"family":"Hou","given":"Guozhu"},{"family":"Wu","given":"Fengyu"},{"family":"Zhu","given":"Zhaohui"},{"family":"Zhang","given":"Wei"},{"family":"Cheng","given":"Wuying"}],"issued":{"date-parts":[["2020",2]]}},"label":"page"},{"id":219,"uris":["http://zotero.org/users/8787459/items/GUUSN3MV"],"itemData":{"id":219,"type":"article-journal","abstract":"Each year, the American Cancer Society estimates the numbers of new cancer cases and deaths in the United States and compiles the most recent data on population-based cancer occurrence and outcomes. Incidence data (through 2018) were collected by the Surveillance, Epidemiology, and End Results program; the National Program of Cancer Registries; and the North American Association of Central Cancer Registries. Mortality data (through 2019) were collected by the National Center for Health Statistics. In 2022, 1,918,030 new cancer cases and 609,360 cancer deaths are projected to occur in the United States, including approximately 350 deaths per day from lung cancer, the leading cause of cancer death. Incidence during 2014 through 2018 continued a slow increase for female breast cancer (by 0.5% annually) and remained stable for prostate cancer, despite a 4% to 6% annual increase for advanced disease since 2011. Consequently, the proportion of prostate cancer diagnosed at a distant stage increased from 3.9% to 8.2% over the past decade. In contrast, lung cancer incidence continued to decline steeply for advanced disease while rates for localized-stage increased suddenly by 4.5% annually, contributing to gains both in the proportion of localized-stage diagnoses (from 17% in 2004 to 28% in 2018) and 3-year relative survival (from 21% to 31%). Mortality patterns reflect incidence trends, with declines accelerating for lung cancer, slowing for breast cancer, and stabilizing for prostate cancer. In summary, progress has stagnated for breast and prostate cancers but strengthened for lung cancer, coinciding with changes in medical practice related to cancer screening and/or treatment. More targeted cancer control interventions and investment in improved early detection and treatment would facilitate reductions in cancer mortality.","container-title":"CA: A Cancer Journal for Clinicians","DOI":"10.3322/caac.21708","ISSN":"1542-4863","issue":"1","language":"en","note":"_eprint: https://onlinelibrary.wiley.com/doi/pdf/10.3322/caac.21708","page":"7-33","source":"Wiley Online Library","title":"Cancer statistics, 2022","volume":"72","author":[{"family":"Siegel","given":"Rebecca L."},{"family":"Miller","given":"Kimberly D."},{"family":"Fuchs","given":"Hannah E."},{"family":"Jemal","given":"Ahmedin"}],"issued":{"date-parts":[["2022"]]}},"label":"page"}],"schema":"https://github.com/citation-style-language/schema/raw/master/csl-citation.json"} </w:instrText>
      </w:r>
      <w:r w:rsidR="000B6CAC" w:rsidRPr="00DC209B">
        <w:rPr>
          <w:rFonts w:ascii="Times New Roman" w:eastAsia="TimesNewRomanPSMT" w:hAnsi="Times New Roman" w:cs="Times New Roman"/>
          <w:sz w:val="28"/>
          <w:szCs w:val="28"/>
        </w:rPr>
        <w:fldChar w:fldCharType="separate"/>
      </w:r>
      <w:r w:rsidR="00F6152F" w:rsidRPr="00DC209B">
        <w:rPr>
          <w:rFonts w:ascii="Times New Roman" w:hAnsi="Times New Roman" w:cs="Times New Roman"/>
          <w:sz w:val="28"/>
        </w:rPr>
        <w:t>[38]</w:t>
      </w:r>
      <w:r w:rsidR="000B6CAC" w:rsidRPr="00DC209B">
        <w:rPr>
          <w:rFonts w:ascii="Times New Roman" w:eastAsia="TimesNewRomanPSMT" w:hAnsi="Times New Roman" w:cs="Times New Roman"/>
          <w:sz w:val="28"/>
          <w:szCs w:val="28"/>
        </w:rPr>
        <w:fldChar w:fldCharType="end"/>
      </w:r>
      <w:r w:rsidRPr="00DC209B">
        <w:rPr>
          <w:rFonts w:ascii="Times New Roman" w:hAnsi="Times New Roman" w:cs="Times New Roman"/>
          <w:sz w:val="28"/>
          <w:szCs w:val="28"/>
          <w:shd w:val="clear" w:color="auto" w:fill="FFFFFF"/>
        </w:rPr>
        <w:t xml:space="preserve">. </w:t>
      </w:r>
      <w:r w:rsidR="00605B19" w:rsidRPr="00DC209B">
        <w:rPr>
          <w:rFonts w:ascii="Times New Roman" w:hAnsi="Times New Roman" w:cs="Times New Roman"/>
          <w:sz w:val="28"/>
          <w:szCs w:val="28"/>
          <w:shd w:val="clear" w:color="auto" w:fill="FFFFFF"/>
        </w:rPr>
        <w:t xml:space="preserve">Эпителиальный рак яичников </w:t>
      </w:r>
      <w:r w:rsidRPr="00DC209B">
        <w:rPr>
          <w:rFonts w:ascii="Times New Roman" w:eastAsia="TimesNewRomanPSMT" w:hAnsi="Times New Roman" w:cs="Times New Roman"/>
          <w:sz w:val="28"/>
          <w:szCs w:val="28"/>
        </w:rPr>
        <w:t>является наиболее летальным с диагностикой на поздних стадиях (III-IV стадии), что составляет 62% случаев.</w:t>
      </w:r>
      <w:r w:rsidR="00613E21" w:rsidRPr="00DC209B">
        <w:rPr>
          <w:rFonts w:ascii="Times New Roman" w:eastAsia="TimesNewRomanPSMT" w:hAnsi="Times New Roman" w:cs="Times New Roman"/>
          <w:sz w:val="28"/>
          <w:szCs w:val="28"/>
        </w:rPr>
        <w:t xml:space="preserve"> </w:t>
      </w:r>
      <w:r w:rsidRPr="00DC209B">
        <w:rPr>
          <w:rFonts w:ascii="Times New Roman" w:eastAsia="Times New Roman" w:hAnsi="Times New Roman" w:cs="Times New Roman"/>
          <w:sz w:val="28"/>
          <w:szCs w:val="28"/>
          <w:lang w:val="kk-KZ" w:eastAsia="ru-RU"/>
        </w:rPr>
        <w:t xml:space="preserve">По данным </w:t>
      </w:r>
      <w:r w:rsidR="00097193" w:rsidRPr="00DC209B">
        <w:rPr>
          <w:rFonts w:ascii="Times New Roman" w:eastAsia="Times New Roman" w:hAnsi="Times New Roman" w:cs="Times New Roman"/>
          <w:sz w:val="28"/>
          <w:szCs w:val="28"/>
          <w:lang w:eastAsia="ru-RU"/>
        </w:rPr>
        <w:t xml:space="preserve">Всемирного фонда исследований рака Американского института </w:t>
      </w:r>
      <w:r w:rsidR="00097193" w:rsidRPr="00A43B9C">
        <w:rPr>
          <w:rFonts w:ascii="Times New Roman" w:eastAsia="Times New Roman" w:hAnsi="Times New Roman" w:cs="Times New Roman"/>
          <w:sz w:val="28"/>
          <w:szCs w:val="28"/>
          <w:lang w:eastAsia="ru-RU"/>
        </w:rPr>
        <w:t>исследований рака</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WCRF</w:t>
      </w:r>
      <w:r w:rsidR="0087599B"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AICR</w:t>
      </w:r>
      <w:r w:rsidRPr="00A43B9C">
        <w:rPr>
          <w:rFonts w:ascii="Times New Roman" w:hAnsi="Times New Roman" w:cs="Times New Roman"/>
          <w:sz w:val="28"/>
          <w:szCs w:val="28"/>
        </w:rPr>
        <w:t>)</w:t>
      </w:r>
      <w:r w:rsidRPr="00A43B9C">
        <w:rPr>
          <w:rFonts w:ascii="Times New Roman" w:eastAsia="Times New Roman" w:hAnsi="Times New Roman" w:cs="Times New Roman"/>
          <w:sz w:val="28"/>
          <w:szCs w:val="28"/>
          <w:lang w:val="kk-KZ" w:eastAsia="ru-RU"/>
        </w:rPr>
        <w:t xml:space="preserve">, в мире </w:t>
      </w:r>
      <w:r w:rsidR="00605B19">
        <w:rPr>
          <w:rFonts w:ascii="Times New Roman" w:eastAsia="TimesNewRomanPSMT" w:hAnsi="Times New Roman" w:cs="Times New Roman"/>
          <w:sz w:val="28"/>
          <w:szCs w:val="28"/>
        </w:rPr>
        <w:t>овариальный рак</w:t>
      </w:r>
      <w:r w:rsidR="00605B19" w:rsidRPr="00A43B9C">
        <w:rPr>
          <w:rFonts w:ascii="Times New Roman" w:eastAsia="Times New Roman" w:hAnsi="Times New Roman" w:cs="Times New Roman"/>
          <w:sz w:val="28"/>
          <w:szCs w:val="28"/>
          <w:lang w:val="kk-KZ" w:eastAsia="ru-RU"/>
        </w:rPr>
        <w:t xml:space="preserve"> </w:t>
      </w:r>
      <w:r w:rsidRPr="00A43B9C">
        <w:rPr>
          <w:rFonts w:ascii="Times New Roman" w:eastAsia="Times New Roman" w:hAnsi="Times New Roman" w:cs="Times New Roman"/>
          <w:sz w:val="28"/>
          <w:szCs w:val="28"/>
          <w:lang w:val="kk-KZ" w:eastAsia="ru-RU"/>
        </w:rPr>
        <w:t xml:space="preserve">занимает 3-е место среди злокачественных новообразований женских половых органов после рака шейки матки и тела матки; в 2018 году оценочные статистические показатели составили: 295 414 новых случаев </w:t>
      </w:r>
      <w:r w:rsidR="00605B19">
        <w:rPr>
          <w:rFonts w:ascii="Times New Roman" w:eastAsia="Times New Roman" w:hAnsi="Times New Roman" w:cs="Times New Roman"/>
          <w:sz w:val="28"/>
          <w:szCs w:val="28"/>
          <w:lang w:val="kk-KZ" w:eastAsia="ru-RU"/>
        </w:rPr>
        <w:t>рака яичников</w:t>
      </w:r>
      <w:r w:rsidRPr="00A43B9C">
        <w:rPr>
          <w:rFonts w:ascii="Times New Roman" w:eastAsia="Times New Roman" w:hAnsi="Times New Roman" w:cs="Times New Roman"/>
          <w:sz w:val="28"/>
          <w:szCs w:val="28"/>
          <w:lang w:val="kk-KZ" w:eastAsia="ru-RU"/>
        </w:rPr>
        <w:t xml:space="preserve">, 1,72% от всех злокачественных опухолей, 6,6 случаев на 100 тыс. населения; 184 799 смертей от </w:t>
      </w:r>
      <w:r w:rsidR="00605B19">
        <w:rPr>
          <w:rFonts w:ascii="Times New Roman" w:eastAsia="Times New Roman" w:hAnsi="Times New Roman" w:cs="Times New Roman"/>
          <w:sz w:val="28"/>
          <w:szCs w:val="28"/>
          <w:lang w:val="kk-KZ" w:eastAsia="ru-RU"/>
        </w:rPr>
        <w:t>рака яичников</w:t>
      </w:r>
      <w:r w:rsidRPr="00A43B9C">
        <w:rPr>
          <w:rFonts w:ascii="Times New Roman" w:eastAsia="Times New Roman" w:hAnsi="Times New Roman" w:cs="Times New Roman"/>
          <w:sz w:val="28"/>
          <w:szCs w:val="28"/>
          <w:lang w:val="kk-KZ" w:eastAsia="ru-RU"/>
        </w:rPr>
        <w:t xml:space="preserve">, 2,08% от всех случаев смерти от рака, 3,9 случаев на 100 тыс. </w:t>
      </w:r>
      <w:r w:rsidRPr="00A43B9C">
        <w:rPr>
          <w:rFonts w:ascii="Times New Roman" w:eastAsia="Times New Roman" w:hAnsi="Times New Roman" w:cs="Times New Roman"/>
          <w:sz w:val="28"/>
          <w:szCs w:val="28"/>
          <w:lang w:eastAsia="ru-RU"/>
        </w:rPr>
        <w:t>н</w:t>
      </w:r>
      <w:r w:rsidRPr="00A43B9C">
        <w:rPr>
          <w:rFonts w:ascii="Times New Roman" w:eastAsia="Times New Roman" w:hAnsi="Times New Roman" w:cs="Times New Roman"/>
          <w:sz w:val="28"/>
          <w:szCs w:val="28"/>
          <w:lang w:val="kk-KZ" w:eastAsia="ru-RU"/>
        </w:rPr>
        <w:t xml:space="preserve">аселения </w:t>
      </w:r>
      <w:r w:rsidRPr="00A43B9C">
        <w:rPr>
          <w:rFonts w:ascii="Times New Roman" w:eastAsia="Times New Roman" w:hAnsi="Times New Roman" w:cs="Times New Roman"/>
          <w:sz w:val="28"/>
          <w:szCs w:val="28"/>
          <w:lang w:val="kk-KZ" w:eastAsia="ru-RU"/>
        </w:rPr>
        <w:fldChar w:fldCharType="begin"/>
      </w:r>
      <w:r w:rsidR="00F6152F">
        <w:rPr>
          <w:rFonts w:ascii="Times New Roman" w:eastAsia="Times New Roman" w:hAnsi="Times New Roman" w:cs="Times New Roman"/>
          <w:sz w:val="28"/>
          <w:szCs w:val="28"/>
          <w:lang w:val="kk-KZ" w:eastAsia="ru-RU"/>
        </w:rPr>
        <w:instrText xml:space="preserve"> ADDIN ZOTERO_ITEM CSL_CITATION {"citationID":"r8qIqcI6","properties":{"formattedCitation":"[39]","plainCitation":"[39]","noteIndex":0},"citationItems":[{"id":209,"uris":["http://zotero.org/users/8787459/items/8X2F9UG7"],"itemData":{"id":209,"type":"article-journal","abstract":"This article provides a status report on the global burden of cancer worldwide using the GLOBOCAN 2018 estimates of cancer incidence and mortality produced by the International Agency for Research on Cancer, with a focus on geographic variability across 20 world regions. There will be an estimated 18.1 million new cancer cases (17.0 million excluding nonmelanoma skin cancer) and 9.6 million cancer deaths (9.5 million excluding nonmelanoma skin cancer) in 2018. In both sexes combined, lung cancer is the most commonly diagnosed cancer (11.6% of the total cases) and the leading cause of cancer death (18.4% of the total cancer deaths), closely followed by female breast cancer (11.6%), prostate cancer (7.1%), and colorectal cancer (6.1%) for incidence and colorectal cancer (9.2%), stomach cancer (8.2%), and liver cancer (8.2%) for mortality. Lung cancer is the most frequent cancer and the leading cause of cancer death among males, followed by prostate and colorectal cancer (for incidence) and liver and stomach cancer (for mortality). Among females, breast cancer is the most commonly diagnosed cancer and the leading cause of cancer death, followed by colorectal and lung cancer (for incidence), and vice versa (for mortality); cervical cancer ranks fourth for both incidence and mortality. The most frequently diagnosed cancer and the leading cause of cancer death, however, substantially vary across countries and within each country depending on the degree of economic development and associated social and life style factors. It is noteworthy that high-quality cancer registry data, the basis for planning and implementing evidence-based cancer control programs, are not available in most low- and middle-income countries. The Global Initiative for Cancer Registry Development is an international partnership that supports better estimation, as well as the collection and use of local data, to prioritize and evaluate national cancer control efforts. CA: A Cancer Journal for Clinicians 2018;0:1-31. © 2018 American Cancer Society","container-title":"CA: A Cancer Journal for Clinicians","DOI":"10.3322/caac.21492","ISSN":"1542-4863","issue":"6","language":"en","note":"_eprint: https://onlinelibrary.wiley.com/doi/pdf/10.3322/caac.21492","page":"394-424","source":"Wiley Online Library","title":"Global cancer statistics 2018: GLOBOCAN estimates of incidence and mortality worldwide for 36 cancers in 185 countries","title-short":"Global cancer statistics 2018","volume":"68","author":[{"family":"Bray","given":"Freddie"},{"family":"Ferlay","given":"Jacques"},{"family":"Soerjomataram","given":"Isabelle"},{"family":"Siegel","given":"Rebecca L."},{"family":"Torre","given":"Lindsey A."},{"family":"Jemal","given":"Ahmedin"}],"issued":{"date-parts":[["2018"]]}}}],"schema":"https://github.com/citation-style-language/schema/raw/master/csl-citation.json"} </w:instrText>
      </w:r>
      <w:r w:rsidRPr="00A43B9C">
        <w:rPr>
          <w:rFonts w:ascii="Times New Roman" w:eastAsia="Times New Roman" w:hAnsi="Times New Roman" w:cs="Times New Roman"/>
          <w:sz w:val="28"/>
          <w:szCs w:val="28"/>
          <w:lang w:val="kk-KZ" w:eastAsia="ru-RU"/>
        </w:rPr>
        <w:fldChar w:fldCharType="separate"/>
      </w:r>
      <w:r w:rsidR="00F6152F" w:rsidRPr="00F6152F">
        <w:rPr>
          <w:rFonts w:ascii="Times New Roman" w:hAnsi="Times New Roman" w:cs="Times New Roman"/>
          <w:sz w:val="28"/>
        </w:rPr>
        <w:t>[39]</w:t>
      </w:r>
      <w:r w:rsidRPr="00A43B9C">
        <w:rPr>
          <w:rFonts w:ascii="Times New Roman" w:eastAsia="Times New Roman" w:hAnsi="Times New Roman" w:cs="Times New Roman"/>
          <w:sz w:val="28"/>
          <w:szCs w:val="28"/>
          <w:lang w:val="kk-KZ" w:eastAsia="ru-RU"/>
        </w:rPr>
        <w:fldChar w:fldCharType="end"/>
      </w:r>
      <w:r w:rsidRPr="00A43B9C">
        <w:rPr>
          <w:rFonts w:ascii="Times New Roman" w:eastAsia="Times New Roman" w:hAnsi="Times New Roman" w:cs="Times New Roman"/>
          <w:sz w:val="28"/>
          <w:szCs w:val="28"/>
          <w:lang w:val="kk-KZ" w:eastAsia="ru-RU"/>
        </w:rPr>
        <w:t xml:space="preserve">. По показателям смертности от злокачественных новообразований женских половых органов в мире </w:t>
      </w:r>
      <w:r w:rsidR="00605B19">
        <w:rPr>
          <w:rFonts w:ascii="Times New Roman" w:eastAsia="Times New Roman" w:hAnsi="Times New Roman" w:cs="Times New Roman"/>
          <w:sz w:val="28"/>
          <w:szCs w:val="28"/>
          <w:lang w:val="kk-KZ" w:eastAsia="ru-RU"/>
        </w:rPr>
        <w:t>рак яичников</w:t>
      </w:r>
      <w:r w:rsidRPr="00A43B9C">
        <w:rPr>
          <w:rFonts w:ascii="Times New Roman" w:eastAsia="Times New Roman" w:hAnsi="Times New Roman" w:cs="Times New Roman"/>
          <w:sz w:val="28"/>
          <w:szCs w:val="28"/>
          <w:lang w:val="kk-KZ" w:eastAsia="ru-RU"/>
        </w:rPr>
        <w:t xml:space="preserve"> стоит на 2-м месте после рака шейки матки: в 2016 году показатели смертности на 100 тыс. женского населения составили для рака шейки матки, </w:t>
      </w:r>
      <w:r w:rsidR="00605B19">
        <w:rPr>
          <w:rFonts w:ascii="Times New Roman" w:eastAsia="Times New Roman" w:hAnsi="Times New Roman" w:cs="Times New Roman"/>
          <w:sz w:val="28"/>
          <w:szCs w:val="28"/>
          <w:lang w:val="kk-KZ" w:eastAsia="ru-RU"/>
        </w:rPr>
        <w:t xml:space="preserve">рака яичников </w:t>
      </w:r>
      <w:r w:rsidRPr="00A43B9C">
        <w:rPr>
          <w:rFonts w:ascii="Times New Roman" w:eastAsia="Times New Roman" w:hAnsi="Times New Roman" w:cs="Times New Roman"/>
          <w:sz w:val="28"/>
          <w:szCs w:val="28"/>
          <w:lang w:val="kk-KZ" w:eastAsia="ru-RU"/>
        </w:rPr>
        <w:t xml:space="preserve">и рака тела матки соответственно 6,7 (5,6-7,2), 4,5 (4,3-4,7) и 2,4 (2,3-2,6) </w:t>
      </w:r>
      <w:r w:rsidRPr="00A43B9C">
        <w:rPr>
          <w:rFonts w:ascii="Times New Roman" w:eastAsia="Times New Roman" w:hAnsi="Times New Roman" w:cs="Times New Roman"/>
          <w:sz w:val="28"/>
          <w:szCs w:val="28"/>
          <w:lang w:val="kk-KZ" w:eastAsia="ru-RU"/>
        </w:rPr>
        <w:fldChar w:fldCharType="begin"/>
      </w:r>
      <w:r w:rsidR="00F6152F">
        <w:rPr>
          <w:rFonts w:ascii="Times New Roman" w:eastAsia="Times New Roman" w:hAnsi="Times New Roman" w:cs="Times New Roman"/>
          <w:sz w:val="28"/>
          <w:szCs w:val="28"/>
          <w:lang w:val="kk-KZ" w:eastAsia="ru-RU"/>
        </w:rPr>
        <w:instrText xml:space="preserve"> ADDIN ZOTERO_ITEM CSL_CITATION {"citationID":"Zs4H0H8M","properties":{"formattedCitation":"[40]","plainCitation":"[40]","noteIndex":0},"citationItems":[{"id":212,"uris":["http://zotero.org/users/8787459/items/F7U9JBIP"],"itemData":{"id":212,"type":"article-journal","abstract":"The increasing burden due to cancer and other noncommunicable diseases poses a threat to human development, which has resulted in global political commitments reflected in the Sustainable Development Goals as well as the World Health Organization (WHO) Global Action Plan on Non-Communicable Diseases. To determine if these commitments have resulted in improved cancer control, quantitative assessments of the cancer burden are required.To assess the burden for 29 cancer groups over time to provide a framework for policy discussion, resource allocation, and research focus.Cancer incidence, mortality, years lived with disability, years of life lost, and disability-adjusted life-years (DALYs) were evaluated for 195 countries and territories by age and sex using the Global Burden of Disease study estimation methods. Levels and trends were analyzed over time, as well as by the Sociodemographic Index (SDI). Changes in incident cases were categorized by changes due to epidemiological vs demographic transition.In 2016, there were 17.2 million cancer cases worldwide and 8.9 million deaths. Cancer cases increased by 28% between 2006 and 2016. The smallest increase was seen in high SDI countries. Globally, population aging contributed 17%; population growth, 12%; and changes in age-specific rates, −1% to this change. The most common incident cancer globally for men was prostate cancer (1.4 million cases). The leading cause of cancer deaths and DALYs was tracheal, bronchus, and lung cancer (1.2 million deaths and 25.4 million DALYs). For women, the most common incident cancer and the leading cause of cancer deaths and DALYs was breast cancer (1.7 million incident cases, 535 000 deaths, and 14.9 million DALYs). In 2016, cancer caused 213.2 million DALYs globally for both sexes combined. Between 2006 and 2016, the average annual age-standardized incidence rates for all cancers combined increased in 130 of 195 countries or territories, and the average annual age-standardized death rates decreased within that timeframe in 143 of 195 countries or territories.Large disparities exist between countries in cancer incidence, deaths, and associated disability. Scaling up cancer prevention and ensuring universal access to cancer care are required for health equity and to fulfill the global commitments for noncommunicable disease and cancer control.","container-title":"JAMA Oncology","DOI":"10.1001/jamaoncol.2018.2706","ISSN":"2374-2437","issue":"11","journalAbbreviation":"JAMA Oncology","page":"1553-1568","source":"Silverchair","title":"Global, Regional, and National Cancer Incidence, Mortality, Years of Life Lost, Years Lived With Disability, and Disability-Adjusted Life-Years for 29 Cancer Groups, 1990 to 2016: A Systematic Analysis for the Global Burden of Disease Study","title-short":"Global, Regional, and National Cancer Incidence, Mortality, Years of Life Lost, Years Lived With Disability, and Disability-Adjusted Life-Years for 29 Cancer Groups, 1990 to 2016","volume":"4","author":[{"literal":"Global Burden of Disease Cancer Collaboration"}],"issued":{"date-parts":[["2018",11,1]]}}}],"schema":"https://github.com/citation-style-language/schema/raw/master/csl-citation.json"} </w:instrText>
      </w:r>
      <w:r w:rsidRPr="00A43B9C">
        <w:rPr>
          <w:rFonts w:ascii="Times New Roman" w:eastAsia="Times New Roman" w:hAnsi="Times New Roman" w:cs="Times New Roman"/>
          <w:sz w:val="28"/>
          <w:szCs w:val="28"/>
          <w:lang w:val="kk-KZ" w:eastAsia="ru-RU"/>
        </w:rPr>
        <w:fldChar w:fldCharType="separate"/>
      </w:r>
      <w:r w:rsidR="00F6152F" w:rsidRPr="00F6152F">
        <w:rPr>
          <w:rFonts w:ascii="Times New Roman" w:hAnsi="Times New Roman" w:cs="Times New Roman"/>
          <w:sz w:val="28"/>
        </w:rPr>
        <w:t>[40]</w:t>
      </w:r>
      <w:r w:rsidRPr="00A43B9C">
        <w:rPr>
          <w:rFonts w:ascii="Times New Roman" w:eastAsia="Times New Roman" w:hAnsi="Times New Roman" w:cs="Times New Roman"/>
          <w:sz w:val="28"/>
          <w:szCs w:val="28"/>
          <w:lang w:val="kk-KZ" w:eastAsia="ru-RU"/>
        </w:rPr>
        <w:fldChar w:fldCharType="end"/>
      </w:r>
      <w:r w:rsidRPr="00A43B9C">
        <w:rPr>
          <w:rFonts w:ascii="Times New Roman" w:eastAsia="Times New Roman" w:hAnsi="Times New Roman" w:cs="Times New Roman"/>
          <w:sz w:val="28"/>
          <w:szCs w:val="28"/>
          <w:lang w:val="kk-KZ" w:eastAsia="ru-RU"/>
        </w:rPr>
        <w:t>.</w:t>
      </w:r>
    </w:p>
    <w:p w14:paraId="6AEE7A5A" w14:textId="3B059324" w:rsidR="00FF1D30" w:rsidRPr="00F1584D" w:rsidRDefault="00FF1D30" w:rsidP="00FF1D30">
      <w:pPr>
        <w:autoSpaceDE w:val="0"/>
        <w:autoSpaceDN w:val="0"/>
        <w:adjustRightInd w:val="0"/>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Согласно данным статистических и аналитических материалов онкологической службы Республики Казахстан</w:t>
      </w:r>
      <w:r w:rsidR="00CF336A"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за 2018 год Казахского научно-исследовательского института онкологии и радиологии </w:t>
      </w:r>
      <w:r w:rsidR="00CF336A" w:rsidRPr="00A43B9C">
        <w:rPr>
          <w:rFonts w:ascii="Times New Roman" w:hAnsi="Times New Roman" w:cs="Times New Roman"/>
          <w:sz w:val="28"/>
          <w:szCs w:val="28"/>
        </w:rPr>
        <w:t xml:space="preserve">(КазНИИОиР) </w:t>
      </w:r>
      <w:r w:rsidRPr="00A43B9C">
        <w:rPr>
          <w:rFonts w:ascii="Times New Roman" w:hAnsi="Times New Roman" w:cs="Times New Roman"/>
          <w:sz w:val="28"/>
          <w:szCs w:val="28"/>
        </w:rPr>
        <w:t>п</w:t>
      </w:r>
      <w:r w:rsidRPr="00A43B9C">
        <w:rPr>
          <w:rFonts w:ascii="Times New Roman" w:hAnsi="Times New Roman" w:cs="Times New Roman"/>
          <w:bCs/>
          <w:sz w:val="28"/>
          <w:szCs w:val="28"/>
        </w:rPr>
        <w:t xml:space="preserve">о </w:t>
      </w:r>
      <w:r w:rsidR="00605B19">
        <w:rPr>
          <w:rFonts w:ascii="Times New Roman" w:hAnsi="Times New Roman" w:cs="Times New Roman"/>
          <w:bCs/>
          <w:sz w:val="28"/>
          <w:szCs w:val="28"/>
        </w:rPr>
        <w:t xml:space="preserve">раку яичников </w:t>
      </w:r>
      <w:r w:rsidRPr="00A43B9C">
        <w:rPr>
          <w:rFonts w:ascii="Times New Roman" w:hAnsi="Times New Roman" w:cs="Times New Roman"/>
          <w:bCs/>
          <w:sz w:val="28"/>
          <w:szCs w:val="28"/>
        </w:rPr>
        <w:t xml:space="preserve">показатели выглядят следующим образом: </w:t>
      </w:r>
      <w:r w:rsidRPr="00A43B9C">
        <w:rPr>
          <w:rFonts w:ascii="Times New Roman" w:hAnsi="Times New Roman" w:cs="Times New Roman"/>
          <w:sz w:val="28"/>
          <w:szCs w:val="28"/>
        </w:rPr>
        <w:t xml:space="preserve">абсолютное число случаев составило </w:t>
      </w:r>
      <w:r w:rsidRPr="00A43B9C">
        <w:rPr>
          <w:rFonts w:ascii="Times New Roman" w:hAnsi="Times New Roman" w:cs="Times New Roman"/>
          <w:bCs/>
          <w:sz w:val="28"/>
          <w:szCs w:val="28"/>
        </w:rPr>
        <w:t xml:space="preserve">1120 случаев, на 100 тыс. женского населения грубый показатель составил 11,8 случаев, стандартизированный показатель – 10,1, темп прироста - (4,0%), </w:t>
      </w:r>
      <w:r w:rsidRPr="00A43B9C">
        <w:rPr>
          <w:rFonts w:ascii="Times New Roman" w:hAnsi="Times New Roman" w:cs="Times New Roman"/>
          <w:sz w:val="28"/>
          <w:szCs w:val="28"/>
        </w:rPr>
        <w:t xml:space="preserve">смертность составила 448 случаев, на 100 тыс. населения, данный показатель составляет 2,4, </w:t>
      </w:r>
      <w:r w:rsidRPr="00A43B9C">
        <w:rPr>
          <w:rFonts w:ascii="Times New Roman" w:hAnsi="Times New Roman" w:cs="Times New Roman"/>
          <w:bCs/>
          <w:sz w:val="28"/>
          <w:szCs w:val="28"/>
        </w:rPr>
        <w:t>темп прироста - (</w:t>
      </w:r>
      <w:r w:rsidRPr="00A43B9C">
        <w:rPr>
          <w:rFonts w:ascii="Times New Roman" w:hAnsi="Times New Roman" w:cs="Times New Roman"/>
          <w:sz w:val="28"/>
          <w:szCs w:val="28"/>
        </w:rPr>
        <w:t>-12,9</w:t>
      </w:r>
      <w:r w:rsidRPr="00A43B9C">
        <w:rPr>
          <w:rFonts w:ascii="Times New Roman" w:hAnsi="Times New Roman" w:cs="Times New Roman"/>
          <w:bCs/>
          <w:sz w:val="28"/>
          <w:szCs w:val="28"/>
        </w:rPr>
        <w:t>%).</w:t>
      </w:r>
      <w:r w:rsidR="00613E21" w:rsidRPr="00A43B9C">
        <w:rPr>
          <w:rFonts w:ascii="Times New Roman" w:hAnsi="Times New Roman" w:cs="Times New Roman"/>
          <w:bCs/>
          <w:sz w:val="28"/>
          <w:szCs w:val="28"/>
        </w:rPr>
        <w:t xml:space="preserve"> </w:t>
      </w:r>
      <w:r w:rsidRPr="00A43B9C">
        <w:rPr>
          <w:rFonts w:ascii="Times New Roman" w:hAnsi="Times New Roman" w:cs="Times New Roman"/>
          <w:bCs/>
          <w:sz w:val="28"/>
          <w:szCs w:val="28"/>
        </w:rPr>
        <w:t xml:space="preserve">В 2018 году процент одногодичной летальности по </w:t>
      </w:r>
      <w:r w:rsidR="00605B19">
        <w:rPr>
          <w:rFonts w:ascii="Times New Roman" w:hAnsi="Times New Roman" w:cs="Times New Roman"/>
          <w:bCs/>
          <w:sz w:val="28"/>
          <w:szCs w:val="28"/>
        </w:rPr>
        <w:t xml:space="preserve">раку яичников </w:t>
      </w:r>
      <w:r w:rsidRPr="00A43B9C">
        <w:rPr>
          <w:rFonts w:ascii="Times New Roman" w:hAnsi="Times New Roman" w:cs="Times New Roman"/>
          <w:bCs/>
          <w:sz w:val="28"/>
          <w:szCs w:val="28"/>
        </w:rPr>
        <w:t>составил</w:t>
      </w:r>
      <w:r w:rsidR="005237CD" w:rsidRPr="00A43B9C">
        <w:rPr>
          <w:rFonts w:ascii="Times New Roman" w:hAnsi="Times New Roman" w:cs="Times New Roman"/>
          <w:bCs/>
          <w:sz w:val="28"/>
          <w:szCs w:val="28"/>
        </w:rPr>
        <w:t>а</w:t>
      </w:r>
      <w:r w:rsidRPr="00A43B9C">
        <w:rPr>
          <w:rFonts w:ascii="Times New Roman" w:hAnsi="Times New Roman" w:cs="Times New Roman"/>
          <w:bCs/>
          <w:sz w:val="28"/>
          <w:szCs w:val="28"/>
        </w:rPr>
        <w:t xml:space="preserve"> 17,0%</w:t>
      </w:r>
      <w:r w:rsidR="005237CD" w:rsidRPr="00A43B9C">
        <w:rPr>
          <w:rFonts w:ascii="Times New Roman" w:hAnsi="Times New Roman" w:cs="Times New Roman"/>
          <w:bCs/>
          <w:sz w:val="28"/>
          <w:szCs w:val="28"/>
        </w:rPr>
        <w:t xml:space="preserve">, а доля </w:t>
      </w:r>
      <w:r w:rsidRPr="00A43B9C">
        <w:rPr>
          <w:rFonts w:ascii="Times New Roman" w:hAnsi="Times New Roman" w:cs="Times New Roman"/>
          <w:bCs/>
          <w:sz w:val="28"/>
          <w:szCs w:val="28"/>
        </w:rPr>
        <w:t>IV стади</w:t>
      </w:r>
      <w:r w:rsidR="005237CD" w:rsidRPr="00A43B9C">
        <w:rPr>
          <w:rFonts w:ascii="Times New Roman" w:hAnsi="Times New Roman" w:cs="Times New Roman"/>
          <w:bCs/>
          <w:sz w:val="28"/>
          <w:szCs w:val="28"/>
        </w:rPr>
        <w:t>и</w:t>
      </w:r>
      <w:r w:rsidRPr="00A43B9C">
        <w:rPr>
          <w:rFonts w:ascii="Times New Roman" w:hAnsi="Times New Roman" w:cs="Times New Roman"/>
          <w:bCs/>
          <w:sz w:val="28"/>
          <w:szCs w:val="28"/>
        </w:rPr>
        <w:t xml:space="preserve"> составила 2,3%.</w:t>
      </w:r>
      <w:r w:rsidR="00D85264" w:rsidRPr="00A43B9C">
        <w:rPr>
          <w:rFonts w:ascii="Times New Roman" w:hAnsi="Times New Roman" w:cs="Times New Roman"/>
          <w:bCs/>
          <w:sz w:val="28"/>
          <w:szCs w:val="28"/>
        </w:rPr>
        <w:t xml:space="preserve"> </w:t>
      </w:r>
      <w:r w:rsidRPr="00A43B9C">
        <w:rPr>
          <w:rFonts w:ascii="Times New Roman" w:hAnsi="Times New Roman" w:cs="Times New Roman"/>
          <w:bCs/>
          <w:sz w:val="28"/>
          <w:szCs w:val="28"/>
        </w:rPr>
        <w:t xml:space="preserve">Морфологическая верификация </w:t>
      </w:r>
      <w:r w:rsidR="00605B19">
        <w:rPr>
          <w:rFonts w:ascii="Times New Roman" w:hAnsi="Times New Roman" w:cs="Times New Roman"/>
          <w:bCs/>
          <w:sz w:val="28"/>
          <w:szCs w:val="28"/>
        </w:rPr>
        <w:t xml:space="preserve">овариального рака </w:t>
      </w:r>
      <w:r w:rsidRPr="00A43B9C">
        <w:rPr>
          <w:rFonts w:ascii="Times New Roman" w:hAnsi="Times New Roman" w:cs="Times New Roman"/>
          <w:bCs/>
          <w:sz w:val="28"/>
          <w:szCs w:val="28"/>
        </w:rPr>
        <w:t xml:space="preserve">у вновь выявленных больных по регионам составила </w:t>
      </w:r>
      <w:r w:rsidRPr="00A43B9C">
        <w:rPr>
          <w:rFonts w:ascii="Times New Roman" w:hAnsi="Times New Roman" w:cs="Times New Roman"/>
          <w:iCs/>
          <w:sz w:val="28"/>
          <w:szCs w:val="28"/>
        </w:rPr>
        <w:t>92,8%</w:t>
      </w:r>
      <w:r w:rsidR="00613E21" w:rsidRPr="00A43B9C">
        <w:rPr>
          <w:rFonts w:ascii="Times New Roman" w:hAnsi="Times New Roman" w:cs="Times New Roman"/>
          <w:iCs/>
          <w:sz w:val="28"/>
          <w:szCs w:val="28"/>
        </w:rPr>
        <w:t>, и</w:t>
      </w:r>
      <w:r w:rsidRPr="00A43B9C">
        <w:rPr>
          <w:rFonts w:ascii="Times New Roman" w:hAnsi="Times New Roman" w:cs="Times New Roman"/>
          <w:sz w:val="28"/>
          <w:szCs w:val="28"/>
        </w:rPr>
        <w:t xml:space="preserve"> в 5 регионах обеспечена 100% верификация диагноза (Атырауская, Жамбылская, Костанайская, Северо-Казахстанская области и г. Шымкент). Высокие показатели достигнуты в Актюбинской (97,9%), Восточно-Казахстанской (98,2%), Карагандинской (98,1%), Мангистауской (97,6%) областях и г. </w:t>
      </w:r>
      <w:r w:rsidR="00C20F87" w:rsidRPr="00A43B9C">
        <w:rPr>
          <w:rFonts w:ascii="Times New Roman" w:hAnsi="Times New Roman" w:cs="Times New Roman"/>
          <w:sz w:val="28"/>
          <w:szCs w:val="28"/>
        </w:rPr>
        <w:t>Астана</w:t>
      </w:r>
      <w:r w:rsidRPr="00A43B9C">
        <w:rPr>
          <w:rFonts w:ascii="Times New Roman" w:hAnsi="Times New Roman" w:cs="Times New Roman"/>
          <w:sz w:val="28"/>
          <w:szCs w:val="28"/>
        </w:rPr>
        <w:t>, низкие - в Кызылординской (45,5% - худший показатель по стране), Павлодарской (78,1%), Акмолинской (81,1%) и Западно-Казахстанской (88,6%) областях</w:t>
      </w:r>
      <w:r w:rsidR="005C2294" w:rsidRPr="00A43B9C">
        <w:rPr>
          <w:rFonts w:ascii="Times New Roman" w:hAnsi="Times New Roman" w:cs="Times New Roman"/>
          <w:sz w:val="28"/>
          <w:szCs w:val="28"/>
        </w:rPr>
        <w:t xml:space="preserve"> </w:t>
      </w:r>
      <w:r w:rsidR="005C2294" w:rsidRPr="00A43B9C">
        <w:rPr>
          <w:rFonts w:ascii="Times New Roman" w:hAnsi="Times New Roman" w:cs="Times New Roman"/>
          <w:sz w:val="28"/>
          <w:szCs w:val="28"/>
        </w:rPr>
        <w:fldChar w:fldCharType="begin"/>
      </w:r>
      <w:r w:rsidR="00F6152F">
        <w:rPr>
          <w:rFonts w:ascii="Times New Roman" w:hAnsi="Times New Roman" w:cs="Times New Roman"/>
          <w:sz w:val="28"/>
          <w:szCs w:val="28"/>
        </w:rPr>
        <w:instrText xml:space="preserve"> ADDIN ZOTERO_ITEM CSL_CITATION {"citationID":"a2alhtdqqbk","properties":{"formattedCitation":"[41, 42]","plainCitation":"[41, 42]","noteIndex":0},"citationItems":[{"id":216,"uris":["http://zotero.org/users/8787459/items/4VW63TDL"],"itemData":{"id":216,"type":"webpage","container-title":"https://onco.kz/news/pokazateli-onkologicheskoj-sluzhby-respubliki-kazahstan-za-2018-god-statisticheskie-i-analiticheskie-materialy/","title":"Показатели Онкологической службы Республики Казахстан за 2018 год (статистические и аналитические материалы)","URL":"https://onco.kz/news/pokazateli-onkologicheskoj-sluzhby-respubliki-kazahstan-za-2018-god-statisticheskie-i-analiticheskie-materialy/","author":[{"family":"Кайдарова Д.Р.","given":""},{"family":"Чингисова Ж.К.","given":""},{"family":"Шатковская О.В.","given":""},{"family":"Сейсенбаева Г.Т.","given":""},{"family":"Ажмагамбетова А.Е.","given":""},{"family":"Жылкайдарова А.Ж.","given":""},{"family":"Лаврентьева И.К.","given":""},{"family":"Саги М.С.","given":""}],"accessed":{"date-parts":[["2022",4,26]]}},"label":"page"},{"id":724,"uris":["http://zotero.org/users/8787459/items/79644R3N"],"itemData":{"id":724,"type":"article-journal","abstract":"Introduction/Background*According to Globocan 2020, ovarian cancer (OC) is the 11th most common cancer among women worldwide. It is more than 320,000 new cases of OC were registered each year and more than 200,000 deaths worldwide in 2020. To date, there are no recommended methods for screening of OC. More than 70 per cent of OC is detected in the late stages. In Kazakhstan (KZ), OC is the 3rd most common gynaecological cancer with the one of highest mortality rate in women. The proportion of OC among all cancers was 2.9% in 2020. The purpose of this study was to analyse OC incidence, mortality and survival for 15 years (2005-2020) in KZ.\nMethodology Incidence data, mortality statistics were sourced from the cancer registry database. All incidence and mortality rates were directly age-standardised to the World Standard Population. Data on survival were obtained from specific reports. We used Kaplan-Meier method to estimate cumulative observed survival. The statistical processing was carried out with SPSS 23.0 for Windows\nResult(s)*In KZ 14.125 new cases of OC have been diagnosed from 2005 to 2020. In the analysis of Standardized Incidence of OC, there is a stable rate for 10 years: 9.8 per 100,000 female population in 2005 and 10.0 per 100,000 female population in 2020. OC is found in all age groups and a noticeable increase in a group of 65-69 years. In the analysis of OC by stages is marked a decrease in the detection rate of the disease at the 4th stage for the period from 2005 to 2020, from 20 to 8.8%. Despite this, mortality from OC for ten years remains stable high and it is 4.6 per 100,000 female population in 2020. It is 7.458 women with OC who died from 2005 to 2020. Five-year relative survival for all stages of OC estimates of 20.3% (95%CI: 18.7-21.1).\nConclusion*Analysis of OC Incidence in KZ showed a stable rate. Despite the reduction in the detection of ovarian cancer at stage 4, mortality from this disease remains high. According to these results, Kazakhstan is among the counties with low five-year OC survival.","container-title":"International Journal of Gynecologic Cancer","DOI":"10.1136/ijgc-2021-ESGO.475","ISSN":"1048-891X, 1525-1438","issue":"Suppl 3","language":"en","license":"© IGCS and ESGO 2021. No commercial re-use. See rights and permissions. Published by BMJ.","note":"publisher: BMJ Specialist Journals\nsection: Ovarian cancer","source":"ijgc.bmj.com","title":"809 Ovarian cancer in Kazakhstan for 15 years (2005–2020)","URL":"https://ijgc.bmj.com/content/31/Suppl_3/A276.1","volume":"31","author":[{"family":"Kaidarova","given":"D."},{"family":"Bolatbekova","given":"R."},{"family":"Kukubassov","given":"Y."},{"family":"Sadykova","given":"T."},{"family":"Satanova","given":"A."},{"family":"Aidarov","given":"A."}],"accessed":{"date-parts":[["2022",7,13]]},"issued":{"date-parts":[["2021",10,1]]}},"label":"page"}],"schema":"https://github.com/citation-style-language/schema/raw/master/csl-citation.json"} </w:instrText>
      </w:r>
      <w:r w:rsidR="005C2294" w:rsidRPr="00A43B9C">
        <w:rPr>
          <w:rFonts w:ascii="Times New Roman" w:hAnsi="Times New Roman" w:cs="Times New Roman"/>
          <w:sz w:val="28"/>
          <w:szCs w:val="28"/>
        </w:rPr>
        <w:fldChar w:fldCharType="separate"/>
      </w:r>
      <w:r w:rsidR="00F6152F" w:rsidRPr="00F6152F">
        <w:rPr>
          <w:rFonts w:ascii="Times New Roman" w:hAnsi="Times New Roman" w:cs="Times New Roman"/>
          <w:sz w:val="28"/>
        </w:rPr>
        <w:t>[41, 42]</w:t>
      </w:r>
      <w:r w:rsidR="005C2294" w:rsidRPr="00A43B9C">
        <w:rPr>
          <w:rFonts w:ascii="Times New Roman" w:hAnsi="Times New Roman" w:cs="Times New Roman"/>
          <w:sz w:val="28"/>
          <w:szCs w:val="28"/>
        </w:rPr>
        <w:fldChar w:fldCharType="end"/>
      </w:r>
      <w:r w:rsidRPr="00A43B9C">
        <w:rPr>
          <w:rFonts w:ascii="Times New Roman" w:hAnsi="Times New Roman" w:cs="Times New Roman"/>
          <w:sz w:val="28"/>
          <w:szCs w:val="28"/>
        </w:rPr>
        <w:t>.</w:t>
      </w:r>
      <w:r w:rsidR="00D85264" w:rsidRPr="00A43B9C">
        <w:rPr>
          <w:rFonts w:ascii="Times New Roman" w:hAnsi="Times New Roman" w:cs="Times New Roman"/>
          <w:sz w:val="28"/>
          <w:szCs w:val="28"/>
        </w:rPr>
        <w:t xml:space="preserve"> </w:t>
      </w:r>
      <w:r w:rsidRPr="00A43B9C">
        <w:rPr>
          <w:rFonts w:ascii="Times New Roman" w:eastAsia="NewtonC" w:hAnsi="Times New Roman" w:cs="Times New Roman"/>
          <w:sz w:val="28"/>
          <w:szCs w:val="28"/>
        </w:rPr>
        <w:t xml:space="preserve">Показатели 5-летней выживаемости также не имеют тенденции к улучшению и варьируют от 89% для IА стадии до 13% для IV стадии заболевания. Низкие показатели выживаемости и неудовлетворительные результаты лечения объясняются поздней диагностикой, связанной с бессимптомным течением на ранних этапах развития опухоли. Но до настоящего времени проблемы по скринингу и ранней диагностике </w:t>
      </w:r>
      <w:r w:rsidR="00605B19">
        <w:rPr>
          <w:rFonts w:ascii="Times New Roman" w:eastAsia="NewtonC" w:hAnsi="Times New Roman" w:cs="Times New Roman"/>
          <w:sz w:val="28"/>
          <w:szCs w:val="28"/>
        </w:rPr>
        <w:t xml:space="preserve">эпителиального рака яичников </w:t>
      </w:r>
      <w:r w:rsidRPr="00A43B9C">
        <w:rPr>
          <w:rFonts w:ascii="Times New Roman" w:eastAsia="NewtonC" w:hAnsi="Times New Roman" w:cs="Times New Roman"/>
          <w:sz w:val="28"/>
          <w:szCs w:val="28"/>
        </w:rPr>
        <w:t xml:space="preserve">не увенчались успехом, и </w:t>
      </w:r>
      <w:r w:rsidRPr="00A43B9C">
        <w:rPr>
          <w:rFonts w:ascii="Times New Roman" w:eastAsia="NewtonC" w:hAnsi="Times New Roman" w:cs="Times New Roman"/>
          <w:sz w:val="28"/>
          <w:szCs w:val="28"/>
        </w:rPr>
        <w:lastRenderedPageBreak/>
        <w:t xml:space="preserve">первичная стадия диагностируется только у 20% пациенток. </w:t>
      </w:r>
      <w:r w:rsidRPr="00A43B9C">
        <w:rPr>
          <w:rFonts w:ascii="Times New Roman" w:hAnsi="Times New Roman" w:cs="Times New Roman"/>
          <w:sz w:val="28"/>
          <w:szCs w:val="28"/>
        </w:rPr>
        <w:t xml:space="preserve">Согласно данным статистики программы «Наблюдение, эпидемиология и конечные результаты» Национального института онкологии 2019 года для пациентов с </w:t>
      </w:r>
      <w:r w:rsidR="00605B19">
        <w:rPr>
          <w:rFonts w:ascii="Times New Roman" w:hAnsi="Times New Roman" w:cs="Times New Roman"/>
          <w:sz w:val="28"/>
          <w:szCs w:val="28"/>
        </w:rPr>
        <w:t xml:space="preserve">раком яичников </w:t>
      </w:r>
      <w:r w:rsidRPr="00A43B9C">
        <w:rPr>
          <w:rFonts w:ascii="Times New Roman" w:hAnsi="Times New Roman" w:cs="Times New Roman"/>
          <w:sz w:val="28"/>
          <w:szCs w:val="28"/>
        </w:rPr>
        <w:t>5-летняя выживаемость за 2009-2015 годы составила 47,6%, число новых случаев за 2019 г. составило 22</w:t>
      </w:r>
      <w:r w:rsidR="003E35F6" w:rsidRPr="008D0A7E">
        <w:rPr>
          <w:rFonts w:ascii="Times New Roman" w:hAnsi="Times New Roman" w:cs="Times New Roman"/>
          <w:sz w:val="28"/>
          <w:szCs w:val="28"/>
        </w:rPr>
        <w:t xml:space="preserve"> </w:t>
      </w:r>
      <w:r w:rsidRPr="00A43B9C">
        <w:rPr>
          <w:rFonts w:ascii="Times New Roman" w:hAnsi="Times New Roman" w:cs="Times New Roman"/>
          <w:sz w:val="28"/>
          <w:szCs w:val="28"/>
        </w:rPr>
        <w:t>530 (1,3%), число смертей за аналогичный период составило 13</w:t>
      </w:r>
      <w:r w:rsidR="003E35F6" w:rsidRPr="008D0A7E">
        <w:rPr>
          <w:rFonts w:ascii="Times New Roman" w:hAnsi="Times New Roman" w:cs="Times New Roman"/>
          <w:sz w:val="28"/>
          <w:szCs w:val="28"/>
        </w:rPr>
        <w:t xml:space="preserve"> </w:t>
      </w:r>
      <w:r w:rsidRPr="00A43B9C">
        <w:rPr>
          <w:rFonts w:ascii="Times New Roman" w:hAnsi="Times New Roman" w:cs="Times New Roman"/>
          <w:sz w:val="28"/>
          <w:szCs w:val="28"/>
        </w:rPr>
        <w:t xml:space="preserve">980 (2,3%) </w:t>
      </w:r>
      <w:r w:rsidRPr="00A43B9C">
        <w:rPr>
          <w:rFonts w:ascii="Times New Roman" w:hAnsi="Times New Roman" w:cs="Times New Roman"/>
          <w:sz w:val="28"/>
          <w:szCs w:val="28"/>
        </w:rPr>
        <w:fldChar w:fldCharType="begin"/>
      </w:r>
      <w:r w:rsidR="00F6152F">
        <w:rPr>
          <w:rFonts w:ascii="Times New Roman" w:hAnsi="Times New Roman" w:cs="Times New Roman"/>
          <w:sz w:val="28"/>
          <w:szCs w:val="28"/>
        </w:rPr>
        <w:instrText xml:space="preserve"> ADDIN ZOTERO_ITEM CSL_CITATION {"citationID":"wRDyTvwD","properties":{"formattedCitation":"[43]","plainCitation":"[43]","noteIndex":0},"citationItems":[{"id":218,"uris":["http://zotero.org/users/8787459/items/8UHISBDQ"],"itemData":{"id":218,"type":"webpage","title":"Ovarian Cancer — Cancer Stat Facts","URL":"https://seer.cancer.gov/statfacts/html/ovary.html","accessed":{"date-parts":[["2022",4,26]]}}}],"schema":"https://github.com/citation-style-language/schema/raw/master/csl-citation.json"} </w:instrText>
      </w:r>
      <w:r w:rsidRPr="00A43B9C">
        <w:rPr>
          <w:rFonts w:ascii="Times New Roman" w:hAnsi="Times New Roman" w:cs="Times New Roman"/>
          <w:sz w:val="28"/>
          <w:szCs w:val="28"/>
        </w:rPr>
        <w:fldChar w:fldCharType="separate"/>
      </w:r>
      <w:r w:rsidR="00F6152F" w:rsidRPr="00F6152F">
        <w:rPr>
          <w:rFonts w:ascii="Times New Roman" w:hAnsi="Times New Roman" w:cs="Times New Roman"/>
          <w:sz w:val="28"/>
        </w:rPr>
        <w:t>[43]</w:t>
      </w:r>
      <w:r w:rsidRPr="00A43B9C">
        <w:rPr>
          <w:rFonts w:ascii="Times New Roman" w:hAnsi="Times New Roman" w:cs="Times New Roman"/>
          <w:sz w:val="28"/>
          <w:szCs w:val="28"/>
        </w:rPr>
        <w:fldChar w:fldCharType="end"/>
      </w:r>
      <w:r w:rsidRPr="00A43B9C">
        <w:rPr>
          <w:rFonts w:ascii="Times New Roman" w:hAnsi="Times New Roman" w:cs="Times New Roman"/>
          <w:sz w:val="28"/>
          <w:szCs w:val="28"/>
        </w:rPr>
        <w:t>.</w:t>
      </w:r>
    </w:p>
    <w:p w14:paraId="69A56EAB" w14:textId="21ED9A74" w:rsidR="00FF1D30" w:rsidRPr="00DC209B"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Несмотря на обобщающее название, термин «колоректальный рак» представляет собой топографическое понятие и включает в себя рак ободочной и прямой кишки.</w:t>
      </w:r>
      <w:r w:rsidR="00613E21" w:rsidRPr="00A43B9C">
        <w:rPr>
          <w:rFonts w:ascii="Times New Roman" w:eastAsia="Times New Roman" w:hAnsi="Times New Roman" w:cs="Times New Roman"/>
          <w:sz w:val="28"/>
          <w:szCs w:val="28"/>
          <w:lang w:eastAsia="ru-RU"/>
        </w:rPr>
        <w:t xml:space="preserve"> </w:t>
      </w:r>
      <w:r w:rsidRPr="00A43B9C">
        <w:rPr>
          <w:rFonts w:ascii="Times New Roman" w:eastAsia="Newton-Regular" w:hAnsi="Times New Roman" w:cs="Times New Roman"/>
          <w:sz w:val="28"/>
          <w:szCs w:val="28"/>
        </w:rPr>
        <w:t>К</w:t>
      </w:r>
      <w:r w:rsidR="00605B19">
        <w:rPr>
          <w:rFonts w:ascii="Times New Roman" w:eastAsia="Newton-Regular" w:hAnsi="Times New Roman" w:cs="Times New Roman"/>
          <w:sz w:val="28"/>
          <w:szCs w:val="28"/>
        </w:rPr>
        <w:t xml:space="preserve">олоректальный рак </w:t>
      </w:r>
      <w:r w:rsidRPr="00A43B9C">
        <w:rPr>
          <w:rFonts w:ascii="Times New Roman" w:eastAsia="Newton-Regular" w:hAnsi="Times New Roman" w:cs="Times New Roman"/>
          <w:sz w:val="28"/>
          <w:szCs w:val="28"/>
        </w:rPr>
        <w:t xml:space="preserve">в настоящее время </w:t>
      </w:r>
      <w:r w:rsidR="00D77A61" w:rsidRPr="00A43B9C">
        <w:rPr>
          <w:rFonts w:ascii="Times New Roman" w:eastAsia="Newton-Regular" w:hAnsi="Times New Roman" w:cs="Times New Roman"/>
          <w:sz w:val="28"/>
          <w:szCs w:val="28"/>
        </w:rPr>
        <w:t xml:space="preserve">является третьим </w:t>
      </w:r>
      <w:r w:rsidRPr="00A43B9C">
        <w:rPr>
          <w:rFonts w:ascii="Times New Roman" w:eastAsia="Newton-Regular" w:hAnsi="Times New Roman" w:cs="Times New Roman"/>
          <w:sz w:val="28"/>
          <w:szCs w:val="28"/>
        </w:rPr>
        <w:t xml:space="preserve">по распространенности в общемировом масштабе (и второй — у мужчин). Кроме того, в последние годы отмечается неуклонное повышение уровня заболеваемости в развитых странах вследствие увеличения продолжительности жизни населения, возрастания влияния общепопуляционных факторов риска и улучшения выявляемости рака за счет внедрения </w:t>
      </w:r>
      <w:r w:rsidRPr="00DC209B">
        <w:rPr>
          <w:rFonts w:ascii="Times New Roman" w:eastAsia="Newton-Regular" w:hAnsi="Times New Roman" w:cs="Times New Roman"/>
          <w:sz w:val="28"/>
          <w:szCs w:val="28"/>
        </w:rPr>
        <w:t xml:space="preserve">скрининговых программ </w:t>
      </w:r>
      <w:r w:rsidRPr="00DC209B">
        <w:rPr>
          <w:rFonts w:ascii="Times New Roman" w:eastAsia="Newton-Regular" w:hAnsi="Times New Roman" w:cs="Times New Roman"/>
          <w:sz w:val="28"/>
          <w:szCs w:val="28"/>
        </w:rPr>
        <w:fldChar w:fldCharType="begin"/>
      </w:r>
      <w:r w:rsidR="00F6152F" w:rsidRPr="00DC209B">
        <w:rPr>
          <w:rFonts w:ascii="Times New Roman" w:eastAsia="Newton-Regular" w:hAnsi="Times New Roman" w:cs="Times New Roman"/>
          <w:sz w:val="28"/>
          <w:szCs w:val="28"/>
        </w:rPr>
        <w:instrText xml:space="preserve"> ADDIN ZOTERO_ITEM CSL_CITATION {"citationID":"TYCvjLuC","properties":{"formattedCitation":"[4, 44, 45]","plainCitation":"[4, 44, 45]","noteIndex":0},"citationItems":[{"id":231,"uris":["http://zotero.org/users/8787459/items/LYA9L6NE"],"itemData":{"id":231,"type":"article-journal","abstract":"Colorectal cancer (CRC) is one of the most common malignancies in the United States. Every 3 years, the American Cancer Society provides an update of CRC incidence, survival, and mortality rates and trends. Incidence data through 2013 were provided by the Surveillance, Epidemiology, and End Results program, the National Program of Cancer Registries, and the North American Association of Central Cancer Registries. Mortality data through 2014 were provided by the National Center for Health Statistics. CRC incidence rates are highest in Alaska Natives and blacks and lowest in Asian/Pacific Islanders, and they are 30% to 40% higher in men than in women. Recent temporal patterns are generally similar by race and sex, but differ by age. Between 2000 and 2013, incidence rates in adults aged ≥50 years declined by 32%, with the drop largest for distal tumors in people aged ≥65 years (incidence rate ratio [IRR], 0.50; 95% confidence interval [95% CI], 0.48-0.52) and smallest for rectal tumors in ages 50 to 64 years (male IRR, 0.91; 95% CI, 0.85-0.96; female IRR, 1.00; 95% CI, 0.93-1.08). Overall CRC incidence in individuals ages ≥50 years declined from 2009 to 2013 in every state except Arkansas, with the decrease exceeding 5% annually in 7 states; however, rectal tumor incidence in those ages 50 to 64 years was stable in most states. Among adults aged &lt;50 years, CRC incidence rates increased by 22% from 2000 to 2013, driven solely by tumors in the distal colon (IRR, 1.24; 95% CI, 1.13-1.35) and rectum (IRR, 1.22; 95% CI, 1.13-1.31). Similar to incidence patterns, CRC death rates decreased by 34% among individuals aged ≥50 years during 2000 through 2014, but increased by 13% in those aged &lt;50 years. Progress against CRC can be accelerated by increasing initiation of screening at age 50 years (average risk) or earlier (eg, family history of CRC/advanced adenomas) and eliminating disparities in high-quality treatment. In addition, research is needed to elucidate causes for increasing CRC in young adults. CA Cancer J Clin 2017. © 2017 American Cancer Society. CA Cancer J Clin 2017;67:177–193. © 2017 American Cancer Society.","container-title":"CA: A Cancer Journal for Clinicians","DOI":"10.3322/caac.21395","ISSN":"1542-4863","issue":"3","language":"en","note":"_eprint: https://onlinelibrary.wiley.com/doi/pdf/10.3322/caac.21395","page":"177-193","source":"Wiley Online Library","title":"Colorectal cancer statistics, 2017","volume":"67","author":[{"family":"Siegel","given":"Rebecca L."},{"family":"Miller","given":"Kimberly D."},{"family":"Fedewa","given":"Stacey A."},{"family":"Ahnen","given":"Dennis J."},{"family":"Meester","given":"Reinier G. S."},{"family":"Barzi","given":"Afsaneh"},{"family":"Jemal","given":"Ahmedin"}],"issued":{"date-parts":[["2017"]]}},"label":"page"},{"id":226,"uris":["http://zotero.org/users/8787459/items/PK35LSRF"],"itemData":{"id":226,"type":"webpage","title":"Colorectal cancer | Nature Reviews Disease Primers","title-short":"Colorectal cancer","URL":"https://www.nature.com/articles/nrdp201565","author":[{"family":"Ernst J. Kuipers","given":""},{"family":"William M. Grady","given":""},{"family":"David Lieberman","given":""},{"family":"Thomas Seufferlein","given":""},{"family":"Joseph J. Sung","given":""},{"family":"Petra G. Boelens","given":""},{"family":"Cornelis J. H. van de Velde","given":""},{"family":"Toshiaki Watanabe","given":""}],"accessed":{"date-parts":[["2022",4,26]]},"issued":{"date-parts":[["2015",11,5]]}},"label":"page"},{"id":228,"uris":["http://zotero.org/users/8787459/items/732GJEHX"],"itemData":{"id":228,"type":"webpage","title":"Colorectal cancer statistics, 2014 - Siegel - 2014 - CA: A Cancer Journal for Clinicians - Wiley Online Library","URL":"https://acsjournals.onlinelibrary.wiley.com/doi/full/10.3322/caac.21220","accessed":{"date-parts":[["2022",4,26]]}},"label":"page"}],"schema":"https://github.com/citation-style-language/schema/raw/master/csl-citation.json"} </w:instrText>
      </w:r>
      <w:r w:rsidRPr="00DC209B">
        <w:rPr>
          <w:rFonts w:ascii="Times New Roman" w:eastAsia="Newton-Regular" w:hAnsi="Times New Roman" w:cs="Times New Roman"/>
          <w:sz w:val="28"/>
          <w:szCs w:val="28"/>
        </w:rPr>
        <w:fldChar w:fldCharType="separate"/>
      </w:r>
      <w:r w:rsidR="00F6152F" w:rsidRPr="00DC209B">
        <w:rPr>
          <w:rFonts w:ascii="Times New Roman" w:hAnsi="Times New Roman" w:cs="Times New Roman"/>
          <w:sz w:val="28"/>
        </w:rPr>
        <w:t>[44, 45]</w:t>
      </w:r>
      <w:r w:rsidRPr="00DC209B">
        <w:rPr>
          <w:rFonts w:ascii="Times New Roman" w:eastAsia="Newton-Regular" w:hAnsi="Times New Roman" w:cs="Times New Roman"/>
          <w:sz w:val="28"/>
          <w:szCs w:val="28"/>
        </w:rPr>
        <w:fldChar w:fldCharType="end"/>
      </w:r>
      <w:r w:rsidRPr="00DC209B">
        <w:rPr>
          <w:rFonts w:ascii="Times New Roman" w:eastAsia="Newton-Regular" w:hAnsi="Times New Roman" w:cs="Times New Roman"/>
          <w:sz w:val="28"/>
          <w:szCs w:val="28"/>
        </w:rPr>
        <w:t>.</w:t>
      </w:r>
      <w:r w:rsidR="00D85264" w:rsidRPr="00DC209B">
        <w:rPr>
          <w:rFonts w:ascii="Times New Roman" w:eastAsia="Newton-Regular" w:hAnsi="Times New Roman" w:cs="Times New Roman"/>
          <w:sz w:val="28"/>
          <w:szCs w:val="28"/>
        </w:rPr>
        <w:t xml:space="preserve"> </w:t>
      </w:r>
      <w:r w:rsidRPr="00DC209B">
        <w:rPr>
          <w:rFonts w:ascii="Times New Roman" w:eastAsia="Times New Roman" w:hAnsi="Times New Roman" w:cs="Times New Roman"/>
          <w:sz w:val="28"/>
          <w:szCs w:val="28"/>
          <w:lang w:eastAsia="ru-RU"/>
        </w:rPr>
        <w:t xml:space="preserve">Заболеваемость </w:t>
      </w:r>
      <w:r w:rsidR="00605B19" w:rsidRPr="00DC209B">
        <w:rPr>
          <w:rFonts w:ascii="Times New Roman" w:eastAsia="Times New Roman" w:hAnsi="Times New Roman" w:cs="Times New Roman"/>
          <w:sz w:val="28"/>
          <w:szCs w:val="28"/>
          <w:lang w:eastAsia="ru-RU"/>
        </w:rPr>
        <w:t xml:space="preserve">колоректальным раком </w:t>
      </w:r>
      <w:r w:rsidRPr="00DC209B">
        <w:rPr>
          <w:rFonts w:ascii="Times New Roman" w:eastAsia="Times New Roman" w:hAnsi="Times New Roman" w:cs="Times New Roman"/>
          <w:sz w:val="28"/>
          <w:szCs w:val="28"/>
          <w:lang w:eastAsia="ru-RU"/>
        </w:rPr>
        <w:t xml:space="preserve">и ее динамика в конкретной стране является маркерами индекса человеческого развития: заболеваемость и смертность растут во многих странах, находящихся в состоянии перехода </w:t>
      </w:r>
      <w:r w:rsidRPr="00A43B9C">
        <w:rPr>
          <w:rFonts w:ascii="Times New Roman" w:eastAsia="Times New Roman" w:hAnsi="Times New Roman" w:cs="Times New Roman"/>
          <w:sz w:val="28"/>
          <w:szCs w:val="28"/>
          <w:lang w:eastAsia="ru-RU"/>
        </w:rPr>
        <w:t>к более высокому уровню социально-экономического развития. В противовес этому, эти тенденции стабилизируются или даже снижаются в странах, достигших наивысшего уровня человеческого развития.</w:t>
      </w:r>
      <w:r w:rsidR="00D85264"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kk-KZ" w:eastAsia="ru-RU"/>
        </w:rPr>
        <w:t xml:space="preserve">По данным Международного агентства по изучению </w:t>
      </w:r>
      <w:r w:rsidRPr="00A43B9C">
        <w:rPr>
          <w:rFonts w:ascii="Times New Roman" w:hAnsi="Times New Roman" w:cs="Times New Roman"/>
          <w:sz w:val="28"/>
          <w:szCs w:val="28"/>
        </w:rPr>
        <w:t>исследований рака (</w:t>
      </w:r>
      <w:r w:rsidR="004B6A18" w:rsidRPr="00A43B9C">
        <w:rPr>
          <w:rFonts w:ascii="Times New Roman" w:eastAsia="MinionPro-Regular" w:hAnsi="Times New Roman" w:cs="Times New Roman"/>
          <w:sz w:val="28"/>
          <w:szCs w:val="28"/>
          <w:lang w:val="en-US"/>
        </w:rPr>
        <w:t>IARC</w:t>
      </w:r>
      <w:r w:rsidRPr="00A43B9C">
        <w:rPr>
          <w:rFonts w:ascii="Times New Roman" w:hAnsi="Times New Roman" w:cs="Times New Roman"/>
          <w:sz w:val="28"/>
          <w:szCs w:val="28"/>
        </w:rPr>
        <w:t>)</w:t>
      </w:r>
      <w:r w:rsidRPr="00A43B9C">
        <w:rPr>
          <w:rFonts w:ascii="Times New Roman" w:eastAsia="Times New Roman" w:hAnsi="Times New Roman" w:cs="Times New Roman"/>
          <w:sz w:val="28"/>
          <w:szCs w:val="28"/>
          <w:lang w:val="kk-KZ" w:eastAsia="ru-RU"/>
        </w:rPr>
        <w:t xml:space="preserve">, </w:t>
      </w:r>
      <w:r w:rsidR="00605B19">
        <w:rPr>
          <w:rFonts w:ascii="Times New Roman" w:eastAsia="Times New Roman" w:hAnsi="Times New Roman" w:cs="Times New Roman"/>
          <w:sz w:val="28"/>
          <w:szCs w:val="28"/>
          <w:lang w:val="kk-KZ" w:eastAsia="ru-RU"/>
        </w:rPr>
        <w:t xml:space="preserve">колоректальный рак </w:t>
      </w:r>
      <w:r w:rsidRPr="00A43B9C">
        <w:rPr>
          <w:rFonts w:ascii="Times New Roman" w:eastAsia="Times New Roman" w:hAnsi="Times New Roman" w:cs="Times New Roman"/>
          <w:sz w:val="28"/>
          <w:szCs w:val="28"/>
          <w:lang w:val="kk-KZ" w:eastAsia="ru-RU"/>
        </w:rPr>
        <w:t>в мире занимает 2-е место среди всех злокачественных новообразований; в 20</w:t>
      </w:r>
      <w:r w:rsidRPr="00A43B9C">
        <w:rPr>
          <w:rFonts w:ascii="Times New Roman" w:eastAsia="Times New Roman" w:hAnsi="Times New Roman" w:cs="Times New Roman"/>
          <w:sz w:val="28"/>
          <w:szCs w:val="28"/>
          <w:lang w:eastAsia="ru-RU"/>
        </w:rPr>
        <w:t>20</w:t>
      </w:r>
      <w:r w:rsidRPr="00A43B9C">
        <w:rPr>
          <w:rFonts w:ascii="Times New Roman" w:eastAsia="Times New Roman" w:hAnsi="Times New Roman" w:cs="Times New Roman"/>
          <w:sz w:val="28"/>
          <w:szCs w:val="28"/>
          <w:lang w:val="kk-KZ" w:eastAsia="ru-RU"/>
        </w:rPr>
        <w:t xml:space="preserve"> году оценочные статистические показатели составили: </w:t>
      </w:r>
      <w:r w:rsidRPr="00A43B9C">
        <w:rPr>
          <w:rFonts w:ascii="Times New Roman" w:eastAsia="Times New Roman" w:hAnsi="Times New Roman" w:cs="Times New Roman"/>
          <w:sz w:val="28"/>
          <w:szCs w:val="28"/>
          <w:lang w:eastAsia="ru-RU"/>
        </w:rPr>
        <w:t xml:space="preserve">1,9 млн </w:t>
      </w:r>
      <w:r w:rsidRPr="00A43B9C">
        <w:rPr>
          <w:rFonts w:ascii="Times New Roman" w:eastAsia="Times New Roman" w:hAnsi="Times New Roman" w:cs="Times New Roman"/>
          <w:sz w:val="28"/>
          <w:szCs w:val="28"/>
          <w:lang w:val="kk-KZ" w:eastAsia="ru-RU"/>
        </w:rPr>
        <w:t xml:space="preserve">новых случаев </w:t>
      </w:r>
      <w:r w:rsidR="00605B19">
        <w:rPr>
          <w:rFonts w:ascii="Times New Roman" w:eastAsia="Times New Roman" w:hAnsi="Times New Roman" w:cs="Times New Roman"/>
          <w:sz w:val="28"/>
          <w:szCs w:val="28"/>
          <w:lang w:val="kk-KZ" w:eastAsia="ru-RU"/>
        </w:rPr>
        <w:t>колоректального рака</w:t>
      </w:r>
      <w:r w:rsidRPr="00A43B9C">
        <w:rPr>
          <w:rFonts w:ascii="Times New Roman" w:eastAsia="Times New Roman" w:hAnsi="Times New Roman" w:cs="Times New Roman"/>
          <w:sz w:val="28"/>
          <w:szCs w:val="28"/>
          <w:lang w:val="kk-KZ" w:eastAsia="ru-RU"/>
        </w:rPr>
        <w:t xml:space="preserve">, что составляет 10% от всех злокачественных опухолей, </w:t>
      </w:r>
      <w:r w:rsidR="00613E21" w:rsidRPr="00A43B9C">
        <w:rPr>
          <w:rFonts w:ascii="Times New Roman" w:eastAsia="Times New Roman" w:hAnsi="Times New Roman" w:cs="Times New Roman"/>
          <w:sz w:val="28"/>
          <w:szCs w:val="28"/>
          <w:lang w:val="kk-KZ" w:eastAsia="ru-RU"/>
        </w:rPr>
        <w:t xml:space="preserve">а </w:t>
      </w:r>
      <w:r w:rsidRPr="00A43B9C">
        <w:rPr>
          <w:rFonts w:ascii="Times New Roman" w:eastAsia="Times New Roman" w:hAnsi="Times New Roman" w:cs="Times New Roman"/>
          <w:sz w:val="28"/>
          <w:szCs w:val="28"/>
          <w:lang w:val="kk-KZ" w:eastAsia="ru-RU"/>
        </w:rPr>
        <w:t xml:space="preserve">по показателям смертности </w:t>
      </w:r>
      <w:r w:rsidR="00613E21" w:rsidRPr="00A43B9C">
        <w:rPr>
          <w:rFonts w:ascii="Times New Roman" w:eastAsia="Times New Roman" w:hAnsi="Times New Roman" w:cs="Times New Roman"/>
          <w:sz w:val="28"/>
          <w:szCs w:val="28"/>
          <w:lang w:val="kk-KZ" w:eastAsia="ru-RU"/>
        </w:rPr>
        <w:t xml:space="preserve">- </w:t>
      </w:r>
      <w:r w:rsidRPr="00A43B9C">
        <w:rPr>
          <w:rFonts w:ascii="Times New Roman" w:eastAsia="Times New Roman" w:hAnsi="Times New Roman" w:cs="Times New Roman"/>
          <w:sz w:val="28"/>
          <w:szCs w:val="28"/>
          <w:lang w:val="kk-KZ" w:eastAsia="ru-RU"/>
        </w:rPr>
        <w:t>935 173 (9,4%) случаев.</w:t>
      </w:r>
      <w:r w:rsidR="00D818BB" w:rsidRPr="00A43B9C">
        <w:rPr>
          <w:rFonts w:ascii="Times New Roman" w:eastAsia="Times New Roman" w:hAnsi="Times New Roman" w:cs="Times New Roman"/>
          <w:sz w:val="28"/>
          <w:szCs w:val="28"/>
          <w:lang w:eastAsia="ru-RU"/>
        </w:rPr>
        <w:t xml:space="preserve"> По данным </w:t>
      </w:r>
      <w:r w:rsidR="003E35F6" w:rsidRPr="00A43B9C">
        <w:rPr>
          <w:rFonts w:ascii="Times New Roman" w:eastAsia="Times New Roman" w:hAnsi="Times New Roman" w:cs="Times New Roman"/>
          <w:sz w:val="28"/>
          <w:szCs w:val="28"/>
          <w:lang w:eastAsia="ru-RU"/>
        </w:rPr>
        <w:t>совместн</w:t>
      </w:r>
      <w:r w:rsidR="003E35F6">
        <w:rPr>
          <w:rFonts w:ascii="Times New Roman" w:eastAsia="Times New Roman" w:hAnsi="Times New Roman" w:cs="Times New Roman"/>
          <w:sz w:val="28"/>
          <w:szCs w:val="28"/>
          <w:lang w:eastAsia="ru-RU"/>
        </w:rPr>
        <w:t>ого</w:t>
      </w:r>
      <w:r w:rsidR="003E35F6" w:rsidRPr="00A43B9C">
        <w:rPr>
          <w:rFonts w:ascii="Times New Roman" w:eastAsia="Times New Roman" w:hAnsi="Times New Roman" w:cs="Times New Roman"/>
          <w:sz w:val="28"/>
          <w:szCs w:val="28"/>
          <w:lang w:eastAsia="ru-RU"/>
        </w:rPr>
        <w:t xml:space="preserve"> проект</w:t>
      </w:r>
      <w:r w:rsidR="003E35F6">
        <w:rPr>
          <w:rFonts w:ascii="Times New Roman" w:eastAsia="Times New Roman" w:hAnsi="Times New Roman" w:cs="Times New Roman"/>
          <w:sz w:val="28"/>
          <w:szCs w:val="28"/>
          <w:lang w:eastAsia="ru-RU"/>
        </w:rPr>
        <w:t>а</w:t>
      </w:r>
      <w:r w:rsidR="003E35F6" w:rsidRPr="00A43B9C">
        <w:rPr>
          <w:rFonts w:ascii="Times New Roman" w:eastAsia="Times New Roman" w:hAnsi="Times New Roman" w:cs="Times New Roman"/>
          <w:sz w:val="28"/>
          <w:szCs w:val="28"/>
          <w:lang w:eastAsia="ru-RU"/>
        </w:rPr>
        <w:t xml:space="preserve"> Всемирной организации здравоохранения и международного агентства по изучению рака по сбору и анализу данных об онкологических заболеваниях в мире</w:t>
      </w:r>
      <w:r w:rsidR="003E35F6">
        <w:rPr>
          <w:rFonts w:ascii="Times New Roman" w:eastAsia="Times New Roman" w:hAnsi="Times New Roman" w:cs="Times New Roman"/>
          <w:sz w:val="28"/>
          <w:szCs w:val="28"/>
          <w:lang w:eastAsia="ru-RU"/>
        </w:rPr>
        <w:t xml:space="preserve"> (</w:t>
      </w:r>
      <w:r w:rsidR="00D818BB" w:rsidRPr="00A43B9C">
        <w:rPr>
          <w:rFonts w:ascii="Times New Roman" w:eastAsia="Times New Roman" w:hAnsi="Times New Roman" w:cs="Times New Roman"/>
          <w:sz w:val="28"/>
          <w:szCs w:val="28"/>
          <w:lang w:val="en-US" w:eastAsia="ru-RU"/>
        </w:rPr>
        <w:t>GLOBOCAN</w:t>
      </w:r>
      <w:r w:rsidR="003E35F6">
        <w:rPr>
          <w:rFonts w:ascii="Times New Roman" w:eastAsia="Times New Roman" w:hAnsi="Times New Roman" w:cs="Times New Roman"/>
          <w:sz w:val="28"/>
          <w:szCs w:val="28"/>
          <w:lang w:eastAsia="ru-RU"/>
        </w:rPr>
        <w:t>)</w:t>
      </w:r>
      <w:r w:rsidR="00D818BB" w:rsidRPr="00A43B9C">
        <w:rPr>
          <w:rFonts w:ascii="Times New Roman" w:eastAsia="Times New Roman" w:hAnsi="Times New Roman" w:cs="Times New Roman"/>
          <w:sz w:val="28"/>
          <w:szCs w:val="28"/>
          <w:lang w:eastAsia="ru-RU"/>
        </w:rPr>
        <w:t xml:space="preserve"> 2018, РК имеет самые высокие показатели заболеваемости и смертности от </w:t>
      </w:r>
      <w:r w:rsidR="00605B19">
        <w:rPr>
          <w:rFonts w:ascii="Times New Roman" w:eastAsia="Times New Roman" w:hAnsi="Times New Roman" w:cs="Times New Roman"/>
          <w:sz w:val="28"/>
          <w:szCs w:val="28"/>
          <w:lang w:eastAsia="ru-RU"/>
        </w:rPr>
        <w:t>колоректального рака</w:t>
      </w:r>
      <w:r w:rsidR="00D818BB" w:rsidRPr="00A43B9C">
        <w:rPr>
          <w:rFonts w:ascii="Times New Roman" w:eastAsia="Times New Roman" w:hAnsi="Times New Roman" w:cs="Times New Roman"/>
          <w:sz w:val="28"/>
          <w:szCs w:val="28"/>
          <w:lang w:eastAsia="ru-RU"/>
        </w:rPr>
        <w:t xml:space="preserve"> среди стран Центральной Азии с наиболее высокой заболеваемостью и является третьей наиболее частой причиной онкологической смерти в РК. При этом за последние десять лет увеличилась, а показатели ежегодной летальности около 1500 человек стало основанием внедрения государственной программы скрининга </w:t>
      </w:r>
      <w:r w:rsidR="00773AAD">
        <w:rPr>
          <w:rFonts w:ascii="Times New Roman" w:eastAsia="Times New Roman" w:hAnsi="Times New Roman" w:cs="Times New Roman"/>
          <w:sz w:val="28"/>
          <w:szCs w:val="28"/>
          <w:lang w:eastAsia="ru-RU"/>
        </w:rPr>
        <w:t xml:space="preserve">колоректального рака </w:t>
      </w:r>
      <w:r w:rsidR="00D818BB" w:rsidRPr="00DC209B">
        <w:rPr>
          <w:rFonts w:ascii="Times New Roman" w:eastAsia="Times New Roman" w:hAnsi="Times New Roman" w:cs="Times New Roman"/>
          <w:sz w:val="28"/>
          <w:szCs w:val="28"/>
          <w:lang w:eastAsia="ru-RU"/>
        </w:rPr>
        <w:t xml:space="preserve">в РК в 2011 году </w:t>
      </w:r>
      <w:r w:rsidR="00D818BB" w:rsidRPr="00DC209B">
        <w:rPr>
          <w:rFonts w:ascii="Times New Roman" w:eastAsia="Times New Roman" w:hAnsi="Times New Roman" w:cs="Times New Roman"/>
          <w:sz w:val="28"/>
          <w:szCs w:val="28"/>
          <w:lang w:eastAsia="ru-RU"/>
        </w:rPr>
        <w:fldChar w:fldCharType="begin"/>
      </w:r>
      <w:r w:rsidR="00F6152F" w:rsidRPr="00DC209B">
        <w:rPr>
          <w:rFonts w:ascii="Times New Roman" w:eastAsia="Times New Roman" w:hAnsi="Times New Roman" w:cs="Times New Roman"/>
          <w:sz w:val="28"/>
          <w:szCs w:val="28"/>
          <w:lang w:eastAsia="ru-RU"/>
        </w:rPr>
        <w:instrText xml:space="preserve"> ADDIN ZOTERO_ITEM CSL_CITATION {"citationID":"a2861bg8usj","properties":{"formattedCitation":"[39]","plainCitation":"[39]","noteIndex":0},"citationItems":[{"id":209,"uris":["http://zotero.org/users/8787459/items/8X2F9UG7"],"itemData":{"id":209,"type":"article-journal","abstract":"This article provides a status report on the global burden of cancer worldwide using the GLOBOCAN 2018 estimates of cancer incidence and mortality produced by the International Agency for Research on Cancer, with a focus on geographic variability across 20 world regions. There will be an estimated 18.1 million new cancer cases (17.0 million excluding nonmelanoma skin cancer) and 9.6 million cancer deaths (9.5 million excluding nonmelanoma skin cancer) in 2018. In both sexes combined, lung cancer is the most commonly diagnosed cancer (11.6% of the total cases) and the leading cause of cancer death (18.4% of the total cancer deaths), closely followed by female breast cancer (11.6%), prostate cancer (7.1%), and colorectal cancer (6.1%) for incidence and colorectal cancer (9.2%), stomach cancer (8.2%), and liver cancer (8.2%) for mortality. Lung cancer is the most frequent cancer and the leading cause of cancer death among males, followed by prostate and colorectal cancer (for incidence) and liver and stomach cancer (for mortality). Among females, breast cancer is the most commonly diagnosed cancer and the leading cause of cancer death, followed by colorectal and lung cancer (for incidence), and vice versa (for mortality); cervical cancer ranks fourth for both incidence and mortality. The most frequently diagnosed cancer and the leading cause of cancer death, however, substantially vary across countries and within each country depending on the degree of economic development and associated social and life style factors. It is noteworthy that high-quality cancer registry data, the basis for planning and implementing evidence-based cancer control programs, are not available in most low- and middle-income countries. The Global Initiative for Cancer Registry Development is an international partnership that supports better estimation, as well as the collection and use of local data, to prioritize and evaluate national cancer control efforts. CA: A Cancer Journal for Clinicians 2018;0:1-31. © 2018 American Cancer Society","container-title":"CA: A Cancer Journal for Clinicians","DOI":"10.3322/caac.21492","ISSN":"1542-4863","issue":"6","language":"en","note":"_eprint: https://onlinelibrary.wiley.com/doi/pdf/10.3322/caac.21492","page":"394-424","source":"Wiley Online Library","title":"Global cancer statistics 2018: GLOBOCAN estimates of incidence and mortality worldwide for 36 cancers in 185 countries","title-short":"Global cancer statistics 2018","volume":"68","author":[{"family":"Bray","given":"Freddie"},{"family":"Ferlay","given":"Jacques"},{"family":"Soerjomataram","given":"Isabelle"},{"family":"Siegel","given":"Rebecca L."},{"family":"Torre","given":"Lindsey A."},{"family":"Jemal","given":"Ahmedin"}],"issued":{"date-parts":[["2018"]]}}}],"schema":"https://github.com/citation-style-language/schema/raw/master/csl-citation.json"} </w:instrText>
      </w:r>
      <w:r w:rsidR="00D818BB" w:rsidRPr="00DC209B">
        <w:rPr>
          <w:rFonts w:ascii="Times New Roman" w:eastAsia="Times New Roman" w:hAnsi="Times New Roman" w:cs="Times New Roman"/>
          <w:sz w:val="28"/>
          <w:szCs w:val="28"/>
          <w:lang w:eastAsia="ru-RU"/>
        </w:rPr>
        <w:fldChar w:fldCharType="separate"/>
      </w:r>
      <w:r w:rsidR="00F6152F" w:rsidRPr="00DC209B">
        <w:rPr>
          <w:rFonts w:ascii="Times New Roman" w:hAnsi="Times New Roman" w:cs="Times New Roman"/>
          <w:sz w:val="28"/>
        </w:rPr>
        <w:t>[</w:t>
      </w:r>
      <w:r w:rsidR="00A8224C" w:rsidRPr="00DC209B">
        <w:rPr>
          <w:rFonts w:ascii="Times New Roman" w:hAnsi="Times New Roman" w:cs="Times New Roman"/>
          <w:sz w:val="28"/>
        </w:rPr>
        <w:t>46</w:t>
      </w:r>
      <w:r w:rsidR="00F6152F" w:rsidRPr="00DC209B">
        <w:rPr>
          <w:rFonts w:ascii="Times New Roman" w:hAnsi="Times New Roman" w:cs="Times New Roman"/>
          <w:sz w:val="28"/>
        </w:rPr>
        <w:t>]</w:t>
      </w:r>
      <w:r w:rsidR="00D818BB" w:rsidRPr="00DC209B">
        <w:rPr>
          <w:rFonts w:ascii="Times New Roman" w:eastAsia="Times New Roman" w:hAnsi="Times New Roman" w:cs="Times New Roman"/>
          <w:sz w:val="28"/>
          <w:szCs w:val="28"/>
          <w:lang w:eastAsia="ru-RU"/>
        </w:rPr>
        <w:fldChar w:fldCharType="end"/>
      </w:r>
      <w:r w:rsidR="00D818BB" w:rsidRPr="00DC209B">
        <w:rPr>
          <w:rFonts w:ascii="Times New Roman" w:eastAsia="Times New Roman" w:hAnsi="Times New Roman" w:cs="Times New Roman"/>
          <w:sz w:val="28"/>
          <w:szCs w:val="28"/>
          <w:lang w:eastAsia="ru-RU"/>
        </w:rPr>
        <w:t>.</w:t>
      </w:r>
    </w:p>
    <w:p w14:paraId="3BC03F30" w14:textId="045B9D3B" w:rsidR="00FF1D30" w:rsidRPr="00A43B9C" w:rsidRDefault="00FF1D30" w:rsidP="00FF1D30">
      <w:pPr>
        <w:autoSpaceDE w:val="0"/>
        <w:autoSpaceDN w:val="0"/>
        <w:adjustRightInd w:val="0"/>
        <w:spacing w:after="0" w:line="240" w:lineRule="auto"/>
        <w:ind w:firstLine="709"/>
        <w:jc w:val="both"/>
        <w:rPr>
          <w:rFonts w:ascii="Times New Roman" w:hAnsi="Times New Roman" w:cs="Times New Roman"/>
          <w:bCs/>
          <w:sz w:val="28"/>
          <w:szCs w:val="28"/>
        </w:rPr>
      </w:pPr>
      <w:r w:rsidRPr="00A43B9C">
        <w:rPr>
          <w:rFonts w:ascii="Times New Roman" w:hAnsi="Times New Roman" w:cs="Times New Roman"/>
          <w:sz w:val="28"/>
          <w:szCs w:val="28"/>
        </w:rPr>
        <w:t>Согласно данным статистических и аналитических материалов онкологической службы РК за 2018 год Каз</w:t>
      </w:r>
      <w:r w:rsidR="003E35F6">
        <w:rPr>
          <w:rFonts w:ascii="Times New Roman" w:hAnsi="Times New Roman" w:cs="Times New Roman"/>
          <w:sz w:val="28"/>
          <w:szCs w:val="28"/>
        </w:rPr>
        <w:t>НИИОиР</w:t>
      </w:r>
      <w:r w:rsidRPr="00A43B9C">
        <w:rPr>
          <w:rFonts w:ascii="Times New Roman" w:hAnsi="Times New Roman" w:cs="Times New Roman"/>
          <w:sz w:val="28"/>
          <w:szCs w:val="28"/>
        </w:rPr>
        <w:t xml:space="preserve"> п</w:t>
      </w:r>
      <w:r w:rsidRPr="00A43B9C">
        <w:rPr>
          <w:rFonts w:ascii="Times New Roman" w:hAnsi="Times New Roman" w:cs="Times New Roman"/>
          <w:bCs/>
          <w:sz w:val="28"/>
          <w:szCs w:val="28"/>
        </w:rPr>
        <w:t xml:space="preserve">о </w:t>
      </w:r>
      <w:r w:rsidR="00773AAD">
        <w:rPr>
          <w:rFonts w:ascii="Times New Roman" w:hAnsi="Times New Roman" w:cs="Times New Roman"/>
          <w:bCs/>
          <w:sz w:val="28"/>
          <w:szCs w:val="28"/>
        </w:rPr>
        <w:t xml:space="preserve">колоректальному раку </w:t>
      </w:r>
      <w:r w:rsidRPr="00A43B9C">
        <w:rPr>
          <w:rFonts w:ascii="Times New Roman" w:hAnsi="Times New Roman" w:cs="Times New Roman"/>
          <w:bCs/>
          <w:sz w:val="28"/>
          <w:szCs w:val="28"/>
        </w:rPr>
        <w:t xml:space="preserve">показатели выглядят следующим образом: </w:t>
      </w:r>
      <w:r w:rsidRPr="00A43B9C">
        <w:rPr>
          <w:rFonts w:ascii="Times New Roman" w:hAnsi="Times New Roman" w:cs="Times New Roman"/>
          <w:sz w:val="28"/>
          <w:szCs w:val="28"/>
        </w:rPr>
        <w:t xml:space="preserve">абсолютное число случаев составило для рака ободочной кишки 1667, для рака прямой кишки 1551, на 100 тыс. населения для рака ободочной кишки 9,1%, для рака прямой кишки 8,4%, </w:t>
      </w:r>
      <w:r w:rsidRPr="00A43B9C">
        <w:rPr>
          <w:rFonts w:ascii="Times New Roman" w:hAnsi="Times New Roman" w:cs="Times New Roman"/>
          <w:bCs/>
          <w:sz w:val="28"/>
          <w:szCs w:val="28"/>
        </w:rPr>
        <w:t xml:space="preserve">темп прироста для рака ободочной кишки - (-3,7%), для рака прямой кишки – (4,6%), </w:t>
      </w:r>
      <w:r w:rsidRPr="00A43B9C">
        <w:rPr>
          <w:rFonts w:ascii="Times New Roman" w:hAnsi="Times New Roman" w:cs="Times New Roman"/>
          <w:sz w:val="28"/>
          <w:szCs w:val="28"/>
        </w:rPr>
        <w:t xml:space="preserve">смертность составила для рака ободочной кишки 755 случаев, для рака прямой кишки 696 случаев, на 100 тыс. населения, данный показатель составляет 4,1% для рака ободочной кишки, 3,8% для рака прямой кишки, </w:t>
      </w:r>
      <w:r w:rsidRPr="00A43B9C">
        <w:rPr>
          <w:rFonts w:ascii="Times New Roman" w:hAnsi="Times New Roman" w:cs="Times New Roman"/>
          <w:bCs/>
          <w:sz w:val="28"/>
          <w:szCs w:val="28"/>
        </w:rPr>
        <w:t>темп прироста для рака ободочной кишки 0</w:t>
      </w:r>
      <w:r w:rsidRPr="00A43B9C">
        <w:rPr>
          <w:rFonts w:ascii="Times New Roman" w:hAnsi="Times New Roman" w:cs="Times New Roman"/>
          <w:sz w:val="28"/>
          <w:szCs w:val="28"/>
        </w:rPr>
        <w:t>,9</w:t>
      </w:r>
      <w:r w:rsidRPr="00A43B9C">
        <w:rPr>
          <w:rFonts w:ascii="Times New Roman" w:hAnsi="Times New Roman" w:cs="Times New Roman"/>
          <w:bCs/>
          <w:sz w:val="28"/>
          <w:szCs w:val="28"/>
        </w:rPr>
        <w:t>%, для рака прямой кишки (-</w:t>
      </w:r>
      <w:r w:rsidRPr="00A43B9C">
        <w:rPr>
          <w:rFonts w:ascii="Times New Roman" w:hAnsi="Times New Roman" w:cs="Times New Roman"/>
          <w:bCs/>
          <w:sz w:val="28"/>
          <w:szCs w:val="28"/>
        </w:rPr>
        <w:lastRenderedPageBreak/>
        <w:t>9,2%).</w:t>
      </w:r>
      <w:r w:rsidR="00D85264" w:rsidRPr="00A43B9C">
        <w:rPr>
          <w:rFonts w:ascii="Times New Roman" w:hAnsi="Times New Roman" w:cs="Times New Roman"/>
          <w:bCs/>
          <w:sz w:val="28"/>
          <w:szCs w:val="28"/>
        </w:rPr>
        <w:t xml:space="preserve"> </w:t>
      </w:r>
      <w:r w:rsidRPr="00A43B9C">
        <w:rPr>
          <w:rFonts w:ascii="Times New Roman" w:hAnsi="Times New Roman" w:cs="Times New Roman"/>
          <w:bCs/>
          <w:sz w:val="28"/>
          <w:szCs w:val="28"/>
        </w:rPr>
        <w:t xml:space="preserve">В 2018 году процент одногодичной летальности по </w:t>
      </w:r>
      <w:r w:rsidR="00773AAD">
        <w:rPr>
          <w:rFonts w:ascii="Times New Roman" w:hAnsi="Times New Roman" w:cs="Times New Roman"/>
          <w:bCs/>
          <w:sz w:val="28"/>
          <w:szCs w:val="28"/>
        </w:rPr>
        <w:t xml:space="preserve">колоректальному раку </w:t>
      </w:r>
      <w:r w:rsidRPr="00A43B9C">
        <w:rPr>
          <w:rFonts w:ascii="Times New Roman" w:hAnsi="Times New Roman" w:cs="Times New Roman"/>
          <w:bCs/>
          <w:sz w:val="28"/>
          <w:szCs w:val="28"/>
        </w:rPr>
        <w:t>составил</w:t>
      </w:r>
      <w:r w:rsidR="005237CD" w:rsidRPr="00A43B9C">
        <w:rPr>
          <w:rFonts w:ascii="Times New Roman" w:hAnsi="Times New Roman" w:cs="Times New Roman"/>
          <w:bCs/>
          <w:sz w:val="28"/>
          <w:szCs w:val="28"/>
        </w:rPr>
        <w:t>а</w:t>
      </w:r>
      <w:r w:rsidRPr="00A43B9C">
        <w:rPr>
          <w:rFonts w:ascii="Times New Roman" w:hAnsi="Times New Roman" w:cs="Times New Roman"/>
          <w:bCs/>
          <w:sz w:val="28"/>
          <w:szCs w:val="28"/>
        </w:rPr>
        <w:t xml:space="preserve"> для рака ободочной кишки 21,4%, для рака прямой кишки 23,3%, </w:t>
      </w:r>
      <w:r w:rsidR="005237CD" w:rsidRPr="00A43B9C">
        <w:rPr>
          <w:rFonts w:ascii="Times New Roman" w:hAnsi="Times New Roman" w:cs="Times New Roman"/>
          <w:bCs/>
          <w:sz w:val="28"/>
          <w:szCs w:val="28"/>
        </w:rPr>
        <w:t xml:space="preserve">а доля </w:t>
      </w:r>
      <w:r w:rsidRPr="00A43B9C">
        <w:rPr>
          <w:rFonts w:ascii="Times New Roman" w:hAnsi="Times New Roman" w:cs="Times New Roman"/>
          <w:bCs/>
          <w:sz w:val="28"/>
          <w:szCs w:val="28"/>
        </w:rPr>
        <w:t>IV стади</w:t>
      </w:r>
      <w:r w:rsidR="005237CD" w:rsidRPr="00A43B9C">
        <w:rPr>
          <w:rFonts w:ascii="Times New Roman" w:hAnsi="Times New Roman" w:cs="Times New Roman"/>
          <w:bCs/>
          <w:sz w:val="28"/>
          <w:szCs w:val="28"/>
        </w:rPr>
        <w:t>и</w:t>
      </w:r>
      <w:r w:rsidRPr="00A43B9C">
        <w:rPr>
          <w:rFonts w:ascii="Times New Roman" w:hAnsi="Times New Roman" w:cs="Times New Roman"/>
          <w:bCs/>
          <w:sz w:val="28"/>
          <w:szCs w:val="28"/>
        </w:rPr>
        <w:t xml:space="preserve"> </w:t>
      </w:r>
      <w:r w:rsidR="00613E21" w:rsidRPr="00A43B9C">
        <w:rPr>
          <w:rFonts w:ascii="Times New Roman" w:hAnsi="Times New Roman" w:cs="Times New Roman"/>
          <w:bCs/>
          <w:sz w:val="28"/>
          <w:szCs w:val="28"/>
        </w:rPr>
        <w:t xml:space="preserve">для рака ободочной кишки </w:t>
      </w:r>
      <w:r w:rsidRPr="00A43B9C">
        <w:rPr>
          <w:rFonts w:ascii="Times New Roman" w:hAnsi="Times New Roman" w:cs="Times New Roman"/>
          <w:bCs/>
          <w:sz w:val="28"/>
          <w:szCs w:val="28"/>
        </w:rPr>
        <w:t>составил</w:t>
      </w:r>
      <w:r w:rsidR="005237CD" w:rsidRPr="00A43B9C">
        <w:rPr>
          <w:rFonts w:ascii="Times New Roman" w:hAnsi="Times New Roman" w:cs="Times New Roman"/>
          <w:bCs/>
          <w:sz w:val="28"/>
          <w:szCs w:val="28"/>
        </w:rPr>
        <w:t>а</w:t>
      </w:r>
      <w:r w:rsidRPr="00A43B9C">
        <w:rPr>
          <w:rFonts w:ascii="Times New Roman" w:hAnsi="Times New Roman" w:cs="Times New Roman"/>
          <w:bCs/>
          <w:sz w:val="28"/>
          <w:szCs w:val="28"/>
        </w:rPr>
        <w:t xml:space="preserve"> 1,6%, для рака прямой кишки </w:t>
      </w:r>
      <w:r w:rsidR="005237CD" w:rsidRPr="00A43B9C">
        <w:rPr>
          <w:rFonts w:ascii="Times New Roman" w:hAnsi="Times New Roman" w:cs="Times New Roman"/>
          <w:bCs/>
          <w:sz w:val="28"/>
          <w:szCs w:val="28"/>
        </w:rPr>
        <w:t xml:space="preserve">- </w:t>
      </w:r>
      <w:r w:rsidRPr="00A43B9C">
        <w:rPr>
          <w:rFonts w:ascii="Times New Roman" w:hAnsi="Times New Roman" w:cs="Times New Roman"/>
          <w:bCs/>
          <w:sz w:val="28"/>
          <w:szCs w:val="28"/>
        </w:rPr>
        <w:t>1,9%.</w:t>
      </w:r>
      <w:r w:rsidR="00D85264" w:rsidRPr="00A43B9C">
        <w:rPr>
          <w:rFonts w:ascii="Times New Roman" w:hAnsi="Times New Roman" w:cs="Times New Roman"/>
          <w:bCs/>
          <w:sz w:val="28"/>
          <w:szCs w:val="28"/>
        </w:rPr>
        <w:t xml:space="preserve"> </w:t>
      </w:r>
      <w:r w:rsidRPr="00A43B9C">
        <w:rPr>
          <w:rFonts w:ascii="Times New Roman" w:hAnsi="Times New Roman" w:cs="Times New Roman"/>
          <w:bCs/>
          <w:sz w:val="28"/>
          <w:szCs w:val="28"/>
        </w:rPr>
        <w:t xml:space="preserve">Морфологическая верификация </w:t>
      </w:r>
      <w:r w:rsidR="00773AAD">
        <w:rPr>
          <w:rFonts w:ascii="Times New Roman" w:hAnsi="Times New Roman" w:cs="Times New Roman"/>
          <w:bCs/>
          <w:sz w:val="28"/>
          <w:szCs w:val="28"/>
        </w:rPr>
        <w:t xml:space="preserve">по колоректальному раку </w:t>
      </w:r>
      <w:r w:rsidRPr="00A43B9C">
        <w:rPr>
          <w:rFonts w:ascii="Times New Roman" w:hAnsi="Times New Roman" w:cs="Times New Roman"/>
          <w:bCs/>
          <w:sz w:val="28"/>
          <w:szCs w:val="28"/>
        </w:rPr>
        <w:t xml:space="preserve">у вновь выявленных больных по регионам составила </w:t>
      </w:r>
      <w:r w:rsidRPr="00A43B9C">
        <w:rPr>
          <w:rFonts w:ascii="Times New Roman" w:hAnsi="Times New Roman" w:cs="Times New Roman"/>
          <w:sz w:val="28"/>
          <w:szCs w:val="28"/>
        </w:rPr>
        <w:t xml:space="preserve">при раке прямой кишки (97,7%) </w:t>
      </w:r>
      <w:r w:rsidRPr="00A43B9C">
        <w:rPr>
          <w:rFonts w:ascii="Times New Roman" w:eastAsia="TimesNewRomanPSMT" w:hAnsi="Times New Roman" w:cs="Times New Roman"/>
          <w:sz w:val="28"/>
          <w:szCs w:val="28"/>
        </w:rPr>
        <w:t xml:space="preserve">– ниже </w:t>
      </w:r>
      <w:r w:rsidR="00773AAD" w:rsidRPr="00A43B9C">
        <w:rPr>
          <w:rFonts w:ascii="Times New Roman" w:eastAsia="TimesNewRomanPSMT" w:hAnsi="Times New Roman" w:cs="Times New Roman"/>
          <w:sz w:val="28"/>
          <w:szCs w:val="28"/>
        </w:rPr>
        <w:t>средне</w:t>
      </w:r>
      <w:r w:rsidR="00773AAD">
        <w:rPr>
          <w:rFonts w:ascii="Times New Roman" w:eastAsia="TimesNewRomanPSMT" w:hAnsi="Times New Roman" w:cs="Times New Roman"/>
          <w:sz w:val="28"/>
          <w:szCs w:val="28"/>
        </w:rPr>
        <w:t>респуб-ликанского</w:t>
      </w:r>
      <w:r w:rsidRPr="00A43B9C">
        <w:rPr>
          <w:rFonts w:ascii="Times New Roman" w:eastAsia="TimesNewRomanPSMT" w:hAnsi="Times New Roman" w:cs="Times New Roman"/>
          <w:sz w:val="28"/>
          <w:szCs w:val="28"/>
        </w:rPr>
        <w:t xml:space="preserve"> показатели в Кызылординской (74,1% – худший по стране результат), Акмолинской (94%), Мангистауской (94,4%) областях и г. Алматы (95,9%). В 5 регионах </w:t>
      </w:r>
      <w:r w:rsidR="00613E21" w:rsidRPr="00A43B9C">
        <w:rPr>
          <w:rFonts w:ascii="Times New Roman" w:eastAsia="TimesNewRomanPSMT" w:hAnsi="Times New Roman" w:cs="Times New Roman"/>
          <w:sz w:val="28"/>
          <w:szCs w:val="28"/>
        </w:rPr>
        <w:t xml:space="preserve">отмечен </w:t>
      </w:r>
      <w:r w:rsidRPr="00A43B9C">
        <w:rPr>
          <w:rFonts w:ascii="Times New Roman" w:eastAsia="TimesNewRomanPSMT" w:hAnsi="Times New Roman" w:cs="Times New Roman"/>
          <w:sz w:val="28"/>
          <w:szCs w:val="28"/>
        </w:rPr>
        <w:t>100%</w:t>
      </w:r>
      <w:r w:rsidR="00613E21" w:rsidRPr="00A43B9C">
        <w:rPr>
          <w:rFonts w:ascii="Times New Roman" w:eastAsia="TimesNewRomanPSMT" w:hAnsi="Times New Roman" w:cs="Times New Roman"/>
          <w:sz w:val="28"/>
          <w:szCs w:val="28"/>
        </w:rPr>
        <w:t>-й</w:t>
      </w:r>
      <w:r w:rsidRPr="00A43B9C">
        <w:rPr>
          <w:rFonts w:ascii="Times New Roman" w:eastAsia="TimesNewRomanPSMT" w:hAnsi="Times New Roman" w:cs="Times New Roman"/>
          <w:sz w:val="28"/>
          <w:szCs w:val="28"/>
        </w:rPr>
        <w:t xml:space="preserve"> уровень верификации. При </w:t>
      </w:r>
      <w:r w:rsidRPr="00A43B9C">
        <w:rPr>
          <w:rFonts w:ascii="Times New Roman" w:hAnsi="Times New Roman" w:cs="Times New Roman"/>
          <w:sz w:val="28"/>
          <w:szCs w:val="28"/>
        </w:rPr>
        <w:t xml:space="preserve">раке ободочной кишки (95,1%) </w:t>
      </w:r>
      <w:r w:rsidRPr="00A43B9C">
        <w:rPr>
          <w:rFonts w:ascii="Times New Roman" w:eastAsia="TimesNewRomanPSMT" w:hAnsi="Times New Roman" w:cs="Times New Roman"/>
          <w:sz w:val="28"/>
          <w:szCs w:val="28"/>
        </w:rPr>
        <w:t>в 2 регионах достигнут 100%</w:t>
      </w:r>
      <w:r w:rsidR="00613E21" w:rsidRPr="00A43B9C">
        <w:rPr>
          <w:rFonts w:ascii="Times New Roman" w:eastAsia="TimesNewRomanPSMT" w:hAnsi="Times New Roman" w:cs="Times New Roman"/>
          <w:sz w:val="28"/>
          <w:szCs w:val="28"/>
        </w:rPr>
        <w:t>-й</w:t>
      </w:r>
      <w:r w:rsidRPr="00A43B9C">
        <w:rPr>
          <w:rFonts w:ascii="Times New Roman" w:eastAsia="TimesNewRomanPSMT" w:hAnsi="Times New Roman" w:cs="Times New Roman"/>
          <w:sz w:val="28"/>
          <w:szCs w:val="28"/>
        </w:rPr>
        <w:t xml:space="preserve"> уровень верификации (Жамбылская и Туркестанская области)</w:t>
      </w:r>
      <w:r w:rsidR="00613E21" w:rsidRPr="00A43B9C">
        <w:rPr>
          <w:rFonts w:ascii="Times New Roman" w:eastAsia="TimesNewRomanPSMT" w:hAnsi="Times New Roman" w:cs="Times New Roman"/>
          <w:sz w:val="28"/>
          <w:szCs w:val="28"/>
        </w:rPr>
        <w:t>;</w:t>
      </w:r>
      <w:r w:rsidRPr="00A43B9C">
        <w:rPr>
          <w:rFonts w:ascii="Times New Roman" w:eastAsia="TimesNewRomanPSMT" w:hAnsi="Times New Roman" w:cs="Times New Roman"/>
          <w:sz w:val="28"/>
          <w:szCs w:val="28"/>
        </w:rPr>
        <w:t xml:space="preserve"> высокие показатели достигнуты в Костанайской (98,6%), Карагандинской (98,5%), Западно-Казахстанской (98,3), Восточно-Казахстанской (97,8%) областях и г. </w:t>
      </w:r>
      <w:r w:rsidR="00C20F87" w:rsidRPr="00A43B9C">
        <w:rPr>
          <w:rFonts w:ascii="Times New Roman" w:eastAsia="TimesNewRomanPSMT" w:hAnsi="Times New Roman" w:cs="Times New Roman"/>
          <w:sz w:val="28"/>
          <w:szCs w:val="28"/>
        </w:rPr>
        <w:t>Астана</w:t>
      </w:r>
      <w:r w:rsidRPr="00A43B9C">
        <w:rPr>
          <w:rFonts w:ascii="Times New Roman" w:eastAsia="TimesNewRomanPSMT" w:hAnsi="Times New Roman" w:cs="Times New Roman"/>
          <w:sz w:val="28"/>
          <w:szCs w:val="28"/>
        </w:rPr>
        <w:t xml:space="preserve"> (98,2%)</w:t>
      </w:r>
      <w:r w:rsidR="00613E21" w:rsidRPr="00A43B9C">
        <w:rPr>
          <w:rFonts w:ascii="Times New Roman" w:eastAsia="TimesNewRomanPSMT" w:hAnsi="Times New Roman" w:cs="Times New Roman"/>
          <w:sz w:val="28"/>
          <w:szCs w:val="28"/>
        </w:rPr>
        <w:t>;</w:t>
      </w:r>
      <w:r w:rsidRPr="00A43B9C">
        <w:rPr>
          <w:rFonts w:ascii="Times New Roman" w:eastAsia="TimesNewRomanPSMT" w:hAnsi="Times New Roman" w:cs="Times New Roman"/>
          <w:sz w:val="28"/>
          <w:szCs w:val="28"/>
        </w:rPr>
        <w:t xml:space="preserve"> низкие – в Акмолинской (94,3%), Мангистауской (90,9%), Павлодарской (87,5%) областях и г. Алматы (90,5%), </w:t>
      </w:r>
      <w:r w:rsidR="00613E21" w:rsidRPr="00A43B9C">
        <w:rPr>
          <w:rFonts w:ascii="Times New Roman" w:eastAsia="TimesNewRomanPSMT" w:hAnsi="Times New Roman" w:cs="Times New Roman"/>
          <w:sz w:val="28"/>
          <w:szCs w:val="28"/>
        </w:rPr>
        <w:t xml:space="preserve">а </w:t>
      </w:r>
      <w:r w:rsidRPr="00A43B9C">
        <w:rPr>
          <w:rFonts w:ascii="Times New Roman" w:eastAsia="TimesNewRomanPSMT" w:hAnsi="Times New Roman" w:cs="Times New Roman"/>
          <w:sz w:val="28"/>
          <w:szCs w:val="28"/>
        </w:rPr>
        <w:t>худший результат, как и в 2017 году, в Кызылординской области (58,3%)</w:t>
      </w:r>
      <w:r w:rsidR="005C2294" w:rsidRPr="00A43B9C">
        <w:rPr>
          <w:rFonts w:ascii="Times New Roman" w:eastAsia="TimesNewRomanPSMT" w:hAnsi="Times New Roman" w:cs="Times New Roman"/>
          <w:sz w:val="28"/>
          <w:szCs w:val="28"/>
        </w:rPr>
        <w:t xml:space="preserve"> </w:t>
      </w:r>
      <w:r w:rsidR="005C2294" w:rsidRPr="00A43B9C">
        <w:rPr>
          <w:rFonts w:ascii="Times New Roman" w:eastAsia="TimesNewRomanPSMT" w:hAnsi="Times New Roman" w:cs="Times New Roman"/>
          <w:sz w:val="28"/>
          <w:szCs w:val="28"/>
        </w:rPr>
        <w:fldChar w:fldCharType="begin"/>
      </w:r>
      <w:r w:rsidR="00F6152F">
        <w:rPr>
          <w:rFonts w:ascii="Times New Roman" w:eastAsia="TimesNewRomanPSMT" w:hAnsi="Times New Roman" w:cs="Times New Roman"/>
          <w:sz w:val="28"/>
          <w:szCs w:val="28"/>
        </w:rPr>
        <w:instrText xml:space="preserve"> ADDIN ZOTERO_ITEM CSL_CITATION {"citationID":"a2o3rg10ah9","properties":{"formattedCitation":"[41, 47, 48]","plainCitation":"[41, 47, 48]","noteIndex":0},"citationItems":[{"id":216,"uris":["http://zotero.org/users/8787459/items/4VW63TDL"],"itemData":{"id":216,"type":"webpage","container-title":"https://onco.kz/news/pokazateli-onkologicheskoj-sluzhby-respubliki-kazahstan-za-2018-god-statisticheskie-i-analiticheskie-materialy/","title":"Показатели Онкологической службы Республики Казахстан за 2018 год (статистические и аналитические материалы)","URL":"https://onco.kz/news/pokazateli-onkologicheskoj-sluzhby-respubliki-kazahstan-za-2018-god-statisticheskie-i-analiticheskie-materialy/","author":[{"family":"Кайдарова Д.Р.","given":""},{"family":"Чингисова Ж.К.","given":""},{"family":"Шатковская О.В.","given":""},{"family":"Сейсенбаева Г.Т.","given":""},{"family":"Ажмагамбетова А.Е.","given":""},{"family":"Жылкайдарова А.Ж.","given":""},{"family":"Лаврентьева И.К.","given":""},{"family":"Саги М.С.","given":""}],"accessed":{"date-parts":[["2022",4,26]]}},"label":"page"},{"id":730,"uris":["http://zotero.org/users/8787459/items/V9JENIA6"],"itemData":{"id":730,"type":"article-journal","abstract":"62\n\nBackground: In Kazakhstan colorectal cancer (CRC) occupies the third position in the structure of total oncological incidence and mortality. Kazakhstan is a country with a large territory, with different geographical, industrial characteristics and dietary habits of the population. So CRC prevalence levels vary from region to region: in 2013 the highest regional incidence rate is 6 times higher than the lowest. CRC population screening among men and women aged 50-70 years was started in 2011 in Kazakhstan. Methods: Within 10 years of the screening, 9 532 927 men and women were examined, 3419 CRC cases were detected. Coverage of target population ranged from 78.4% in 2012 to 53.1% in 2020. The analysis of screening indicators was carried out: cancer detection rate, the proportion of 0-1 stages, the ratio to the underlying incidence, the relationship with the dynamics of CRC incidence and mortality. According to the incidence rate in 2011-2020 regions of the country are conditionally divided into three groups: group A – high level (31.04-23.5 per 100 thousand population), group B – medium level (20.5-15.0%ooo), C - low level (11.6- 8.1%ooo). Results: The average annual CRC detection rate for 10 years of screening was 0.4% (4 cancer cases per 1000 examined), in groups A - 0.5%, B - 0.4% and C - 0.3%. The detection ratio of stage 0-I was 0.08%: in groups A - 0.10%, B - 0.09% and C - 0.05%. The average annual incidence rates were in groups A - 27.2 per 100 thousand population, B - 18.7%ooo and C - 9.8%ooo. During time of g-FOBT applying (2011-2013), the average annual incidence rates in the groups were in groups: A - 25.8%ooo, B - 16.4%ooo, C - 8.2%ooo. During time of using FIT (i-FOBT, 2014-2020), the average annual incidence rates increased to 27.0%ooo, 20.0%ooo and 9.9%ooo respectively. The greatest increase in the incidence was noted in groups B and C (22.7% and 22.2%), the smallest in group A (4.7%). Screening increased the CRC incidence from 15.5%ooo in 2011 to 16.5%ooo in 2020 and reduced mortality from 9.3%ooo (2011) to 8.0%ooo (2020). Conclusions: Screening increased the incidence (6.5%) and decreased the mortality from CRC (14%) for 10 years in Kazakhstan. There is a particularly significant effect of screening on the growth of some indicators (incidence and mortality rates, cancer detection rate and early cancer detection) in regions with a low CRC prevalence.","container-title":"Journal of Clinical Oncology","DOI":"10.1200/JCO.2022.40.4_suppl.062","ISSN":"0732-183X","issue":"4_suppl","journalAbbreviation":"JCO","note":"publisher: Wolters Kluwer","page":"62-62","source":"ascopubs.org (Atypon)","title":"Colorectal cancer screening results in the regions of Kazakhstan with different levels of cancer prevalence.","volume":"40","author":[{"family":"Kaidarova","given":"Dilyara"},{"family":"Jumanov","given":"Abay"},{"family":"Zhylkaidarova","given":"Alma"},{"family":"Shayakhmetova","given":"Dinara"}],"issued":{"date-parts":[["2022",2]]}},"label":"page"},{"id":727,"uris":["http://zotero.org/users/8787459/items/2JFATIXI"],"itemData":{"id":727,"type":"article-journal","abstract":"We carried out an analysis of the total incidence of colon cancer throughout Kazakhstan. Retrospectively, according to the regional reports on endoscopic screening, the study showed an increase in the age-related incidence of colorectal cancer (CRC) cases from 2004–2008 to 2009–2014. The peak of morbidity in both periods was noted in the age category of &gt;70 years. The indicators of the territorial distribution of CRC incidence make it possible to divide the regions into areas with low or high rates of CRC. Specific indicators showed newly diagnosed cases of CRC stages I, II, III, and IV in 2004–2018. The incidence rates of stages I and II showed a two-fold increase (35%–67.4%) and the incidence of stage IV showed a decline from 19.3% to 13.1% and of stage III from 45.7% to 19.5% from 2004 to 2018, respectively. An analysis of CRC incidence throughout Kazakhstan showed an increase in the overall incidence. Since population-based CRC screening was introduced in 2011, the morbidity was found to increase for stages I and II.","container-title":"Clinical Endoscopy","DOI":"10.5946/ce.2019.198","ISSN":"2234-2400","issue":"1","journalAbbreviation":"Clin Endosc","note":"PMID: 32447875\nPMCID: PMC7939768","page":"32-37","source":"PubMed Central","title":"Trends of Colorectal Cancer Prevalence in Kazakhstan Related to Screening","volume":"54","author":[{"family":"Zhylkaidarova","given":"Alma"},{"family":"Kaidarova","given":"Dilyara"},{"family":"Batyrbekov","given":"Kanat"},{"family":"Shatkovskaya","given":"Oxana"},{"family":"Begimbetova","given":"Dinara"}],"issued":{"date-parts":[["2021",1]]}},"label":"page"}],"schema":"https://github.com/citation-style-language/schema/raw/master/csl-citation.json"} </w:instrText>
      </w:r>
      <w:r w:rsidR="005C2294" w:rsidRPr="00A43B9C">
        <w:rPr>
          <w:rFonts w:ascii="Times New Roman" w:eastAsia="TimesNewRomanPSMT" w:hAnsi="Times New Roman" w:cs="Times New Roman"/>
          <w:sz w:val="28"/>
          <w:szCs w:val="28"/>
        </w:rPr>
        <w:fldChar w:fldCharType="separate"/>
      </w:r>
      <w:r w:rsidR="00F6152F" w:rsidRPr="00F6152F">
        <w:rPr>
          <w:rFonts w:ascii="Times New Roman" w:hAnsi="Times New Roman" w:cs="Times New Roman"/>
          <w:sz w:val="28"/>
        </w:rPr>
        <w:t>[47, 48]</w:t>
      </w:r>
      <w:r w:rsidR="005C2294" w:rsidRPr="00A43B9C">
        <w:rPr>
          <w:rFonts w:ascii="Times New Roman" w:eastAsia="TimesNewRomanPSMT" w:hAnsi="Times New Roman" w:cs="Times New Roman"/>
          <w:sz w:val="28"/>
          <w:szCs w:val="28"/>
        </w:rPr>
        <w:fldChar w:fldCharType="end"/>
      </w:r>
      <w:r w:rsidRPr="00A43B9C">
        <w:rPr>
          <w:rFonts w:ascii="Times New Roman" w:hAnsi="Times New Roman" w:cs="Times New Roman"/>
          <w:sz w:val="28"/>
          <w:szCs w:val="28"/>
        </w:rPr>
        <w:t>.</w:t>
      </w:r>
    </w:p>
    <w:p w14:paraId="437616FA" w14:textId="63667AE7" w:rsidR="00FF1D30" w:rsidRPr="00A43B9C" w:rsidRDefault="00FF1D30" w:rsidP="00FF1D30">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Несмотря на поиск новых методов диагностики </w:t>
      </w:r>
      <w:r w:rsidR="00773AAD">
        <w:rPr>
          <w:rFonts w:ascii="Times New Roman" w:hAnsi="Times New Roman" w:cs="Times New Roman"/>
          <w:sz w:val="28"/>
          <w:szCs w:val="28"/>
        </w:rPr>
        <w:t>овариального рака и колоректального рака</w:t>
      </w:r>
      <w:r w:rsidRPr="00A43B9C">
        <w:rPr>
          <w:rFonts w:ascii="Times New Roman" w:hAnsi="Times New Roman" w:cs="Times New Roman"/>
          <w:sz w:val="28"/>
          <w:szCs w:val="28"/>
        </w:rPr>
        <w:t xml:space="preserve">, существенного улучшения отдаленных результатов не произошло. Высокая смертность от </w:t>
      </w:r>
      <w:r w:rsidR="00773AAD">
        <w:rPr>
          <w:rFonts w:ascii="Times New Roman" w:hAnsi="Times New Roman" w:cs="Times New Roman"/>
          <w:sz w:val="28"/>
          <w:szCs w:val="28"/>
        </w:rPr>
        <w:t xml:space="preserve">рака яичников </w:t>
      </w:r>
      <w:r w:rsidRPr="00A43B9C">
        <w:rPr>
          <w:rFonts w:ascii="Times New Roman" w:hAnsi="Times New Roman" w:cs="Times New Roman"/>
          <w:sz w:val="28"/>
          <w:szCs w:val="28"/>
        </w:rPr>
        <w:t xml:space="preserve">и </w:t>
      </w:r>
      <w:r w:rsidR="00773AAD">
        <w:rPr>
          <w:rFonts w:ascii="Times New Roman" w:hAnsi="Times New Roman" w:cs="Times New Roman"/>
          <w:sz w:val="28"/>
          <w:szCs w:val="28"/>
        </w:rPr>
        <w:t>колоректального рака</w:t>
      </w:r>
      <w:r w:rsidRPr="00A43B9C">
        <w:rPr>
          <w:rFonts w:ascii="Times New Roman" w:hAnsi="Times New Roman" w:cs="Times New Roman"/>
          <w:sz w:val="28"/>
          <w:szCs w:val="28"/>
        </w:rPr>
        <w:t xml:space="preserve">, помимо возрастающей заболеваемости, обусловлена в основном несовершенством ранней диагностики и превалированием </w:t>
      </w:r>
      <w:r w:rsidR="00613E21" w:rsidRPr="00A43B9C">
        <w:rPr>
          <w:rFonts w:ascii="Times New Roman" w:hAnsi="Times New Roman" w:cs="Times New Roman"/>
          <w:sz w:val="28"/>
          <w:szCs w:val="28"/>
        </w:rPr>
        <w:t xml:space="preserve">III–IV стадии опухолевого процесса </w:t>
      </w:r>
      <w:r w:rsidRPr="00A43B9C">
        <w:rPr>
          <w:rFonts w:ascii="Times New Roman" w:hAnsi="Times New Roman" w:cs="Times New Roman"/>
          <w:sz w:val="28"/>
          <w:szCs w:val="28"/>
        </w:rPr>
        <w:t>к моменту установления диагноза, что, в свою очередь, во многом определяет низкую эффективность существующих методов диагностики.</w:t>
      </w:r>
    </w:p>
    <w:p w14:paraId="01AA78F2" w14:textId="077C773B" w:rsidR="00FF1D30" w:rsidRPr="00A43B9C" w:rsidRDefault="00613E21" w:rsidP="00FF1D30">
      <w:pPr>
        <w:autoSpaceDE w:val="0"/>
        <w:autoSpaceDN w:val="0"/>
        <w:adjustRightInd w:val="0"/>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Таким образом</w:t>
      </w:r>
      <w:r w:rsidR="00FF1D30" w:rsidRPr="00A43B9C">
        <w:rPr>
          <w:rFonts w:ascii="Times New Roman" w:hAnsi="Times New Roman" w:cs="Times New Roman"/>
          <w:sz w:val="28"/>
          <w:szCs w:val="28"/>
        </w:rPr>
        <w:t xml:space="preserve">, в настоящее время </w:t>
      </w:r>
      <w:r w:rsidR="00773AAD">
        <w:rPr>
          <w:rFonts w:ascii="Times New Roman" w:hAnsi="Times New Roman" w:cs="Times New Roman"/>
          <w:sz w:val="28"/>
          <w:szCs w:val="28"/>
        </w:rPr>
        <w:t xml:space="preserve">рак яичников и колоректальный рак </w:t>
      </w:r>
      <w:r w:rsidRPr="00A43B9C">
        <w:rPr>
          <w:rFonts w:ascii="Times New Roman" w:hAnsi="Times New Roman" w:cs="Times New Roman"/>
          <w:sz w:val="28"/>
          <w:szCs w:val="28"/>
        </w:rPr>
        <w:t xml:space="preserve">в РК </w:t>
      </w:r>
      <w:r w:rsidR="00FF1D30" w:rsidRPr="00A43B9C">
        <w:rPr>
          <w:rFonts w:ascii="Times New Roman" w:hAnsi="Times New Roman" w:cs="Times New Roman"/>
          <w:sz w:val="28"/>
          <w:szCs w:val="28"/>
        </w:rPr>
        <w:t>остаются одним из наиболее актуальных и распространенных злокачественных новообразований, характеризующихся неблагоприятным летальным течением с диагностикой на поздних стадиях.</w:t>
      </w:r>
    </w:p>
    <w:p w14:paraId="03EE87D3" w14:textId="77777777" w:rsidR="00FF1D30" w:rsidRPr="00A43B9C" w:rsidRDefault="00FF1D30" w:rsidP="00FF1D30">
      <w:pPr>
        <w:autoSpaceDE w:val="0"/>
        <w:autoSpaceDN w:val="0"/>
        <w:adjustRightInd w:val="0"/>
        <w:spacing w:after="0" w:line="240" w:lineRule="auto"/>
        <w:ind w:firstLine="709"/>
        <w:jc w:val="both"/>
        <w:rPr>
          <w:rFonts w:ascii="Times New Roman" w:hAnsi="Times New Roman" w:cs="Times New Roman"/>
          <w:sz w:val="28"/>
          <w:szCs w:val="28"/>
        </w:rPr>
      </w:pPr>
    </w:p>
    <w:p w14:paraId="70DD6E10" w14:textId="3AE6C1FC" w:rsidR="00FF1D30" w:rsidRPr="00AF0775" w:rsidRDefault="00FF1D30" w:rsidP="009C5FDC">
      <w:pPr>
        <w:pStyle w:val="31"/>
        <w:spacing w:before="0" w:line="240" w:lineRule="auto"/>
        <w:ind w:firstLine="709"/>
        <w:jc w:val="both"/>
        <w:rPr>
          <w:rFonts w:ascii="Times New Roman" w:eastAsia="Times New Roman" w:hAnsi="Times New Roman" w:cs="Times New Roman"/>
          <w:b/>
          <w:bCs/>
          <w:color w:val="auto"/>
          <w:sz w:val="28"/>
          <w:szCs w:val="28"/>
          <w:lang w:eastAsia="ru-RU"/>
        </w:rPr>
      </w:pPr>
      <w:bookmarkStart w:id="19" w:name="_Toc102937606"/>
      <w:r w:rsidRPr="00AF0775">
        <w:rPr>
          <w:rFonts w:ascii="Times New Roman" w:eastAsia="Times New Roman" w:hAnsi="Times New Roman" w:cs="Times New Roman"/>
          <w:b/>
          <w:bCs/>
          <w:color w:val="auto"/>
          <w:sz w:val="28"/>
          <w:szCs w:val="28"/>
          <w:lang w:eastAsia="ru-RU"/>
        </w:rPr>
        <w:t xml:space="preserve">1.2 </w:t>
      </w:r>
      <w:r w:rsidR="00EA427F" w:rsidRPr="00AF0775">
        <w:rPr>
          <w:rFonts w:ascii="Times New Roman" w:eastAsia="Times New Roman" w:hAnsi="Times New Roman" w:cs="Times New Roman"/>
          <w:b/>
          <w:bCs/>
          <w:color w:val="auto"/>
          <w:sz w:val="28"/>
          <w:szCs w:val="28"/>
          <w:lang w:eastAsia="ru-RU"/>
        </w:rPr>
        <w:t>Общая характеристика с</w:t>
      </w:r>
      <w:r w:rsidRPr="00AF0775">
        <w:rPr>
          <w:rFonts w:ascii="Times New Roman" w:eastAsia="Times New Roman" w:hAnsi="Times New Roman" w:cs="Times New Roman"/>
          <w:b/>
          <w:bCs/>
          <w:color w:val="auto"/>
          <w:sz w:val="28"/>
          <w:szCs w:val="28"/>
          <w:lang w:eastAsia="ru-RU"/>
        </w:rPr>
        <w:t>овмещенн</w:t>
      </w:r>
      <w:r w:rsidR="00EA427F" w:rsidRPr="00AF0775">
        <w:rPr>
          <w:rFonts w:ascii="Times New Roman" w:eastAsia="Times New Roman" w:hAnsi="Times New Roman" w:cs="Times New Roman"/>
          <w:b/>
          <w:bCs/>
          <w:color w:val="auto"/>
          <w:sz w:val="28"/>
          <w:szCs w:val="28"/>
          <w:lang w:eastAsia="ru-RU"/>
        </w:rPr>
        <w:t>ой</w:t>
      </w:r>
      <w:r w:rsidRPr="00AF0775">
        <w:rPr>
          <w:rFonts w:ascii="Times New Roman" w:eastAsia="Times New Roman" w:hAnsi="Times New Roman" w:cs="Times New Roman"/>
          <w:b/>
          <w:bCs/>
          <w:color w:val="auto"/>
          <w:sz w:val="28"/>
          <w:szCs w:val="28"/>
          <w:lang w:eastAsia="ru-RU"/>
        </w:rPr>
        <w:t xml:space="preserve"> позитронно-эмиссионн</w:t>
      </w:r>
      <w:r w:rsidR="00EA427F" w:rsidRPr="00AF0775">
        <w:rPr>
          <w:rFonts w:ascii="Times New Roman" w:eastAsia="Times New Roman" w:hAnsi="Times New Roman" w:cs="Times New Roman"/>
          <w:b/>
          <w:bCs/>
          <w:color w:val="auto"/>
          <w:sz w:val="28"/>
          <w:szCs w:val="28"/>
          <w:lang w:eastAsia="ru-RU"/>
        </w:rPr>
        <w:t>ой</w:t>
      </w:r>
      <w:r w:rsidRPr="00AF0775">
        <w:rPr>
          <w:rFonts w:ascii="Times New Roman" w:eastAsia="Times New Roman" w:hAnsi="Times New Roman" w:cs="Times New Roman"/>
          <w:b/>
          <w:bCs/>
          <w:color w:val="auto"/>
          <w:sz w:val="28"/>
          <w:szCs w:val="28"/>
          <w:lang w:eastAsia="ru-RU"/>
        </w:rPr>
        <w:t xml:space="preserve"> и компьютерн</w:t>
      </w:r>
      <w:r w:rsidR="00EA427F" w:rsidRPr="00AF0775">
        <w:rPr>
          <w:rFonts w:ascii="Times New Roman" w:eastAsia="Times New Roman" w:hAnsi="Times New Roman" w:cs="Times New Roman"/>
          <w:b/>
          <w:bCs/>
          <w:color w:val="auto"/>
          <w:sz w:val="28"/>
          <w:szCs w:val="28"/>
          <w:lang w:eastAsia="ru-RU"/>
        </w:rPr>
        <w:t>ой</w:t>
      </w:r>
      <w:r w:rsidRPr="00AF0775">
        <w:rPr>
          <w:rFonts w:ascii="Times New Roman" w:eastAsia="Times New Roman" w:hAnsi="Times New Roman" w:cs="Times New Roman"/>
          <w:b/>
          <w:bCs/>
          <w:color w:val="auto"/>
          <w:sz w:val="28"/>
          <w:szCs w:val="28"/>
          <w:lang w:eastAsia="ru-RU"/>
        </w:rPr>
        <w:t xml:space="preserve"> томографи</w:t>
      </w:r>
      <w:r w:rsidR="00EA427F" w:rsidRPr="00AF0775">
        <w:rPr>
          <w:rFonts w:ascii="Times New Roman" w:eastAsia="Times New Roman" w:hAnsi="Times New Roman" w:cs="Times New Roman"/>
          <w:b/>
          <w:bCs/>
          <w:color w:val="auto"/>
          <w:sz w:val="28"/>
          <w:szCs w:val="28"/>
          <w:lang w:eastAsia="ru-RU"/>
        </w:rPr>
        <w:t>и</w:t>
      </w:r>
      <w:r w:rsidRPr="00AF0775">
        <w:rPr>
          <w:rFonts w:ascii="Times New Roman" w:eastAsia="Times New Roman" w:hAnsi="Times New Roman" w:cs="Times New Roman"/>
          <w:b/>
          <w:bCs/>
          <w:color w:val="auto"/>
          <w:sz w:val="28"/>
          <w:szCs w:val="28"/>
          <w:lang w:eastAsia="ru-RU"/>
        </w:rPr>
        <w:t xml:space="preserve"> с </w:t>
      </w:r>
      <w:r w:rsidRPr="00AF0775">
        <w:rPr>
          <w:rFonts w:ascii="Times New Roman" w:eastAsia="Times New Roman" w:hAnsi="Times New Roman" w:cs="Times New Roman"/>
          <w:b/>
          <w:bCs/>
          <w:color w:val="auto"/>
          <w:sz w:val="28"/>
          <w:szCs w:val="28"/>
          <w:vertAlign w:val="superscript"/>
          <w:lang w:eastAsia="ru-RU"/>
        </w:rPr>
        <w:t>18</w:t>
      </w:r>
      <w:r w:rsidRPr="00AF0775">
        <w:rPr>
          <w:rFonts w:ascii="Times New Roman" w:eastAsia="Times New Roman" w:hAnsi="Times New Roman" w:cs="Times New Roman"/>
          <w:b/>
          <w:bCs/>
          <w:color w:val="auto"/>
          <w:sz w:val="28"/>
          <w:szCs w:val="28"/>
          <w:lang w:val="en-US" w:eastAsia="ru-RU"/>
        </w:rPr>
        <w:t>F</w:t>
      </w:r>
      <w:r w:rsidRPr="00AF0775">
        <w:rPr>
          <w:rFonts w:ascii="Times New Roman" w:eastAsia="Times New Roman" w:hAnsi="Times New Roman" w:cs="Times New Roman"/>
          <w:b/>
          <w:bCs/>
          <w:color w:val="auto"/>
          <w:sz w:val="28"/>
          <w:szCs w:val="28"/>
          <w:lang w:eastAsia="ru-RU"/>
        </w:rPr>
        <w:t>-фтордезоксиглюкозой</w:t>
      </w:r>
      <w:bookmarkEnd w:id="19"/>
    </w:p>
    <w:p w14:paraId="637D9E42" w14:textId="7A308886" w:rsidR="00FF1D30" w:rsidRPr="00A43B9C" w:rsidRDefault="00FF1D30" w:rsidP="00D85264">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A43B9C">
        <w:rPr>
          <w:rFonts w:ascii="Times New Roman" w:hAnsi="Times New Roman" w:cs="Times New Roman"/>
          <w:color w:val="000000"/>
          <w:sz w:val="28"/>
          <w:szCs w:val="28"/>
        </w:rPr>
        <w:t>П</w:t>
      </w:r>
      <w:r w:rsidR="00FC49AE" w:rsidRPr="00A43B9C">
        <w:rPr>
          <w:rFonts w:ascii="Times New Roman" w:hAnsi="Times New Roman" w:cs="Times New Roman"/>
          <w:color w:val="000000"/>
          <w:sz w:val="28"/>
          <w:szCs w:val="28"/>
        </w:rPr>
        <w:t xml:space="preserve">ЭТ/КТ </w:t>
      </w:r>
      <w:r w:rsidRPr="00A43B9C">
        <w:rPr>
          <w:rFonts w:ascii="Times New Roman" w:hAnsi="Times New Roman" w:cs="Times New Roman"/>
          <w:color w:val="000000"/>
          <w:sz w:val="28"/>
          <w:szCs w:val="28"/>
        </w:rPr>
        <w:t xml:space="preserve">– радионуклидный томографический метод исследования, основанный на совмещенном применении двух различных методик лучевой диагностики: позитронно- эмиссионной томографии для изучения функциональной активности тканей и органов и компьютерной томографии </w:t>
      </w:r>
      <w:r w:rsidR="003E35F6">
        <w:rPr>
          <w:rFonts w:ascii="Times New Roman" w:hAnsi="Times New Roman" w:cs="Times New Roman"/>
          <w:color w:val="000000"/>
          <w:sz w:val="28"/>
          <w:szCs w:val="28"/>
        </w:rPr>
        <w:t xml:space="preserve">с целью </w:t>
      </w:r>
      <w:r w:rsidRPr="00A43B9C">
        <w:rPr>
          <w:rFonts w:ascii="Times New Roman" w:hAnsi="Times New Roman" w:cs="Times New Roman"/>
          <w:color w:val="000000"/>
          <w:sz w:val="28"/>
          <w:szCs w:val="28"/>
        </w:rPr>
        <w:t>изучения анатомо-морфологических особенностей органов.</w:t>
      </w:r>
      <w:r w:rsidR="00D85264" w:rsidRPr="00A43B9C">
        <w:rPr>
          <w:rFonts w:ascii="Times New Roman" w:hAnsi="Times New Roman" w:cs="Times New Roman"/>
          <w:color w:val="000000"/>
          <w:sz w:val="28"/>
          <w:szCs w:val="28"/>
        </w:rPr>
        <w:t xml:space="preserve"> </w:t>
      </w:r>
      <w:r w:rsidRPr="00A43B9C">
        <w:rPr>
          <w:rFonts w:ascii="Times New Roman" w:eastAsia="TimesNewRomanPSMT" w:hAnsi="Times New Roman" w:cs="Times New Roman"/>
          <w:sz w:val="28"/>
          <w:szCs w:val="28"/>
        </w:rPr>
        <w:t xml:space="preserve">Наиболее популярным </w:t>
      </w:r>
      <w:r w:rsidR="00773AAD">
        <w:rPr>
          <w:rFonts w:ascii="Times New Roman" w:eastAsia="TimesNewRomanPSMT" w:hAnsi="Times New Roman" w:cs="Times New Roman"/>
          <w:sz w:val="28"/>
          <w:szCs w:val="28"/>
        </w:rPr>
        <w:t xml:space="preserve">радиофармпрепаратом </w:t>
      </w:r>
      <w:r w:rsidRPr="00A43B9C">
        <w:rPr>
          <w:rFonts w:ascii="Times New Roman" w:eastAsia="TimesNewRomanPSMT" w:hAnsi="Times New Roman" w:cs="Times New Roman"/>
          <w:sz w:val="28"/>
          <w:szCs w:val="28"/>
        </w:rPr>
        <w:t xml:space="preserve">для визуализации злокачественных новообразований является </w:t>
      </w:r>
      <w:r w:rsidRPr="00A43B9C">
        <w:rPr>
          <w:rFonts w:ascii="Times New Roman" w:eastAsia="TimesNewRomanPSMT" w:hAnsi="Times New Roman" w:cs="Times New Roman"/>
          <w:sz w:val="28"/>
          <w:szCs w:val="28"/>
          <w:vertAlign w:val="superscript"/>
        </w:rPr>
        <w:t>18</w:t>
      </w:r>
      <w:r w:rsidRPr="00A43B9C">
        <w:rPr>
          <w:rFonts w:ascii="Times New Roman" w:eastAsia="TimesNewRomanPSMT" w:hAnsi="Times New Roman" w:cs="Times New Roman"/>
          <w:sz w:val="28"/>
          <w:szCs w:val="28"/>
        </w:rPr>
        <w:t>F-фтордезоксиглюкоза</w:t>
      </w:r>
      <w:r w:rsidR="00773AAD">
        <w:rPr>
          <w:rFonts w:ascii="Times New Roman" w:eastAsia="TimesNewRomanPSMT" w:hAnsi="Times New Roman" w:cs="Times New Roman"/>
          <w:sz w:val="28"/>
          <w:szCs w:val="28"/>
        </w:rPr>
        <w:br/>
      </w:r>
      <w:r w:rsidRPr="00A43B9C">
        <w:rPr>
          <w:rFonts w:ascii="Times New Roman" w:eastAsia="TimesNewRomanPSMT" w:hAnsi="Times New Roman" w:cs="Times New Roman"/>
          <w:sz w:val="28"/>
          <w:szCs w:val="28"/>
        </w:rPr>
        <w:t>(</w:t>
      </w:r>
      <w:r w:rsidRPr="00A43B9C">
        <w:rPr>
          <w:rFonts w:ascii="Times New Roman" w:eastAsia="TimesNewRomanPSMT" w:hAnsi="Times New Roman" w:cs="Times New Roman"/>
          <w:sz w:val="28"/>
          <w:szCs w:val="28"/>
          <w:vertAlign w:val="superscript"/>
        </w:rPr>
        <w:t>18</w:t>
      </w:r>
      <w:r w:rsidRPr="00A43B9C">
        <w:rPr>
          <w:rFonts w:ascii="Times New Roman" w:eastAsia="TimesNewRomanPSMT" w:hAnsi="Times New Roman" w:cs="Times New Roman"/>
          <w:sz w:val="28"/>
          <w:szCs w:val="28"/>
        </w:rPr>
        <w:t>F-</w:t>
      </w:r>
      <w:r w:rsidRPr="00A43B9C">
        <w:rPr>
          <w:rFonts w:ascii="Times New Roman" w:eastAsia="TimesNewRomanPSMT" w:hAnsi="Times New Roman" w:cs="Times New Roman"/>
          <w:sz w:val="28"/>
          <w:szCs w:val="28"/>
          <w:lang w:val="en-US"/>
        </w:rPr>
        <w:t>FDG</w:t>
      </w:r>
      <w:r w:rsidRPr="00A43B9C">
        <w:rPr>
          <w:rFonts w:ascii="Times New Roman" w:eastAsia="TimesNewRomanPSMT" w:hAnsi="Times New Roman" w:cs="Times New Roman"/>
          <w:sz w:val="28"/>
          <w:szCs w:val="28"/>
        </w:rPr>
        <w:t xml:space="preserve">), </w:t>
      </w:r>
      <w:r w:rsidR="00983CE8">
        <w:rPr>
          <w:rFonts w:ascii="Times New Roman" w:eastAsia="TimesNewRomanPSMT" w:hAnsi="Times New Roman" w:cs="Times New Roman"/>
          <w:sz w:val="28"/>
          <w:szCs w:val="28"/>
        </w:rPr>
        <w:t xml:space="preserve">биологический </w:t>
      </w:r>
      <w:r w:rsidRPr="00A43B9C">
        <w:rPr>
          <w:rFonts w:ascii="Times New Roman" w:eastAsia="TimesNewRomanPSMT" w:hAnsi="Times New Roman" w:cs="Times New Roman"/>
          <w:sz w:val="28"/>
          <w:szCs w:val="28"/>
        </w:rPr>
        <w:t>аналог глюкозы</w:t>
      </w:r>
      <w:r w:rsidR="00604B71" w:rsidRPr="00D262B6">
        <w:rPr>
          <w:rFonts w:ascii="Times New Roman" w:eastAsia="TimesNewRomanPSMT" w:hAnsi="Times New Roman" w:cs="Times New Roman"/>
          <w:sz w:val="28"/>
          <w:szCs w:val="28"/>
        </w:rPr>
        <w:t xml:space="preserve">, </w:t>
      </w:r>
      <w:r w:rsidR="00604B71" w:rsidRPr="00D262B6">
        <w:rPr>
          <w:rFonts w:ascii="Times New Roman" w:hAnsi="Times New Roman" w:cs="Times New Roman"/>
          <w:sz w:val="28"/>
          <w:szCs w:val="28"/>
          <w:shd w:val="clear" w:color="auto" w:fill="FFFFFF"/>
        </w:rPr>
        <w:t>позволяющая оценивать гликолитическую активность тканей</w:t>
      </w:r>
      <w:r w:rsidRPr="00D262B6">
        <w:rPr>
          <w:rFonts w:ascii="Times New Roman" w:eastAsia="TimesNewRomanPSMT" w:hAnsi="Times New Roman" w:cs="Times New Roman"/>
          <w:sz w:val="28"/>
          <w:szCs w:val="28"/>
        </w:rPr>
        <w:t>. Я</w:t>
      </w:r>
      <w:r w:rsidRPr="00A43B9C">
        <w:rPr>
          <w:rFonts w:ascii="Times New Roman" w:eastAsia="TimesNewRomanPSMT" w:hAnsi="Times New Roman" w:cs="Times New Roman"/>
          <w:sz w:val="28"/>
          <w:szCs w:val="28"/>
        </w:rPr>
        <w:t xml:space="preserve">вляясь неспецифическим туморотропным </w:t>
      </w:r>
      <w:r w:rsidR="00773AAD">
        <w:rPr>
          <w:rFonts w:ascii="Times New Roman" w:eastAsia="TimesNewRomanPSMT" w:hAnsi="Times New Roman" w:cs="Times New Roman"/>
          <w:sz w:val="28"/>
          <w:szCs w:val="28"/>
        </w:rPr>
        <w:t>радиофармпрепаратом</w:t>
      </w:r>
      <w:r w:rsidRPr="00A43B9C">
        <w:rPr>
          <w:rFonts w:ascii="Times New Roman" w:eastAsia="TimesNewRomanPSMT" w:hAnsi="Times New Roman" w:cs="Times New Roman"/>
          <w:sz w:val="28"/>
          <w:szCs w:val="28"/>
        </w:rPr>
        <w:t xml:space="preserve">, </w:t>
      </w:r>
      <w:r w:rsidRPr="00A43B9C">
        <w:rPr>
          <w:rFonts w:ascii="Times New Roman" w:eastAsia="TimesNewRomanPSMT" w:hAnsi="Times New Roman" w:cs="Times New Roman"/>
          <w:sz w:val="28"/>
          <w:szCs w:val="28"/>
          <w:vertAlign w:val="superscript"/>
        </w:rPr>
        <w:t>18</w:t>
      </w:r>
      <w:r w:rsidRPr="00A43B9C">
        <w:rPr>
          <w:rFonts w:ascii="Times New Roman" w:eastAsia="TimesNewRomanPSMT" w:hAnsi="Times New Roman" w:cs="Times New Roman"/>
          <w:sz w:val="28"/>
          <w:szCs w:val="28"/>
        </w:rPr>
        <w:t>F-</w:t>
      </w:r>
      <w:r w:rsidRPr="00A43B9C">
        <w:rPr>
          <w:rFonts w:ascii="Times New Roman" w:eastAsia="TimesNewRomanPSMT" w:hAnsi="Times New Roman" w:cs="Times New Roman"/>
          <w:sz w:val="28"/>
          <w:szCs w:val="28"/>
          <w:lang w:val="en-US"/>
        </w:rPr>
        <w:t>FDG</w:t>
      </w:r>
      <w:r w:rsidRPr="00A43B9C">
        <w:rPr>
          <w:rFonts w:ascii="Times New Roman" w:eastAsia="TimesNewRomanPSMT" w:hAnsi="Times New Roman" w:cs="Times New Roman"/>
          <w:sz w:val="28"/>
          <w:szCs w:val="28"/>
        </w:rPr>
        <w:t xml:space="preserve"> активно накапливается в очагах воспаления и инфекции за счет поглощения макрофагами. Однако в ряде случаев дифференциальная диагностика воспалительных и опухолевых процессов может быть затруднена</w:t>
      </w:r>
      <w:r w:rsidR="00EA427F" w:rsidRPr="00A43B9C">
        <w:rPr>
          <w:rFonts w:ascii="Times New Roman" w:eastAsia="TimesNewRomanPSMT" w:hAnsi="Times New Roman" w:cs="Times New Roman"/>
          <w:sz w:val="28"/>
          <w:szCs w:val="28"/>
        </w:rPr>
        <w:t>,</w:t>
      </w:r>
      <w:r w:rsidRPr="00A43B9C">
        <w:rPr>
          <w:rFonts w:ascii="Times New Roman" w:eastAsia="TimesNewRomanPSMT" w:hAnsi="Times New Roman" w:cs="Times New Roman"/>
          <w:sz w:val="28"/>
          <w:szCs w:val="28"/>
        </w:rPr>
        <w:t xml:space="preserve"> </w:t>
      </w:r>
      <w:r w:rsidR="00773AAD">
        <w:rPr>
          <w:rFonts w:ascii="Times New Roman" w:eastAsia="TimesNewRomanPSMT" w:hAnsi="Times New Roman" w:cs="Times New Roman"/>
          <w:sz w:val="28"/>
          <w:szCs w:val="28"/>
        </w:rPr>
        <w:t xml:space="preserve">и </w:t>
      </w:r>
      <w:r w:rsidRPr="00A43B9C">
        <w:rPr>
          <w:rFonts w:ascii="Times New Roman" w:eastAsia="TimesNewRomanPSMT" w:hAnsi="Times New Roman" w:cs="Times New Roman"/>
          <w:sz w:val="28"/>
          <w:szCs w:val="28"/>
        </w:rPr>
        <w:t>при интерпретации результатов исследо</w:t>
      </w:r>
      <w:r w:rsidR="00773AAD">
        <w:rPr>
          <w:rFonts w:ascii="Times New Roman" w:eastAsia="TimesNewRomanPSMT" w:hAnsi="Times New Roman" w:cs="Times New Roman"/>
          <w:sz w:val="28"/>
          <w:szCs w:val="28"/>
        </w:rPr>
        <w:t>-</w:t>
      </w:r>
      <w:r w:rsidRPr="00A43B9C">
        <w:rPr>
          <w:rFonts w:ascii="Times New Roman" w:eastAsia="TimesNewRomanPSMT" w:hAnsi="Times New Roman" w:cs="Times New Roman"/>
          <w:sz w:val="28"/>
          <w:szCs w:val="28"/>
        </w:rPr>
        <w:t xml:space="preserve">вания необходимо учитывать физиологическую аккумуляцию </w:t>
      </w:r>
      <w:r w:rsidRPr="00A43B9C">
        <w:rPr>
          <w:rFonts w:ascii="Times New Roman" w:eastAsia="TimesNewRomanPSMT" w:hAnsi="Times New Roman" w:cs="Times New Roman"/>
          <w:sz w:val="28"/>
          <w:szCs w:val="28"/>
          <w:vertAlign w:val="superscript"/>
        </w:rPr>
        <w:t>18</w:t>
      </w:r>
      <w:r w:rsidRPr="00A43B9C">
        <w:rPr>
          <w:rFonts w:ascii="Times New Roman" w:eastAsia="TimesNewRomanPSMT" w:hAnsi="Times New Roman" w:cs="Times New Roman"/>
          <w:sz w:val="28"/>
          <w:szCs w:val="28"/>
        </w:rPr>
        <w:t>F-</w:t>
      </w:r>
      <w:r w:rsidRPr="00A43B9C">
        <w:rPr>
          <w:rFonts w:ascii="Times New Roman" w:eastAsia="TimesNewRomanPSMT" w:hAnsi="Times New Roman" w:cs="Times New Roman"/>
          <w:sz w:val="28"/>
          <w:szCs w:val="28"/>
          <w:lang w:val="en-US"/>
        </w:rPr>
        <w:t>FDG</w:t>
      </w:r>
      <w:r w:rsidRPr="00A43B9C">
        <w:rPr>
          <w:rFonts w:ascii="Times New Roman" w:eastAsia="TimesNewRomanPSMT" w:hAnsi="Times New Roman" w:cs="Times New Roman"/>
          <w:sz w:val="28"/>
          <w:szCs w:val="28"/>
        </w:rPr>
        <w:t xml:space="preserve">, </w:t>
      </w:r>
      <w:r w:rsidRPr="00A43B9C">
        <w:rPr>
          <w:rFonts w:ascii="Times New Roman" w:eastAsia="TimesNewRomanPSMT" w:hAnsi="Times New Roman" w:cs="Times New Roman"/>
          <w:sz w:val="28"/>
          <w:szCs w:val="28"/>
        </w:rPr>
        <w:lastRenderedPageBreak/>
        <w:t xml:space="preserve">которая в норме накапливается в коре головного мозга, лимфоидной ткани кольца Вальдейера, миокарде, чашечно-лоханочной системе почек и мочевом пузыре. Кроме того, умеренная аккумуляция </w:t>
      </w:r>
      <w:r w:rsidRPr="00A43B9C">
        <w:rPr>
          <w:rFonts w:ascii="Times New Roman" w:eastAsia="TimesNewRomanPSMT" w:hAnsi="Times New Roman" w:cs="Times New Roman"/>
          <w:sz w:val="28"/>
          <w:szCs w:val="28"/>
          <w:vertAlign w:val="superscript"/>
        </w:rPr>
        <w:t>18</w:t>
      </w:r>
      <w:r w:rsidRPr="00A43B9C">
        <w:rPr>
          <w:rFonts w:ascii="Times New Roman" w:eastAsia="TimesNewRomanPSMT" w:hAnsi="Times New Roman" w:cs="Times New Roman"/>
          <w:sz w:val="28"/>
          <w:szCs w:val="28"/>
        </w:rPr>
        <w:t>F-</w:t>
      </w:r>
      <w:r w:rsidRPr="00A43B9C">
        <w:rPr>
          <w:rFonts w:ascii="Times New Roman" w:eastAsia="TimesNewRomanPSMT" w:hAnsi="Times New Roman" w:cs="Times New Roman"/>
          <w:sz w:val="28"/>
          <w:szCs w:val="28"/>
          <w:lang w:val="en-US"/>
        </w:rPr>
        <w:t>FDG</w:t>
      </w:r>
      <w:r w:rsidRPr="00A43B9C">
        <w:rPr>
          <w:rFonts w:ascii="Times New Roman" w:eastAsia="TimesNewRomanPSMT" w:hAnsi="Times New Roman" w:cs="Times New Roman"/>
          <w:sz w:val="28"/>
          <w:szCs w:val="28"/>
        </w:rPr>
        <w:t xml:space="preserve"> отмечается в паренхиме печени и стенках желудка. Следует помнить о том, что физиологическое фрагментарное накопление </w:t>
      </w:r>
      <w:r w:rsidR="00773AAD">
        <w:rPr>
          <w:rFonts w:ascii="Times New Roman" w:eastAsia="TimesNewRomanPSMT" w:hAnsi="Times New Roman" w:cs="Times New Roman"/>
          <w:sz w:val="28"/>
          <w:szCs w:val="28"/>
        </w:rPr>
        <w:t>радиофармпрепарата</w:t>
      </w:r>
      <w:r w:rsidRPr="00A43B9C">
        <w:rPr>
          <w:rFonts w:ascii="Times New Roman" w:eastAsia="TimesNewRomanPSMT" w:hAnsi="Times New Roman" w:cs="Times New Roman"/>
          <w:sz w:val="28"/>
          <w:szCs w:val="28"/>
        </w:rPr>
        <w:t xml:space="preserve"> в кишечнике может явиться источником ложноположительных результатов при обследовании пациентов с подозрением на </w:t>
      </w:r>
      <w:r w:rsidR="00773AAD">
        <w:rPr>
          <w:rFonts w:ascii="Times New Roman" w:eastAsia="TimesNewRomanPSMT" w:hAnsi="Times New Roman" w:cs="Times New Roman"/>
          <w:sz w:val="28"/>
          <w:szCs w:val="28"/>
        </w:rPr>
        <w:t>колоректальный рак</w:t>
      </w:r>
      <w:r w:rsidRPr="00A43B9C">
        <w:rPr>
          <w:rFonts w:ascii="Times New Roman" w:eastAsia="TimesNewRomanPSMT" w:hAnsi="Times New Roman" w:cs="Times New Roman"/>
          <w:sz w:val="28"/>
          <w:szCs w:val="28"/>
        </w:rPr>
        <w:t>.</w:t>
      </w:r>
      <w:r w:rsidR="00D85264" w:rsidRPr="00A43B9C">
        <w:rPr>
          <w:rFonts w:ascii="Times New Roman" w:eastAsia="TimesNewRomanPSMT" w:hAnsi="Times New Roman" w:cs="Times New Roman"/>
          <w:sz w:val="28"/>
          <w:szCs w:val="28"/>
        </w:rPr>
        <w:t xml:space="preserve"> </w:t>
      </w:r>
      <w:r w:rsidRPr="00A43B9C">
        <w:rPr>
          <w:rFonts w:ascii="Times New Roman" w:eastAsia="TimesNewRomanPSMT" w:hAnsi="Times New Roman" w:cs="Times New Roman"/>
          <w:sz w:val="28"/>
          <w:szCs w:val="28"/>
        </w:rPr>
        <w:t xml:space="preserve">В клинике </w:t>
      </w:r>
      <w:r w:rsidRPr="00A43B9C">
        <w:rPr>
          <w:rFonts w:ascii="Times New Roman" w:eastAsia="TimesNewRomanPSMT" w:hAnsi="Times New Roman" w:cs="Times New Roman"/>
          <w:sz w:val="28"/>
          <w:szCs w:val="28"/>
          <w:vertAlign w:val="superscript"/>
        </w:rPr>
        <w:t>18</w:t>
      </w:r>
      <w:r w:rsidRPr="00A43B9C">
        <w:rPr>
          <w:rFonts w:ascii="Times New Roman" w:eastAsia="TimesNewRomanPSMT" w:hAnsi="Times New Roman" w:cs="Times New Roman"/>
          <w:sz w:val="28"/>
          <w:szCs w:val="28"/>
        </w:rPr>
        <w:t>F-</w:t>
      </w:r>
      <w:r w:rsidRPr="00A43B9C">
        <w:rPr>
          <w:rFonts w:ascii="Times New Roman" w:eastAsia="TimesNewRomanPSMT" w:hAnsi="Times New Roman" w:cs="Times New Roman"/>
          <w:sz w:val="28"/>
          <w:szCs w:val="28"/>
          <w:lang w:val="en-US"/>
        </w:rPr>
        <w:t>FDG</w:t>
      </w:r>
      <w:r w:rsidRPr="00A43B9C">
        <w:rPr>
          <w:rFonts w:ascii="Times New Roman" w:eastAsia="TimesNewRomanPSMT" w:hAnsi="Times New Roman" w:cs="Times New Roman"/>
          <w:sz w:val="28"/>
          <w:szCs w:val="28"/>
        </w:rPr>
        <w:t xml:space="preserve"> ПЭТ/КТ используется для диагностики </w:t>
      </w:r>
      <w:r w:rsidR="00773AAD">
        <w:rPr>
          <w:rFonts w:ascii="Times New Roman" w:eastAsia="TimesNewRomanPSMT" w:hAnsi="Times New Roman" w:cs="Times New Roman"/>
          <w:sz w:val="28"/>
          <w:szCs w:val="28"/>
        </w:rPr>
        <w:t xml:space="preserve">эпителиального рака яичников </w:t>
      </w:r>
      <w:r w:rsidRPr="00A43B9C">
        <w:rPr>
          <w:rFonts w:ascii="Times New Roman" w:eastAsia="TimesNewRomanPSMT" w:hAnsi="Times New Roman" w:cs="Times New Roman"/>
          <w:sz w:val="28"/>
          <w:szCs w:val="28"/>
        </w:rPr>
        <w:t xml:space="preserve">и </w:t>
      </w:r>
      <w:r w:rsidR="00773AAD">
        <w:rPr>
          <w:rFonts w:ascii="Times New Roman" w:eastAsia="TimesNewRomanPSMT" w:hAnsi="Times New Roman" w:cs="Times New Roman"/>
          <w:sz w:val="28"/>
          <w:szCs w:val="28"/>
        </w:rPr>
        <w:t>колоректаль-ного рака</w:t>
      </w:r>
      <w:r w:rsidRPr="00A43B9C">
        <w:rPr>
          <w:rFonts w:ascii="Times New Roman" w:eastAsia="TimesNewRomanPSMT" w:hAnsi="Times New Roman" w:cs="Times New Roman"/>
          <w:sz w:val="28"/>
          <w:szCs w:val="28"/>
        </w:rPr>
        <w:t>, стадирования заболевания, динамического наблюдения на этапах лечения, выявления рецидивов и прогрессирования патологического процесса, а также прогноза течения злокачественного новообразования. Кроме того, метод имеет прогностическую ценность путем определения уровня накопле</w:t>
      </w:r>
      <w:r w:rsidR="00773AAD">
        <w:rPr>
          <w:rFonts w:ascii="Times New Roman" w:eastAsia="TimesNewRomanPSMT" w:hAnsi="Times New Roman" w:cs="Times New Roman"/>
          <w:sz w:val="28"/>
          <w:szCs w:val="28"/>
        </w:rPr>
        <w:t>-</w:t>
      </w:r>
      <w:r w:rsidRPr="00A43B9C">
        <w:rPr>
          <w:rFonts w:ascii="Times New Roman" w:eastAsia="TimesNewRomanPSMT" w:hAnsi="Times New Roman" w:cs="Times New Roman"/>
          <w:sz w:val="28"/>
          <w:szCs w:val="28"/>
        </w:rPr>
        <w:t>ни</w:t>
      </w:r>
      <w:r w:rsidR="009C5FDC" w:rsidRPr="00A43B9C">
        <w:rPr>
          <w:rFonts w:ascii="Times New Roman" w:eastAsia="TimesNewRomanPSMT" w:hAnsi="Times New Roman" w:cs="Times New Roman"/>
          <w:sz w:val="28"/>
          <w:szCs w:val="28"/>
        </w:rPr>
        <w:t>я</w:t>
      </w:r>
      <w:r w:rsidRPr="00A43B9C">
        <w:rPr>
          <w:rFonts w:ascii="Times New Roman" w:eastAsia="TimesNewRomanPSMT" w:hAnsi="Times New Roman" w:cs="Times New Roman"/>
          <w:sz w:val="28"/>
          <w:szCs w:val="28"/>
        </w:rPr>
        <w:t xml:space="preserve"> </w:t>
      </w:r>
      <w:r w:rsidR="005D7138">
        <w:rPr>
          <w:rFonts w:ascii="Times New Roman" w:eastAsia="TimesNewRomanPSMT" w:hAnsi="Times New Roman" w:cs="Times New Roman"/>
          <w:sz w:val="28"/>
          <w:szCs w:val="28"/>
        </w:rPr>
        <w:t>радиофармпрепарат</w:t>
      </w:r>
      <w:r w:rsidR="00773AAD">
        <w:rPr>
          <w:rFonts w:ascii="Times New Roman" w:eastAsia="TimesNewRomanPSMT" w:hAnsi="Times New Roman" w:cs="Times New Roman"/>
          <w:sz w:val="28"/>
          <w:szCs w:val="28"/>
        </w:rPr>
        <w:t>а</w:t>
      </w:r>
      <w:r w:rsidR="005D7138">
        <w:rPr>
          <w:rFonts w:ascii="Times New Roman" w:eastAsia="TimesNewRomanPSMT" w:hAnsi="Times New Roman" w:cs="Times New Roman"/>
          <w:sz w:val="28"/>
          <w:szCs w:val="28"/>
        </w:rPr>
        <w:t xml:space="preserve"> в тканях опухоли</w:t>
      </w:r>
      <w:r w:rsidRPr="00A43B9C">
        <w:rPr>
          <w:rFonts w:ascii="Times New Roman" w:eastAsia="TimesNewRomanPSMT" w:hAnsi="Times New Roman" w:cs="Times New Roman"/>
          <w:sz w:val="28"/>
          <w:szCs w:val="28"/>
        </w:rPr>
        <w:t xml:space="preserve"> </w:t>
      </w:r>
      <w:r w:rsidRPr="00A43B9C">
        <w:rPr>
          <w:rFonts w:ascii="Times New Roman" w:eastAsia="TimesNewRomanPSMT" w:hAnsi="Times New Roman" w:cs="Times New Roman"/>
          <w:sz w:val="28"/>
          <w:szCs w:val="28"/>
        </w:rPr>
        <w:fldChar w:fldCharType="begin"/>
      </w:r>
      <w:r w:rsidR="00F6152F">
        <w:rPr>
          <w:rFonts w:ascii="Times New Roman" w:eastAsia="TimesNewRomanPSMT" w:hAnsi="Times New Roman" w:cs="Times New Roman"/>
          <w:sz w:val="28"/>
          <w:szCs w:val="28"/>
        </w:rPr>
        <w:instrText xml:space="preserve"> ADDIN ZOTERO_ITEM CSL_CITATION {"citationID":"1xYvarPI","properties":{"formattedCitation":"[4, 6, 8\\uc0\\u8211{}12, 16, 30, 34, 37, 43, 49]","plainCitation":"[4, 6, 8–12, 16, 30, 34, 37, 43, 49]","noteIndex":0},"citationItems":[{"id":323,"uris":["http://zotero.org/users/8787459/items/W5AX9BCM"],"itemData":{"id":323,"type":"article-journal","abstract":"Accurate diagnosis and staging are essential for the optimal management of cancer patients. Positron emission tomography with 2-deoxy-2-[fluorine-18]fluoro- D-glucose integrated with computed tomography (18F-FDG PET/CT) has emerged as a powerful imaging tool for the detection of various cancers. The combined acquisition of PET and CT has synergistic advantages over PET or CT alone and minimizes their individual limitations. It is a valuable tool for staging and restaging of some tumors and has an important role in the detection of recurrence in asymptomatic patients with rising tumor marker levels and patients with negative or equivocal findings on conventional imaging techniques. It also allows for monitoring response to therapy and permitting timely modification of therapeutic regimens. In about 27% of the patients, the course of managment is changed. This review provides guidance for oncologists/ radiotherapists and clinical and surgical specialists on the use of 18F-FDG PET/CT in oncology.","container-title":"Annals of Saudi Medicine","DOI":"10.4103/0256-4947.75771","ISSN":"0256-4947","issue":"1","journalAbbreviation":"Ann Saudi Med","note":"PMID: 21245592\nPMCID: PMC3101722","page":"3-13","source":"PubMed Central","title":"18F-FDG PET/CT Imaging In Oncology","volume":"31","author":[{"family":"Almuhaideb","given":"Ahmad"},{"family":"Papathanasiou","given":"Nikolaos"},{"family":"Bomanji","given":"Jamshed"}],"issued":{"date-parts":[["2011"]]}},"label":"page"},{"id":279,"uris":["http://zotero.org/users/8787459/items/DTA2AYFZ"],"itemData":{"id":279,"type":"article-journal","abstract":"Multimodality imaging, as represented by its greatest exponent, PET/CT, has a firm place in the evaluation of a patient presenting with cancer. With 18F-FDG, PET/CT is rapidly becoming the key investigative tool for the staging and assessment of cancer recurrence. In the last 5 y, PET/CT has also gained widespread acceptance as a key tool used to demonstrate early response to intervention and therapy. In this setting, a major clinical need is being addressed with 18F-FDG PET/CT, because of its inherent ability to demonstrate (before other markers of response) if disease modification has occurred. This review presents available evidence to this effect.","container-title":"Journal of Nuclear Medicine: Official Publication, Society of Nuclear Medicine","DOI":"10.2967/jnumed.108.054205","ISSN":"0161-5505","issue":"1","journalAbbreviation":"J Nucl Med","language":"eng","note":"PMID: 19139187","page":"88-99","source":"PubMed","title":"18F-FDG PET and PET/CT in the evaluation of cancer treatment response","volume":"50","author":[{"family":"Ben-Haim","given":"Simona"},{"family":"Ell","given":"Peter"}],"issued":{"date-parts":[["2009",1]]}},"label":"page"},{"id":430,"uris":["http://zotero.org/users/8787459/items/UG6Q8Y52"],"itemData":{"id":430,"type":"article-journal","abstract":"Positron emission Tomography (PET) with 2-[(18)F]-fluoro-2-deoxy-d-glucose (FDG) is a functional imaging technique with increasing value in special diagnostic fields of gastrointestinal tumours. In the initial staging of esophageal and gastric cancer, FDG-PET is useful in the staging of patients with advanced but local resectable disease. The detection of distant metastases results in an up-staging, and these patients should not be treated by surgery. Furthermore, FDG-PET is sufficient for monitoring early therapy responses after neoadjuvant treatment and enables one to select non-responders who may benefit from therapy alterations. Major indications for FDG-PET in patients with rectal carcinoma are therapy monitoring and diagnosis of relapses, especially the differentiation between tumour and scar and also the localisation of tumour manifestations in cases with increasing tumour markers. FDG-PET is very efficient in the imaging of pulmonal and hepatic metastases of colorectal cancer but not in lymph node staging. In diagnostic procedures for pancreatic carcinoma, FDG-PET can be recommended to explore the dignity of pancreatic lesions and in the imaging of tumour relapses. For gastrointestinal stroma tumours, FDG-PET is useful for the monitoring of therapy and the initial staging. For imaging of hepatocellular carcinoma and carcinoma of the gall bladder, FDG-PET is not sufficient.","container-title":"Zeitschrift Fur Gastroenterologie","DOI":"10.1055/s-2007-963637","ISSN":"0044-2771","issue":"4","journalAbbreviation":"Z Gastroenterol","language":"ger","note":"PMID: 18393156","page":"367-375","source":"PubMed","title":"[[18F]-FDG-PET in the diagnostics of gastrointestinal tumors]","volume":"46","author":[{"family":"Buchmann","given":"I."},{"family":"Ganten","given":"T. M."},{"family":"Haberkorn","given":"U."}],"issued":{"date-parts":[["2008",4]]}},"label":"page"},{"id":316,"uris":["http://zotero.org/users/8787459/items/F92CH7GB"],"itemData":{"id":316,"type":"article-journal","abstract":"AIM: To evaluate the value of 18F-DG PET/CT in detecting recurrence and/or metastasis of colorectal cancer (CRC)., METHODS: Combined visual analysis with semiquantitative analysis, the 18F-DG PET/CT whole-body imaging results and the corresponding clinical data of 68 postoperative CRC patients including 48 male and 20 female with average age of 58.1 were analyzed retrospectively., RESULTS: Recurrence and/or metastasis were confirmed in 56 patients in the clinical follow-up after the PET/CT imaging. The sensitivity of PET/CT diagnosis of CRC recurrence and/or metastasis was 94.6%, and the specificity was 83.3%. The positive predictive value (PPV) was 96.4% and the negative predictive value (NPV) was 76.9%. PET/CT imaging detected one or more occult malignant lesions in 8 cases where abdominal/pelvic CT and/or ultrasonography showed negative findings, and also detected more lesions than CT or ultrasonography did in 30.4% (17/56) cases. Recurrence and/or metastasis was detected in 91.7% (22/24) cases with elevated serum CEA levels by 18F-DG PET/CT imaging., CONCLUSION: 18F-DG PET/CT could detect the recurrence and/or metastasis of CRC with high sensitivity and specificity.","container-title":"World Journal of Gastroenterology : WJG","DOI":"10.3748/wjg.v13.i37.5025","ISSN":"1007-9327","issue":"37","journalAbbreviation":"World J Gastroenterol","note":"PMID: 17854148\nPMCID: PMC4434629","page":"5025-5029","source":"PubMed Central","title":"18F-DG PET/CT in detection of recurrence and metastasis of colorectal cancer","volume":"13","author":[{"family":"Chen","given":"Long-Bang"},{"family":"Tong","given":"Jin-Long"},{"family":"Song","given":"Hai-Zhu"},{"family":"Zhu","given":"Hong"},{"family":"Wang","given":"Yu-Cai"}],"issued":{"date-parts":[["2007",10,7]]}},"label":"page"},{"id":311,"uris":["http://zotero.org/users/8787459/items/AGWWLERQ"],"itemData":{"id":311,"type":"article-journal","abstract":"The evaluation of patients with known or suspected recurrent colorectal carcinoma is now an accepted indication for positron emission tomography using (18)F-fluorodeoxyglucose (FDG-PET) imaging. FDG-PET does not replace imaging modalities such as computed tomography (CT) for preoperative anatomic evaluation but is indicated as the initial test for diagnosis and staging of recurrence and for preoperative staging (N and M) of known recurrence that is considered to be resectable. FDG-PET imaging is valuable for the differentiation of posttreatment changes from recurrent tumor, differentiation of benign from malignant lesions (indeterminate lymph nodes, hepatic and pulmonary lesions), and the evaluation of patients with rising tumor markers in the absence of a known source. The addition of FDG-PET to the evaluation of these patients reduces overall treatment costs by accurately identifying patients who will and will not benefit from surgical procedures. Although initial staging at the time of diagnosis is often performed during colectomy, FDG-PET imaging is recommended for a subgroup of patients at high risk (with elevated CEA levels) and normal CT and for whom surgery can be avoided if FDG-PET shows metastases. Screening for recurrence in patients at high risk has also been advocated. FDG-PET imaging seems promising for monitoring patient response to therapy but larger studies are necessary. The diagnostic implications of integrated PET-CT imaging include improved detection of lesions on both the CT and FDG-PET images, better differentiation of physiologic from pathologic foci of metabolism, and better localization of the pathologic foci. This new powerful technology provides more accurate interpretation of both CT and FDG-PET images and therefore more optimal patient care. PET-CT fusion images affect the clinical management by guiding further procedures (biopsy, surgery, radiation therapy), excluding the need for additional procedures, and changing both inter- and intramodality therapy.","container-title":"Seminars in Nuclear Medicine","DOI":"10.1053/j.semnuclmed.2004.03.006","ISSN":"0001-2998","issue":"3","journalAbbreviation":"Semin Nucl Med","language":"eng","note":"PMID: 15202102","page":"209-223","source":"PubMed","title":"PET and PET-CT for evaluation of colorectal carcinoma","volume":"34","author":[{"family":"Delbeke","given":"Dominique"},{"family":"Martin","given":"William H."}],"issued":{"date-parts":[["2004",7]]}},"label":"page"},{"id":632,"uris":["http://zotero.org/users/8787459/items/22L9UWXV"],"itemData":{"id":632,"type":"article-journal","abstract":"INTRODUCTION: 18F-fluoro-2-deoxyglucose positron emission tomography/computed tomography (18F-FDG PET/CT) is a diagnostic tool widely used in oncology, but to date there are no established recommendations for its use in malignant ovarian germ cell tumors. The aim of this study was to evaluate the role of 18F-FDG PET/CT in the clinical management of patients with malignant ovarian germ cell tumors.\nMETHODS: This was a retrospective review of 18F-FDG PET/CT scans performed in patients diagnosed with malignant ovarian germ cell tumors treated at the gynecology department of San Gerardo Hospital (Monza, Italy) from June 2006 to December 2016. Data collected included clinical history, radiological, biochemical and pathological evaluation, treatment, follow-up, outcome, and clinical indication for the PET/CT scan. PET/CT findings were categorized as negative/normal (no abnormal FDG uptake or physiological uptake), positive/abnormal (FDG uptake considered to indicate active germ cell malignancy), or equivocal (FDG uptake of uncertain significance, not clearly correlated to neoplastic disease).\nRESULTS: A total of 69 PET/CT scans in 37 patients were evaluated. The mean age at diagnosis was 25 years (range 20-48). The majority of patients had International Federation of Gynecology and Obstetrics (FIGO) stage I (22/37) disease and had a diagnosis of dysgerminomas (18/37). Imaging indications were initial staging before treatment (4/69, 6%), staging after inadequate staging surgery (24/69, 35%), restaging after adjuvant chemotherapy (17/69, 25%), relapse suspect (9/69, 13%), and follow-up (15/69, 21%). Pathology confirmation of PET/CT results was available in 28/69 (40.5%) studies. All negative PET/CT (15/28) cases were confirmed with laparoscopy as true negative; among 13/28 positive PET cases, histopathology confirmed 7 (54%) as true positive and 6 (46%) as false positive (5 inflammatory and 1 mature teratoma implants). Patient-based analysis showed 100% sensitivity, 71% specificity, 54% positive predictive value, 100% negative predictive value, and 79% accuracy. Clinical follow-up was available in 41 (59.4%) of 69 PET/CT images: 28/41 studies were negative and 13/41 positive. A mean follow-up of 28 months (median 15, range 5-102) confirmed negative PET/CT studies. A total of 13 positive PET/CT patients underwent chemotherapy with subsequent evidence of disease response.\nDISCUSSION: PET/CT in malignant ovarian germ cell tumors was mainly performed for staging after inadequate staging surgery or for restaging after adjuvant chemotherapy. PET/CT was associated with high sensitivity and negative predictive value.","container-title":"International Journal of Gynecological Cancer: Official Journal of the International Gynecological Cancer Society","DOI":"10.1136/ijgc-2019-000586","ISSN":"1525-1438","issue":"8","journalAbbreviation":"Int J Gynecol Cancer","language":"eng","note":"PMID: 31366569","page":"1298-1303","source":"PubMed","title":"Role of 18 F-fluoro-2-deoxyglucose positron emission tomography/computed tomography (18F-FDG PET/CT) in malignant ovarian germ cell tumors: a single-center experience with long term follow-up","title-short":"Role of 18 F-fluoro-2-deoxyglucose positron emission tomography/computed tomography (18F-FDG PET/CT) in malignant ovarian germ cell tumors","volume":"29","author":[{"family":"Dolci","given":"Carlotta"},{"family":"Ceppi","given":"Lorenzo"},{"family":"Guerra","given":"Luca"},{"family":"Crivellaro","given":"Cinzia"},{"family":"Lamanna","given":"Maria"},{"family":"Adorni","given":"Marco"},{"family":"Elisei","given":"Federica"},{"family":"Bonazzi","given":"Cristina Maria"},{"family":"Sina","given":"Federica"},{"family":"Fruscio","given":"Robert"},{"family":"Messa","given":"Cristina"}],"issued":{"date-parts":[["2019",10]]}},"label":"page"},{"id":634,"uris":["http://zotero.org/users/8787459/items/2V7UX543"],"itemData":{"id":634,"type":"article-journal","abstract":"Peer-rewieved medical journal Oncological Coloproctology","container-title":"Pelvic Surgery and Oncology","DOI":"10.17650/2220-3478-2019-9-2-11-15","ISSN":"2686-9594","issue":"2","language":"ru","license":"Authors who publish with this journal agree to the following terms:   Authors retain copyright and grant the journal right of first publication with the work simultaneously licensed under a  Creative Commons Attribution License  that allows others to share the work with an acknowledgement of the work's authorship and initial publication in this journal.  Authors are able to enter into separate, additional contractual arrangements for the non-exclusive distribution of the journal's published version of the work (e.g., post it to an institutional repository or publish it in a book), with an acknowledgement of its initial publication in this journal.  Authors are permitted and encouraged to post their work online (e.g., in institutional repositories or on their website) prior to and during the submission process, as it can lead to productive exchanges, as well as earlier and greater citation of published work (See  The Effect of Open Access ).","note":"number: 2","page":"11-15","source":"ok.abvpress.ru","title":"The role of PET/CT with 18F-fluorodeoxyglucose in detecting the progression of colorectal cancer in asymptomatic patients with elevated level of сarcinoembryonic antigen (literature review)","volume":"9","author":[{"family":"Dolgushin","given":"M. B."},{"family":"Mikhaylov","given":"A. I."},{"family":"Gordeev","given":"S. S."}],"issued":{"date-parts":[["2019",6,16]]}},"label":"page"},{"id":246,"uris":["http://zotero.org/users/8787459/items/STNCMK9F"],"itemData":{"id":246,"type":"article-journal","container-title":"European Journal of Nuclear Medicine and Molecular Imaging","DOI":"10.1007/s00259-002-0844-z","ISSN":"1619-7070","issue":"6","journalAbbreviation":"Eur J Nucl Med Mol Imaging","language":"eng","note":"PMID: 12029543","page":"719-720","source":"PubMed","title":"PET/CT: a new road map","title-short":"PET/CT","volume":"29","author":[{"family":"Ell","given":"Peter J."},{"family":"Schulthess","given":"Gustav K.","non-dropping-particle":"von"}],"issued":{"date-parts":[["2002",6]]}},"label":"page"},{"id":432,"uris":["http://zotero.org/users/8787459/items/A6EGQ3E3"],"itemData":{"id":432,"type":"article-journal","abstract":"[18F]Fluorodeoxyglucose (FDG)\npositron emission tomography (PET) is a useful imaging tool in the evolving management of patients with colorectal carcinoma. This technique is able to measure and visualize metabolic changes in cancer cells. This feature results in the ability to distinguish viable tumor from scar tissue, in the detection of tumor foci at an earlier stage than possible by conventional anatomic imaging and in the measurement of alterations in tumor metabolism, indicative of tumor response to therapy. Nowadays, FDG-PET plays a pivotal role in staging patients before surgical resection of recurrence and metastases, in the localization of recurrence in patients with an unexplained rise in serum carcinoembryonic antigen and in assessment of residual masses after treatment. In the presurgical evaluation, FDG-PET may be best used in conjunction with anatomic imaging in order to combine the benefits of both anatomical (CT) and functional (PET) information, which leads to significant improvements in preoperative liver staging and preoperative judgment on the feasibility of resection. Integration of FDG-PET into the management algorithm of these categories of patients alters and improves therapeutic management, reduces morbidity due to futile surgery, leads to substantial cost savings and probably also to a better patient outcome. FDG-PET also appears to have great potential in monitoring the success of local ablative therapies soon after intervention and in the prediction and evaluation of response to radiotherapy, systemic therapy, and combinations thereof. This review aims to outline the current and future role of FDG-PET in the field of colorectal cancer.","container-title":"Cancer Imaging","DOI":"10.1102/1470-7330.2006.9014","ISSN":"1740-5025","issue":"Spec No A","journalAbbreviation":"Cancer Imaging","note":"PMID: 17114081\nPMCID: PMC1805073","page":"S71-S81","source":"PubMed Central","title":"FDG-PET in colorectal cancer","volume":"6","author":[{"family":"Geus-Oei","given":"Lioe-Fee","non-dropping-particle":"de"},{"family":"Ruers","given":"Theo J M"},{"family":"Punt","given":"Cornelis J A"},{"family":"Willem Leer","given":"Jan"},{"family":"Corstens","given":"Frans H M"},{"family":"Oyen","given":"Wim J G"}],"issued":{"date-parts":[["2006",10,31]]}},"label":"page"},{"id":338,"uris":["http://zotero.org/users/8787459/items/7ADE8IDI"],"itemData":{"id":338,"type":"article-journal","abstract":"PURPOSE: 2-(18F)-fluoro-2-deoxy-D-glucose positron emission tomography (FDG-PET) is a noninvasive imaging technique used clinically to detect malignant tumors. FDG-PET has been established as a tool for diagnosis of recurrent or metastatic colorectal carcinoma. Several case series suggest that FDG-PET also detects larger adenomas. The goal of this study was to investigate whether FDG-PET is able to detect colonic adenomas.\nPATIENTS AND METHODS: FDG-PET was performed in 100 consecutive patients in whom colonic adenomas were suspected on barium enema (n = 47) or sigmoidoscopy (n = 53). A positive scan was defined as focal large bowel FDG accumulation. FDG-PET was followed in all cases by colonoscopy, and removed adenomas were examined histopathologically.\nRESULTS: Colonoscopy confirmed the presence of adenomas in 68 of 100 patients. In 35 patients, there was focal FDG accumulation at site of the adenoma. The sensitivity of FDG-PET increased with adenoma size (21%, adenomas 1 to 5 mm; 47%, 6 to 10 mm; and 72%, &gt; 11 mm). The sensitivity of FDG-PET also increased with the grade of dysplasia (33%, low grade; 76%, high grade; and 89%, carcinomas). The overall specificity was 84%.\nCONCLUSION: FDG-PET detects colonic adenomas and the diagnostic test characteristics improve with size and grade of dysplasia of the adenoma.","container-title":"Journal of Clinical Oncology: Official Journal of the American Society of Clinical Oncology","DOI":"10.1200/JCO.2005.02.401","ISSN":"0732-183X","issue":"16","journalAbbreviation":"J Clin Oncol","language":"eng","note":"PMID: 15923568","page":"3713-3717","source":"PubMed","title":"2-(18F)-fluoro-2-deoxy-D-glucose positron emission tomography detects clinical relevant adenomas of the colon: a prospective study","title-short":"2-(18F)-fluoro-2-deoxy-D-glucose positron emission tomography detects clinical relevant adenomas of the colon","volume":"23","author":[{"family":"Kouwen","given":"Mariëtte C. A.","non-dropping-particle":"van"},{"family":"Nagengast","given":"Fokko M."},{"family":"Jansen","given":"Jan B. M. J."},{"family":"Oyen","given":"Wim J. G."},{"family":"Drenth","given":"Joost P. H."}],"issued":{"date-parts":[["2005",6,1]]}},"label":"page"},{"id":349,"uris":["http://zotero.org/users/8787459/items/AN8B6XRW"],"itemData":{"id":349,"type":"article-journal","abstract":"Colorectal cancer is a common malignancy that afflicts many in the western world. Imaging studies are frequently used to evaluate patients in the screening, staging and surveillance of colorectal cancer. Cross sectional imaging studies such as ultrasound, computed tomography and magnetic resonance imaging provide anatomic and morphologic information about tumor and patterns of spread. Positron emission tomography (PET) differs in that it provides information about tumor metabolism.[18F]Fluorodeoxyglucose PET has been clinically used for the evaluation of patients with a wide variety of cancers since most malignancies, including colorectal cancer, typically show increased glucose metabolism. This review present the positron emission tomography/computed tomography imaging findings that may be encountered in the diagnosis, staging and follow-up of patients with colorectal cancer.","container-title":"Cancer Imaging","DOI":"10.1102/1470-7330.2008.9009","ISSN":"1740-5025","issue":"Spec Iss A","journalAbbreviation":"Cancer Imaging","note":"PMID: 18852081\nPMCID: PMC2582503","page":"S46-S51","source":"PubMed Central","title":"PET/CT imaging in the diagnosis, staging, and follow-up of colorectal cancer","volume":"8","author":[{"family":"Vikram","given":"Raghu"},{"family":"Iyer","given":"Revathy B."}],"issued":{"date-parts":[["2008",10,4]]}},"label":"page"},{"id":218,"uris":["http://zotero.org/users/8787459/items/8UHISBDQ"],"itemData":{"id":218,"type":"webpage","title":"Ovarian Cancer — Cancer Stat Facts","URL":"https://seer.cancer.gov/statfacts/html/ovary.html","accessed":{"date-parts":[["2022",4,26]]}},"label":"page"},{"id":226,"uris":["http://zotero.org/users/8787459/items/PK35LSRF"],"itemData":{"id":226,"type":"webpage","title":"Colorectal cancer | Nature Reviews Disease Primers","title-short":"Colorectal cancer","URL":"https://www.nature.com/articles/nrdp201565","author":[{"family":"Ernst J. Kuipers","given":""},{"family":"William M. Grady","given":""},{"family":"David Lieberman","given":""},{"family":"Thomas Seufferlein","given":""},{"family":"Joseph J. Sung","given":""},{"family":"Petra G. Boelens","given":""},{"family":"Cornelis J. H. van de Velde","given":""},{"family":"Toshiaki Watanabe","given":""}],"accessed":{"date-parts":[["2022",4,26]]},"issued":{"date-parts":[["2015",11,5]]}},"label":"page"}],"schema":"https://github.com/citation-style-language/schema/raw/master/csl-citation.json"} </w:instrText>
      </w:r>
      <w:r w:rsidRPr="00A43B9C">
        <w:rPr>
          <w:rFonts w:ascii="Times New Roman" w:eastAsia="TimesNewRomanPSMT" w:hAnsi="Times New Roman" w:cs="Times New Roman"/>
          <w:sz w:val="28"/>
          <w:szCs w:val="28"/>
        </w:rPr>
        <w:fldChar w:fldCharType="separate"/>
      </w:r>
      <w:r w:rsidR="00F6152F" w:rsidRPr="00F6152F">
        <w:rPr>
          <w:rFonts w:ascii="Times New Roman" w:hAnsi="Times New Roman" w:cs="Times New Roman"/>
          <w:sz w:val="28"/>
          <w:szCs w:val="24"/>
        </w:rPr>
        <w:t>[49]</w:t>
      </w:r>
      <w:r w:rsidRPr="00A43B9C">
        <w:rPr>
          <w:rFonts w:ascii="Times New Roman" w:eastAsia="TimesNewRomanPSMT" w:hAnsi="Times New Roman" w:cs="Times New Roman"/>
          <w:sz w:val="28"/>
          <w:szCs w:val="28"/>
        </w:rPr>
        <w:fldChar w:fldCharType="end"/>
      </w:r>
      <w:r w:rsidRPr="00A43B9C">
        <w:rPr>
          <w:rFonts w:ascii="Times New Roman" w:eastAsia="TimesNewRomanPSMT" w:hAnsi="Times New Roman" w:cs="Times New Roman"/>
          <w:sz w:val="28"/>
          <w:szCs w:val="28"/>
        </w:rPr>
        <w:t>.</w:t>
      </w:r>
    </w:p>
    <w:p w14:paraId="652D454E" w14:textId="77777777" w:rsidR="00FF1D30" w:rsidRPr="00A43B9C" w:rsidRDefault="00FF1D30" w:rsidP="00FF1D30">
      <w:pPr>
        <w:autoSpaceDE w:val="0"/>
        <w:autoSpaceDN w:val="0"/>
        <w:adjustRightInd w:val="0"/>
        <w:spacing w:after="0" w:line="240" w:lineRule="auto"/>
        <w:ind w:firstLine="709"/>
        <w:jc w:val="both"/>
        <w:rPr>
          <w:rFonts w:ascii="Times New Roman" w:hAnsi="Times New Roman" w:cs="Times New Roman"/>
          <w:sz w:val="28"/>
          <w:szCs w:val="28"/>
        </w:rPr>
      </w:pPr>
    </w:p>
    <w:p w14:paraId="14C8C0CB" w14:textId="77777777" w:rsidR="00FF1D30" w:rsidRPr="00AF0775" w:rsidRDefault="00FF1D30" w:rsidP="009C5FDC">
      <w:pPr>
        <w:pStyle w:val="31"/>
        <w:spacing w:before="0" w:line="240" w:lineRule="auto"/>
        <w:ind w:firstLine="709"/>
        <w:jc w:val="both"/>
        <w:rPr>
          <w:rFonts w:ascii="Times New Roman" w:eastAsia="Times New Roman" w:hAnsi="Times New Roman" w:cs="Times New Roman"/>
          <w:b/>
          <w:bCs/>
          <w:color w:val="auto"/>
          <w:sz w:val="28"/>
          <w:szCs w:val="28"/>
          <w:lang w:val="kk-KZ" w:eastAsia="ru-RU"/>
        </w:rPr>
      </w:pPr>
      <w:bookmarkStart w:id="20" w:name="_Toc93151290"/>
      <w:bookmarkStart w:id="21" w:name="_Toc101861800"/>
      <w:bookmarkStart w:id="22" w:name="_Toc102937607"/>
      <w:r w:rsidRPr="00AF0775">
        <w:rPr>
          <w:rFonts w:ascii="Times New Roman" w:eastAsia="Times New Roman" w:hAnsi="Times New Roman" w:cs="Times New Roman"/>
          <w:b/>
          <w:bCs/>
          <w:color w:val="auto"/>
          <w:sz w:val="28"/>
          <w:szCs w:val="28"/>
          <w:lang w:eastAsia="ru-RU"/>
        </w:rPr>
        <w:t xml:space="preserve">1.3 Особенности </w:t>
      </w:r>
      <w:r w:rsidRPr="00AF0775">
        <w:rPr>
          <w:rFonts w:ascii="Times New Roman" w:eastAsia="Times New Roman" w:hAnsi="Times New Roman" w:cs="Times New Roman"/>
          <w:b/>
          <w:bCs/>
          <w:color w:val="auto"/>
          <w:sz w:val="28"/>
          <w:szCs w:val="28"/>
          <w:lang w:val="kk-KZ" w:eastAsia="ru-RU"/>
        </w:rPr>
        <w:t>ПЭТ</w:t>
      </w:r>
      <w:r w:rsidRPr="00AF0775">
        <w:rPr>
          <w:rFonts w:ascii="Times New Roman" w:eastAsia="Times New Roman" w:hAnsi="Times New Roman" w:cs="Times New Roman"/>
          <w:b/>
          <w:bCs/>
          <w:color w:val="auto"/>
          <w:sz w:val="28"/>
          <w:szCs w:val="28"/>
          <w:lang w:eastAsia="ru-RU"/>
        </w:rPr>
        <w:t>/</w:t>
      </w:r>
      <w:r w:rsidRPr="00AF0775">
        <w:rPr>
          <w:rFonts w:ascii="Times New Roman" w:eastAsia="Times New Roman" w:hAnsi="Times New Roman" w:cs="Times New Roman"/>
          <w:b/>
          <w:bCs/>
          <w:color w:val="auto"/>
          <w:sz w:val="28"/>
          <w:szCs w:val="28"/>
          <w:lang w:val="kk-KZ" w:eastAsia="ru-RU"/>
        </w:rPr>
        <w:t xml:space="preserve">КТ </w:t>
      </w:r>
      <w:r w:rsidRPr="00AF0775">
        <w:rPr>
          <w:rFonts w:ascii="Times New Roman" w:eastAsia="Times New Roman" w:hAnsi="Times New Roman" w:cs="Times New Roman"/>
          <w:b/>
          <w:bCs/>
          <w:color w:val="auto"/>
          <w:sz w:val="28"/>
          <w:szCs w:val="28"/>
          <w:lang w:eastAsia="ru-RU"/>
        </w:rPr>
        <w:t xml:space="preserve">при </w:t>
      </w:r>
      <w:r w:rsidRPr="00AF0775">
        <w:rPr>
          <w:rFonts w:ascii="Times New Roman" w:eastAsia="Times New Roman" w:hAnsi="Times New Roman" w:cs="Times New Roman"/>
          <w:b/>
          <w:bCs/>
          <w:color w:val="auto"/>
          <w:sz w:val="28"/>
          <w:szCs w:val="28"/>
          <w:lang w:val="kk-KZ" w:eastAsia="ru-RU"/>
        </w:rPr>
        <w:t>эпителиальном раке яичников</w:t>
      </w:r>
      <w:bookmarkEnd w:id="20"/>
      <w:bookmarkEnd w:id="21"/>
      <w:r w:rsidRPr="00AF0775">
        <w:rPr>
          <w:rFonts w:ascii="Times New Roman" w:eastAsia="Times New Roman" w:hAnsi="Times New Roman" w:cs="Times New Roman"/>
          <w:b/>
          <w:bCs/>
          <w:color w:val="auto"/>
          <w:sz w:val="28"/>
          <w:szCs w:val="28"/>
          <w:lang w:val="kk-KZ" w:eastAsia="ru-RU"/>
        </w:rPr>
        <w:t xml:space="preserve"> и колоректальном раке</w:t>
      </w:r>
      <w:bookmarkEnd w:id="22"/>
    </w:p>
    <w:p w14:paraId="55B2A4A6" w14:textId="4A8DCAD9"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val="kk-KZ" w:eastAsia="ru-RU"/>
        </w:rPr>
        <w:t>ПЭТ является относительно новым методом диагностики в ядерной медицине, позволяющий на молекулярном уровне изучать биохимические процессы организма в томографическом режиме. Специфичность ПЭТ заключ</w:t>
      </w:r>
      <w:r w:rsidR="00B342B7">
        <w:rPr>
          <w:rFonts w:ascii="Times New Roman" w:eastAsia="Times New Roman" w:hAnsi="Times New Roman" w:cs="Times New Roman"/>
          <w:sz w:val="28"/>
          <w:szCs w:val="28"/>
          <w:lang w:val="kk-KZ" w:eastAsia="ru-RU"/>
        </w:rPr>
        <w:t>а</w:t>
      </w:r>
      <w:r w:rsidRPr="00A43B9C">
        <w:rPr>
          <w:rFonts w:ascii="Times New Roman" w:eastAsia="Times New Roman" w:hAnsi="Times New Roman" w:cs="Times New Roman"/>
          <w:sz w:val="28"/>
          <w:szCs w:val="28"/>
          <w:lang w:val="kk-KZ" w:eastAsia="ru-RU"/>
        </w:rPr>
        <w:t>ется в возможности визуализации жизнеспособной опухолевой ткани и оценке ее биологической активности по степени интенсивности накопления в тканях метаболического радиофармпрепарата</w:t>
      </w:r>
      <w:r w:rsidR="00B95D5A" w:rsidRPr="00A43B9C">
        <w:rPr>
          <w:rFonts w:ascii="Times New Roman" w:eastAsia="Times New Roman" w:hAnsi="Times New Roman" w:cs="Times New Roman"/>
          <w:sz w:val="28"/>
          <w:szCs w:val="28"/>
          <w:lang w:eastAsia="ru-RU"/>
        </w:rPr>
        <w:t xml:space="preserve"> </w:t>
      </w:r>
      <w:r w:rsidR="00B95D5A" w:rsidRPr="00A43B9C">
        <w:rPr>
          <w:rFonts w:ascii="Times New Roman" w:eastAsia="Times New Roman" w:hAnsi="Times New Roman" w:cs="Times New Roman"/>
          <w:sz w:val="28"/>
          <w:szCs w:val="28"/>
          <w:lang w:val="en-US"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{"citationID":"a2o625k8ic0","properties":{"formattedCitation":"[34, 50\\uc0\\u8211{}54]","plainCitation":"[34, 50–54]","noteIndex":0},"citationItems":[{"id":246,"uris":["http://zotero.org/users/8787459/items/STNCMK9F"],"itemData":{"id":246,"type":"article-journal","container-title":"European Journal of Nuclear Medicine and Molecular Imaging","DOI":"10.1007/s00259-002-0844-z","ISSN":"1619-7070","issue":"6","journalAbbreviation":"Eur J Nucl Med Mol Imaging","language":"eng","note":"PMID: 12029543","page":"719-720","source":"PubMed","title":"PET/CT: a new road map","title-short":"PET/CT","volume":"29","author":[{"family":"Ell","given":"Peter J."},{"family":"Schulthess","given":"Gustav K.","non-dropping-particle":"von"}],"issued":{"date-parts":[["2002",6]]}},"label":"page"},{"id":251,"uris":["http://zotero.org/users/8787459/items/LSB4VWQ3"],"itemData":{"id":251,"type":"article-journal","abstract":"PURPOSE: The aim of this study was to compare the results of computed tomography (CT) and positron emission tomography (PET) with [18F]-fluoro-2-deoxy-D-glucose (FDG) for lymph node staging in patients with carcinoma of the cervix and to evaluate the relationship of the imaging findings to prognosis.\nPATIENTS AND METHODS: We retrospectively compared the results of CT lymph node staging and whole-body FDG-PET in 101 consecutive patients with carcinoma of the cervix. Patients were treated with standard irradiation and chemotherapy (as clinically indicated) and observed at 3-month intervals for a median of 15.4 months (range, 2.5 to 30 months). Progression-free survival was evaluated by the Kaplan-Meier method.\nRESULTS: CT demonstrated abnormally enlarged pelvic lymph nodes in 20 (20%) and para-aortic lymph nodes in seven (7%) of the 101 patients. PET demonstrated abnormal FDG uptake in pelvic lymph nodes in 67 (67%), in para-aortic lymph nodes in 21 (21%), and in supraclavicular lymph node in eight (8%). The 2-year progression-free survival, based solely on para-aortic lymph node status, was 64% in CT-negative and PET-negative patients, 18% in CT-negative and PET-positive patients, and 14% in CT-positive and PET-positive patients (P &lt;.0001). A multivariate analysis demonstrated that the most significant prognostic factor for progression-free survival was the presence of positive para-aortic lymph nodes as detected by PET imaging (P =.025).\nCONCLUSION: This study demonstrates that FDG-PET detects abnormal lymph node regions more often than does CT and that the findings on PET are a better predictor of survival than those of CT in patients with carcinoma of the cervix.","container-title":"Journal of Clinical Oncology: Official Journal of the American Society of Clinical Oncology","DOI":"10.1200/JCO.2001.19.17.3745","ISSN":"0732-183X","issue":"17","journalAbbreviation":"J Clin Oncol","language":"eng","note":"PMID: 11533097","page":"3745-3749","source":"PubMed","title":"Lymph node staging by positron emission tomography in patients with carcinoma of the cervix","volume":"19","author":[{"family":"Grigsby","given":"P. W."},{"family":"Siegel","given":"B. A."},{"family":"Dehdashti","given":"F."}],"issued":{"date-parts":[["2001",9,1]]}},"label":"page"},{"id":248,"uris":["http://zotero.org/users/8787459/items/TNDKZUSL"],"itemData":{"id":248,"type":"article-journal","abstract":"Tumor response assessments are essential to evaluate cancer treatment efficacy and prognosticate survival in patients with cancer. Response criteria have evolved over multiple decades, including many imaging modalities and measurement schema. Advances in FDG-PET/CT have led to tumor response criteria that harness the power of metabolic imaging. Qualitative PET/CT assessment schema are easy to apply clinically, are reproducible, and yield good prognostic results. We present 3 such criteria, namely, the Lugano classification for lymphoma, the Hopkins criteria, and the Neck Imaging Reporting and Data Systems criteria for head and neck cancers. When comparing baseline PET/CTs with interim or end-of-treatment PET/CTs, radiologists can classify the tumor response as complete metabolic response, partial metabolic response, no metabolic response, or progressive disease, which has important implications in directing further cancer management and long-term patient prognosis. The purpose of this article is to review the progression of tumor response assessments from CT- and PET/CT-based quantitative and semi-quantitative systems to PET/CT-based qualitative systems; introduce the classification schema for these systems; and describe how to use these rapid, powerful, and qualitative PET/CT-based systems in daily practice through illustrative cases.","container-title":"AJNR: American Journal of Neuroradiology","DOI":"10.3174/ajnr.A6294","ISSN":"0195-6108","issue":"12","journalAbbreviation":"AJNR Am J Neuroradiol","note":"PMID: 31780460\nPMCID: PMC6975356","page":"1978-1986","source":"PubMed Central","title":"RESISTing the Need to Quantify: Putting Qualitative FDG-PET/CT Tumor Response Assessment Criteria into Daily Practice","title-short":"RESISTing the Need to Quantify","volume":"40","author":[{"family":"Peacock","given":"J.G."},{"family":"Christensen","given":"C.T."},{"family":"Banks","given":"K.P."}],"issued":{"date-parts":[["2019",12]]}},"label":"page"},{"id":253,"uris":["http://zotero.org/users/8787459/items/RGF9YEXG"],"itemData":{"id":253,"type":"article-journal","abstract":"PURPOSE OF INVESTIGATION: To assess the clinical use of F-18-fluorodeoxyglucose positron emission tomography (FDG-PET) in the post-therapy surveillance of uterine sarcoma.\nMETHODS: Eight whole-body FDG-PET studies were performed in seven women with previously treated uterine sarcoma. Conventional image studies (computed tomography) and physical examinations were performed for follow-up. All FDG-PET studies were indicated to localize suspected recurrences noted by conventional methods.\nRESULTS: The per case sensitivity of the FDG-PET studies and CT scans was 85.7% (6/7) and 100% (7/7), respectively (p = 0.174). FDG-PET was able to detect seven extrapelvic metastastic sites below the diaphragm (7/7, sensitivity: 100%), including the liver, spleen, paraaortic lymph node, spine and paracolic gutter, as well as pulmonary lesions in five patients, while the CT scan detected only three lesions (3/7, sensitivity: 42.9%; p = 0.070). FDG-PET detected only four recurrent pelvic lesions (4/6) and CT scan detected six (6/6) recurrent pelvic lesions (66.7% vs 100%, p = 0.455).\nCONCLUSIONS: The FDG-PET showed a better detection rate than the abdominal CT scan for extrapelvic metastatic lesions and a similar detection rate as well as abdominal CT scan. FDG-PET can serve as a useful detection tool for patients with uterine sarcomas because nearly 80% of recurrence involve an extrapelvic site.","container-title":"European Journal of Gynaecological Oncology","ISSN":"0392-2936","issue":"3","journalAbbreviation":"Eur J Gynaecol Oncol","language":"eng","note":"PMID: 18592788","page":"246-251","source":"PubMed","title":"Whole-body positron emission tomography with 18F-fluorodeoxyglucose is an effective method to detect extra-pelvic recurrence in uterine sarcomas","volume":"29","author":[{"family":"Sung","given":"P. L."},{"family":"Chen","given":"Y. J."},{"family":"Liu","given":"R. S."},{"family":"Shieh","given":"H. J."},{"family":"Wang","given":"P. H."},{"family":"Yen","given":"M. S."},{"family":"Wen","given":"K. C."},{"family":"Shen","given":"S. H."},{"family":"Lai","given":"C. R."},{"family":"Yuan","given":"C. C."}],"issued":{"date-parts":[["2008"]]}},"label":"page"},{"id":255,"uris":["http://zotero.org/users/8787459/items/EL338MSK"],"itemData":{"id":255,"type":"article-journal","abstract":"This study was designed to assess the value of whole-body positron emission tomography (PET) using 2-[fluorine-18]-fluoro-2-deoxy- D-glucose (FDG) for the diagnosis of recurrent ovarian cancer. Twenty-five patients who had previously undergone surgery for ovarian cancer were imaged using whole-body FDG-PET. During the 4 weeks preceding the PET study, conventional imaging, comprising computed tomography (CT) and magnetic resonance (MR) imaging of the abdomen and/or pelvis, was performed and serum CA125 levels were measured. PET imaging was commenced at 60 min after the intravenous administration of FDG in all patients. PET results were compared with the results of conventional imaging and CA125 levels, and related to pathological findings and clinical follow-up for more than 6 months. FDG-PET showed a sensitivity of 80% (16/20), a specificity of 100% (5/5) and an accuracy of 84% accuracy (21/25) for the diagnosis of recurrent ovarian cancer. The sensitivity, specificity and accuracy of conventional imaging were 55% (11/20), 100% (5/5) and 64% (16/25), respectively. PET could detect recurrent lesions in seven of nine patients in whom conventional imaging was falsely normal, while conventional imaging was true positive in two of four patients with false-negative PET results. The CA125 results showed a sensitivity of 75% (15/20), a specificity of 100% (5/5) and an accuracy of 80% accuracy (20/25). Among the 15 patients with true-positive CA125 results, PET correctly detected abnormal foci of recurrence in 13 patients (86.7%) whereas conventional imaging showed recurrent lesions in only eight patients (53.3%). In conclusion, our preliminary study demonstrates that FDG-PET may be accurate and useful for the detection of tumour recurrence when conventional imaging is inconclusive or negative, especially in patients with abnormal CA125 levels.","container-title":"European Journal of Nuclear Medicine and Molecular Imaging","DOI":"10.1007/s00259-001-0750-9","ISSN":"1619-7070","issue":"6","journalAbbreviation":"Eur J Nucl Med Mol Imaging","language":"eng","note":"PMID: 12029554","page":"797-803","source":"PubMed","title":"Ovarian cancer recurrence: role of whole-body positron emission tomography using 2-[fluorine-18]-fluoro-2-deoxy- D-glucose","title-short":"Ovarian cancer recurrence","volume":"29","author":[{"family":"Torizuka","given":"Tatsuo"},{"family":"Nobezawa","given":"Shuji"},{"family":"Kanno","given":"Toshihiko"},{"family":"Futatsubashi","given":"Masami"},{"family":"Yoshikawa","given":"Etsuji"},{"family":"Okada","given":"Hiroyuki"},{"family":"Takekuma","given":"Munetaka"},{"family":"Maeda","given":"Makoto"},{"family":"Ouchi","given":"Yasuomi"}],"issued":{"date-parts":[["2002",6]]}},"label":"page"},{"id":243,"uris":["http://zotero.org/users/8787459/items/T7XKMN9D"],"itemData":{"id":243,"type":"article-journal","abstract":"Recurrent ovarian cancer is a lethal disease, and few patients can be cured. Although most patients receive standardized surgery and chemotherapy, the status of recurrent disease is heterogeneous. The site of recurrence and the survival intervals after recurrence are also widely distributed. Among a number of factors, many clinical trials identified time to recurrence was the factor most related to chemosensitivity at first relapse. The current recommendation for platinum sensitive ovarian cancer is a carboplatin containing combination chemotherapy. Generally, a single agent is chosen for platinum resistant ovarian cancer. Patients with single site recurrence and a long disease free interval are candidates for secondary cytoreduction, which may provide longer survival. There are several treatment choices at first relapse, and disease status, chemotherapy-free interval, and the patient's condition play a major role in the decision making process.","container-title":"Journal of Oncology","DOI":"10.1155/2010/497429","ISSN":"1687-8450","journalAbbreviation":"J Oncol","note":"PMID: 20066162\nPMCID: PMC2801501","page":"497429","source":"PubMed Central","title":"Treatment for Recurrent Ovarian Cancer—At First Relapse","volume":"2010","author":[{"family":"Ushijima","given":"Kimio"}],"issued":{"date-parts":[["2010"]]}},"label":"page"}],"schema":"https://github.com/citation-style-language/schema/raw/master/csl-citation.json"} </w:instrText>
      </w:r>
      <w:r w:rsidR="00B95D5A" w:rsidRPr="00A43B9C">
        <w:rPr>
          <w:rFonts w:ascii="Times New Roman" w:eastAsia="Times New Roman" w:hAnsi="Times New Roman" w:cs="Times New Roman"/>
          <w:sz w:val="28"/>
          <w:szCs w:val="28"/>
          <w:lang w:val="en-US" w:eastAsia="ru-RU"/>
        </w:rPr>
        <w:fldChar w:fldCharType="separate"/>
      </w:r>
      <w:r w:rsidR="00F6152F" w:rsidRPr="00F6152F">
        <w:rPr>
          <w:rFonts w:ascii="Times New Roman" w:hAnsi="Times New Roman" w:cs="Times New Roman"/>
          <w:sz w:val="28"/>
          <w:szCs w:val="24"/>
        </w:rPr>
        <w:t>[50</w:t>
      </w:r>
      <w:r w:rsidR="00FF4BDB" w:rsidRPr="00D3420D">
        <w:rPr>
          <w:rFonts w:ascii="Times New Roman" w:hAnsi="Times New Roman" w:cs="Times New Roman"/>
          <w:sz w:val="28"/>
          <w:szCs w:val="24"/>
        </w:rPr>
        <w:t>-</w:t>
      </w:r>
      <w:r w:rsidR="00F6152F" w:rsidRPr="00F6152F">
        <w:rPr>
          <w:rFonts w:ascii="Times New Roman" w:hAnsi="Times New Roman" w:cs="Times New Roman"/>
          <w:sz w:val="28"/>
          <w:szCs w:val="24"/>
        </w:rPr>
        <w:t>54]</w:t>
      </w:r>
      <w:r w:rsidR="00B95D5A" w:rsidRPr="00A43B9C">
        <w:rPr>
          <w:rFonts w:ascii="Times New Roman" w:eastAsia="Times New Roman" w:hAnsi="Times New Roman" w:cs="Times New Roman"/>
          <w:sz w:val="28"/>
          <w:szCs w:val="28"/>
          <w:lang w:val="en-US" w:eastAsia="ru-RU"/>
        </w:rPr>
        <w:fldChar w:fldCharType="end"/>
      </w:r>
      <w:r w:rsidRPr="00A43B9C">
        <w:rPr>
          <w:rFonts w:ascii="Times New Roman" w:eastAsia="Times New Roman" w:hAnsi="Times New Roman" w:cs="Times New Roman"/>
          <w:sz w:val="28"/>
          <w:szCs w:val="28"/>
          <w:lang w:val="kk-KZ" w:eastAsia="ru-RU"/>
        </w:rPr>
        <w:t>.</w:t>
      </w:r>
      <w:r w:rsidR="00D85264"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kk-KZ" w:eastAsia="ru-RU"/>
        </w:rPr>
        <w:t xml:space="preserve">Опубликованные работы зарубежных авторов, посвященные использованию ПЭТ с </w:t>
      </w:r>
      <w:r w:rsidRPr="00A43B9C">
        <w:rPr>
          <w:rFonts w:ascii="Times New Roman" w:eastAsia="Times New Roman" w:hAnsi="Times New Roman" w:cs="Times New Roman"/>
          <w:sz w:val="28"/>
          <w:szCs w:val="28"/>
          <w:vertAlign w:val="superscript"/>
          <w:lang w:val="kk-KZ" w:eastAsia="ru-RU"/>
        </w:rPr>
        <w:t>18</w:t>
      </w:r>
      <w:r w:rsidRPr="00A43B9C">
        <w:rPr>
          <w:rFonts w:ascii="Times New Roman" w:eastAsia="Times New Roman" w:hAnsi="Times New Roman" w:cs="Times New Roman"/>
          <w:sz w:val="28"/>
          <w:szCs w:val="28"/>
          <w:lang w:val="kk-KZ" w:eastAsia="ru-RU"/>
        </w:rPr>
        <w:t>F-FDG</w:t>
      </w:r>
      <w:r w:rsidRPr="00A43B9C">
        <w:rPr>
          <w:rFonts w:ascii="Times New Roman" w:eastAsia="Times New Roman" w:hAnsi="Times New Roman" w:cs="Times New Roman"/>
          <w:sz w:val="28"/>
          <w:szCs w:val="28"/>
          <w:lang w:eastAsia="ru-RU"/>
        </w:rPr>
        <w:t xml:space="preserve"> для диагностики рецидива и мониторинга эффективности лечения больных РЯ способствуют получению информации о локализации и количестве опухолевых очагов. Большинство авторов</w:t>
      </w:r>
      <w:r w:rsidR="00C47B1D"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сравнивая ПЭТ, КТ,</w:t>
      </w:r>
      <w:r w:rsidR="00FC49AE" w:rsidRPr="00A43B9C">
        <w:rPr>
          <w:rFonts w:ascii="Times New Roman" w:eastAsia="Times New Roman" w:hAnsi="Times New Roman" w:cs="Times New Roman"/>
          <w:sz w:val="28"/>
          <w:szCs w:val="28"/>
          <w:lang w:eastAsia="ru-RU"/>
        </w:rPr>
        <w:t xml:space="preserve"> магнитно-резонансную томографию (МРТ), ультразвуковое исследование (УЗИ)</w:t>
      </w:r>
      <w:r w:rsidRPr="00A43B9C">
        <w:rPr>
          <w:rFonts w:ascii="Times New Roman" w:eastAsia="Times New Roman" w:hAnsi="Times New Roman" w:cs="Times New Roman"/>
          <w:sz w:val="28"/>
          <w:szCs w:val="28"/>
          <w:lang w:eastAsia="ru-RU"/>
        </w:rPr>
        <w:t xml:space="preserve"> и </w:t>
      </w:r>
      <w:r w:rsidR="00FC49AE" w:rsidRPr="00A43B9C">
        <w:rPr>
          <w:rFonts w:ascii="Times New Roman" w:eastAsia="Times New Roman" w:hAnsi="Times New Roman" w:cs="Times New Roman"/>
          <w:sz w:val="28"/>
          <w:szCs w:val="28"/>
          <w:lang w:eastAsia="ru-RU"/>
        </w:rPr>
        <w:t xml:space="preserve">раковый антиген - </w:t>
      </w:r>
      <w:r w:rsidRPr="00A43B9C">
        <w:rPr>
          <w:rFonts w:ascii="Times New Roman" w:eastAsia="Times New Roman" w:hAnsi="Times New Roman" w:cs="Times New Roman"/>
          <w:sz w:val="28"/>
          <w:szCs w:val="28"/>
          <w:lang w:eastAsia="ru-RU"/>
        </w:rPr>
        <w:t>СА-125, указывают значительные преимущества ПЭТ и высокую информативность метода (чувствительность – 90-95%, специфичность – 85-100% соответственно) в отличие от МРТ</w:t>
      </w:r>
      <w:r w:rsidR="003E35F6">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{"citationID":"eZu2Jj0w","properties":{"formattedCitation":"[5, 43, 53, 55\\uc0\\u8211{}58]","plainCitation":"[5, 43, 53, 55–58]","noteIndex":0},"citationItems":[{"id":260,"uris":["http://zotero.org/users/8787459/items/L5VC9SW9"],"itemData":{"id":260,"type":"article-journal","abstract":"Научно-практический медицинский рецензируемый журнал \"Злокачественные опухоли\"","container-title":"Злокачественные опухоли","ISSN":"2587-6813","issue":"3s1","language":"ru","license":"Авторы, публикующие статьи в данном журнале, соглашаются на следующее:    Авторы сохраняют за собой автороские права и предоставляют журналу право первой публикации работы на условиях  Creative Commons Attribution License , которая позволяет другим распространять данную работу с обязательным сохранением ссылок на авторов оригинальной работы и оригинальную публикацию в этом журнале.  Авторы имеют право размещать их работу в сети Интернет (например в институтском хранилище или персональном сайте) до и во время процесса рассмотрения ее данным журналом, так как это может привести к продуктивному обсуждению и большему количеству ссылок на данную работу (См.  The Effect of Open Access ).","note":"number: 3s1","page":"15-20","source":"www.malignanttumors.org","title":"Диагностика и лечение распространённых форм рака яичников III–IV стадии","volume":"10","author":[{"family":"Саевец","given":"В. В."},{"family":"Важенин","given":"А. В."},{"family":"Ульрих","given":"Е. А."},{"family":"Мухин","given":"А. А."},{"family":"Таратонов","given":"А. В."},{"family":"Шмидт","given":"А. В."}],"issued":{"date-parts":[["2020",12,2]]}},"label":"page"},{"id":257,"uris":["http://zotero.org/users/8787459/items/NQ7UYGT2"],"itemData":{"id":257,"type":"article-journal","abstract":"Objectives The evaluation of the predictive value of transvaginal ultrasound in the assessment of benign adnexal pathology in premenopausal women, based on the recognition of characteristic morphologic patterns particular to endometriotic and dermoid ovarian cysts. Methods This was a prospective study. All premenopausal women undergoing surgery for a suspected ovarian cyst underwent a transvaginal ultrasound examination in the week prior to surgery. Between June 1997 and January 2000, 132 women underwent surgery for a suspected ovarian endometrioma or dermoid cyst. The endpoints were either the direct visualization of the cyst wall and contents at surgery, or the histologic evaluation of removed tissues. Results Of 83 suspected endometriomas (11 bilateral), 80 were confirmed at surgery and of 68 suspected benign cystic teratomas (eight bilateral), 66 were confirmed by histology. The positive predictive value of transvaginal ultrasonography for the diagnosis of endometrioma and dermoid cysts was 96.4% and 97.1%, respectively. The false positive rates were 3.8% and 3.0%, respectively. There were no malignancies in either group. Conclusions Based on the recognition of characteristic ultrasound patterns alone, the positive predictive value of transvaginal ultrasonography for the diagnosis of these common, benign cysts in premenopausal women is very high and can be used reliably to select women for appropriate surgery. Copyright © 2001 International Society of Ultrasound in Obstetrics and Gynecology","container-title":"Ultrasound in Obstetrics &amp; Gynecology","DOI":"10.1046/j.1469-0705.2001.00330.x","ISSN":"1469-0705","issue":"2","language":"en","note":"_eprint: https://onlinelibrary.wiley.com/doi/pdf/10.1046/j.1469-0705.2001.00330.x","page":"140-144","source":"Wiley Online Library","title":"The characterization of common ovarian cysts in premenopausal women","volume":"17","author":[{"family":"Jermy","given":"K."},{"family":"Luise","given":"C."},{"family":"Bourne","given":"T."}],"issued":{"date-parts":[["2001"]]}},"label":"page"},{"id":265,"uris":["http://zotero.org/users/8787459/items/59TT9LTN"],"itemData":{"id":265,"type":"article-journal","abstract":"The aim of this study was to compare prospectively the accuracy of whole-body positron emission tomography (PET), CT and MRI in diagnosing primary and recurrent ovarian cancer. Nineteen patients (age range 23-76 years) were recruited with suspicious ovarian lesions at presentation (n = 8) or follow-up for recurrence (n = 11). All patients were scheduled for laparotomy and histological confirmation. Whole-body PET with FDG, contrast-enhanced spiral CT of the abdomen, including the pelvis, and MRI of the entire abdomen were performed. Each imaging study was evaluated separately. Imaging findings were correlated with histopathological diagnosis. The sensitivity, specificity and accuracy for lesion characterization in patients with suspicious ovarian lesions (n = 7) were, respectively: 100, 67 and 86% for PET; 100, 67 and 86% for CT; and 100, 100 and 100% for MRI. For the diagnosis of recurrent disease (n = 10), PET had a sensitivity of 100%, specificity of 50% and accuracy of 90%. The PET technique was the only technique which correctly identified a single transverse colon metastasis. Results for CT were 40, 50 and 43%, and for MRI 86, 100 and 89%, respectively. No statistically significant difference was seen. Neither FDG PET nor CT nor MRI can replace surgery in the detection of microscopic peritoneal disease. No statistically significant difference was observed for the investigated imaging modalities with regard to lesion characterization or detection of recurrent disease; thus, the methods are permissible alternatives. The PET technique, however, has the drawback of less accurate spatial assignment of small lesions compared with CT and MRI.","container-title":"European Radiology","DOI":"10.1007/s003300051000","ISSN":"0938-7994","issue":"5","journalAbbreviation":"Eur Radiol","language":"eng","note":"PMID: 10823629","page":"761-767","source":"PubMed","title":"Value of (18F)-FDG positron emission tomography, computed tomography, and magnetic resonance imaging in diagnosing primary and recurrent ovarian carcinoma","volume":"10","author":[{"family":"Kubik-Huch","given":"R. A."},{"family":"Dörffler","given":"W."},{"family":"Schulthess","given":"G. K.","non-dropping-particle":"von"},{"family":"Marincek","given":"B."},{"family":"Köchli","given":"O. R."},{"family":"Seifert","given":"B."},{"family":"Haller","given":"U."},{"family":"Steinert","given":"H. C."}],"issued":{"date-parts":[["2000"]]}},"label":"page"},{"id":219,"uris":["http://zotero.org/users/8787459/items/GUUSN3MV"],"itemData":{"id":219,"type":"article-journal","abstract":"Each year, the American Cancer Society estimates the numbers of new cancer cases and deaths in the United States and compiles the most recent data on population-based cancer occurrence and outcomes. Incidence data (through 2018) were collected by the Surveillance, Epidemiology, and End Results program; the National Program of Cancer Registries; and the North American Association of Central Cancer Registries. Mortality data (through 2019) were collected by the National Center for Health Statistics. In 2022, 1,918,030 new cancer cases and 609,360 cancer deaths are projected to occur in the United States, including approximately 350 deaths per day from lung cancer, the leading cause of cancer death. Incidence during 2014 through 2018 continued a slow increase for female breast cancer (by 0.5% annually) and remained stable for prostate cancer, despite a 4% to 6% annual increase for advanced disease since 2011. Consequently, the proportion of prostate cancer diagnosed at a distant stage increased from 3.9% to 8.2% over the past decade. In contrast, lung cancer incidence continued to decline steeply for advanced disease while rates for localized-stage increased suddenly by 4.5% annually, contributing to gains both in the proportion of localized-stage diagnoses (from 17% in 2004 to 28% in 2018) and 3-year relative survival (from 21% to 31%). Mortality patterns reflect incidence trends, with declines accelerating for lung cancer, slowing for breast cancer, and stabilizing for prostate cancer. In summary, progress has stagnated for breast and prostate cancers but strengthened for lung cancer, coinciding with changes in medical practice related to cancer screening and/or treatment. More targeted cancer control interventions and investment in improved early detection and treatment would facilitate reductions in cancer mortality.","container-title":"CA: A Cancer Journal for Clinicians","DOI":"10.3322/caac.21708","ISSN":"1542-4863","issue":"1","language":"en","note":"_eprint: https://onlinelibrary.wiley.com/doi/pdf/10.3322/caac.21708","page":"7-33","source":"Wiley Online Library","title":"Cancer statistics, 2022","volume":"72","author":[{"family":"Siegel","given":"Rebecca L."},{"family":"Miller","given":"Kimberly D."},{"family":"Fuchs","given":"Hannah E."},{"family":"Jemal","given":"Ahmedin"}],"issued":{"date-parts":[["2022"]]}},"label":"page"},{"id":255,"uris":["http://zotero.org/users/8787459/items/EL338MSK"],"itemData":{"id":255,"type":"article-journal","abstract":"This study was designed to assess the value of whole-body positron emission tomography (PET) using 2-[fluorine-18]-fluoro-2-deoxy- D-glucose (FDG) for the diagnosis of recurrent ovarian cancer. Twenty-five patients who had previously undergone surgery for ovarian cancer were imaged using whole-body FDG-PET. During the 4 weeks preceding the PET study, conventional imaging, comprising computed tomography (CT) and magnetic resonance (MR) imaging of the abdomen and/or pelvis, was performed and serum CA125 levels were measured. PET imaging was commenced at 60 min after the intravenous administration of FDG in all patients. PET results were compared with the results of conventional imaging and CA125 levels, and related to pathological findings and clinical follow-up for more than 6 months. FDG-PET showed a sensitivity of 80% (16/20), a specificity of 100% (5/5) and an accuracy of 84% accuracy (21/25) for the diagnosis of recurrent ovarian cancer. The sensitivity, specificity and accuracy of conventional imaging were 55% (11/20), 100% (5/5) and 64% (16/25), respectively. PET could detect recurrent lesions in seven of nine patients in whom conventional imaging was falsely normal, while conventional imaging was true positive in two of four patients with false-negative PET results. The CA125 results showed a sensitivity of 75% (15/20), a specificity of 100% (5/5) and an accuracy of 80% accuracy (20/25). Among the 15 patients with true-positive CA125 results, PET correctly detected abnormal foci of recurrence in 13 patients (86.7%) whereas conventional imaging showed recurrent lesions in only eight patients (53.3%). In conclusion, our preliminary study demonstrates that FDG-PET may be accurate and useful for the detection of tumour recurrence when conventional imaging is inconclusive or negative, especially in patients with abnormal CA125 levels.","container-title":"European Journal of Nuclear Medicine and Molecular Imaging","DOI":"10.1007/s00259-001-0750-9","ISSN":"1619-7070","issue":"6","journalAbbreviation":"Eur J Nucl Med Mol Imaging","language":"eng","note":"PMID: 12029554","page":"797-803","source":"PubMed","title":"Ovarian cancer recurrence: role of whole-body positron emission tomography using 2-[fluorine-18]-fluoro-2-deoxy- D-glucose","title-short":"Ovarian cancer recurrence","volume":"29","author":[{"family":"Torizuka","given":"Tatsuo"},{"family":"Nobezawa","given":"Shuji"},{"family":"Kanno","given":"Toshihiko"},{"family":"Futatsubashi","given":"Masami"},{"family":"Yoshikawa","given":"Etsuji"},{"family":"Okada","given":"Hiroyuki"},{"family":"Takekuma","given":"Munetaka"},{"family":"Maeda","given":"Makoto"},{"family":"Ouchi","given":"Yasuomi"}],"issued":{"date-parts":[["2002",6]]}},"label":"page"},{"id":263,"uris":["http://zotero.org/users/8787459/items/5GXBV33C"],"itemData":{"id":263,"type":"article-journal","abstract":"BACKGROUND/AIMS: To evaluate the value of FDG-PET/CT on the pre-operative staging of pancreatic cancer and its impact on clinical management.\nMETHODOLOGY: From December 2006 to January 2013, data of pancreatic carcinoma patients who underwent surgical treatment at our center was collected retrospectively. MDCT and FDGPET/CT were used separately to diagnose and stage the tumor. Pre-operation staging by MDCT with chest x-ray and by FDG-PET/CT was compared according to the final pathological staging.\nRESULTS: A total of 79 histologically proven pancreatic cancer patients were enrolled in this study. FDG-PET/CT was more accurate in the detection of tumor (PET/CT vs. MDCT: 93.67% vs. 88.61%, p=0.402). The SE (60.00% vs. 24.00%, p=0.01) and accuracy (87.81% vs. 76.83%, p=0.015) of PET/CT to detect distant metastasis is significantly higher than those of MDCT. FDG-PET/CT also showed advantage over CT in the detection of metastatic lymph nodes (52.83% vs. 16.98%, p&lt;0.001; accuracy: 66.67% vs. 41.33, p=0.002). The extra staging information PET/CT provided could have skipped eight patients (10.13%) of unnecessary surgical exploration.\nCONCLUSION: FDG-PET/CT is an important staging procedure and helps to make the clinical decision for the patients with pancreatic carcinoma.","container-title":"Hepato-Gastroenterology","ISSN":"0172-6390","issue":"135","journalAbbreviation":"Hepatogastroenterology","language":"eng","note":"PMID: 25722999","page":"2102-2109","source":"PubMed","title":"The value of 18F-FDG positron emission tomography/computed tomography on the pre-operative staging and the management of patients with pancreatic carcinoma","volume":"61","author":[{"family":"Wang","given":"Xiao-Yi"},{"family":"Yang","given":"Feng"},{"family":"Jin","given":"Chen"},{"family":"Guan","given":"Yi-Hui"},{"family":"Zhang","given":"Hui-Wei"},{"family":"Fu","given":"De-Liang"}],"issued":{"date-parts":[["2014",10]]}},"label":"page"},{"id":218,"uris":["http://zotero.org/users/8787459/items/8UHISBDQ"],"itemData":{"id":218,"type":"webpage","title":"Ovarian Cancer — Cancer Stat Facts","URL":"https://seer.cancer.gov/statfacts/html/ovary.html","accessed":{"date-parts":[["2022",4,26]]}},"label":"page"}],"schema":"https://github.com/citation-style-language/schema/raw/master/csl-citation.json"}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szCs w:val="24"/>
        </w:rPr>
        <w:t>[55</w:t>
      </w:r>
      <w:r w:rsidR="00FF4BDB" w:rsidRPr="00D3420D">
        <w:rPr>
          <w:rFonts w:ascii="Times New Roman" w:hAnsi="Times New Roman" w:cs="Times New Roman"/>
          <w:sz w:val="28"/>
          <w:szCs w:val="24"/>
        </w:rPr>
        <w:t>-</w:t>
      </w:r>
      <w:r w:rsidR="00F6152F" w:rsidRPr="00F6152F">
        <w:rPr>
          <w:rFonts w:ascii="Times New Roman" w:hAnsi="Times New Roman" w:cs="Times New Roman"/>
          <w:sz w:val="28"/>
          <w:szCs w:val="24"/>
        </w:rPr>
        <w:t>58]</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r w:rsidR="00D85264" w:rsidRPr="00A43B9C">
        <w:rPr>
          <w:rFonts w:ascii="Times New Roman" w:eastAsia="Times New Roman" w:hAnsi="Times New Roman" w:cs="Times New Roman"/>
          <w:sz w:val="28"/>
          <w:szCs w:val="28"/>
          <w:lang w:eastAsia="ru-RU"/>
        </w:rPr>
        <w:t xml:space="preserve"> </w:t>
      </w:r>
      <w:r w:rsidR="00773AAD">
        <w:rPr>
          <w:rFonts w:ascii="Times New Roman" w:eastAsia="Times New Roman" w:hAnsi="Times New Roman" w:cs="Times New Roman"/>
          <w:sz w:val="28"/>
          <w:szCs w:val="28"/>
          <w:lang w:eastAsia="ru-RU"/>
        </w:rPr>
        <w:t xml:space="preserve">Прогностическая ценность </w:t>
      </w:r>
      <w:r w:rsidRPr="00A43B9C">
        <w:rPr>
          <w:rFonts w:ascii="Times New Roman" w:eastAsia="Times New Roman" w:hAnsi="Times New Roman" w:cs="Times New Roman"/>
          <w:sz w:val="28"/>
          <w:szCs w:val="28"/>
          <w:lang w:eastAsia="ru-RU"/>
        </w:rPr>
        <w:t xml:space="preserve">метода для выявления метастазов по брюшине размерами от 5 мм при злокачественных новообразований различной локализации составила 93%. Возможности ПЭТ в диагностике рецидива заболевания ограничены. Это связано с физиологическим повышением накопления </w:t>
      </w:r>
      <w:r w:rsidRPr="00A43B9C">
        <w:rPr>
          <w:rFonts w:ascii="Times New Roman" w:eastAsia="Times New Roman" w:hAnsi="Times New Roman" w:cs="Times New Roman"/>
          <w:sz w:val="28"/>
          <w:szCs w:val="28"/>
          <w:vertAlign w:val="superscript"/>
          <w:lang w:eastAsia="ru-RU"/>
        </w:rPr>
        <w:t>18</w:t>
      </w:r>
      <w:r w:rsidRPr="00A43B9C">
        <w:rPr>
          <w:rFonts w:ascii="Times New Roman" w:eastAsia="Times New Roman" w:hAnsi="Times New Roman" w:cs="Times New Roman"/>
          <w:sz w:val="28"/>
          <w:szCs w:val="28"/>
          <w:lang w:val="en-US" w:eastAsia="ru-RU"/>
        </w:rPr>
        <w:t>F</w:t>
      </w:r>
      <w:r w:rsidRPr="00A43B9C">
        <w:rPr>
          <w:rFonts w:ascii="Times New Roman" w:eastAsia="Times New Roman" w:hAnsi="Times New Roman" w:cs="Times New Roman"/>
          <w:sz w:val="28"/>
          <w:szCs w:val="28"/>
          <w:lang w:eastAsia="ru-RU"/>
        </w:rPr>
        <w:t>-FDG в мочевом пузыре, в связи с чем визуализация патологического образования затруднена, и о его наличии можно судить только по косвенным признакам</w:t>
      </w:r>
      <w:r w:rsidR="00C47B1D" w:rsidRPr="00A43B9C">
        <w:rPr>
          <w:rFonts w:ascii="Times New Roman" w:eastAsia="Times New Roman" w:hAnsi="Times New Roman" w:cs="Times New Roman"/>
          <w:sz w:val="28"/>
          <w:szCs w:val="28"/>
          <w:lang w:eastAsia="ru-RU"/>
        </w:rPr>
        <w:t>, таким как</w:t>
      </w:r>
      <w:r w:rsidR="00FC49AE"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деформация контура мочевого пузыря.</w:t>
      </w:r>
      <w:r w:rsidR="00D85264"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 xml:space="preserve">ПЭТ является более достоверным исследованием в обнаружении метастазов в парааортальные и тазовые </w:t>
      </w:r>
      <w:r w:rsidR="00773AAD">
        <w:rPr>
          <w:rFonts w:ascii="Times New Roman" w:eastAsia="Times New Roman" w:hAnsi="Times New Roman" w:cs="Times New Roman"/>
          <w:sz w:val="28"/>
          <w:szCs w:val="28"/>
          <w:lang w:eastAsia="ru-RU"/>
        </w:rPr>
        <w:t>лимфоузлы</w:t>
      </w:r>
      <w:r w:rsidRPr="00A43B9C">
        <w:rPr>
          <w:rFonts w:ascii="Times New Roman" w:eastAsia="Times New Roman" w:hAnsi="Times New Roman" w:cs="Times New Roman"/>
          <w:sz w:val="28"/>
          <w:szCs w:val="28"/>
          <w:lang w:eastAsia="ru-RU"/>
        </w:rPr>
        <w:t xml:space="preserve">, чем МРТ, так как при ПЭТ оценивается тканевой метаболизм в </w:t>
      </w:r>
      <w:r w:rsidR="00773AAD">
        <w:rPr>
          <w:rFonts w:ascii="Times New Roman" w:eastAsia="Times New Roman" w:hAnsi="Times New Roman" w:cs="Times New Roman"/>
          <w:sz w:val="28"/>
          <w:szCs w:val="28"/>
          <w:lang w:eastAsia="ru-RU"/>
        </w:rPr>
        <w:t>лимфоузлах</w:t>
      </w:r>
      <w:r w:rsidR="00740FB4" w:rsidRPr="00A43B9C">
        <w:rPr>
          <w:rFonts w:ascii="Times New Roman" w:eastAsia="Times New Roman" w:hAnsi="Times New Roman" w:cs="Times New Roman"/>
          <w:sz w:val="28"/>
          <w:szCs w:val="28"/>
          <w:lang w:eastAsia="ru-RU"/>
        </w:rPr>
        <w:t xml:space="preserve"> </w:t>
      </w:r>
      <w:r w:rsidR="00740FB4"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{"citationID":"a1e840hv7e7","properties":{"formattedCitation":"[5, 59]","plainCitation":"[5, 59]","noteIndex":0},"citationItems":[{"id":267,"uris":["http://zotero.org/users/8787459/items/TUDDWETB"],"itemData":{"id":267,"type":"article-journal","abstract":"BACKGROUND: Small cell lung cancer (SCLC) frequently presents as metastatic disease. It would be useful to detect serum tumor biomarkers at an earlier stage in order to improve the overall survival.\nMATERIALS AND METHODS: Serum samples from SCLC patients (6 limited disease, 7 extensive disease, 4 relapsed disease, 4 no evidence of disease post-treatment) and 5 normal controls were used to identify tumor biomarkers utilizing proteomics. Serum hepatocyte growth factor was also studied using standard ELISA.\nRESULTS: Utilizing MALDI-TOF-Mass Spectrometry (MS) based protein identification techniques, a SCLC specific overexpressed protein was identified to be haptoglobin alpha-subunit, with its serum level correlating with the disease stage. The mean level of alpha-haptoglobin was increased in SCLC serum as compared to the normal controls. Serum HGF was also studied as potential tumor biomarker and was found to correlate with the disease status. Either serum alpha-haptoglobin relative level (above 1.9 U), or HGF level (above 500 pg/ml) was associated with a trend towards worse survival.\nCONCLUSION: Our current findings suggest that serum levels of alpha-haptoglobin and HGF may serve as useful serum tumor biomarkers in SCLC. It would now also be useful to determine if these serum biomarkers are altered in response to therapy for this disease.","container-title":"Anticancer Research","ISSN":"0250-7005","issue":"2C","journalAbbreviation":"Anticancer Res","language":"eng","note":"PMID: 15154618","page":"1031-1038","source":"PubMed","title":"Haptoglobin alpha-subunit and hepatocyte growth factor can potentially serve as serum tumor biomarkers in small cell lung cancer","volume":"24","author":[{"family":"Bharti","given":"Ajit"},{"family":"Ma","given":"Patrick C."},{"family":"Maulik","given":"Gautam"},{"family":"Singh","given":"Rajeev"},{"family":"Khan","given":"Eshan"},{"family":"Skarin","given":"Arthur T."},{"family":"Salgia","given":"Ravi"}],"issued":{"date-parts":[["2004",4]]}},"label":"page"},{"id":219,"uris":["http://zotero.org/users/8787459/items/GUUSN3MV"],"itemData":{"id":219,"type":"article-journal","abstract":"Each year, the American Cancer Society estimates the numbers of new cancer cases and deaths in the United States and compiles the most recent data on population-based cancer occurrence and outcomes. Incidence data (through 2018) were collected by the Surveillance, Epidemiology, and End Results program; the National Program of Cancer Registries; and the North American Association of Central Cancer Registries. Mortality data (through 2019) were collected by the National Center for Health Statistics. In 2022, 1,918,030 new cancer cases and 609,360 cancer deaths are projected to occur in the United States, including approximately 350 deaths per day from lung cancer, the leading cause of cancer death. Incidence during 2014 through 2018 continued a slow increase for female breast cancer (by 0.5% annually) and remained stable for prostate cancer, despite a 4% to 6% annual increase for advanced disease since 2011. Consequently, the proportion of prostate cancer diagnosed at a distant stage increased from 3.9% to 8.2% over the past decade. In contrast, lung cancer incidence continued to decline steeply for advanced disease while rates for localized-stage increased suddenly by 4.5% annually, contributing to gains both in the proportion of localized-stage diagnoses (from 17% in 2004 to 28% in 2018) and 3-year relative survival (from 21% to 31%). Mortality patterns reflect incidence trends, with declines accelerating for lung cancer, slowing for breast cancer, and stabilizing for prostate cancer. In summary, progress has stagnated for breast and prostate cancers but strengthened for lung cancer, coinciding with changes in medical practice related to cancer screening and/or treatment. More targeted cancer control interventions and investment in improved early detection and treatment would facilitate reductions in cancer mortality.","container-title":"CA: A Cancer Journal for Clinicians","DOI":"10.3322/caac.21708","ISSN":"1542-4863","issue":"1","language":"en","note":"_eprint: https://onlinelibrary.wiley.com/doi/pdf/10.3322/caac.21708","page":"7-33","source":"Wiley Online Library","title":"Cancer statistics, 2022","volume":"72","author":[{"family":"Siegel","given":"Rebecca L."},{"family":"Miller","given":"Kimberly D."},{"family":"Fuchs","given":"Hannah E."},{"family":"Jemal","given":"Ahmedin"}],"issued":{"date-parts":[["2022"]]}},"label":"page"}],"schema":"https://github.com/citation-style-language/schema/raw/master/csl-citation.json"} </w:instrText>
      </w:r>
      <w:r w:rsidR="00740FB4"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[59]</w:t>
      </w:r>
      <w:r w:rsidR="00740FB4"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r w:rsidR="00C47B1D"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 xml:space="preserve">ПЭТ не определяет точную анатомическую локализацию вовлеченного в процесс участка, но она доказывает свою эффективность в неинвазивном обнаружении метастазов в </w:t>
      </w:r>
      <w:r w:rsidR="00773AAD">
        <w:rPr>
          <w:rFonts w:ascii="Times New Roman" w:eastAsia="Times New Roman" w:hAnsi="Times New Roman" w:cs="Times New Roman"/>
          <w:sz w:val="28"/>
          <w:szCs w:val="28"/>
          <w:lang w:eastAsia="ru-RU"/>
        </w:rPr>
        <w:t>лимфоузлах</w:t>
      </w:r>
      <w:r w:rsidRPr="00A43B9C">
        <w:rPr>
          <w:rFonts w:ascii="Times New Roman" w:eastAsia="Times New Roman" w:hAnsi="Times New Roman" w:cs="Times New Roman"/>
          <w:sz w:val="28"/>
          <w:szCs w:val="28"/>
          <w:lang w:eastAsia="ru-RU"/>
        </w:rPr>
        <w:t xml:space="preserve">. Исследователи в своих </w:t>
      </w:r>
      <w:r w:rsidR="00C47B1D" w:rsidRPr="00A43B9C">
        <w:rPr>
          <w:rFonts w:ascii="Times New Roman" w:eastAsia="Times New Roman" w:hAnsi="Times New Roman" w:cs="Times New Roman"/>
          <w:sz w:val="28"/>
          <w:szCs w:val="28"/>
          <w:lang w:eastAsia="ru-RU"/>
        </w:rPr>
        <w:t>публикациях</w:t>
      </w:r>
      <w:r w:rsidRPr="00A43B9C">
        <w:rPr>
          <w:rFonts w:ascii="Times New Roman" w:eastAsia="Times New Roman" w:hAnsi="Times New Roman" w:cs="Times New Roman"/>
          <w:sz w:val="28"/>
          <w:szCs w:val="28"/>
          <w:lang w:eastAsia="ru-RU"/>
        </w:rPr>
        <w:t xml:space="preserve"> оценили роль </w:t>
      </w:r>
      <w:r w:rsidRPr="00A43B9C">
        <w:rPr>
          <w:rFonts w:ascii="Times New Roman" w:eastAsia="Times New Roman" w:hAnsi="Times New Roman" w:cs="Times New Roman"/>
          <w:sz w:val="28"/>
          <w:szCs w:val="28"/>
          <w:vertAlign w:val="superscript"/>
          <w:lang w:eastAsia="ru-RU"/>
        </w:rPr>
        <w:t>18</w:t>
      </w:r>
      <w:r w:rsidRPr="00A43B9C">
        <w:rPr>
          <w:rFonts w:ascii="Times New Roman" w:eastAsia="Times New Roman" w:hAnsi="Times New Roman" w:cs="Times New Roman"/>
          <w:sz w:val="28"/>
          <w:szCs w:val="28"/>
          <w:lang w:val="en-US" w:eastAsia="ru-RU"/>
        </w:rPr>
        <w:t>F</w:t>
      </w:r>
      <w:r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val="en-US" w:eastAsia="ru-RU"/>
        </w:rPr>
        <w:t>FDG</w:t>
      </w:r>
      <w:r w:rsidRPr="00A43B9C">
        <w:rPr>
          <w:rFonts w:ascii="Times New Roman" w:eastAsia="Times New Roman" w:hAnsi="Times New Roman" w:cs="Times New Roman"/>
          <w:sz w:val="28"/>
          <w:szCs w:val="28"/>
          <w:lang w:eastAsia="ru-RU"/>
        </w:rPr>
        <w:t xml:space="preserve"> ПЭТ в обнаружении метастазов в </w:t>
      </w:r>
      <w:r w:rsidR="00773AAD">
        <w:rPr>
          <w:rFonts w:ascii="Times New Roman" w:eastAsia="Times New Roman" w:hAnsi="Times New Roman" w:cs="Times New Roman"/>
          <w:sz w:val="28"/>
          <w:szCs w:val="28"/>
          <w:lang w:eastAsia="ru-RU"/>
        </w:rPr>
        <w:t>лимфоузлах</w:t>
      </w:r>
      <w:r w:rsidRPr="00A43B9C">
        <w:rPr>
          <w:rFonts w:ascii="Times New Roman" w:eastAsia="Times New Roman" w:hAnsi="Times New Roman" w:cs="Times New Roman"/>
          <w:sz w:val="28"/>
          <w:szCs w:val="28"/>
          <w:lang w:eastAsia="ru-RU"/>
        </w:rPr>
        <w:t xml:space="preserve"> у пациентов с </w:t>
      </w:r>
      <w:r w:rsidR="00773AAD">
        <w:rPr>
          <w:rFonts w:ascii="Times New Roman" w:eastAsia="Times New Roman" w:hAnsi="Times New Roman" w:cs="Times New Roman"/>
          <w:sz w:val="28"/>
          <w:szCs w:val="28"/>
          <w:lang w:eastAsia="ru-RU"/>
        </w:rPr>
        <w:t>овариальным видом рака</w:t>
      </w:r>
      <w:r w:rsidRPr="00A43B9C">
        <w:rPr>
          <w:rFonts w:ascii="Times New Roman" w:eastAsia="Times New Roman" w:hAnsi="Times New Roman" w:cs="Times New Roman"/>
          <w:sz w:val="28"/>
          <w:szCs w:val="28"/>
          <w:lang w:eastAsia="ru-RU"/>
        </w:rPr>
        <w:t xml:space="preserve">, сравнивая заключения данного исследования с хирургическими и </w:t>
      </w:r>
      <w:r w:rsidRPr="00A43B9C">
        <w:rPr>
          <w:rFonts w:ascii="Times New Roman" w:eastAsia="Times New Roman" w:hAnsi="Times New Roman" w:cs="Times New Roman"/>
          <w:sz w:val="28"/>
          <w:szCs w:val="28"/>
          <w:lang w:eastAsia="ru-RU"/>
        </w:rPr>
        <w:lastRenderedPageBreak/>
        <w:t xml:space="preserve">клиническими результатами. Гистопатологическая корреляция рассмотрена только в нескольких научных </w:t>
      </w:r>
      <w:r w:rsidR="00C47B1D" w:rsidRPr="00A43B9C">
        <w:rPr>
          <w:rFonts w:ascii="Times New Roman" w:eastAsia="Times New Roman" w:hAnsi="Times New Roman" w:cs="Times New Roman"/>
          <w:sz w:val="28"/>
          <w:szCs w:val="28"/>
          <w:lang w:eastAsia="ru-RU"/>
        </w:rPr>
        <w:t>публикациях</w:t>
      </w:r>
      <w:r w:rsidRPr="00A43B9C">
        <w:rPr>
          <w:rFonts w:ascii="Times New Roman" w:eastAsia="Times New Roman" w:hAnsi="Times New Roman" w:cs="Times New Roman"/>
          <w:sz w:val="28"/>
          <w:szCs w:val="28"/>
          <w:lang w:eastAsia="ru-RU"/>
        </w:rPr>
        <w:t>.</w:t>
      </w:r>
      <w:r w:rsidR="00D85264"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 xml:space="preserve">Недостатком ПЭТ является трудность определения точной локализации найденных патологических образований: ложноположительные результаты, связанные с трудностью дифференциального диагноза с воспалительными заболеваниями, большим количеством зон физиологического накопления в этом регионе, а также взаимоотношений опухоли с окружающими анатомическими структурами. Это послужило причиной создания сочетанных ПЭТ/КТ установок, позволяющих получить анатомо-функциональное изображение. Многие из этих недостатков не визуализируются при использовании ПЭТ/КТ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{"citationID":"14gHeQyE","properties":{"formattedCitation":"[60, 61]","plainCitation":"[60, 61]","noteIndex":0},"citationItems":[{"id":275,"uris":["http://zotero.org/users/8787459/items/SMLAYZDV"],"itemData":{"id":275,"type":"article-journal","container-title":"Annals of Oncology","DOI":"10.1093/annonc/mdn057","ISSN":"0923-7534, 1569-8041","issue":"7","journalAbbreviation":"Annals of Oncology","language":"English","note":"publisher: Elsevier\nPMID: 18356138","page":"1249-1254","source":"www.annalsofoncology.org","title":"Comparison between positron emission tomography using 2-[fluorine-18]fluoro-2-deoxy-D-glucose, conventional imaging and computed tomography for staging of breast cancer","volume":"19","author":[{"family":"Mahner","given":"S."},{"family":"Schirrmacher","given":"S."},{"family":"Brenner","given":"W."},{"family":"Jenicke","given":"L."},{"family":"Habermann","given":"C. R."},{"family":"Avril","given":"N."},{"family":"Dose-Schwarz","given":"J."}],"issued":{"date-parts":[["2008",7,1]]}},"label":"page"},{"id":272,"uris":["http://zotero.org/users/8787459/items/6J5Q4RI2"],"itemData":{"id":272,"type":"article-journal","abstract":"INTRODUCTION: Patients diagnosed with epithelial ovarian cancer (EOC) have improved outcomes when cared for at centers experienced in the management of EOC. The objective of this trial was to validate a predictive model to assess the risk for EOC in women with a pelvic mass.\nMETHODS: Women diagnosed with a pelvic mass and scheduled to have surgery were enrolled on a multicenter prospective study. Preoperative serum levels of HE4 and CA125 were measured. Separate logistic regression algorithms for premenopausal and postmenopausal women were utilized to categorize patients into low and high risk groups for EOC.\nRESULTS: Twelve sites enrolled 531 evaluable patients with 352 benign tumors, 129 EOC, 22 LMP tumors, 6 non EOC and 22 non ovarian cancers. The postmenopausal group contained 150 benign cases of which 112 were classified as low risk giving a specificity of 75.0% (95% CI 66.9-81.4), and 111 EOC and 6 LMP tumors of which 108 were classified as high risk giving a sensitivity of 92.3% (95% CI=85.9-96.4). The premenopausal group had 202 benign cases of which 151 were classified as low risk providing a specificity of 74.8% (95% CI=68.2-80.6), and 18 EOC and 16 LMP tumors of which 26 were classified as high risk, providing a sensitivity of 76.5% (95% CI=58.8-89.3).\nCONCLUSION: An algorithm utilizing HE4 and CA125 successfully classified patients into high and low risk groups with 93.8% of EOC correctly classified as high risk. This model can be used to effectively triage patients to centers of excellence.","container-title":"Gynecologic Oncology","DOI":"10.1016/j.ygyno.2008.08.031","ISSN":"1095-6859","issue":"1","journalAbbreviation":"Gynecol Oncol","language":"eng","note":"PMID: 18851871\nPMCID: PMC3594094","page":"40-46","source":"PubMed","title":"A novel multiple marker bioassay utilizing HE4 and CA125 for the prediction of ovarian cancer in patients with a pelvic mass","volume":"112","author":[{"family":"Moore","given":"Richard G."},{"family":"McMeekin","given":"D. Scott"},{"family":"Brown","given":"Amy K."},{"family":"DiSilvestro","given":"Paul"},{"family":"Miller","given":"M. Craig"},{"family":"Allard","given":"W. Jeffrey"},{"family":"Gajewski","given":"Walter"},{"family":"Kurman","given":"Robert"},{"family":"Bast","given":"Robert C."},{"family":"Skates","given":"Steven J."}],"issued":{"date-parts":[["2009",1]]}},"label":"page"}],"schema":"https://github.com/citation-style-language/schema/raw/master/csl-citation.json"}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[60, 61]</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p>
    <w:p w14:paraId="19AE33A2" w14:textId="2FD87294"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Кроме изучения метаболизма опухолей и выявления истинной распространенности опухолевого процесса, ПЭТ-исследования в онкологии имеют существенное значение для количественной оценки перфузии опухолей (для планирования системной или регионарной химиотерапии), а также для исследований фармакокинетики меченных противоопухолевых химиотерапевтических агентов (в плане оценки эффективности противоопухолевой химиотерапии).</w:t>
      </w:r>
      <w:r w:rsidR="00D85264"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 xml:space="preserve">Увеличение метаболизма глюкозы в очаге после химиотерапии (метаболическая вспышка) отмечается у пациентов с положительным лечебным эффектом. У пациентов, не отреагировавших на лечение, метаболизм в опухоли остается на прежнем уровне. При проведении химиотерапии наблюдается быстрое достоверное снижение метаболизма в очаге уже на </w:t>
      </w:r>
      <w:r w:rsidR="003E35F6">
        <w:rPr>
          <w:rFonts w:ascii="Times New Roman" w:eastAsia="Times New Roman" w:hAnsi="Times New Roman" w:cs="Times New Roman"/>
          <w:sz w:val="28"/>
          <w:szCs w:val="28"/>
          <w:lang w:eastAsia="ru-RU"/>
        </w:rPr>
        <w:t xml:space="preserve">восьмой </w:t>
      </w:r>
      <w:r w:rsidRPr="00A43B9C">
        <w:rPr>
          <w:rFonts w:ascii="Times New Roman" w:eastAsia="Times New Roman" w:hAnsi="Times New Roman" w:cs="Times New Roman"/>
          <w:sz w:val="28"/>
          <w:szCs w:val="28"/>
          <w:lang w:eastAsia="ru-RU"/>
        </w:rPr>
        <w:t xml:space="preserve">день после начала лечения в случае положительного клинического эффекта, который продолжал снижаться на 21, 42, 63 дни (при неизменном размере опухоли). У пациентов, не ответивших на лечение, уровень метаболизма в очаге оставался неизменным в течение всех 63 дней. Таким образом, ПЭТ с чувствительностью около 90% может предсказать, будет ли достигнута ремиссия в каждом конкретном случае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{"citationID":"JlnvalZm","properties":{"formattedCitation":"[9, 62]","plainCitation":"[9, 62]","noteIndex":0},"citationItems":[{"id":279,"uris":["http://zotero.org/users/8787459/items/DTA2AYFZ"],"itemData":{"id":279,"type":"article-journal","abstract":"Multimodality imaging, as represented by its greatest exponent, PET/CT, has a firm place in the evaluation of a patient presenting with cancer. With 18F-FDG, PET/CT is rapidly becoming the key investigative tool for the staging and assessment of cancer recurrence. In the last 5 y, PET/CT has also gained widespread acceptance as a key tool used to demonstrate early response to intervention and therapy. In this setting, a major clinical need is being addressed with 18F-FDG PET/CT, because of its inherent ability to demonstrate (before other markers of response) if disease modification has occurred. This review presents available evidence to this effect.","container-title":"Journal of Nuclear Medicine: Official Publication, Society of Nuclear Medicine","DOI":"10.2967/jnumed.108.054205","ISSN":"0161-5505","issue":"1","journalAbbreviation":"J Nucl Med","language":"eng","note":"PMID: 19139187","page":"88-99","source":"PubMed","title":"18F-FDG PET and PET/CT in the evaluation of cancer treatment response","volume":"50","author":[{"family":"Ben-Haim","given":"Simona"},{"family":"Ell","given":"Peter"}],"issued":{"date-parts":[["2009",1]]}},"label":"page"},{"id":282,"uris":["http://zotero.org/users/8787459/items/GA69HIZ5"],"itemData":{"id":282,"type":"article-journal","abstract":"Successful management of solid tumors in children requires imaging tests for accurate disease detection, characterization, and treatment monitoring. Technologic developments aim toward the creation of integrated imaging approaches that provide a comprehensive diagnosis with a single visit. These integrated diagnostic tests not only are convenient for young patients but also save direct and indirect health-care costs by streamlining procedures, minimizing hospitalizations, and minimizing lost school or work time for children and their parents. (18)F-FDG PET/CT is a highly sensitive and specific imaging modality for whole-body evaluation of pediatric malignancies. However, recent concerns about ionizing radiation exposure have led to a search for alternative imaging methods, such as whole-body MR imaging and PET/MR. As we develop new approaches for tumor staging, it is important to understand current benchmarks. This review article will synthesize the current literature on (18)F-FDG PET/CT for tumor staging in children, summarizing questions that have been solved and providing an outlook on unsolved avenues.","container-title":"Journal of Nuclear Medicine: Official Publication, Society of Nuclear Medicine","DOI":"10.2967/jnumed.114.146290","ISSN":"1535-5667","issue":"2","journalAbbreviation":"J Nucl Med","language":"eng","note":"PMID: 25572088","page":"274-286","source":"PubMed","title":"Value of 18F-FDG PET and PET/CT for evaluation of pediatric malignancies","volume":"56","author":[{"family":"Uslu","given":"Lebriz"},{"family":"Donig","given":"Jessica"},{"family":"Link","given":"Michael"},{"family":"Rosenberg","given":"Jarrett"},{"family":"Quon","given":"Andrew"},{"family":"Daldrup-Link","given":"Heike E."}],"issued":{"date-parts":[["2015",2]]}},"label":"page"}],"schema":"https://github.com/citation-style-language/schema/raw/master/csl-citation.json"}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[62]</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p>
    <w:p w14:paraId="66E9B93D" w14:textId="14A05621"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 xml:space="preserve">Методы исследований, применяемые и используемые в ядерной медицине также используются в выявлении и стадировании у пациентов </w:t>
      </w:r>
      <w:r w:rsidR="00773AAD">
        <w:rPr>
          <w:rFonts w:ascii="Times New Roman" w:eastAsia="Times New Roman" w:hAnsi="Times New Roman" w:cs="Times New Roman"/>
          <w:sz w:val="28"/>
          <w:szCs w:val="28"/>
          <w:lang w:eastAsia="ru-RU"/>
        </w:rPr>
        <w:t>с колоректальным раком</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{"citationID":"YdEZ8qfp","properties":{"formattedCitation":"[63\\uc0\\u8211{}68]","plainCitation":"[63–68]","noteIndex":0},"citationItems":[{"id":289,"uris":["http://zotero.org/users/8787459/items/UBXMLVW5"],"itemData":{"id":289,"type":"article-journal","abstract":"Tumor and normal tissue pharmacokinetics of 5-Fluorouracil (5-FU) in patients can be determined with positron emission tomography scanning. However, the data obtained are of limited value because of the inability to distinguish catabolites (inactive species) from parent 5-FU and anabolites (cytotoxic species). In this paper, we have blocked 5-FU catabolism in one arm of a paired study with eniluracil, an inactivator of dihydropyrimidine dehydrogenase, enabling catabolite correction and calculation of tissue pharmacokinetic parameters to be achieved. Using this novel approach, we report for the first time that the net clearance of 5-[(18)F]FU from plasma into tumors (liver metastases and pancreatic tumor) of patients is low (K(I) = 0.0033 +/- 0.0005 ml plasma/ml tissue/min). In contrast, the initial (up to 10 min) clearance through catabolism in liver was high (K(I) = 0.7313 +/- 0.092 ml plasma/ml tissue/min). In the absence of eniluracil, catabolites in tumors accounted for 83% of total tumor exposure (range, 66-91%), whereas catabolites in liver accounted for 96% of total liver exposure (range, 94-98%). This study provides definitive evidence that the cytotoxicity of 5-FU in patients with gastrointestinal cancer could be compromised by its intrinsically low uptake by tumors, as well as decreased systemic availability through hepatic catabolism.","container-title":"Cancer Research","ISSN":"0008-5472","issue":"13","journalAbbreviation":"Cancer Res","language":"eng","note":"PMID: 11431319","page":"4937-4941","source":"PubMed","title":"Extraction of 5-fluorouracil by tumor and liver: a noninvasive positron emission tomography study of patients with gastrointestinal cancer","title-short":"Extraction of 5-fluorouracil by tumor and liver","volume":"61","author":[{"family":"Aboagye","given":"E. O."},{"family":"Saleem","given":"A."},{"family":"Cunningham","given":"V. J."},{"family":"Osman","given":"S."},{"family":"Price","given":"P. M."}],"issued":{"date-parts":[["2001",7,1]]}},"label":"page"},{"id":293,"uris":["http://zotero.org/users/8787459/items/TBCYHZJ7"],"itemData":{"id":293,"type":"article-journal","abstract":"Colorectal carcinoma poses a serious public health threat. Detection in its early stages in the best predictor for long-term survival, which is the impetus for population-based screening programs. We believe that full-colon imaging by either DCBE or colonoscopy is necessary for colon cancer screening because flexible sigmoidoscopy, even if perfect, only detects 50% to 60% of colon cancers, a rate far worse than even the worst rate reported for single-contrast barium enema. Screening for colon cancer with flexible sigmoidoscopy is equivalent to performing a \"left\" mammogram for the detection of breast cancer. The role of CT colonography is still to be determined. When confronted with a symptomatic patient, barium enema is applied in conjunction with CT to detect primary colorectal carcinoma, to differentiate it from other benign and malignant processes involving the colon, and to assess for disease extent before surgery in selected high-risk patient populations. Pelvic MRI may be useful in the preoperative assessment of patients with rectal carcinoma as a means for assisting surgical planning. CT, MRI, and barium enema are used in postoperative follow-up for detecting local recurrence and distant spread. In response to known difficulty in discriminating between normal postoperative changes and tumor recurrence and in determining the nature of certain liver lesions, FDG-PET has been approved for the detection and localization of recurrent colorectal cancer in patients with rising CEA levels and indeterminate findings on standard imaging studies. Given its current promise of offering high sensitivity, specificity, and accuracy, the indications for PET may well expand in the future, but its final role in still to be determined.","container-title":"Hematology/Oncology Clinics of North America","DOI":"10.1016/s0889-8588(02)00032-1","ISSN":"0889-8588","issue":"4","journalAbbreviation":"Hematol Oncol Clin North Am","language":"eng","note":"PMID: 12418053","page":"875-895","source":"PubMed","title":"Radiologic imaging modalities in the diagnosis and management of colorectal cancer","volume":"16","author":[{"family":"Dobos","given":"Nora"},{"family":"Rubesin","given":"Stephen E."}],"issued":{"date-parts":[["2002",8]]}},"label":"page"},{"id":285,"uris":["http://zotero.org/users/8787459/items/4NQH4MLY"],"itemData":{"id":285,"type":"article-journal","abstract":"Gastrointestinal radiology has expanded its scope beyond conventional abdominal radiography, barium studies, and cholecystography. Ultrasonography allows imaging of solid abdominal organs and the intestine without the use of radiation. Computed tomography now allows comprehensive assessment of abdominal and pelvic inflammatory and infectious processes, obstruction, tumor detection and staging, and display of vasculature and blunt trauma effects that were not possible 50 years ago. Magnetic resonance imaging provides multiplanar imaging to the same degree, without the use of radiation. Barium studies of the gastrointestinal tract, enteroclysis for small-bowel assessment, and conventional radiography still have a role, despite the extensive use of fiberoptic endoscopy. Fluoroscopy is still important, but great advances in technologies have changed gastrointestinal radiology irrevocably.","container-title":"Radiology","DOI":"10.1148/radiology.216.1.r00jl311","ISSN":"0033-8419","issue":"1","journalAbbreviation":"Radiology","language":"eng","note":"PMID: 10887219","page":"1-7","source":"PubMed","title":"Gastrointestinal radiology in the United States: An overview of the past 50 years","title-short":"Gastrointestinal radiology in the United States","volume":"216","author":[{"family":"Goldberg","given":"H. I."},{"family":"Margulis","given":"A. R."}],"issued":{"date-parts":[["2000",7]]}},"label":"page"},{"id":295,"uris":["http://zotero.org/users/8787459/items/PZWAPV2B"],"itemData":{"id":295,"type":"article-journal","abstract":"BACKGROUND: We assessed the contribution of dedicated computed tomographic (CT) interpretation to the accuracy of positron emission tomography (PET) plus CT in imaging patients with suspected primary or metastatic colorectal carcinoma.\nMETHODS: One hundred PET/CT scans in 90 consecutive patients were evaluated retrospectively. Imaging was performed on a GE Discovery LS PET/CT scanner. PET images were obtained from the skull base through the midthigh after intravenous administration of 15 to 20 mCi of [(18)F] fluorine-18-fluoro-2-deoxyglucose. Noncontrast axial CT images were obtained at the same anatomic locations, with 140 kV, 80 mA, 0.8 s/CT rotation, a pitch of 6, and a table speed of 22.5 mm/s. The CT component of the PET/CT study was reviewed independently by consensus of two blinded readers. Scans were evaluated for the presence of primary disease, local recurrence, and distant metastases. Results were compared with the PET/CT report. The gold standard was clinical and imaging follow-up for at least 6 months, surgery, or biopsy.\nRESULTS: The study included 40 males and 50 females, with a mean age of 63 years (range, 31-92 years). The indications for the examination were to evaluate for recurrence of colorectal cancer in 83 cases, determine disease spread in 15 cases, and evaluate for possible primary malignancy in two cases with rising carcinoembryonic antigen. Sensitivity, specificity, and accuracy of the PET/CT report and of the combined PET/CT with dedicated CT interpretation were 0.914, 0.633, and 0.830 and 0.986, 1.000, and 0.980, respectively. The difference between PET/CT and the combined PET/CT with dedicated CT interpretation with respect to accuracy was statistically significant (p &lt; 0.05).\nCONCLUSION: The CT portion of PET/CT provides valuable anatomic and pathologic information to the functional information provided by PET and helps improve the overall accuracy of the combined study.","container-title":"Abdominal Imaging","DOI":"10.1007/s00261-003-0163-2","ISSN":"0942-8925","issue":"6","journalAbbreviation":"Abdom Imaging","language":"eng","note":"PMID: 15162236","page":"663-668","source":"PubMed","title":"Incremental value of CT in PET/CT of patients with colorectal carcinoma","volume":"29","author":[{"family":"Kamel","given":"I. R."},{"family":"Cohade","given":"C."},{"family":"Neyman","given":"E."},{"family":"Fishman","given":"E. K."},{"family":"Wahl","given":"R. L."}],"issued":{"date-parts":[["2004",12]]}},"label":"page"},{"id":291,"uris":["http://zotero.org/users/8787459/items/KG6QVX3K"],"itemData":{"id":291,"type":"article-journal","abstract":"Whole-body PET imaging with 18F-FDG has been used successfully to stage colorectal cancer. However, the impact of FDG PET on patient management from the referring physician's point of view has not been determined.\nMETHODS: A questionnaire was sent to referring physicians to determine whether and how PET altered the management of colorectal cancer patients. Management changes, when present, were classified as intermodality (e.g., medical to surgical, surgical to radiation, medical to no treatment) or intramodality (e.g., altered medical, surgical, or radiotherapy approach).\nRESULTS: Of 60 responses from referring physicians, changes in clinical stage were reported for 25 patients (42%). Among these, the disease was upstaged in 20 patients (80%) and downstaged in 5 patients (20%). The PET findings contributed to intermodality management changes in 22 of the 60 patients (37%), intramodality changes in 11 patients (18%), a combination of management changes in 4 patients (7%), and no change in 19 patients (32%). Two of the 60 patients (3%) had other changes, and no response to this question was received for the remaining 2 patients (3%). As a result of PET findings, physicians avoided major surgery in 41% of patients for whom surgery was the intended treatment.\nCONCLUSION: This survey-based study of referring physicians shows that FDG PET had a major impact on the management of colorectal cancer patients and contributed to changes in clinical stage and major management decisions in &gt;40% of patients.","container-title":"Journal of Nuclear Medicine: Official Publication, Society of Nuclear Medicine","ISSN":"0161-5505","issue":"4","journalAbbreviation":"J Nucl Med","language":"eng","note":"PMID: 11337546","page":"586-590","source":"PubMed","title":"Impact of 18F-FDG PET on managing patients with colorectal cancer: the referring physician's perspective","title-short":"Impact of 18F-FDG PET on managing patients with colorectal cancer","volume":"42","author":[{"family":"Meta","given":"J."},{"family":"Seltzer","given":"M."},{"family":"Schiepers","given":"C."},{"family":"Silverman","given":"D. H."},{"family":"Ariannejad","given":"M."},{"family":"Gambhir","given":"S. S."},{"family":"Phelps","given":"M. E."},{"family":"Valk","given":"P."},{"family":"Czernin","given":"J."}],"issued":{"date-parts":[["2001",4]]}},"label":"page"},{"id":287,"uris":["http://zotero.org/users/8787459/items/ABKAY5FY"],"itemData":{"id":287,"type":"article-journal","abstract":"PURPOSE: The purpose of this study was to evaluate the clinical efficacy of positron emission tomography with 2-[18F] fluoro-2-deoxy-D-glucose compared with computed tomography plus other conventional diagnostic studies in patients suspected of having metastatic or recurrent colorectal adenocarcinoma.\nMETHODS: The records of 105 patients who underwent 101 computed tomography and 109 2-[18F] fluoro-2-deoxy-D-glucose positron emission tomography scans for suspected metastatic or recurrent colorectal adenocarcinoma were reviewed. Clinical correlation was confirmed at time of operation, histopathologically, or by clinical course.\nRESULTS: The overall sensitivity and specificity of 2-[18F] fluoro-2-deoxy-D-glucose positron emission tomography in detection of clinically relevant tumor were higher (87 and 68 percent) than for computed tomography plus other conventional diagnostic studies (66 and 59 percent). The sensitivity of 2-[18F] fluoro-2-deoxy-D-glucose positron emission tomography in detecting mucinous cancer was lower (58 percent; n = 16) than for nonmucinous cancer (92 percent; n = 93). The sensitivity of 2-[18F] fluoro-2-deoxy-D-glucose positron emission tomography in detecting locoregional recurrence (n = 70) was higher than for computed tomography plus colonoscopy (90 vs. 71 percent, respectively). The sensitivity of 2-[18F] fluoro-2-deoxy-D-glucose positron emission tomography in detecting hepatic metastasis (n = 101) was higher than for computed tomography (89 vs. 71 percent). The sensitivity of 2-[18F] fluoro-2-deoxy-D-glucose positron emission tomography in detecting extrahepatic metastases exclusive of locoregional recurrence (n = 101) was higher than for computed tomography plus other conventional diagnostic studies (94 vs. 67 percent). 2-[18F] fluoro-2-deoxy-D-glucose positron emission tomography altered clinical management in a beneficial manner in 26 percent of cases (26/101) when compared with evaluation by computed tomography plus other conventional diagnostic studies.\nCONCLUSION: 2-[18F] fluoro-2-deoxy-D-glucose positron emission tomography is more sensitive than computed tomography for the detection of metastatic or recurrent colorectal cancer and may improve clinical management in one-quarter of cases. However, 2-[18F] fluoro-2-deoxy-D-glucose positron emission tomography is not as sensitive in detecting mucinous adenocarcinoma, possibly because of the relative hypocellularity of these tumors.","container-title":"Diseases of the Colon and Rectum","DOI":"10.1007/BF02238010","ISSN":"0012-3706","issue":"6","journalAbbreviation":"Dis Colon Rectum","language":"eng","note":"PMID: 10859074","page":"759-767; discussion 767-770","source":"PubMed","title":"Usefulness of FDG-PET scan in the assessment of suspected metastatic or recurrent adenocarcinoma of the colon and rectum","volume":"43","author":[{"family":"Whiteford","given":"M. H."},{"family":"Whiteford","given":"H. M."},{"family":"Yee","given":"L. F."},{"family":"Ogunbiyi","given":"O. A."},{"family":"Dehdashti","given":"F."},{"family":"Siegel","given":"B. A."},{"family":"Birnbaum","given":"E. H."},{"family":"Fleshman","given":"J. W."},{"family":"Kodner","given":"I. J."},{"family":"Read","given":"T. E."}],"issued":{"date-parts":[["2000",6]]}},"label":"page"}],"schema":"https://github.com/citation-style-language/schema/raw/master/csl-citation.json"}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szCs w:val="24"/>
        </w:rPr>
        <w:t>[63</w:t>
      </w:r>
      <w:r w:rsidR="00FF4BDB" w:rsidRPr="00D3420D">
        <w:rPr>
          <w:rFonts w:ascii="Times New Roman" w:hAnsi="Times New Roman" w:cs="Times New Roman"/>
          <w:sz w:val="28"/>
          <w:szCs w:val="24"/>
        </w:rPr>
        <w:t>-</w:t>
      </w:r>
      <w:r w:rsidR="00F6152F" w:rsidRPr="00F6152F">
        <w:rPr>
          <w:rFonts w:ascii="Times New Roman" w:hAnsi="Times New Roman" w:cs="Times New Roman"/>
          <w:sz w:val="28"/>
          <w:szCs w:val="24"/>
        </w:rPr>
        <w:t>68]</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r w:rsidR="00C47B1D"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 xml:space="preserve">При проведении ПЭТ используются </w:t>
      </w:r>
      <w:r w:rsidR="00773AAD">
        <w:rPr>
          <w:rFonts w:ascii="Times New Roman" w:eastAsia="Times New Roman" w:hAnsi="Times New Roman" w:cs="Times New Roman"/>
          <w:sz w:val="28"/>
          <w:szCs w:val="28"/>
          <w:lang w:eastAsia="ru-RU"/>
        </w:rPr>
        <w:t>радиофармпрепаратом</w:t>
      </w:r>
      <w:r w:rsidRPr="00A43B9C">
        <w:rPr>
          <w:rFonts w:ascii="Times New Roman" w:eastAsia="Times New Roman" w:hAnsi="Times New Roman" w:cs="Times New Roman"/>
          <w:sz w:val="28"/>
          <w:szCs w:val="28"/>
          <w:lang w:eastAsia="ru-RU"/>
        </w:rPr>
        <w:t xml:space="preserve">, меченные кислородом, углеродом, азотом, глюкозой, которые являются естественными метаболитами организма и включаются в обмен веществ на равных с собственными эндогенными метаболитами. Их особенностью является то, что при их производстве используются короткоживущие радиоизотопы, производимые в непосредственной близости от места проведения исследования. В диагностике </w:t>
      </w:r>
      <w:r w:rsidR="00773AAD">
        <w:rPr>
          <w:rFonts w:ascii="Times New Roman" w:eastAsia="Times New Roman" w:hAnsi="Times New Roman" w:cs="Times New Roman"/>
          <w:sz w:val="28"/>
          <w:szCs w:val="28"/>
          <w:lang w:eastAsia="ru-RU"/>
        </w:rPr>
        <w:t>колоректального рака</w:t>
      </w:r>
      <w:r w:rsidRPr="00A43B9C">
        <w:rPr>
          <w:rFonts w:ascii="Times New Roman" w:eastAsia="Times New Roman" w:hAnsi="Times New Roman" w:cs="Times New Roman"/>
          <w:sz w:val="28"/>
          <w:szCs w:val="28"/>
          <w:lang w:eastAsia="ru-RU"/>
        </w:rPr>
        <w:t xml:space="preserve"> используется естественный аналог глюкозы – фтордезоксиглюкоза (FDG) </w:t>
      </w:r>
      <w:r w:rsidRPr="00A43B9C">
        <w:rPr>
          <w:rFonts w:ascii="Times New Roman" w:eastAsia="Times New Roman" w:hAnsi="Times New Roman" w:cs="Times New Roman"/>
          <w:sz w:val="28"/>
          <w:szCs w:val="28"/>
          <w:lang w:val="en-US"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{"citationID":"Ivl0j5TS","properties":{"formattedCitation":"[11, 30, 31, 69\\uc0\\u8211{}74]","plainCitation":"[11, 30, 31, 69–74]","noteIndex":0},"citationItems":[{"id":316,"uris":["http://zotero.org/users/8787459/items/F92CH7GB"],"itemData":{"id":316,"type":"article-journal","abstract":"AIM: To evaluate the value of 18F-DG PET/CT in detecting recurrence and/or metastasis of colorectal cancer (CRC)., METHODS: Combined visual analysis with semiquantitative analysis, the 18F-DG PET/CT whole-body imaging results and the corresponding clinical data of 68 postoperative CRC patients including 48 male and 20 female with average age of 58.1 were analyzed retrospectively., RESULTS: Recurrence and/or metastasis were confirmed in 56 patients in the clinical follow-up after the PET/CT imaging. The sensitivity of PET/CT diagnosis of CRC recurrence and/or metastasis was 94.6%, and the specificity was 83.3%. The positive predictive value (PPV) was 96.4% and the negative predictive value (NPV) was 76.9%. PET/CT imaging detected one or more occult malignant lesions in 8 cases where abdominal/pelvic CT and/or ultrasonography showed negative findings, and also detected more lesions than CT or ultrasonography did in 30.4% (17/56) cases. Recurrence and/or metastasis was detected in 91.7% (22/24) cases with elevated serum CEA levels by 18F-DG PET/CT imaging., CONCLUSION: 18F-DG PET/CT could detect the recurrence and/or metastasis of CRC with high sensitivity and specificity.","container-title":"World Journal of Gastroenterology : WJG","DOI":"10.3748/wjg.v13.i37.5025","ISSN":"1007-9327","issue":"37","journalAbbreviation":"World J Gastroenterol","note":"PMID: 17854148\nPMCID: PMC4434629","page":"5025-5029","source":"PubMed Central","title":"18F-DG PET/CT in detection of recurrence and metastasis of colorectal cancer","volume":"13","author":[{"family":"Chen","given":"Long-Bang"},{"family":"Tong","given":"Jin-Long"},{"family":"Song","given":"Hai-Zhu"},{"family":"Zhu","given":"Hong"},{"family":"Wang","given":"Yu-Cai"}],"issued":{"date-parts":[["2007",10,7]]}},"label":"page"},{"id":299,"uris":["http://zotero.org/users/8787459/items/LHNIQI3K"],"itemData":{"id":299,"type":"article-journal","abstract":"PURPOSE: To investigate the usefulness of hardware coregistered PET/CT images for target volume definition.\nMETHODS AND MATERIALS: Thirty-nine patients presenting with various solid tumors were investigated. CT and a FDG-PET were obtained in treatment position in an integrated PET/CT scanner, and coregistered images were used for treatment planning. First, volume delineation was performed on the CT data. In a second step, the corresponding PET data were used as an overlay to the CT data to define the target volume. Delineation was done independently by two investigators.\nRESULTS: Coregistered PET/CT showed good fusion accuracy. The GTV increased by 25% or more because of PET in 17% of cases with head-and-neck (2/12) and lung cancer (1/6), and in 33% (7/21) in cancer of the pelvis. The GTV was reduced &gt; or =25% in 33% of patients with head-and-neck cancer (4/12), in 67% with lung cancer (4/6), and 19% with cancer of the pelvis (4/21). Overall, in 56% (22/39) of cases, GTV delineation was changed significantly if information from metabolic imaging was used in the planning process. The modification of the GTV translated into altered PTV changes exceeding &gt;20% in 46% (18/39) of cases. With PET, volume delineation variability between two independent oncologists decreased from a mean volume difference of 25.7 cm(3) to 9.2 cm(3) associated with a reduction of the standard deviation from 38.3 cm(3) to 13.3 cm(3) (p = 0.02). In 16% of cases, PET/CT revealed distant metastasies, changing the treatment strategy from curative to palliative.\nCONCLUSION: Integrated PET/CT for treatment planning for three-dimensional conformal radiation therapy improves the standardization of volume delineation compared with that of CT alone. PET/CT has the potential for reducing the risk for geographic misses, to minimize the dose of ionizing radiation applied to non-target organs, and to change the current practice to three-dimensional conformal radiation therapy planning by taking into account the metabolic and biologic features of cancer. The impact on treatment outcome remains to be demonstrated.","container-title":"International Journal of Radiation Oncology, Biology, Physics","DOI":"10.1016/s0360-3016(03)00346-8","ISSN":"0360-3016","issue":"3","journalAbbreviation":"Int J Radiat Oncol Biol Phys","language":"eng","note":"PMID: 14529793","page":"853-863","source":"PubMed","title":"Radiation treatment planning with an integrated positron emission and computer tomography (PET/CT): a feasibility study","title-short":"Radiation treatment planning with an integrated positron emission and computer tomography (PET/CT)","volume":"57","author":[{"family":"Ciernik","given":"I. Frank"},{"family":"Dizendorf","given":"Elena"},{"family":"Baumert","given":"Brigitta G."},{"family":"Reiner","given":"Beatrice"},{"family":"Burger","given":"Cyrill"},{"family":"Davis","given":"J. Bernard"},{"family":"Lütolf","given":"Urs M."},{"family":"Steinert","given":"Hans C."},{"family":"Von Schulthess","given":"Gustav K."}],"issued":{"date-parts":[["2003",11,1]]}},"label":"page"},{"id":301,"uris":["http://zotero.org/users/8787459/items/KDDCSYVI"],"itemData":{"id":301,"type":"article-journal","abstract":"The purpose of this study was to compare (18)F-FDG PET and PET/CT in a population of patients with colorectal cancer.\nMETHODS: PET and PET/CT images from 45 patients (17 women, 28 men; mean age +/- SD, 60.8 +/- 11.1 y) with known colorectal cancer referred for PET from June to November 2001 were retrospectively reviewed. Images were acquired with a PET/CT scanner, and (68)Ge attenuation correction was applied. PET images and fused (68)Ge attenuation-corrected PET and CT images were independently and separately interpreted by a moderately experienced reader unaware of the clinical information. Certainty of lesion characterization was scored on a 5-point scale (0 = definitely benign, 1 = probably benign, 2 = equivocal, 3 = probably malignant, 4 = definitely malignant). Lesion location was scored on a 3-point scale (0 = uncertain, 1 = probable, 2 = definite). The presence or absence of tumor was subsequently assessed using all available clinical, pathologic, and follow-up information. Analysis was provided for lesions detected by both PET and PET/CT.\nRESULTS: The frequency of equivocal and probable lesion characterization was reduced by 50% (50 to 25) with PET/CT, in comparison with PET. The frequency of definite lesion characterization was increased by 30% (84 to 109) with PET/CT. The number of definite locations was increased by 25% (92 to 115) with PET/CT. Overall correct staging increased from 78% to 89% with PET/CT on a patient-by-patient analysis.\nCONCLUSION: PET/CT imaging increases the accuracy and certainty of locating lesions in colorectal cancer. More definitely normal and definitely abnormal lesions (and fewer probable and equivocal lesions) were identified with PET/CT than with PET alone. Staging and restaging accuracy improved from 78% to 89%.","container-title":"Journal of Nuclear Medicine: Official Publication, Society of Nuclear Medicine","ISSN":"0161-5505","issue":"11","journalAbbreviation":"J Nucl Med","language":"eng","note":"PMID: 14602862","page":"1797-1803","source":"PubMed","title":"Direct comparison of (18)F-FDG PET and PET/CT in patients with colorectal carcinoma","volume":"44","author":[{"family":"Cohade","given":"Christian"},{"family":"Osman","given":"Medhat"},{"family":"Leal","given":"Jeffrey"},{"family":"Wahl","given":"Richard L."}],"issued":{"date-parts":[["2003",11]]}},"label":"page"},{"id":311,"uris":["http://zotero.org/users/8787459/items/AGWWLERQ"],"itemData":{"id":311,"type":"article-journal","abstract":"The evaluation of patients with known or suspected recurrent colorectal carcinoma is now an accepted indication for positron emission tomography using (18)F-fluorodeoxyglucose (FDG-PET) imaging. FDG-PET does not replace imaging modalities such as computed tomography (CT) for preoperative anatomic evaluation but is indicated as the initial test for diagnosis and staging of recurrence and for preoperative staging (N and M) of known recurrence that is considered to be resectable. FDG-PET imaging is valuable for the differentiation of posttreatment changes from recurrent tumor, differentiation of benign from malignant lesions (indeterminate lymph nodes, hepatic and pulmonary lesions), and the evaluation of patients with rising tumor markers in the absence of a known source. The addition of FDG-PET to the evaluation of these patients reduces overall treatment costs by accurately identifying patients who will and will not benefit from surgical procedures. Although initial staging at the time of diagnosis is often performed during colectomy, FDG-PET imaging is recommended for a subgroup of patients at high risk (with elevated CEA levels) and normal CT and for whom surgery can be avoided if FDG-PET shows metastases. Screening for recurrence in patients at high risk has also been advocated. FDG-PET imaging seems promising for monitoring patient response to therapy but larger studies are necessary. The diagnostic implications of integrated PET-CT imaging include improved detection of lesions on both the CT and FDG-PET images, better differentiation of physiologic from pathologic foci of metabolism, and better localization of the pathologic foci. This new powerful technology provides more accurate interpretation of both CT and FDG-PET images and therefore more optimal patient care. PET-CT fusion images affect the clinical management by guiding further procedures (biopsy, surgery, radiation therapy), excluding the need for additional procedures, and changing both inter- and intramodality therapy.","container-title":"Seminars in Nuclear Medicine","DOI":"10.1053/j.semnuclmed.2004.03.006","ISSN":"0001-2998","issue":"3","journalAbbreviation":"Semin Nucl Med","language":"eng","note":"PMID: 15202102","page":"209-223","source":"PubMed","title":"PET and PET-CT for evaluation of colorectal carcinoma","volume":"34","author":[{"family":"Delbeke","given":"Dominique"},{"family":"Martin","given":"William H."}],"issued":{"date-parts":[["2004",7]]}},"label":"page"},{"id":313,"uris":["http://zotero.org/users/8787459/items/KCX9UK3A"],"itemData":{"id":313,"type":"article-journal","abstract":"Since its introduction in the early nineties as a promising functional imaging technique in the management of neoplastic disorders, FDG-PET, and subsequently FDG-PET/CT, has become a cornerstone in several oncologic procedures such as tumor staging and restaging, treatment efficacy assessment during or after treatment end and radiotherapy planning. Moreover, the continuous technological progress of image generation and the introduction of sophisticated software to use PET scan as a biomarker paved the way to calculate new prognostic markers such as the metabolic tumor volume (MTV) and the total amount of tumor glycolysis (TLG). FDG-PET/CT proved more sensitive than contrast-enhanced CT scan in staging of several type of lymphoma or in detecting widespread tumor dissemination in several solid cancers, such as breast, lung, colon, ovary and head and neck carcinoma. As a consequence the stage of patients was upgraded, with a change of treatment in 10%-15% of them. One of the most evident advantages of FDG-PET was its ability to detect, very early during treatment, significant changes in glucose metabolism or even complete shutoff of the neoplastic cell metabolism as a surrogate of tumor chemosensitivity assessment. This could enable clinicians to detect much earlier the effectiveness of a given antineoplastic treatment, as compared to the traditional radiological detection of tumor shrinkage, which usually takes time and occurs much later.","container-title":"Cancers","DOI":"10.3390/cancers6041821","ISSN":"2072-6694","issue":"4","journalAbbreviation":"Cancers (Basel)","language":"eng","note":"PMID: 25268160\nPMCID: PMC4276948","page":"1821-1889","source":"PubMed","title":"Positron Emission Tomography (PET) in Oncology","volume":"6","author":[{"family":"Gallamini","given":"Andrea"},{"family":"Zwarthoed","given":"Colette"},{"family":"Borra","given":"Anna"}],"issued":{"date-parts":[["2014",9,29]]}},"label":"page"},{"id":303,"uris":["http://zotero.org/users/8787459/items/3PB7C6BE"],"itemData":{"id":303,"type":"article-journal","abstract":"This study evaluated lesion mislocalization between PET and CT on PET/CT studies when CT instead of germanium is used for attenuation correction (AC).\nMETHODS: PET/CT scans were obtained for 300 clinical patients. Both CT and germanium scans were used to correct PET emission data. Cases were noted of suspected inaccurate localization of lesions on any of the 5 sets of images (PET using germanium AC [GeAC] fused and not fused with CT, PET using CT AC fused and not fused with CT, and PET with no AC [NAC]). Independent CT or MRI was used to determine true lesion locations.\nRESULTS: Six of 300 patients (2%) had lesion mislocalization when CT was used for AC or fusion. True liver dome lesions were mislocalized to the right lung base on PET/CT, likely because of a respiratory motion difference between PET and CT. No mislocalization was present on NAC PET or non-CT-fused GeAC PET images.\nCONCLUSION: Serious lesion mislocalization on PET/CT studies may occur, albeit very infrequently, when CT is used for either AC or fusion.","container-title":"Journal of Nuclear Medicine: Official Publication, Society of Nuclear Medicine","ISSN":"0161-5505","issue":"2","journalAbbreviation":"J Nucl Med","language":"eng","note":"PMID: 12571215","page":"240-243","source":"PubMed","title":"Clinically significant inaccurate localization of lesions with PET/CT: frequency in 300 patients","title-short":"Clinically significant inaccurate localization of lesions with PET/CT","volume":"44","author":[{"family":"Osman","given":"Medhat M."},{"family":"Cohade","given":"Christian"},{"family":"Nakamoto","given":"Yuji"},{"family":"Marshall","given":"Laura T."},{"family":"Leal","given":"Jeff P."},{"family":"Wahl","given":"Richard L."}],"issued":{"date-parts":[["2003",2]]}},"label":"page"},{"id":305,"uris":["http://zotero.org/users/8787459/items/FV2V4R76"],"itemData":{"id":305,"type":"article-journal","abstract":"FDG-PET/CT is rarely used for initial staging of patients with colorectal cancer (CRC). Surgical resection of primary tumor and isolated metastases may result in long-term survival or presumed cure, whereas disseminated disease contraindicates operation. We analyzed a retrospective material to elucidate the potential value of FDG-PET/CT for staging of CRC. Data were retrieved from 67 consecutive patients (24-84 years) with histopathologically proven CRC who had undergone FDG-PET/CT in addition to conventional imaging for initial staging. Treatment plans before and after FDG-PET/CT were compared and patients divided as follows: (A) Patients with a change in therapy following FDG-PET/CT and (B) Patients without a change following FDG-PET/CT. Sixty-two patients had colon and five had rectal cancer. Of these, 20 (30%; CI 20.2-41.7) belonged to group A, whereas 47 (70%; CI 58.3-79.8) fell in group B. In conclusion, FDG-PET/CT changed treatment plan in 30% of cases. In ⅓ of these there was either a change from intended curative to palliative therapy or vice versa, while in the remaining ⅔ the pattern was more mixed. Thus, even in a retrospective routine material there were substantial changes in management strategy following FDG-PET/CT for staging in CRC.","container-title":"American Journal of Nuclear Medicine and Molecular Imaging","ISSN":"2160-8407","issue":"5","journalAbbreviation":"Am J Nucl Med Mol Imaging","note":"PMID: 25143865\nPMCID: PMC4138141","page":"471-482","source":"PubMed Central","title":"Clinical impact of FDG-PET/CT on colorectal cancer staging and treatment strategy","volume":"4","author":[{"family":"Petersen","given":"Rasmus K"},{"family":"Hess","given":"Søren"},{"family":"Alavi","given":"Abass"},{"family":"Høilund-Carlsen","given":"Poul F"}],"issued":{"date-parts":[["2014",8,15]]}},"label":"page"},{"id":307,"uris":["http://zotero.org/users/8787459/items/BBTEIG66"],"itemData":{"id":307,"type":"article-journal","abstract":"Colorectal cancer is the third most frequent cancer worldwide. Although its incidence is increasing, mainly in those aged under50, mortality has decreased by 50% in the more developed countries, principally due to the adoption of new practices in prevention, diagnosis and treatment. In particular, the various diagnostic imaging modalities allow improved therapeutic decision-making, evaluation of the response and early detection of recurrence. The aim of this paper is to review the available scientific evidence on the value of positron emission tomography with 18F-FDG (18F-FDG PET/CT) in the colorectal cancer, with special emphasis on the indications of the guidelines and recommendations of the main international scientific associations regarding this imaging technique.","container-title":"Revista Espanola De Medicina Nuclear E Imagen Molecular","DOI":"10.1016/j.remn.2019.09.009","ISSN":"2253-8089","issue":"1","journalAbbreviation":"Rev Esp Med Nucl Imagen Mol (Engl Ed)","language":"eng, spa","note":"PMID: 31776063","page":"57-66","source":"PubMed","title":"FDG PET/CT in colorectal cancer","volume":"39","author":[{"family":"Rodríguez-Fraile","given":"M."},{"family":"Cózar-Santiago","given":"M. P."},{"family":"Sabaté-Llobera","given":"A."},{"family":"Caresia-Aróztegui","given":"A. P."},{"family":"Delgado Bolton","given":"R. C."},{"family":"Orcajo-Rincon","given":"J."},{"family":"Arcocha-Torres","given":"M.","non-dropping-particle":"de"},{"family":"García-Velloso","given":"M. J."},{"family":"García-Talavera","given":"P."}],"issued":{"date-parts":[["2020",2]]}},"label":"page"},{"id":309,"uris":["http://zotero.org/users/8787459/items/LQ9A4SU7"],"itemData":{"id":309,"type":"article-journal","abstract":"The feasibility of small animal imaging using a clinical positron emission tomography/computed tomography (PET/CT) scanner with [F-18]-fluoro-2-deoxy-D-glucose (FDG) was evaluated. As tumor-bearing small animal models, rabbits with VX-2 liver tumors, rats with mammary tumors on the back, and mice with LS174T human colon tumor xenografts were prepared. Two-dimensional PET, CT, and fused PET/CT images were obtained and reconstructed with a combined PET/CT system using a conventional protocol for humans and dedicated high-resolution mode protocols specialized for each species. Estimated radioactivity concentrations in tumors and normal organs determined noninvasively on FDG-PET/CT were compared with the actual tissue radioactivity levels determined from gamma-counting after vivisection in rats. In addition, recovery-corrected radioactivity concentrations were calculated and evaluated using the tumor/normal organ sizes measured on CT. Tumors in rabbits and rats were clearly visualized by FDG-PET/CT in the dedicated protocols, and images were considered suitable for research purposes. With the aid of thin-slice CT-mapping images, FDG uptake was correctly localized in the viable tumor regions. In mice, increased FDG uptake in tumors with varying activity levels was observed, but detailed anatomical information was not optimally provided from the images, even using specialized protocols. The estimated radioactivity concentrations of tumors and normal organs were close to the actual radioactivity concentrations obtained by gamma-counting (r = 0.97, P &lt; 0.001, the estimated/actual slope: 1) when recovery correction was applied using the sample sizes measured on CT. FDG-PET/CT imaging with a modern clinical scanner was demonstrated to be feasible, of excellent quality, and quite quantitatively accurate for research in rabbits or rats with tumors of appropriate size (&gt;2 cm without recovery correction and &gt;1 cm with recovery correction). Evaluation of FDG uptake within a tumor was possible with the aid of CT images. Dedicated small animal PET/CT scanner would be better suited for evaluating tumor-bearing mice and likely could enhance imaging smaller tumors in rabbits or rats. Although it has limitations, small animal imaging with a clinical PET/CT scanner may be quite adequate for sequential noninvasive imaging in oncology research because the CT is of high resolution, allowing for localization of PET findings and for more precise noninvasive estimation of radioactivity concentration through partial volume corrections.","container-title":"Cancer Research","ISSN":"0008-5472","issue":"19","journalAbbreviation":"Cancer Res","language":"eng","note":"PMID: 14559811","page":"6252-6257","source":"PubMed","title":"Initial experience in small animal tumor imaging with a clinical positron emission tomography/computed tomography scanner using 2-[F-18]fluoro-2-deoxy-D-glucose","volume":"63","author":[{"family":"Tatsumi","given":"Mitsuaki"},{"family":"Nakamoto","given":"Yuji"},{"family":"Traughber","given":"Bryan"},{"family":"Marshall","given":"Laura T."},{"family":"Geschwind","given":"Jean-Francois H."},{"family":"Wahl","given":"Richard L."}],"issued":{"date-parts":[["2003",10,1]]}},"label":"page"}],"schema":"https://github.com/citation-style-language/schema/raw/master/csl-citation.json"} </w:instrText>
      </w:r>
      <w:r w:rsidRPr="00A43B9C">
        <w:rPr>
          <w:rFonts w:ascii="Times New Roman" w:eastAsia="Times New Roman" w:hAnsi="Times New Roman" w:cs="Times New Roman"/>
          <w:sz w:val="28"/>
          <w:szCs w:val="28"/>
          <w:lang w:val="en-US" w:eastAsia="ru-RU"/>
        </w:rPr>
        <w:fldChar w:fldCharType="separate"/>
      </w:r>
      <w:r w:rsidR="00F6152F" w:rsidRPr="00F6152F">
        <w:rPr>
          <w:rFonts w:ascii="Times New Roman" w:hAnsi="Times New Roman" w:cs="Times New Roman"/>
          <w:sz w:val="28"/>
          <w:szCs w:val="24"/>
        </w:rPr>
        <w:t>[69</w:t>
      </w:r>
      <w:r w:rsidR="00FF4BDB" w:rsidRPr="00D3420D">
        <w:rPr>
          <w:rFonts w:ascii="Times New Roman" w:hAnsi="Times New Roman" w:cs="Times New Roman"/>
          <w:sz w:val="28"/>
          <w:szCs w:val="24"/>
        </w:rPr>
        <w:t>-</w:t>
      </w:r>
      <w:r w:rsidR="00F6152F" w:rsidRPr="00F6152F">
        <w:rPr>
          <w:rFonts w:ascii="Times New Roman" w:hAnsi="Times New Roman" w:cs="Times New Roman"/>
          <w:sz w:val="28"/>
          <w:szCs w:val="24"/>
        </w:rPr>
        <w:t>74]</w:t>
      </w:r>
      <w:r w:rsidRPr="00A43B9C">
        <w:rPr>
          <w:rFonts w:ascii="Times New Roman" w:eastAsia="Times New Roman" w:hAnsi="Times New Roman" w:cs="Times New Roman"/>
          <w:sz w:val="28"/>
          <w:szCs w:val="28"/>
          <w:lang w:val="en-US" w:eastAsia="ru-RU"/>
        </w:rPr>
        <w:fldChar w:fldCharType="end"/>
      </w:r>
      <w:r w:rsidRPr="00A43B9C">
        <w:rPr>
          <w:rFonts w:ascii="Times New Roman" w:eastAsia="Times New Roman" w:hAnsi="Times New Roman" w:cs="Times New Roman"/>
          <w:sz w:val="28"/>
          <w:szCs w:val="28"/>
          <w:lang w:eastAsia="ru-RU"/>
        </w:rPr>
        <w:t xml:space="preserve">. Естественно, для производства </w:t>
      </w:r>
      <w:r w:rsidR="00C95D50">
        <w:rPr>
          <w:rFonts w:ascii="Times New Roman" w:eastAsia="Times New Roman" w:hAnsi="Times New Roman" w:cs="Times New Roman"/>
          <w:sz w:val="28"/>
          <w:szCs w:val="28"/>
          <w:lang w:eastAsia="ru-RU"/>
        </w:rPr>
        <w:t xml:space="preserve">рафиофарпрепаратов </w:t>
      </w:r>
      <w:r w:rsidRPr="00A43B9C">
        <w:rPr>
          <w:rFonts w:ascii="Times New Roman" w:eastAsia="Times New Roman" w:hAnsi="Times New Roman" w:cs="Times New Roman"/>
          <w:sz w:val="28"/>
          <w:szCs w:val="28"/>
          <w:lang w:eastAsia="ru-RU"/>
        </w:rPr>
        <w:t xml:space="preserve">используются специализированные медицинские циклотроны и радиофармлаборатории </w:t>
      </w:r>
      <w:r w:rsidRPr="00A43B9C">
        <w:rPr>
          <w:rFonts w:ascii="Times New Roman" w:eastAsia="Times New Roman" w:hAnsi="Times New Roman" w:cs="Times New Roman"/>
          <w:sz w:val="28"/>
          <w:szCs w:val="28"/>
          <w:lang w:val="en-US"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{"citationID":"FyWgftU8","properties":{"formattedCitation":"[8, 75, 76]","plainCitation":"[8, 75, 76]","noteIndex":0},"citationItems":[{"id":323,"uris":["http://zotero.org/users/8787459/items/W5AX9BCM"],"itemData":{"id":323,"type":"article-journal","abstract":"Accurate diagnosis and staging are essential for the optimal management of cancer patients. Positron emission tomography with 2-deoxy-2-[fluorine-18]fluoro- D-glucose integrated with computed tomography (18F-FDG PET/CT) has emerged as a powerful imaging tool for the detection of various cancers. The combined acquisition of PET and CT has synergistic advantages over PET or CT alone and minimizes their individual limitations. It is a valuable tool for staging and restaging of some tumors and has an important role in the detection of recurrence in asymptomatic patients with rising tumor marker levels and patients with negative or equivocal findings on conventional imaging techniques. It also allows for monitoring response to therapy and permitting timely modification of therapeutic regimens. In about 27% of the patients, the course of managment is changed. This review provides guidance for oncologists/ radiotherapists and clinical and surgical specialists on the use of 18F-FDG PET/CT in oncology.","container-title":"Annals of Saudi Medicine","DOI":"10.4103/0256-4947.75771","ISSN":"0256-4947","issue":"1","journalAbbreviation":"Ann Saudi Med","note":"PMID: 21245592\nPMCID: PMC3101722","page":"3-13","source":"PubMed Central","title":"18F-FDG PET/CT Imaging In Oncology","volume":"31","author":[{"family":"Almuhaideb","given":"Ahmad"},{"family":"Papathanasiou","given":"Nikolaos"},{"family":"Bomanji","given":"Jamshed"}],"issued":{"date-parts":[["2011"]]}},"label":"page"},{"id":321,"uris":["http://zotero.org/users/8787459/items/QYR3ZSRN"],"itemData":{"id":321,"type":"article-journal","abstract":"Background\nNearly 40% of colorectal cancer (CRC) recurs within 2 years after resection of primary tumor. Imaging with fluorine-18-fluorodeoxyglucose (l8F-FDG) positron emission tomography/computed tomography (PET/CT) is the most recent modality and often applied for the evaluation of metastatic spread during the follow-up period. Our goal was to study the diagnostic importance of 18F-FDG-PET/CT data of maximum standardized uptake value (SUVmax), total lesion glycolysis (TLG) and the difference of SUVmax on dual-time imaging in CRC.\n\nPatients and methods\nWe examined the SUVmax value of lesions on control or restaging 18F-FDG-PET/CT of 53 CRC patients. All lesions with increased SUVmax values were confirmed by colonoscopy or histopathology. We compared PET/CT results with conventional imaging modalities (CT, MRI) and tumor markers (carbohydrate antigen 19-9 [Ca 19-9], carcinoembryonic antigen [CEA]).\n\nResults\nMean SUVmax was 6.9 ± 5.6 in benign group, 12.7 ± 6.1 in malignant group. Mean TLG values of malignant group and benign group were 401 and 148, respectively. 18F-FDG-PET/CT was truely positive in 48% of patients with normal Ca 19-9 or CEA levels and truely negative in 10% of cases with elevated Ca 19-9 or CEA. CT or MRI detected suspicious malignancy in 32% of the patients and 18F-FDG-PET/CT was truely negative in 35% of these cases. We found the most important and striking statistical difference of TLG value between the groups with benign and recurrent disease.\n\nConclusions\nAlthough SUVmax is a strong metabolic parameter (p = 0.008), TLG seems to be the best predictor in recurrence of CRC (p = 0.001); both are increasing the specificity of 18F-FDG-PET/CT.","container-title":"Radiology and Oncology","DOI":"10.1515/raon-2017-0045","ISSN":"1318-2099","issue":"4","journalAbbreviation":"Radiol Oncol","note":"PMID: 29333115\nPMCID: PMC5765313","page":"378-385","source":"PubMed Central","title":"Clinical Significance of Fluorine-18-fluorodeoxyglucose Positron Emission Tomography/computed Tomography in the Follow-up of Colorectal Cancer: Searching off Approaches Increasing Specificity for Detection of Recurrence","title-short":"Clinical Significance of Fluorine-18-fluorodeoxyglucose Positron Emission Tomography/computed Tomography in the Follow-up of Colorectal Cancer","volume":"51","author":[{"family":"Ince","given":"Semra"},{"family":"Okuyucu","given":"Kursat"},{"family":"Hancerliogulları","given":"Oguz"},{"family":"Alagoz","given":"Engin"},{"family":"San","given":"Huseyin"},{"family":"Arslan","given":"Nuri"}],"issued":{"date-parts":[["2017",11,1]]}},"label":"page"},{"id":319,"uris":["http://zotero.org/users/8787459/items/LEW7ZAHJ"],"itemData":{"id":319,"type":"article-journal","abstract":"PURPOSE: To measure the impact of whole-body fluorodeoxyglucose (FDG) positron emission tomography (PET) on patient management during its first year of use in a community hospital.\nMATERIALS AND METHODS: First-year FDG-PET impact was determined from 463 referring physicians' evaluations of their patients' PET imaging results using two surveys. Survey 1 was given to all physicians referring patients to PET to discover whether PET changed patient management or had decision-making value in the patient's clinical algorithm. Survey 2 was given to one surgeon and one pulmonologist after therapy to determine how PET affected the surgical, chemotherapeutic, and/or radiotherapeutic treatment for the 53 cancer patients they referred.\nRESULTS: The 463 responses to survey 1 described 23 different PET indications. Lung (40%), head and neck (18%), and colorectal cancers (11%) were the three leading causes of referral. PET changed patient management/therapy in 45% of all patients referred and had inferential/decision-making value in another 44%. Overall, PET had some type of positive influence in 412 (89%) of the patients. Survey 2 provided a more detailed assessment of 53 referrals from two specialists. PET positively affected surgery in 31 patients (58%), prompted the addition of chemotherapy or radiation therapy in nine patients (17%), and eliminated chemotherapy or radiation therapy in four cases (8%). Overall, PET affected patient management/therapy in 70% of the cases and had some decision-making value in another 26%, for a combined PET impact on patient management of 96%.\nCONCLUSION: FDG-PET can be valuable for physicians in clinical practice. Its sensitivity and specificity in metabolic imaging, when combined with complementary anatomic imaging techniques, contribute significantly to the clinical treatment of cancer patients. In addition, the high accuracy of FDG-PET makes it a cost-effective radiologic procedure in the work-up of all suspected and/or recurrent cancer patients. Further research is needed to link this demonstrated impact on patient management to cost-effectiveness.","container-title":"Journal of Clinical Oncology: Official Journal of the American Society of Clinical Oncology","DOI":"10.1200/JCO.2001.19.9.2504","ISSN":"0732-183X","issue":"9","journalAbbreviation":"J Clin Oncol","language":"eng","note":"PMID: 11331329","page":"2504-2508","source":"PubMed","title":"Impact of fluorine-18 fluorodeoxyglucose positron emission tomography on patient management: first year's experience in a clinical center","title-short":"Impact of fluorine-18 fluorodeoxyglucose positron emission tomography on patient management","volume":"19","author":[{"family":"Tucker","given":"R."},{"family":"Coel","given":"M."},{"family":"Ko","given":"J."},{"family":"Morris","given":"P."},{"family":"Druger","given":"G."},{"family":"McGuigan","given":"P."}],"issued":{"date-parts":[["2001",5,1]]}},"label":"page"}],"schema":"https://github.com/citation-style-language/schema/raw/master/csl-citation.json"} </w:instrText>
      </w:r>
      <w:r w:rsidRPr="00A43B9C">
        <w:rPr>
          <w:rFonts w:ascii="Times New Roman" w:eastAsia="Times New Roman" w:hAnsi="Times New Roman" w:cs="Times New Roman"/>
          <w:sz w:val="28"/>
          <w:szCs w:val="28"/>
          <w:lang w:val="en-US" w:eastAsia="ru-RU"/>
        </w:rPr>
        <w:fldChar w:fldCharType="separate"/>
      </w:r>
      <w:r w:rsidR="00F6152F" w:rsidRPr="00F6152F">
        <w:rPr>
          <w:rFonts w:ascii="Times New Roman" w:hAnsi="Times New Roman" w:cs="Times New Roman"/>
          <w:sz w:val="28"/>
        </w:rPr>
        <w:t>[75, 76]</w:t>
      </w:r>
      <w:r w:rsidRPr="00A43B9C">
        <w:rPr>
          <w:rFonts w:ascii="Times New Roman" w:eastAsia="Times New Roman" w:hAnsi="Times New Roman" w:cs="Times New Roman"/>
          <w:sz w:val="28"/>
          <w:szCs w:val="28"/>
          <w:lang w:val="en-US" w:eastAsia="ru-RU"/>
        </w:rPr>
        <w:fldChar w:fldCharType="end"/>
      </w:r>
      <w:r w:rsidRPr="00A43B9C">
        <w:rPr>
          <w:rFonts w:ascii="Times New Roman" w:eastAsia="Times New Roman" w:hAnsi="Times New Roman" w:cs="Times New Roman"/>
          <w:sz w:val="28"/>
          <w:szCs w:val="28"/>
          <w:lang w:eastAsia="ru-RU"/>
        </w:rPr>
        <w:t>.</w:t>
      </w:r>
      <w:r w:rsidR="00D85264"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С диагностической целью также применяются два вида моноклональных антител, меченных гамма-носителями</w:t>
      </w:r>
      <w:r w:rsidR="00C47B1D" w:rsidRPr="00A43B9C">
        <w:rPr>
          <w:rFonts w:ascii="Times New Roman" w:eastAsia="Times New Roman" w:hAnsi="Times New Roman" w:cs="Times New Roman"/>
          <w:sz w:val="28"/>
          <w:szCs w:val="28"/>
          <w:lang w:eastAsia="ru-RU"/>
        </w:rPr>
        <w:t>, в методе, называемом</w:t>
      </w:r>
      <w:r w:rsidRPr="00A43B9C">
        <w:rPr>
          <w:rFonts w:ascii="Times New Roman" w:eastAsia="Times New Roman" w:hAnsi="Times New Roman" w:cs="Times New Roman"/>
          <w:sz w:val="28"/>
          <w:szCs w:val="28"/>
          <w:lang w:eastAsia="ru-RU"/>
        </w:rPr>
        <w:t xml:space="preserve"> иммуносцинтиграфи</w:t>
      </w:r>
      <w:r w:rsidR="00C47B1D" w:rsidRPr="00A43B9C">
        <w:rPr>
          <w:rFonts w:ascii="Times New Roman" w:eastAsia="Times New Roman" w:hAnsi="Times New Roman" w:cs="Times New Roman"/>
          <w:sz w:val="28"/>
          <w:szCs w:val="28"/>
          <w:lang w:eastAsia="ru-RU"/>
        </w:rPr>
        <w:t>ей</w:t>
      </w:r>
      <w:r w:rsidRPr="00A43B9C">
        <w:rPr>
          <w:rFonts w:ascii="Times New Roman" w:eastAsia="Times New Roman" w:hAnsi="Times New Roman" w:cs="Times New Roman"/>
          <w:sz w:val="28"/>
          <w:szCs w:val="28"/>
          <w:lang w:eastAsia="ru-RU"/>
        </w:rPr>
        <w:t xml:space="preserve">. Визуализация с использованием моноклональных антител редко используется в оценке больных с </w:t>
      </w:r>
      <w:r w:rsidR="00C95D50">
        <w:rPr>
          <w:rFonts w:ascii="Times New Roman" w:eastAsia="Times New Roman" w:hAnsi="Times New Roman" w:cs="Times New Roman"/>
          <w:sz w:val="28"/>
          <w:szCs w:val="28"/>
          <w:lang w:eastAsia="ru-RU"/>
        </w:rPr>
        <w:t>колоректальным раком</w:t>
      </w:r>
      <w:r w:rsidRPr="00A43B9C">
        <w:rPr>
          <w:rFonts w:ascii="Times New Roman" w:eastAsia="Times New Roman" w:hAnsi="Times New Roman" w:cs="Times New Roman"/>
          <w:sz w:val="28"/>
          <w:szCs w:val="28"/>
          <w:lang w:eastAsia="ru-RU"/>
        </w:rPr>
        <w:t xml:space="preserve">, тогда как ПЭТ с </w:t>
      </w:r>
      <w:r w:rsidRPr="00A43B9C">
        <w:rPr>
          <w:rFonts w:ascii="Times New Roman" w:eastAsia="Times New Roman" w:hAnsi="Times New Roman" w:cs="Times New Roman"/>
          <w:sz w:val="28"/>
          <w:szCs w:val="28"/>
          <w:lang w:val="en-US" w:eastAsia="ru-RU"/>
        </w:rPr>
        <w:t>FDG</w:t>
      </w:r>
      <w:r w:rsidRPr="00A43B9C">
        <w:rPr>
          <w:rFonts w:ascii="Times New Roman" w:eastAsia="Times New Roman" w:hAnsi="Times New Roman" w:cs="Times New Roman"/>
          <w:sz w:val="28"/>
          <w:szCs w:val="28"/>
          <w:lang w:eastAsia="ru-RU"/>
        </w:rPr>
        <w:t xml:space="preserve"> уже широко применяется. Мышиный моноклональный антиген типа </w:t>
      </w:r>
      <w:r w:rsidRPr="00A43B9C">
        <w:rPr>
          <w:rFonts w:ascii="Times New Roman" w:eastAsia="Times New Roman" w:hAnsi="Times New Roman" w:cs="Times New Roman"/>
          <w:sz w:val="28"/>
          <w:szCs w:val="28"/>
          <w:lang w:val="en-US" w:eastAsia="ru-RU"/>
        </w:rPr>
        <w:t>IgG</w:t>
      </w:r>
      <w:r w:rsidRPr="00A43B9C">
        <w:rPr>
          <w:rFonts w:ascii="Times New Roman" w:eastAsia="Times New Roman" w:hAnsi="Times New Roman" w:cs="Times New Roman"/>
          <w:sz w:val="28"/>
          <w:szCs w:val="28"/>
          <w:lang w:eastAsia="ru-RU"/>
        </w:rPr>
        <w:t>, меченный хлоридом индия-111</w:t>
      </w:r>
      <w:r w:rsidR="00C47B1D"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имеет чувствительность </w:t>
      </w:r>
      <w:r w:rsidRPr="00A43B9C">
        <w:rPr>
          <w:rFonts w:ascii="Times New Roman" w:eastAsia="Times New Roman" w:hAnsi="Times New Roman" w:cs="Times New Roman"/>
          <w:sz w:val="28"/>
          <w:szCs w:val="28"/>
          <w:lang w:eastAsia="ru-RU"/>
        </w:rPr>
        <w:lastRenderedPageBreak/>
        <w:t xml:space="preserve">70% и специфичность 75% в выявлении первичного </w:t>
      </w:r>
      <w:r w:rsidR="00C95D50">
        <w:rPr>
          <w:rFonts w:ascii="Times New Roman" w:eastAsia="Times New Roman" w:hAnsi="Times New Roman" w:cs="Times New Roman"/>
          <w:sz w:val="28"/>
          <w:szCs w:val="28"/>
          <w:lang w:eastAsia="ru-RU"/>
        </w:rPr>
        <w:t>колоректального рака</w:t>
      </w:r>
      <w:r w:rsidRPr="00A43B9C">
        <w:rPr>
          <w:rFonts w:ascii="Times New Roman" w:eastAsia="Times New Roman" w:hAnsi="Times New Roman" w:cs="Times New Roman"/>
          <w:sz w:val="28"/>
          <w:szCs w:val="28"/>
          <w:lang w:eastAsia="ru-RU"/>
        </w:rPr>
        <w:t xml:space="preserve">. Хотя эти результаты и аналогичны КТ, иммуносцинтиграфия онкосцинтом и КТ комплементарны друг другу. Комбинирование этих двух методик улучшает чувствительность. При рецидивном раке онкосцинт более чувствителен, чем КТ в выявлении тазовых или внутрибрюшных рецидивов, тогда как КТ лучше определяет метастазы в печени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{"citationID":"i2LbsiMk","properties":{"formattedCitation":"[77, 78]","plainCitation":"[77, 78]","noteIndex":0},"citationItems":[{"id":329,"uris":["http://zotero.org/users/8787459/items/68GG45R6"],"itemData":{"id":329,"type":"article-journal","abstract":"Molecular imaging allows clinicians to visualize disease-specific molecules, thereby providing relevant information in the diagnosis and treatment of patients. With advances in genomics and proteomics and underlying mechanisms of disease pathology, the number of targets identified has significantly outpaced the number of developed molecular imaging probes. There has been a concerted effort to bridge this gap with multidisciplinary efforts in chemistry, proteomics, physics, material science, and biology--all essential to progress in molecular imaging probe development. In this review, we discuss target selection, screening techniques, and probe optimization with the aim of developing clinically relevant molecularly targeted imaging agents.","container-title":"Molecular Imaging","ISSN":"1536-0121","issue":"6","journalAbbreviation":"Mol Imaging","language":"eng","note":"PMID: 22201532\nPMCID: PMC3224676","page":"407-419","source":"PubMed","title":"Techniques for molecular imaging probe design","volume":"10","author":[{"family":"Reynolds","given":"Fred"},{"family":"Kelly","given":"Kimberly A."}],"issued":{"date-parts":[["2011",12]]}},"label":"page"},{"id":327,"uris":["http://zotero.org/users/8787459/items/AUT9RZ8V"],"itemData":{"id":327,"type":"article-journal","abstract":"Patients with limited hepatic metastases from colorectal cancer can potentially be cured by resection. A number of patients deemed resectable by standard imaging procedures are found to have extrahepatic disease at laparotomy and are thus unresectable. A test capable of identifying these patients would assist in better patient selection. OncoScint (Cytogen Corp, Princeton, NJ) scan targets colorectal cancer by interacting with a tumor-associated glycoprotein. Can OncoScint scan be used to reliably identify patients with extrahepatic disease preoperatively? Between February 1996 and August 1998 eight patients with colorectal metastases to the liver were enrolled prospectively. All patients received preoperative OncoScint scan (indium-111) and underwent laparotomy. The laparotomy findings were correlated with the results of OncoScint scan. In four of eight patients (50%) OncoScint scan showed no extrahepatic disease. This was confirmed at laparotomy. All of these patients underwent hepatic resection. One of eight patients (12.5%) had OncoScint findings suggestive of extrahepatic disease pathologically confirmed during laparotomy. Three of eight patients (37.5%) had OncoScint findings of extrahepatic disease not confirmed by laparotomy. All three patients underwent hepatic resection. One of the three patients is still disease free for more than 48 months after hepatic resection. If OncoScint scan had been used to determine resectability this patient with false positive scan would have been denied a potentially curative operation. Because of the unacceptably high false positive rate the study was terminated after eight patients. Because of its high false positive rate (37.5%) OncoScint scan is not a reliable test for the assessment of extrahepatic disease. Other tests need to be developed to accurately stage extrahepatic disease with an acceptably low false positive rate to prevent exclusion of patients who can potentially be cured.","container-title":"The American Surgeon","ISSN":"0003-1348","issue":"12","journalAbbreviation":"Am Surg","language":"eng","note":"PMID: 11768830","page":"1200-1203","source":"PubMed","title":"Use of OncoScint scan to assess resectability of hepatic metastases from colorectal cancer","volume":"67","author":[{"family":"Su","given":"W. T."},{"family":"Brachman","given":"M."},{"family":"O'Connell","given":"T. X."}],"issued":{"date-parts":[["2001",12]]}},"label":"page"}],"schema":"https://github.com/citation-style-language/schema/raw/master/csl-citation.json"}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[77, 78]</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p>
    <w:p w14:paraId="2F744DC0" w14:textId="035C3A12" w:rsidR="00FF1D30" w:rsidRPr="00A43B9C" w:rsidRDefault="00C47B1D"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В последнее время б</w:t>
      </w:r>
      <w:r w:rsidR="00FF1D30" w:rsidRPr="00A43B9C">
        <w:rPr>
          <w:rFonts w:ascii="Times New Roman" w:eastAsia="Times New Roman" w:hAnsi="Times New Roman" w:cs="Times New Roman"/>
          <w:sz w:val="28"/>
          <w:szCs w:val="28"/>
          <w:lang w:eastAsia="ru-RU"/>
        </w:rPr>
        <w:t>ыли опубликованы исследования, сравнивающи</w:t>
      </w:r>
      <w:r w:rsidRPr="00A43B9C">
        <w:rPr>
          <w:rFonts w:ascii="Times New Roman" w:eastAsia="Times New Roman" w:hAnsi="Times New Roman" w:cs="Times New Roman"/>
          <w:sz w:val="28"/>
          <w:szCs w:val="28"/>
          <w:lang w:eastAsia="ru-RU"/>
        </w:rPr>
        <w:t>е</w:t>
      </w:r>
      <w:r w:rsidR="00FF1D30" w:rsidRPr="00A43B9C">
        <w:rPr>
          <w:rFonts w:ascii="Times New Roman" w:eastAsia="Times New Roman" w:hAnsi="Times New Roman" w:cs="Times New Roman"/>
          <w:sz w:val="28"/>
          <w:szCs w:val="28"/>
          <w:lang w:eastAsia="ru-RU"/>
        </w:rPr>
        <w:t xml:space="preserve"> </w:t>
      </w:r>
      <w:r w:rsidR="00DC492A" w:rsidRPr="00A43B9C">
        <w:rPr>
          <w:rFonts w:ascii="Times New Roman" w:eastAsia="Times New Roman" w:hAnsi="Times New Roman" w:cs="Times New Roman"/>
          <w:sz w:val="28"/>
          <w:szCs w:val="28"/>
          <w:lang w:eastAsia="ru-RU"/>
        </w:rPr>
        <w:t>раковый эмбриональный антиген (</w:t>
      </w:r>
      <w:r w:rsidR="00353E41" w:rsidRPr="00A43B9C">
        <w:rPr>
          <w:rFonts w:ascii="Times New Roman" w:eastAsia="Times New Roman" w:hAnsi="Times New Roman" w:cs="Times New Roman"/>
          <w:sz w:val="28"/>
          <w:szCs w:val="28"/>
          <w:lang w:eastAsia="ru-RU"/>
        </w:rPr>
        <w:t>Р</w:t>
      </w:r>
      <w:r w:rsidR="00FF1D30" w:rsidRPr="00A43B9C">
        <w:rPr>
          <w:rFonts w:ascii="Times New Roman" w:eastAsia="Times New Roman" w:hAnsi="Times New Roman" w:cs="Times New Roman"/>
          <w:sz w:val="28"/>
          <w:szCs w:val="28"/>
          <w:lang w:eastAsia="ru-RU"/>
        </w:rPr>
        <w:t>ЭА</w:t>
      </w:r>
      <w:r w:rsidR="00DC492A" w:rsidRPr="00A43B9C">
        <w:rPr>
          <w:rFonts w:ascii="Times New Roman" w:eastAsia="Times New Roman" w:hAnsi="Times New Roman" w:cs="Times New Roman"/>
          <w:sz w:val="28"/>
          <w:szCs w:val="28"/>
          <w:lang w:eastAsia="ru-RU"/>
        </w:rPr>
        <w:t>)</w:t>
      </w:r>
      <w:r w:rsidR="00FF1D30" w:rsidRPr="00A43B9C">
        <w:rPr>
          <w:rFonts w:ascii="Times New Roman" w:eastAsia="Times New Roman" w:hAnsi="Times New Roman" w:cs="Times New Roman"/>
          <w:sz w:val="28"/>
          <w:szCs w:val="28"/>
          <w:lang w:eastAsia="ru-RU"/>
        </w:rPr>
        <w:t xml:space="preserve"> и ПЭТ с </w:t>
      </w:r>
      <w:r w:rsidR="00FF1D30" w:rsidRPr="00A43B9C">
        <w:rPr>
          <w:rFonts w:ascii="Times New Roman" w:eastAsia="Times New Roman" w:hAnsi="Times New Roman" w:cs="Times New Roman"/>
          <w:sz w:val="28"/>
          <w:szCs w:val="28"/>
          <w:lang w:val="en-US" w:eastAsia="ru-RU"/>
        </w:rPr>
        <w:t>FDG</w:t>
      </w:r>
      <w:r w:rsidR="00FF1D30" w:rsidRPr="00A43B9C">
        <w:rPr>
          <w:rFonts w:ascii="Times New Roman" w:eastAsia="Times New Roman" w:hAnsi="Times New Roman" w:cs="Times New Roman"/>
          <w:sz w:val="28"/>
          <w:szCs w:val="28"/>
          <w:lang w:eastAsia="ru-RU"/>
        </w:rPr>
        <w:t xml:space="preserve">. </w:t>
      </w:r>
      <w:r w:rsidR="00353E41" w:rsidRPr="00A43B9C">
        <w:rPr>
          <w:rFonts w:ascii="Times New Roman" w:eastAsia="Times New Roman" w:hAnsi="Times New Roman" w:cs="Times New Roman"/>
          <w:sz w:val="28"/>
          <w:szCs w:val="28"/>
          <w:lang w:eastAsia="ru-RU"/>
        </w:rPr>
        <w:t>Р</w:t>
      </w:r>
      <w:r w:rsidR="00FF1D30" w:rsidRPr="00A43B9C">
        <w:rPr>
          <w:rFonts w:ascii="Times New Roman" w:eastAsia="Times New Roman" w:hAnsi="Times New Roman" w:cs="Times New Roman"/>
          <w:sz w:val="28"/>
          <w:szCs w:val="28"/>
          <w:lang w:eastAsia="ru-RU"/>
        </w:rPr>
        <w:t xml:space="preserve">ЭА обладает чувствительностью, специфичностью и точностью 89, 100 и 96%, тогда как чувствительность и специфичность для ПЭТ с </w:t>
      </w:r>
      <w:r w:rsidR="00FF1D30" w:rsidRPr="00A43B9C">
        <w:rPr>
          <w:rFonts w:ascii="Times New Roman" w:eastAsia="Times New Roman" w:hAnsi="Times New Roman" w:cs="Times New Roman"/>
          <w:sz w:val="28"/>
          <w:szCs w:val="28"/>
          <w:lang w:val="en-US" w:eastAsia="ru-RU"/>
        </w:rPr>
        <w:t>FDG</w:t>
      </w:r>
      <w:r w:rsidR="00FF1D30" w:rsidRPr="00A43B9C">
        <w:rPr>
          <w:rFonts w:ascii="Times New Roman" w:eastAsia="Times New Roman" w:hAnsi="Times New Roman" w:cs="Times New Roman"/>
          <w:sz w:val="28"/>
          <w:szCs w:val="28"/>
          <w:lang w:eastAsia="ru-RU"/>
        </w:rPr>
        <w:t xml:space="preserve"> составили 100 и 96% соответственно </w:t>
      </w:r>
      <w:r w:rsidR="00FF1D30"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{"citationID":"7nMfFc9z","properties":{"formattedCitation":"[79]","plainCitation":"[79]","noteIndex":0},"citationItems":[{"id":331,"uris":["http://zotero.org/users/8787459/items/AAPVZNJJ"],"itemData":{"id":331,"type":"article-journal","abstract":"The aim of this study was to compare FDG PET with a new monoclonal antibody-based imaging agent that comprises an anti-carcinoembryonic antigen (CEA) monoclonal antibody Fab' fragment directly labeled with 99mTc.\nMETHODS: Twenty-eight patients who were previously treated for colorectal carcinoma and in whom recurrence was suspected were examined with FDG PET and immunoscintigraphy. The most common indications were an elevation of serum CEA (13 patients), suggestive lesions documented by CT (9 patients), sonography (4 patients), and severe constipation (2 patients). Planar imaging and SPECT were performed 4-6 h after intravenous injection of the new imaging agent. Whole-body PET was performed 45-60 min after intravenous injection of FDG. The findings were confirmed by conventional diagnostic modalities, surgery, and histology.\nRESULTS: Histology confirmed local tumor recurrence in 9 of 28 patients. Clinical follow-up or CT confirmed the presence of liver metastases in 9 patients and lymph node involvement, lung metastases, and bone metastases in 2 patients each. The new agent correctly detected 8 of 9 local recurrences, whereas FDG PET was able to detect all 9 cases and in 1 case was false-positive. Liver metastases were confirmed in 9 patients by FDG PET but in only 1 patient by the new agent. Two cases with lymph node metastases and 2 cases with lung metastases were correctly identified by FDG PET, but none were detected by the new agent. Finally, bone metastases were identified in 1 patient by FDG PET but not with the new agent, whereas bone marrow infiltration (n = 1) was diagnosed by both imaging modalities.\nCONCLUSION: These results indicate that FDG PET and 99mTc-labeled anti-CEA Fab' are suitable for the diagnosis of local recurrence of colorectal carcinoma but that FDG PET is clearly superior in the detection of distant metastases (liver, bone, and lung) and lymph node involvement.","container-title":"Journal of Nuclear Medicine: Official Publication, Society of Nuclear Medicine","ISSN":"0161-5505","issue":"10","journalAbbreviation":"J Nucl Med","language":"eng","note":"PMID: 11037995","page":"1657-1663","source":"PubMed","title":"FDG PET and immunoscintigraphy with 99mTc-labeled antibody fragments for detection of the recurrence of colorectal carcinoma","volume":"41","author":[{"family":"Willkomm","given":"P."},{"family":"Bender","given":"H."},{"family":"Bangard","given":"M."},{"family":"Decker","given":"P."},{"family":"Grünwald","given":"F."},{"family":"Biersack","given":"H. J."}],"issued":{"date-parts":[["2000",10]]}}}],"schema":"https://github.com/citation-style-language/schema/raw/master/csl-citation.json"} </w:instrText>
      </w:r>
      <w:r w:rsidR="00FF1D30"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[79]</w:t>
      </w:r>
      <w:r w:rsidR="00FF1D30" w:rsidRPr="00A43B9C">
        <w:rPr>
          <w:rFonts w:ascii="Times New Roman" w:eastAsia="Times New Roman" w:hAnsi="Times New Roman" w:cs="Times New Roman"/>
          <w:sz w:val="28"/>
          <w:szCs w:val="28"/>
          <w:lang w:eastAsia="ru-RU"/>
        </w:rPr>
        <w:fldChar w:fldCharType="end"/>
      </w:r>
      <w:r w:rsidR="00FF1D30" w:rsidRPr="00A43B9C">
        <w:rPr>
          <w:rFonts w:ascii="Times New Roman" w:eastAsia="Times New Roman" w:hAnsi="Times New Roman" w:cs="Times New Roman"/>
          <w:sz w:val="28"/>
          <w:szCs w:val="28"/>
          <w:lang w:eastAsia="ru-RU"/>
        </w:rPr>
        <w:t xml:space="preserve">. С другой стороны, в проспективном исследовании, сравнивающем ПЭТ и </w:t>
      </w:r>
      <w:r w:rsidR="00353E41" w:rsidRPr="00A43B9C">
        <w:rPr>
          <w:rFonts w:ascii="Times New Roman" w:eastAsia="Times New Roman" w:hAnsi="Times New Roman" w:cs="Times New Roman"/>
          <w:sz w:val="28"/>
          <w:szCs w:val="28"/>
          <w:lang w:eastAsia="ru-RU"/>
        </w:rPr>
        <w:t>Р</w:t>
      </w:r>
      <w:r w:rsidR="00FF1D30" w:rsidRPr="00A43B9C">
        <w:rPr>
          <w:rFonts w:ascii="Times New Roman" w:eastAsia="Times New Roman" w:hAnsi="Times New Roman" w:cs="Times New Roman"/>
          <w:sz w:val="28"/>
          <w:szCs w:val="28"/>
          <w:lang w:eastAsia="ru-RU"/>
        </w:rPr>
        <w:t xml:space="preserve">ЭА у больных с повышенным уровнем РЭА было доложено о низкой чувствительности и специфичности (18% и 30%) для </w:t>
      </w:r>
      <w:r w:rsidR="00353E41" w:rsidRPr="00A43B9C">
        <w:rPr>
          <w:rFonts w:ascii="Times New Roman" w:eastAsia="Times New Roman" w:hAnsi="Times New Roman" w:cs="Times New Roman"/>
          <w:sz w:val="28"/>
          <w:szCs w:val="28"/>
          <w:lang w:eastAsia="ru-RU"/>
        </w:rPr>
        <w:t>Р</w:t>
      </w:r>
      <w:r w:rsidR="00FF1D30" w:rsidRPr="00A43B9C">
        <w:rPr>
          <w:rFonts w:ascii="Times New Roman" w:eastAsia="Times New Roman" w:hAnsi="Times New Roman" w:cs="Times New Roman"/>
          <w:sz w:val="28"/>
          <w:szCs w:val="28"/>
          <w:lang w:eastAsia="ru-RU"/>
        </w:rPr>
        <w:t xml:space="preserve">ЭА по сравнению с чувствительностью и специфичностью 89% и 50% </w:t>
      </w:r>
      <w:r w:rsidRPr="00A43B9C">
        <w:rPr>
          <w:rFonts w:ascii="Times New Roman" w:eastAsia="Times New Roman" w:hAnsi="Times New Roman" w:cs="Times New Roman"/>
          <w:sz w:val="28"/>
          <w:szCs w:val="28"/>
          <w:lang w:eastAsia="ru-RU"/>
        </w:rPr>
        <w:t>при использовании</w:t>
      </w:r>
      <w:r w:rsidR="00FF1D30" w:rsidRPr="00A43B9C">
        <w:rPr>
          <w:rFonts w:ascii="Times New Roman" w:eastAsia="Times New Roman" w:hAnsi="Times New Roman" w:cs="Times New Roman"/>
          <w:sz w:val="28"/>
          <w:szCs w:val="28"/>
          <w:lang w:eastAsia="ru-RU"/>
        </w:rPr>
        <w:t xml:space="preserve"> FDG. Было решено, что </w:t>
      </w:r>
      <w:r w:rsidR="00353E41" w:rsidRPr="00A43B9C">
        <w:rPr>
          <w:rFonts w:ascii="Times New Roman" w:eastAsia="Times New Roman" w:hAnsi="Times New Roman" w:cs="Times New Roman"/>
          <w:sz w:val="28"/>
          <w:szCs w:val="28"/>
          <w:lang w:eastAsia="ru-RU"/>
        </w:rPr>
        <w:t>Р</w:t>
      </w:r>
      <w:r w:rsidR="00FF1D30" w:rsidRPr="00A43B9C">
        <w:rPr>
          <w:rFonts w:ascii="Times New Roman" w:eastAsia="Times New Roman" w:hAnsi="Times New Roman" w:cs="Times New Roman"/>
          <w:sz w:val="28"/>
          <w:szCs w:val="28"/>
          <w:lang w:eastAsia="ru-RU"/>
        </w:rPr>
        <w:t xml:space="preserve">ЭА не является полезным в предоперационной диагностике в качестве определения резектабельности опухоли </w:t>
      </w:r>
      <w:r w:rsidR="00FF1D30"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{"citationID":"PcWkH0FX","properties":{"formattedCitation":"[16, 80, 81]","plainCitation":"[16, 80, 81]","noteIndex":0},"citationItems":[{"id":335,"uris":["http://zotero.org/users/8787459/items/QTM6QHEB"],"itemData":{"id":335,"type":"article-journal","abstract":"OBJECTIVE: FDG-PET can contribute significantly to the preoperative period of patients with planned curative resections or with isolated liver or lung metastasis. In this study, we analyze the importance and diagnostic value of FDG-PET in the preoperative evaluation of gastric cancers by correlating its value with computerized tomography (CT).\nMATERIALS AND METHODS: A prospective study was conducted. Abdominal and pelvic CTs were obtained for preoperative staging in each patient. Separate stagings were performed according to the findings of conventional methods and PET scans, and the results were compared with the operative and histological findings.\nRESULTS: When the patients were evaluated according to the pathological stage, eight patients were Stage 1 (26.7%), five were Stage 2 (16.7%), eight were Stage 3 (26.7%), and nine were Stage 4 (30%). FDG-PET and CT down-staged the disease in eight (26.7%) and twelve (40%) patients, respectively. FDG-PET and CT up-staged the disease in two (6.7%) and five patients (16.7%), respectively. FDG-PET accurately staged the disease in eighteen patients (60%) (p= 0.182).\nCONCLUSION: To develop highly sensitive radioactive tests that show invasive local lymph node and peritoneal metastases, more studies in the preoperative staging of gastric cancer are needed. FDG-PET indicates a high specificity in the staging of gastric cancer. In patients who are planned for curative surgery, FDG-PET provides better staging when used with CT.","container-title":"The Eurasian Journal of Medicine","DOI":"10.5152/eajm.2013.32","ISSN":"1308-8734","issue":"3","journalAbbreviation":"Eurasian J Med","language":"eng","note":"PMID: 25610272\nPMCID: PMC4261428","page":"149-154","source":"PubMed","title":"The role of 2-[f-18] fluoro 2-deoxy d-glucose positron emission tomography in the preoperative staging of gastric cancer","volume":"45","author":[{"family":"Duman","given":"Kazim"},{"family":"Simsek","given":"Abdurrahman"},{"family":"Gorgulu","given":"Semih"},{"family":"Yagci","given":"Gokhan"},{"family":"Peker","given":"Yusuf"}],"issued":{"date-parts":[["2013",10]]}},"label":"page"},{"id":338,"uris":["http://zotero.org/users/8787459/items/7ADE8IDI"],"itemData":{"id":338,"type":"article-journal","abstract":"PURPOSE: 2-(18F)-fluoro-2-deoxy-D-glucose positron emission tomography (FDG-PET) is a noninvasive imaging technique used clinically to detect malignant tumors. FDG-PET has been established as a tool for diagnosis of recurrent or metastatic colorectal carcinoma. Several case series suggest that FDG-PET also detects larger adenomas. The goal of this study was to investigate whether FDG-PET is able to detect colonic adenomas.\nPATIENTS AND METHODS: FDG-PET was performed in 100 consecutive patients in whom colonic adenomas were suspected on barium enema (n = 47) or sigmoidoscopy (n = 53). A positive scan was defined as focal large bowel FDG accumulation. FDG-PET was followed in all cases by colonoscopy, and removed adenomas were examined histopathologically.\nRESULTS: Colonoscopy confirmed the presence of adenomas in 68 of 100 patients. In 35 patients, there was focal FDG accumulation at site of the adenoma. The sensitivity of FDG-PET increased with adenoma size (21%, adenomas 1 to 5 mm; 47%, 6 to 10 mm; and 72%, &gt; 11 mm). The sensitivity of FDG-PET also increased with the grade of dysplasia (33%, low grade; 76%, high grade; and 89%, carcinomas). The overall specificity was 84%.\nCONCLUSION: FDG-PET detects colonic adenomas and the diagnostic test characteristics improve with size and grade of dysplasia of the adenoma.","container-title":"Journal of Clinical Oncology: Official Journal of the American Society of Clinical Oncology","DOI":"10.1200/JCO.2005.02.401","ISSN":"0732-183X","issue":"16","journalAbbreviation":"J Clin Oncol","language":"eng","note":"PMID: 15923568","page":"3713-3717","source":"PubMed","title":"2-(18F)-fluoro-2-deoxy-D-glucose positron emission tomography detects clinical relevant adenomas of the colon: a prospective study","title-short":"2-(18F)-fluoro-2-deoxy-D-glucose positron emission tomography detects clinical relevant adenomas of the colon","volume":"23","author":[{"family":"Kouwen","given":"Mariëtte C. A.","non-dropping-particle":"van"},{"family":"Nagengast","given":"Fokko M."},{"family":"Jansen","given":"Jan B. M. J."},{"family":"Oyen","given":"Wim J. G."},{"family":"Drenth","given":"Joost P. H."}],"issued":{"date-parts":[["2005",6,1]]}},"label":"page"},{"id":333,"uris":["http://zotero.org/users/8787459/items/3Y54JXIB"],"itemData":{"id":333,"type":"article-journal","abstract":"BACKGROUND: An increasing carcinoembryonic antigen (CEA) level in the absence of disease on imaging studies can present a diagnostic challenge. We evaluated 2-[18F] fluoro-2-deoxy-D-glucose and positron emission tomography (FDG-PET) scan and CEA scan before second-look laparotomy as a means of localizing recurrent colorectal cancer.\nMETHODS: Patients underwent computed tomography scan, bone scan, colonoscopy, and magnetic resonance imaging, and those without evidence of disease or resectable disease in the abdomen had FDG-PET and CEA scans. At second-look laparotomy, a surgeon blinded to the results of the FDG-PET and CEA scans performed an exploration and mapped findings. A second surgeon, with knowledge of the FDG-PET and CEA scans, then explored the patient; all lesions were biopsied or resected for pathology.\nRESULTS: In 28 patients explored, disease was found at operation in 26 (94%). Ten had unresectable disease. FDG-PET scans predicted unresectable disease in 90% of patients. CEA scans failed to predict unresectable disease in any patient. In 16 patients found to have resectable disease or disease that could be treated with regional therapy, FDG-PET scan predicted this in 81% and CEA scan in 13%.\nCONCLUSIONS: FDG-PET scan can predict those patients who would likely benefit from a laparotomy. If the FDG-PET scan indicates resectable disease, laparotomy can be considered. However, if the findings predict unresectable disease or the absence of disease, the patient should pursue systemic therapy or continued observation.","container-title":"Annals of Surgical Oncology","DOI":"10.1007/s10434-001-0779-9","ISSN":"1068-9265","issue":"10","journalAbbreviation":"Ann Surg Oncol","language":"eng","note":"PMID: 11776491","page":"779-786","source":"PubMed","title":"A prospective study of 2-[18F] fluoro-2-deoxy-D-glucose/positron emission tomography scan, 99mTc-labeled arcitumomab (CEA-scan), and blind second-look laparotomy for detecting colon cancer recurrence in patients with increasing carcinoembryonic antigen levels","volume":"8","author":[{"family":"Libutti","given":"S. K."},{"family":"Alexander","given":"H. R."},{"family":"Choyke","given":"P."},{"family":"Bartlett","given":"D. L."},{"family":"Bacharach","given":"S. L."},{"family":"Whatley","given":"M."},{"family":"Jousse","given":"F."},{"family":"Eckelman","given":"W. C."},{"family":"Kranda","given":"K."},{"family":"Neumann","given":"R. D."},{"family":"Carrasquillo","given":"J. A."}],"issued":{"date-parts":[["2001",12]]}},"label":"page"}],"schema":"https://github.com/citation-style-language/schema/raw/master/csl-citation.json"} </w:instrText>
      </w:r>
      <w:r w:rsidR="00FF1D30"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[80, 81]</w:t>
      </w:r>
      <w:r w:rsidR="00FF1D30" w:rsidRPr="00A43B9C">
        <w:rPr>
          <w:rFonts w:ascii="Times New Roman" w:eastAsia="Times New Roman" w:hAnsi="Times New Roman" w:cs="Times New Roman"/>
          <w:sz w:val="28"/>
          <w:szCs w:val="28"/>
          <w:lang w:eastAsia="ru-RU"/>
        </w:rPr>
        <w:fldChar w:fldCharType="end"/>
      </w:r>
      <w:r w:rsidR="00FF1D30" w:rsidRPr="00A43B9C">
        <w:rPr>
          <w:rFonts w:ascii="Times New Roman" w:eastAsia="Times New Roman" w:hAnsi="Times New Roman" w:cs="Times New Roman"/>
          <w:sz w:val="28"/>
          <w:szCs w:val="28"/>
          <w:lang w:eastAsia="ru-RU"/>
        </w:rPr>
        <w:t>.</w:t>
      </w:r>
    </w:p>
    <w:p w14:paraId="36E942D7" w14:textId="041EBBA7"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 xml:space="preserve">Повышенное использование глюкозы является одной из важнейших характеристик раковых клеток, </w:t>
      </w:r>
      <w:r w:rsidR="00C47B1D" w:rsidRPr="00A43B9C">
        <w:rPr>
          <w:rFonts w:ascii="Times New Roman" w:eastAsia="Times New Roman" w:hAnsi="Times New Roman" w:cs="Times New Roman"/>
          <w:sz w:val="28"/>
          <w:szCs w:val="28"/>
          <w:lang w:eastAsia="ru-RU"/>
        </w:rPr>
        <w:t xml:space="preserve">а </w:t>
      </w:r>
      <w:r w:rsidRPr="00A43B9C">
        <w:rPr>
          <w:rFonts w:ascii="Times New Roman" w:eastAsia="Times New Roman" w:hAnsi="Times New Roman" w:cs="Times New Roman"/>
          <w:sz w:val="28"/>
          <w:szCs w:val="28"/>
          <w:lang w:eastAsia="ru-RU"/>
        </w:rPr>
        <w:t xml:space="preserve">ПЭТ с FDG определяет высокий уровень метаболизма в раковых клетках и дает прогностическую информацию для многих злокачественных образований, включая и </w:t>
      </w:r>
      <w:r w:rsidR="00C95D50">
        <w:rPr>
          <w:rFonts w:ascii="Times New Roman" w:eastAsia="Times New Roman" w:hAnsi="Times New Roman" w:cs="Times New Roman"/>
          <w:sz w:val="28"/>
          <w:szCs w:val="28"/>
          <w:lang w:eastAsia="ru-RU"/>
        </w:rPr>
        <w:t>колоректальный рак</w:t>
      </w:r>
      <w:r w:rsidRPr="00A43B9C">
        <w:rPr>
          <w:rFonts w:ascii="Times New Roman" w:eastAsia="Times New Roman" w:hAnsi="Times New Roman" w:cs="Times New Roman"/>
          <w:sz w:val="28"/>
          <w:szCs w:val="28"/>
          <w:lang w:eastAsia="ru-RU"/>
        </w:rPr>
        <w:t xml:space="preserve">. Поэтому ПЭТ с FDG играет важную роль в оценке больных с </w:t>
      </w:r>
      <w:r w:rsidR="001A7EDA">
        <w:rPr>
          <w:rFonts w:ascii="Times New Roman" w:eastAsia="Times New Roman" w:hAnsi="Times New Roman" w:cs="Times New Roman"/>
          <w:sz w:val="28"/>
          <w:szCs w:val="28"/>
          <w:lang w:eastAsia="ru-RU"/>
        </w:rPr>
        <w:t>колоректальным раком</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{"citationID":"8Sg3bwzB","properties":{"formattedCitation":"[82, 83]","plainCitation":"[82, 83]","noteIndex":0},"citationItems":[{"id":342,"uris":["http://zotero.org/users/8787459/items/949RES9C"],"itemData":{"id":342,"type":"article-journal","abstract":"OBJECTIVE: The purpose of this study is to investigate the value of 18F-FDG PET/CT combined with assessment of tumor markers in serum or ascites for the diagnosing and determining the prognosis of benign and malignant ascites.\nMATERIALS AND METHODS: Patients with ascites of unknown cause who underwent evaluation with FDG PET/CT were included in this retrospective study. The maximum standardized uptake value (SUVmax) and levels of the tumor markers carbohydrate antigen-125 (CA-125) and carcinoembryonic antigen (CEA) in serum and ascites were recorded. The diagnostic values of FDG PET/CT, CEA and CA-125 levels in serum or ascites, and the combination of imaging plus tumor marker assessment were evaluated. Factors that were predictive of survival were also analyzed.\nRESULTS: A total of 177 patients were included. Malignant ascites was eventually diagnosed in 104 patients, and benign ascites was diagnosed in the remaining 73 patients. With the use of FDG PET/CT, 44 patients (42.3%) were found to have primary tumors. The sensitivity, specificity, and accuracy of FDG PET/CT were 92.3%, 83.6%, and 88.7%, respectively. CA-125 levels in serum and ascites showed much better sensitivity than did CEA levels, but they showed significantly lower specificity. If the combination of tumor markers and FDG PET/CT was analyzed, the sensitivity, specificity, and accuracy of tumor markers in serum were 96.6%, 78.1%, and 88.7%, and those of tumor markers in ascites were 97.7%, 80.0%, and 90.4%, respectively. Sex may be an important factor affecting survival time (hazard ratio, 0.471; p = 0.004), but age, CEA level, and FDG PET/CT findings could not predict survival.\nCONCLUSION: FDG PET/CT combined with assessment of tumor markers, especially CEA, increased the efficacy of diagnosis of ascites of unknown causes. Male sex conferred a poorer prognosis, whereas age, CEA level, and FDG uptake had no predictive significance in patients with malignant ascites.","container-title":"AJR. American journal of roentgenology","DOI":"10.2214/AJR.17.18733","ISSN":"1546-3141","issue":"5","journalAbbreviation":"AJR Am J Roentgenol","language":"eng","note":"PMID: 29629798","page":"1155-1163","source":"PubMed","title":"Value of 18F-FDG PET/CT Combined With Tumor Markers in the Evaluation of Ascites","volume":"210","author":[{"family":"Han","given":"Na"},{"family":"Sun","given":"Xun"},{"family":"Qin","given":"Chunxia"},{"family":"Hassan Bakari","given":"Khamis"},{"family":"Wu","given":"Zhijian"},{"family":"Zhang","given":"Yongxue"},{"family":"Lan","given":"Xiaoli"}],"issued":{"date-parts":[["2018",5]]}},"label":"page"},{"id":340,"uris":["http://zotero.org/users/8787459/items/SPYRKIDW"],"itemData":{"id":340,"type":"article-journal","abstract":"BACKGROUND: Accurate detection of peritoneal recurrence in colorectal cancer remains a diagnostic challenge. We retrospectively examined sensitivity and accuracy of fluorine-18-2-fluoro-deoxy-D-glucose positron emission tomography (FDG-PET) in the diagnosis of peritoneal recurrence.\nMETHODS: FDG-PET and computed tomography (CT) were performed on 23 patients with colorectal cancer suspected of having a recurrence based on clinical symptoms, a tumor marker (CEA), and so forth. The final diagnosis was compared with the results of FDG-PET and CT.\nRESULTS: Peritoneal recurrence was suspected in 6 patients with FDG-PET, and 5 of them were finally diagnosed as recurrences. The sensitivity of FDG-PET was 88% and its diagnostic accuracy was 78%, whereas those of CT were 38% and 44%, respectively. A lesion as small as 15 mm in diameter was diagnosed by FDG-PET.\nCONCLUSIONS: FDG-PET is an effective method for diagnosing peritoneal recurrence of colorectal cancer. FDG-PET is expected to become more important for detecting peritoneal recurrence at an early stage.","container-title":"American Journal of Surgery","DOI":"10.1016/s0002-9610(02)01004-8","ISSN":"0002-9610","issue":"5","journalAbbreviation":"Am J Surg","language":"eng","note":"PMID: 12433608","page":"433-436","source":"PubMed","title":"Usefulness of FDG-positron emission tomography in diagnosing peritoneal recurrence of colorectal cancer","volume":"184","author":[{"family":"Tanaka","given":"Tomoharu"},{"family":"Kawai","given":"Yasuhiro"},{"family":"Kanai","given":"Michiyuki"},{"family":"Taki","given":"Yoshiro"},{"family":"Nakamoto","given":"Yuuji"},{"family":"Takabayashi","given":"Arimichi"}],"issued":{"date-parts":[["2002",11]]}},"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[82, 83]</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r w:rsidR="00C47B1D"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 xml:space="preserve">Слизистые карциномы накапливают меньше FDG, чем неслизистые. Berger </w:t>
      </w:r>
      <w:r w:rsidR="00833DE9" w:rsidRPr="00A43B9C">
        <w:rPr>
          <w:rFonts w:ascii="Times New Roman" w:eastAsia="Times New Roman" w:hAnsi="Times New Roman" w:cs="Times New Roman"/>
          <w:sz w:val="28"/>
          <w:szCs w:val="28"/>
          <w:lang w:eastAsia="ru-RU"/>
        </w:rPr>
        <w:t xml:space="preserve">et al. </w:t>
      </w:r>
      <w:r w:rsidRPr="00A43B9C">
        <w:rPr>
          <w:rFonts w:ascii="Times New Roman" w:eastAsia="Times New Roman" w:hAnsi="Times New Roman" w:cs="Times New Roman"/>
          <w:sz w:val="28"/>
          <w:szCs w:val="28"/>
          <w:lang w:eastAsia="ru-RU"/>
        </w:rPr>
        <w:t>сравнивал</w:t>
      </w:r>
      <w:r w:rsidR="00833DE9" w:rsidRPr="00A43B9C">
        <w:rPr>
          <w:rFonts w:ascii="Times New Roman" w:eastAsia="Times New Roman" w:hAnsi="Times New Roman" w:cs="Times New Roman"/>
          <w:sz w:val="28"/>
          <w:szCs w:val="28"/>
          <w:lang w:eastAsia="ru-RU"/>
        </w:rPr>
        <w:t>и</w:t>
      </w:r>
      <w:r w:rsidRPr="00A43B9C">
        <w:rPr>
          <w:rFonts w:ascii="Times New Roman" w:eastAsia="Times New Roman" w:hAnsi="Times New Roman" w:cs="Times New Roman"/>
          <w:sz w:val="28"/>
          <w:szCs w:val="28"/>
          <w:lang w:eastAsia="ru-RU"/>
        </w:rPr>
        <w:t xml:space="preserve"> захват FDG с гистологическими данными у 25 больных со слизистыми новообразованиями и определил</w:t>
      </w:r>
      <w:r w:rsidR="00C47B1D" w:rsidRPr="00A43B9C">
        <w:rPr>
          <w:rFonts w:ascii="Times New Roman" w:eastAsia="Times New Roman" w:hAnsi="Times New Roman" w:cs="Times New Roman"/>
          <w:sz w:val="28"/>
          <w:szCs w:val="28"/>
          <w:lang w:eastAsia="ru-RU"/>
        </w:rPr>
        <w:t>и</w:t>
      </w:r>
      <w:r w:rsidRPr="00A43B9C">
        <w:rPr>
          <w:rFonts w:ascii="Times New Roman" w:eastAsia="Times New Roman" w:hAnsi="Times New Roman" w:cs="Times New Roman"/>
          <w:sz w:val="28"/>
          <w:szCs w:val="28"/>
          <w:lang w:eastAsia="ru-RU"/>
        </w:rPr>
        <w:t xml:space="preserve"> общую чувствительность ПЭТ с FDG у 59% больных с первичным и рецидивным слизистым раком. Чувствительность </w:t>
      </w:r>
      <w:r w:rsidR="00C47B1D" w:rsidRPr="00A43B9C">
        <w:rPr>
          <w:rFonts w:ascii="Times New Roman" w:eastAsia="Times New Roman" w:hAnsi="Times New Roman" w:cs="Times New Roman"/>
          <w:sz w:val="28"/>
          <w:szCs w:val="28"/>
          <w:lang w:eastAsia="ru-RU"/>
        </w:rPr>
        <w:t xml:space="preserve">метода оказалась </w:t>
      </w:r>
      <w:r w:rsidRPr="00A43B9C">
        <w:rPr>
          <w:rFonts w:ascii="Times New Roman" w:eastAsia="Times New Roman" w:hAnsi="Times New Roman" w:cs="Times New Roman"/>
          <w:sz w:val="28"/>
          <w:szCs w:val="28"/>
          <w:lang w:eastAsia="ru-RU"/>
        </w:rPr>
        <w:t xml:space="preserve">ниже, чем для опухолей </w:t>
      </w:r>
      <w:r w:rsidR="0020110A">
        <w:rPr>
          <w:rFonts w:ascii="Times New Roman" w:eastAsia="Times New Roman" w:hAnsi="Times New Roman" w:cs="Times New Roman"/>
          <w:sz w:val="28"/>
          <w:szCs w:val="28"/>
          <w:lang w:eastAsia="ru-RU"/>
        </w:rPr>
        <w:t>желудочно-кишечного тракта</w:t>
      </w:r>
      <w:r w:rsidRPr="00A43B9C">
        <w:rPr>
          <w:rFonts w:ascii="Times New Roman" w:eastAsia="Times New Roman" w:hAnsi="Times New Roman" w:cs="Times New Roman"/>
          <w:sz w:val="28"/>
          <w:szCs w:val="28"/>
          <w:lang w:eastAsia="ru-RU"/>
        </w:rPr>
        <w:t xml:space="preserve"> и легких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{"citationID":"gpXoodKB","properties":{"formattedCitation":"[84]","plainCitation":"[84]","noteIndex":0},"citationItems":[{"id":344,"uris":["http://zotero.org/users/8787459/items/EZE5DHEJ"],"itemData":{"id":344,"type":"article-journal","abstract":"OBJECTIVE: Our goal was to assess the sensitivity of positron emission tomography (PET) with 18F-fluorodeoxyglucose (FDG) for the detection of mucinous carcinoma and to determine the histologic features of these tumors that may affect lesion detectability.\nMATERIALS AND METHODS: A retrospective review of all patients with mucinous carcinoma who had undergone FDG PET at our institution from 1995 through 1998 identified 25 patients with new or recurrent mucinous carcinoma at the time of PET. In 22 of these patients, tissue specimens available from either core biopsy or surgical resection allowed detailed histologic analysis.\nRESULTS: FDG PET revealed mucinous carcinoma in only 13 (59%) of 22 patients, resulting in an unusually high percentage (41%) of false-negative results. Two histologic features were found to be predictive of FDG PET results: tumor cellularity (p = 0.011) and the amount of mucin within the tumor mass (p = 0.009). There was a positive correlation between tumor FDG uptake and cellularity but a negative correlation with the amount of mucin.\nCONCLUSION: FDG PET is limited in the evaluation of mucinous tumors, particularly in hypocellular lesions with abundant mucin.","container-title":"AJR. American journal of roentgenology","DOI":"10.2214/ajr.174.4.1741005","ISSN":"0361-803X","issue":"4","journalAbbreviation":"AJR Am J Roentgenol","language":"eng","note":"PMID: 10749239","page":"1005-1008","source":"PubMed","title":"FDG PET evaluation of mucinous neoplasms: correlation of FDG uptake with histopathologic features","title-short":"FDG PET evaluation of mucinous neoplasms","volume":"174","author":[{"family":"Berger","given":"K. L."},{"family":"Nicholson","given":"S. A."},{"family":"Dehdashti","given":"F."},{"family":"Siegel","given":"B. A."}],"issued":{"date-parts":[["2000",4]]}}}],"schema":"https://github.com/citation-style-language/schema/raw/master/csl-citation.json"}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[84]</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 Таким образом, по данным автора слизистые аденокарциномы менее точно визуализируются с помощью ПЭТ, чем неслизистые. Причина меньшей чувствительности, по его мнению, была связана со скоплением муцина в опухолевой ткани.</w:t>
      </w:r>
    </w:p>
    <w:p w14:paraId="2DB612FD" w14:textId="376FB55C"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 xml:space="preserve">Наличие внепеченочных метастазов в наибольшей степени определяет прогноз пациентов с подозрениями на </w:t>
      </w:r>
      <w:r w:rsidR="00C95D50">
        <w:rPr>
          <w:rFonts w:ascii="Times New Roman" w:eastAsia="Times New Roman" w:hAnsi="Times New Roman" w:cs="Times New Roman"/>
          <w:sz w:val="28"/>
          <w:szCs w:val="28"/>
          <w:lang w:eastAsia="ru-RU"/>
        </w:rPr>
        <w:t xml:space="preserve">колоректальный </w:t>
      </w:r>
      <w:r w:rsidRPr="00A43B9C">
        <w:rPr>
          <w:rFonts w:ascii="Times New Roman" w:eastAsia="Times New Roman" w:hAnsi="Times New Roman" w:cs="Times New Roman"/>
          <w:sz w:val="28"/>
          <w:szCs w:val="28"/>
          <w:lang w:eastAsia="ru-RU"/>
        </w:rPr>
        <w:t>рецидив. Таким образом, требуются высокочувствительные скрининговые режимы сканирования. Проблема со стандартными методами визуализации заключается в их ограниченном поле зрения. Возможность сканирования всего тела при ПЭТ определяет ее роль в выявлении отдаленных метастазов</w:t>
      </w:r>
      <w:r w:rsidR="00C95D50">
        <w:rPr>
          <w:rFonts w:ascii="Times New Roman" w:eastAsia="Times New Roman" w:hAnsi="Times New Roman" w:cs="Times New Roman"/>
          <w:sz w:val="28"/>
          <w:szCs w:val="28"/>
          <w:lang w:eastAsia="ru-RU"/>
        </w:rPr>
        <w:t xml:space="preserve"> и </w:t>
      </w:r>
      <w:r w:rsidRPr="00A43B9C">
        <w:rPr>
          <w:rFonts w:ascii="Times New Roman" w:eastAsia="Times New Roman" w:hAnsi="Times New Roman" w:cs="Times New Roman"/>
          <w:sz w:val="28"/>
          <w:szCs w:val="28"/>
          <w:lang w:eastAsia="ru-RU"/>
        </w:rPr>
        <w:t>широко проводятся больным с рецидивами.</w:t>
      </w:r>
    </w:p>
    <w:p w14:paraId="3D03486E" w14:textId="4CA8E3E8"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val="en-US" w:eastAsia="ru-RU"/>
        </w:rPr>
        <w:t>Yasuda</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et</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al</w:t>
      </w:r>
      <w:r w:rsidR="00833DE9"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провели ретроспективное исследование 119 больны</w:t>
      </w:r>
      <w:r w:rsidR="00C47B1D" w:rsidRPr="00A43B9C">
        <w:rPr>
          <w:rFonts w:ascii="Times New Roman" w:eastAsia="Times New Roman" w:hAnsi="Times New Roman" w:cs="Times New Roman"/>
          <w:sz w:val="28"/>
          <w:szCs w:val="28"/>
          <w:lang w:eastAsia="ru-RU"/>
        </w:rPr>
        <w:t>х</w:t>
      </w:r>
      <w:r w:rsidRPr="00A43B9C">
        <w:rPr>
          <w:rFonts w:ascii="Times New Roman" w:eastAsia="Times New Roman" w:hAnsi="Times New Roman" w:cs="Times New Roman"/>
          <w:sz w:val="28"/>
          <w:szCs w:val="28"/>
          <w:lang w:eastAsia="ru-RU"/>
        </w:rPr>
        <w:t>, подвергшихся ПЭТ с FDG и колоноскопии в качестве скрининговой программы. Чувствительность ПЭТ с FDG повыша</w:t>
      </w:r>
      <w:r w:rsidR="00C47B1D" w:rsidRPr="00A43B9C">
        <w:rPr>
          <w:rFonts w:ascii="Times New Roman" w:eastAsia="Times New Roman" w:hAnsi="Times New Roman" w:cs="Times New Roman"/>
          <w:sz w:val="28"/>
          <w:szCs w:val="28"/>
          <w:lang w:eastAsia="ru-RU"/>
        </w:rPr>
        <w:t>лась</w:t>
      </w:r>
      <w:r w:rsidRPr="00A43B9C">
        <w:rPr>
          <w:rFonts w:ascii="Times New Roman" w:eastAsia="Times New Roman" w:hAnsi="Times New Roman" w:cs="Times New Roman"/>
          <w:sz w:val="28"/>
          <w:szCs w:val="28"/>
          <w:lang w:eastAsia="ru-RU"/>
        </w:rPr>
        <w:t xml:space="preserve"> с увеличением размеров аденоматозного полипа. ПЭТ выявила 24% аденом размерами 5-30 мм и 90% аденом размер</w:t>
      </w:r>
      <w:r w:rsidR="00C47B1D" w:rsidRPr="00A43B9C">
        <w:rPr>
          <w:rFonts w:ascii="Times New Roman" w:eastAsia="Times New Roman" w:hAnsi="Times New Roman" w:cs="Times New Roman"/>
          <w:sz w:val="28"/>
          <w:szCs w:val="28"/>
          <w:lang w:eastAsia="ru-RU"/>
        </w:rPr>
        <w:t>ом</w:t>
      </w:r>
      <w:r w:rsidRPr="00A43B9C">
        <w:rPr>
          <w:rFonts w:ascii="Times New Roman" w:eastAsia="Times New Roman" w:hAnsi="Times New Roman" w:cs="Times New Roman"/>
          <w:sz w:val="28"/>
          <w:szCs w:val="28"/>
          <w:lang w:eastAsia="ru-RU"/>
        </w:rPr>
        <w:t xml:space="preserve"> больше 13 мм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{"citationID":"ATpeyqO6","properties":{"formattedCitation":"[37, 85]","plainCitation":"[37, 85]","noteIndex":0},"citationItems":[{"id":349,"uris":["http://zotero.org/users/8787459/items/AN8B6XRW"],"itemData":{"id":349,"type":"article-journal","abstract":"Colorectal cancer is a common malignancy that afflicts many in the western world. Imaging studies are frequently used to evaluate patients in the screening, staging and surveillance of colorectal cancer. Cross sectional imaging studies such as ultrasound, computed tomography and magnetic resonance imaging provide anatomic and morphologic information about tumor and patterns of spread. Positron emission tomography (PET) differs in that it provides information about tumor metabolism.[18F]Fluorodeoxyglucose PET has been clinically used for the evaluation of patients with a wide variety of cancers since most malignancies, including colorectal cancer, typically show increased glucose metabolism. This review present the positron emission tomography/computed tomography imaging findings that may be encountered in the diagnosis, staging and follow-up of patients with colorectal cancer.","container-title":"Cancer Imaging","DOI":"10.1102/1470-7330.2008.9009","ISSN":"1740-5025","issue":"Spec Iss A","journalAbbreviation":"Cancer Imaging","note":"PMID: 18852081\nPMCID: PMC2582503","page":"S46-S51","source":"PubMed Central","title":"PET/CT imaging in the diagnosis, staging, and follow-up of colorectal cancer","volume":"8","author":[{"family":"Vikram","given":"Raghu"},{"family":"Iyer","given":"Revathy B."}],"issued":{"date-parts":[["2008",10,4]]}},"label":"page"},{"id":346,"uris":["http://zotero.org/users/8787459/items/YT55I8NX"],"itemData":{"id":346,"type":"article-journal","abstract":"Positron emission tomography (PET) using 18F-fluorodeoxyglucose can sensitively detect cancers of increased glucose metabolism. We describe three asymptomatic individuals who were found to have colorectal cancer and underwent potentially curative surgery. On the PET images, lesions were easily discernible. Our experience and the experience of others suggest that primary colorectal cancer can be detected with PET in a resectable stage. Our three cases are presented and the potential utility of PET is discussed.","container-title":"Japanese Journal of Clinical Oncology","DOI":"10.1093/jjco/28.10.638","ISSN":"0368-2811","issue":"10","journalAbbreviation":"Jpn J Clin Oncol","language":"eng","note":"PMID: 9839506","page":"638-640","source":"PubMed","title":"Primary colorectal cancers detected with PET","volume":"28","author":[{"family":"Yasuda","given":"S."},{"family":"Takahashi","given":"W."},{"family":"Takagi","given":"S."},{"family":"Ide","given":"M."},{"family":"Shohtsu","given":"A."}],"issued":{"date-parts":[["1998",10]]}},"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[85]</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Drenth</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et</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al</w:t>
      </w:r>
      <w:r w:rsidR="00833DE9"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оценивали данные ПЭТ с FDG при предраковых заболеваниях с чувствительностью 74% и специфичностью 84% в выявлении аномальных находок, видимых при </w:t>
      </w:r>
      <w:r w:rsidRPr="00A43B9C">
        <w:rPr>
          <w:rFonts w:ascii="Times New Roman" w:eastAsia="Times New Roman" w:hAnsi="Times New Roman" w:cs="Times New Roman"/>
          <w:sz w:val="28"/>
          <w:szCs w:val="28"/>
          <w:lang w:eastAsia="ru-RU"/>
        </w:rPr>
        <w:lastRenderedPageBreak/>
        <w:t>эндоскопии. Хотя все пациенты из этой группы были идентифицированы с помощью ПЭТ, четверо больных с полипами менее 10 мм в размер</w:t>
      </w:r>
      <w:r w:rsidR="00C47B1D" w:rsidRPr="00A43B9C">
        <w:rPr>
          <w:rFonts w:ascii="Times New Roman" w:eastAsia="Times New Roman" w:hAnsi="Times New Roman" w:cs="Times New Roman"/>
          <w:sz w:val="28"/>
          <w:szCs w:val="28"/>
          <w:lang w:eastAsia="ru-RU"/>
        </w:rPr>
        <w:t>е</w:t>
      </w:r>
      <w:r w:rsidRPr="00A43B9C">
        <w:rPr>
          <w:rFonts w:ascii="Times New Roman" w:eastAsia="Times New Roman" w:hAnsi="Times New Roman" w:cs="Times New Roman"/>
          <w:sz w:val="28"/>
          <w:szCs w:val="28"/>
          <w:lang w:eastAsia="ru-RU"/>
        </w:rPr>
        <w:t xml:space="preserve"> выявлены не были. Положительный результат ПЭТ-изображений составлял 61% у больных с полипами более 10 мм в размер</w:t>
      </w:r>
      <w:r w:rsidR="00C47B1D" w:rsidRPr="00A43B9C">
        <w:rPr>
          <w:rFonts w:ascii="Times New Roman" w:eastAsia="Times New Roman" w:hAnsi="Times New Roman" w:cs="Times New Roman"/>
          <w:sz w:val="28"/>
          <w:szCs w:val="28"/>
          <w:lang w:eastAsia="ru-RU"/>
        </w:rPr>
        <w:t>е</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{"citationID":"giE9W0RX","properties":{"formattedCitation":"[86, 87]","plainCitation":"[86, 87]","noteIndex":0},"citationItems":[{"id":352,"uris":["http://zotero.org/users/8787459/items/W3QHTZG5"],"itemData":{"id":352,"type":"article-journal","abstract":"The diagnostic accuracy of 2-[(18)F]-fluoro-2-deoxy- D-glucose positron emission tomography (FDG-PET) for the detection of (pre-)malignant lesions of the colon was compared with that of endoscopy. We selected a cohort of 39 patients [13 females and 26 males; mean age 62.3 years standard deviation (SD) 9.6 years] who underwent both FDG-PET and endoscopy (total of 44 procedures) in a 2-year period with a maximum interval between the examinations of 3 months (mean 30 days, SD 28 days). The underlying pathology was colorectal malignancies (24 patients), other malignancies (nine patients) and other disorders (six patients). Follow-up of resected colorectal cancer was the most common reason for the performance of endoscopy. In 19 patients FDG bowel uptake was interpreted as non-physiological, and in 18 patients abnormal findings (adenomatous polyps &gt;3 mm or carcinoma) were detected by endoscopy. Compared with colonoscopy, FDG-PET had a sensitivity of 74% and specificity of 84%. The positive predictive value of FDG-PET was 78%. FDG-PET failed to detect small (diameter 3-10 mm) polyps in four patients. In nine cases abnormal FDG accumulation on PET imaging was the sole reason for performance of an endoscopic procedure. In these cases, endoscopy detected large adenomatous polyps in four patients and carcinomas in two patients, but no abnormalities were detected on endoscopy in the other three patients. There was a good correlation between the location of FDG uptake and endoscopy-positive lesions. FDG-PET is able to detect clinically relevant lesions of the colon. Our study suggests that it can be regarded as a useful adjunct in the non-invasive follow-up of patients with colorectal carcinomas.","container-title":"European Journal of Nuclear Medicine","DOI":"10.1007/s002590100645","ISSN":"0340-6997","issue":"12","journalAbbreviation":"Eur J Nucl Med","language":"eng","note":"PMID: 11734913","page":"1766-1769","source":"PubMed","title":"Evaluation of (pre-)malignant colonic abnormalities: endoscopic validation of FDG-PET findings","title-short":"Evaluation of (pre-)malignant colonic abnormalities","volume":"28","author":[{"family":"Drenth","given":"J. P."},{"family":"Nagengast","given":"F. M."},{"family":"Oyen","given":"W. J."}],"issued":{"date-parts":[["2001",12]]}},"label":"page"},{"id":354,"uris":["http://zotero.org/users/8787459/items/Q36K4FWL"],"itemData":{"id":354,"type":"article-journal","abstract":"We derive mathematical expressions for the size distribution of screen-detectable pre-malignant lesions, both conditional and unconditional on no prior detection of cancer in the tissue of interest, based on a general multistage clonal expansion model of carcinogenesis. We apply these expressions to simulate the natural history of colorectal cancer and to evaluate the effect of a screen for adenomatous polyps and concomitant intervention on cancer risk. Our approach allows the efficient simulation of multiple screens and interventions and determination of the optimal timing of the screens. We further demonstrate the utility of our approach by computing the benefits of up to two colonoscopies on the lifetime risk of colorectal cancer.","container-title":"Mathematical Biosciences","DOI":"10.1016/j.mbs.2008.02.006","ISSN":"0025-5564","issue":"1","journalAbbreviation":"Math Biosci","language":"eng","note":"PMID: 18374369\nPMCID: PMC2442130","page":"56-70","source":"PubMed","title":"Evaluation of screening strategies for pre-malignant lesions using a biomathematical approach","volume":"213","author":[{"family":"Jeon","given":"Jihyoun"},{"family":"Meza","given":"Rafael"},{"family":"Moolgavkar","given":"Suresh H."},{"family":"Luebeck","given":"E. Georg"}],"issued":{"date-parts":[["2008",5]]}},"label":"page"}],"schema":"https://github.com/citation-style-language/schema/raw/master/csl-citation.json"}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[86, 87]</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 xml:space="preserve">. В другом исследовании </w:t>
      </w:r>
      <w:r w:rsidRPr="00A43B9C">
        <w:rPr>
          <w:rFonts w:ascii="Times New Roman" w:eastAsia="Times New Roman" w:hAnsi="Times New Roman" w:cs="Times New Roman"/>
          <w:sz w:val="28"/>
          <w:szCs w:val="28"/>
          <w:lang w:val="en-US" w:eastAsia="ru-RU"/>
        </w:rPr>
        <w:t>Abdel</w:t>
      </w:r>
      <w:r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val="en-US" w:eastAsia="ru-RU"/>
        </w:rPr>
        <w:t>Nabi</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et</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al</w:t>
      </w:r>
      <w:r w:rsidRPr="00A43B9C">
        <w:rPr>
          <w:rFonts w:ascii="Times New Roman" w:eastAsia="Times New Roman" w:hAnsi="Times New Roman" w:cs="Times New Roman"/>
          <w:sz w:val="28"/>
          <w:szCs w:val="28"/>
          <w:lang w:eastAsia="ru-RU"/>
        </w:rPr>
        <w:t>. сообщили, что 35 доброкачественных полипов, которые изначально были обнаружены во время гистологического исследования удаленной части кишки, были неопределимы при ПЭТ.</w:t>
      </w:r>
    </w:p>
    <w:p w14:paraId="5A8BFA63" w14:textId="722F11D3"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 xml:space="preserve">В том же исследовании авторы сравнивали ПЭТ с </w:t>
      </w:r>
      <w:r w:rsidR="003E35F6">
        <w:rPr>
          <w:rFonts w:ascii="Times New Roman" w:eastAsia="Times New Roman" w:hAnsi="Times New Roman" w:cs="Times New Roman"/>
          <w:sz w:val="28"/>
          <w:szCs w:val="28"/>
          <w:lang w:eastAsia="ru-RU"/>
        </w:rPr>
        <w:t xml:space="preserve">применением </w:t>
      </w:r>
      <w:r w:rsidRPr="00A43B9C">
        <w:rPr>
          <w:rFonts w:ascii="Times New Roman" w:eastAsia="Times New Roman" w:hAnsi="Times New Roman" w:cs="Times New Roman"/>
          <w:sz w:val="28"/>
          <w:szCs w:val="28"/>
          <w:lang w:eastAsia="ru-RU"/>
        </w:rPr>
        <w:t xml:space="preserve">FDG </w:t>
      </w:r>
      <w:r w:rsidR="003E35F6">
        <w:rPr>
          <w:rFonts w:ascii="Times New Roman" w:eastAsia="Times New Roman" w:hAnsi="Times New Roman" w:cs="Times New Roman"/>
          <w:sz w:val="28"/>
          <w:szCs w:val="28"/>
          <w:lang w:eastAsia="ru-RU"/>
        </w:rPr>
        <w:t>и</w:t>
      </w:r>
      <w:r w:rsidRPr="00A43B9C">
        <w:rPr>
          <w:rFonts w:ascii="Times New Roman" w:eastAsia="Times New Roman" w:hAnsi="Times New Roman" w:cs="Times New Roman"/>
          <w:sz w:val="28"/>
          <w:szCs w:val="28"/>
          <w:lang w:eastAsia="ru-RU"/>
        </w:rPr>
        <w:t xml:space="preserve"> КТ, хирургическим и гистопатологическими находками у 48 больных с </w:t>
      </w:r>
      <w:r w:rsidR="00C95D50">
        <w:rPr>
          <w:rFonts w:ascii="Times New Roman" w:eastAsia="Times New Roman" w:hAnsi="Times New Roman" w:cs="Times New Roman"/>
          <w:sz w:val="28"/>
          <w:szCs w:val="28"/>
          <w:lang w:eastAsia="ru-RU"/>
        </w:rPr>
        <w:t>колоректальным раком</w:t>
      </w:r>
      <w:r w:rsidRPr="00A43B9C">
        <w:rPr>
          <w:rFonts w:ascii="Times New Roman" w:eastAsia="Times New Roman" w:hAnsi="Times New Roman" w:cs="Times New Roman"/>
          <w:sz w:val="28"/>
          <w:szCs w:val="28"/>
          <w:lang w:eastAsia="ru-RU"/>
        </w:rPr>
        <w:t xml:space="preserve">. ПЭТ с FDG выявила все первичные опухоли, показав чувствительность 100% по сравнению с 37% при КТ, однако специфичность ПЭТ с FDG была низкой. Три из четырех ложноположительных находок были у больных с острым дивертикулитом, а четвертому больному ПЭТ-сканирование проводилось после полипэктомии. Хотя первичный рак толстой кишки давал высокий </w:t>
      </w:r>
      <w:r w:rsidRPr="00C86F34">
        <w:rPr>
          <w:rFonts w:ascii="Times New Roman" w:eastAsia="Times New Roman" w:hAnsi="Times New Roman" w:cs="Times New Roman"/>
          <w:sz w:val="28"/>
          <w:szCs w:val="28"/>
          <w:lang w:val="en-US" w:eastAsia="ru-RU"/>
        </w:rPr>
        <w:t>SUV</w:t>
      </w:r>
      <w:r w:rsidR="00C86F34" w:rsidRPr="00C86F34">
        <w:rPr>
          <w:rFonts w:ascii="Times New Roman" w:hAnsi="Times New Roman" w:cs="Times New Roman"/>
          <w:sz w:val="28"/>
          <w:szCs w:val="28"/>
          <w:vertAlign w:val="subscript"/>
        </w:rPr>
        <w:t>max</w:t>
      </w:r>
      <w:r w:rsidRPr="00C86F34">
        <w:rPr>
          <w:rFonts w:ascii="Times New Roman" w:eastAsia="Times New Roman" w:hAnsi="Times New Roman" w:cs="Times New Roman"/>
          <w:sz w:val="28"/>
          <w:szCs w:val="28"/>
          <w:lang w:val="kk-KZ" w:eastAsia="ru-RU"/>
        </w:rPr>
        <w:t xml:space="preserve"> </w:t>
      </w:r>
      <w:r w:rsidRPr="00C86F34">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6,32), значительной корреляции между ним и степенью дифференцировки или размера опухоли отмечено не было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{"citationID":"p5cdYYcv","properties":{"formattedCitation":"[88, 89]","plainCitation":"[88, 89]","noteIndex":0},"citationItems":[{"id":357,"uris":["http://zotero.org/users/8787459/items/XPH8MXY7"],"itemData":{"id":357,"type":"article-journal","abstract":"PURPOSE: To evaluate the diagnostic usefulness of positron emission tomography (PET) with fluorine-18 fluorodeoxyglucose (FDG) in patients with primary colorectal carcinomas.\nMATERIALS AND METHODS: Forty-eight patients with biopsy-proved (n = 44) or high clinical suspicion for (n = 4) colorectal cancer underwent whole-body PET after intravenous administration of 10 mCi (370 MBq) of FDG. FDG PET results were correlated with computed tomographic (CT), surgical, and histopathologic findings.\nRESULTS: PET depicted all known intraluminal carcinomas in 37 patients (including two in situ carcinomas) (sensitivity, 100%), but findings were false-positive in four of seven patients without cancer (three with inflammatory bowel conditions, one who had undergone polypectomy). Specificity was 43% (three of seven patients); positive predictive value, 90% (37 of 41 patients); and negative predictive value, 100% (three of three patients). No FDG accumulation was noted in 35 hyperplastic polyps. FDG PET depicted lymph node metastases in four of 14 patients (sensitivity, 29%). Results were similar to those obtained with CT (true-positive, two of seven patients [sensitivity, 29%]; true-negative, 22 of 26 patients [specificity, 85%]). FDG PET depicted liver metastases in seven of eight patients and was superior to CT, which depicted liver metastases in three patients (sensitivity of 88% and 38%, respectively). FDG PET and CT, respectively, correctly depicted the absence of liver metastases in 35 and 32 patients (specificity, 100% and 97%; negative predictive value, 97% and 86%).\nCONCLUSION: FDG PET has a high sensitivity and specificity for detection of colorectal carcinomas (primary and liver metastases) and appears to be superior to CT in the staging of primary colorectal carcinoma.","container-title":"Radiology","DOI":"10.1148/radiology.206.3.9494497","ISSN":"0033-8419","issue":"3","journalAbbreviation":"Radiology","language":"eng","note":"PMID: 9494497","page":"755-760","source":"PubMed","title":"Staging of primary colorectal carcinomas with fluorine-18 fluorodeoxyglucose whole-body PET: correlation with histopathologic and CT findings","title-short":"Staging of primary colorectal carcinomas with fluorine-18 fluorodeoxyglucose whole-body PET","volume":"206","author":[{"family":"Abdel-Nabi","given":"H."},{"family":"Doerr","given":"R. J."},{"family":"Lamonica","given":"D. M."},{"family":"Cronin","given":"V. R."},{"family":"Galantowicz","given":"P. J."},{"family":"Carbone","given":"G. M."},{"family":"Spaulding","given":"M. B."}],"issued":{"date-parts":[["1998",3]]}},"label":"page"},{"id":359,"uris":["http://zotero.org/users/8787459/items/SYEPKIIK"],"itemData":{"id":359,"type":"article-journal","abstract":"BACKGROUND/AIMS: Although the diagnostic value of fluorine-18 2-fluoro-2-deoxy-D-glucose (F-18-FDG) positron emission tomography/computed tomography (F-18-FDG-PET/CT) in patients with colorectal cancer (CRC) has been reported, the association between the F-18-FDG uptake in metastatic lymph nodes (FDGLN) and clinicopathological variables has not been fully investigated. We evaluated the diagnostic value of F-18-FDG-PET/CT in detecting LN metastasis from CRC, and the relationship between F-18-FDG-PET/CT-detecting LN metastasis and prognosis.\nMETHODS: We retrospectively analyzed the medical records of 370 patients who underwent preoperative F-18-FDG-PET/CT, followed by surgical resection for CRC between January 2007 and December 2010. We analyzed the sensitivity, specificity, and accuracy of F-18-FDG-PET/CT and CT in diagnosing metastatic LNs. Survival was analyzed in 115 patients with stage III CRC.\nRESULTS: The sensitivity, specificity, and accuracy for detecting metastatic LNs using F-18-FDG-PET/CT were 56.8, 90.3, and 74.2%, and those for contrast-enhanced CT were 38.4, 95.5, and 65.0%, respectively. The accuracy of F-18-FDG-PET/CT was significantly associated with tumor depth and lymphatic involvement. In the survival analysis, cancer-specific survival and the disease-free survival were significantly shorter in patients with stage III CRC with FDGLN than in those without FDGLN.\nCONCLUSION: F-18-FDG-PET/CT had low sensitivity and high specificity for detecting metastatic LNs from CRC. FDGLN independently predicted poor prognosis in patients with stage III CRC.","container-title":"Digestive Surgery","DOI":"10.1159/000448222","ISSN":"1421-9883","issue":"1","journalAbbreviation":"Dig Surg","language":"eng","note":"PMID: 27454870","page":"60-67","source":"PubMed","title":"Impact of Fluorine-18 2-Fluoro-2-Deoxy-D-Glucose Uptake on Preoperative Positron Emission Tomography/Computed Tomography in the Lymph Nodes of Patients with Primary Colorectal Cancer","volume":"34","author":[{"family":"Sasaki","given":"Kazuhito"},{"family":"Kawasaki","given":"Hiroshi"},{"family":"Sato","given":"Motohiro"},{"family":"Koyama","given":"Ken"},{"family":"Yoshimi","given":"Fuyo"},{"family":"Nagai","given":"Hideo"}],"issued":{"date-parts":[["2017"]]}},"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[88, 89]</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r w:rsidR="00C47B1D"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Б</w:t>
      </w:r>
      <w:r w:rsidR="00C47B1D" w:rsidRPr="00A43B9C">
        <w:rPr>
          <w:rFonts w:ascii="Times New Roman" w:eastAsia="Times New Roman" w:hAnsi="Times New Roman" w:cs="Times New Roman"/>
          <w:sz w:val="28"/>
          <w:szCs w:val="28"/>
          <w:lang w:eastAsia="ru-RU"/>
        </w:rPr>
        <w:t>олее того, б</w:t>
      </w:r>
      <w:r w:rsidRPr="00A43B9C">
        <w:rPr>
          <w:rFonts w:ascii="Times New Roman" w:eastAsia="Times New Roman" w:hAnsi="Times New Roman" w:cs="Times New Roman"/>
          <w:sz w:val="28"/>
          <w:szCs w:val="28"/>
          <w:lang w:eastAsia="ru-RU"/>
        </w:rPr>
        <w:t xml:space="preserve">ыло опубликовано несколько исследований по поводу стадирования больных с </w:t>
      </w:r>
      <w:r w:rsidR="00C95D50">
        <w:rPr>
          <w:rFonts w:ascii="Times New Roman" w:eastAsia="Times New Roman" w:hAnsi="Times New Roman" w:cs="Times New Roman"/>
          <w:sz w:val="28"/>
          <w:szCs w:val="28"/>
          <w:lang w:eastAsia="ru-RU"/>
        </w:rPr>
        <w:t>колоректальным раком</w:t>
      </w:r>
      <w:r w:rsidR="00C47B1D" w:rsidRPr="00A43B9C">
        <w:rPr>
          <w:rFonts w:ascii="Times New Roman" w:eastAsia="Times New Roman" w:hAnsi="Times New Roman" w:cs="Times New Roman"/>
          <w:sz w:val="28"/>
          <w:szCs w:val="28"/>
          <w:lang w:eastAsia="ru-RU"/>
        </w:rPr>
        <w:t>, в которых</w:t>
      </w:r>
      <w:r w:rsidR="00A95898"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 xml:space="preserve">ПЭТ с FDG </w:t>
      </w:r>
      <w:r w:rsidR="00C47B1D" w:rsidRPr="00A43B9C">
        <w:rPr>
          <w:rFonts w:ascii="Times New Roman" w:eastAsia="Times New Roman" w:hAnsi="Times New Roman" w:cs="Times New Roman"/>
          <w:sz w:val="28"/>
          <w:szCs w:val="28"/>
          <w:lang w:eastAsia="ru-RU"/>
        </w:rPr>
        <w:t>имела преимущества</w:t>
      </w:r>
      <w:r w:rsidRPr="00A43B9C">
        <w:rPr>
          <w:rFonts w:ascii="Times New Roman" w:eastAsia="Times New Roman" w:hAnsi="Times New Roman" w:cs="Times New Roman"/>
          <w:sz w:val="28"/>
          <w:szCs w:val="28"/>
          <w:lang w:eastAsia="ru-RU"/>
        </w:rPr>
        <w:t xml:space="preserve"> в диагностике метастазов в </w:t>
      </w:r>
      <w:r w:rsidR="00C95D50">
        <w:rPr>
          <w:rFonts w:ascii="Times New Roman" w:eastAsia="Times New Roman" w:hAnsi="Times New Roman" w:cs="Times New Roman"/>
          <w:sz w:val="28"/>
          <w:szCs w:val="28"/>
          <w:lang w:eastAsia="ru-RU"/>
        </w:rPr>
        <w:t xml:space="preserve">лимфатические узлы </w:t>
      </w:r>
      <w:r w:rsidRPr="00A43B9C">
        <w:rPr>
          <w:rFonts w:ascii="Times New Roman" w:eastAsia="Times New Roman" w:hAnsi="Times New Roman" w:cs="Times New Roman"/>
          <w:sz w:val="28"/>
          <w:szCs w:val="28"/>
          <w:lang w:eastAsia="ru-RU"/>
        </w:rPr>
        <w:t>на момент стадирования.</w:t>
      </w:r>
    </w:p>
    <w:p w14:paraId="05B34D41" w14:textId="018042FD"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 xml:space="preserve">Другие авторы утверждают, что КТ является основным методом визуализации в диагностике размеров, количества и морфологии </w:t>
      </w:r>
      <w:r w:rsidR="00C95D50">
        <w:rPr>
          <w:rFonts w:ascii="Times New Roman" w:eastAsia="Times New Roman" w:hAnsi="Times New Roman" w:cs="Times New Roman"/>
          <w:sz w:val="28"/>
          <w:szCs w:val="28"/>
          <w:lang w:eastAsia="ru-RU"/>
        </w:rPr>
        <w:t>лимфоузлов</w:t>
      </w:r>
      <w:r w:rsidRPr="00A43B9C">
        <w:rPr>
          <w:rFonts w:ascii="Times New Roman" w:eastAsia="Times New Roman" w:hAnsi="Times New Roman" w:cs="Times New Roman"/>
          <w:sz w:val="28"/>
          <w:szCs w:val="28"/>
          <w:lang w:eastAsia="ru-RU"/>
        </w:rPr>
        <w:t xml:space="preserve">. Однако, по мнению некоторых авторов метастазирование в </w:t>
      </w:r>
      <w:r w:rsidR="00C95D50">
        <w:rPr>
          <w:rFonts w:ascii="Times New Roman" w:eastAsia="Times New Roman" w:hAnsi="Times New Roman" w:cs="Times New Roman"/>
          <w:sz w:val="28"/>
          <w:szCs w:val="28"/>
          <w:lang w:eastAsia="ru-RU"/>
        </w:rPr>
        <w:t>лимфоузлы</w:t>
      </w:r>
      <w:r w:rsidRPr="00A43B9C">
        <w:rPr>
          <w:rFonts w:ascii="Times New Roman" w:eastAsia="Times New Roman" w:hAnsi="Times New Roman" w:cs="Times New Roman"/>
          <w:sz w:val="28"/>
          <w:szCs w:val="28"/>
          <w:lang w:eastAsia="ru-RU"/>
        </w:rPr>
        <w:t xml:space="preserve"> может быть трудно выявляемым при КТ с чувствительностью от 22% до 73%.</w:t>
      </w:r>
      <w:r w:rsidR="0069259F" w:rsidRPr="00A43B9C">
        <w:rPr>
          <w:rFonts w:ascii="Times New Roman" w:eastAsia="Times New Roman" w:hAnsi="Times New Roman" w:cs="Times New Roman"/>
          <w:sz w:val="28"/>
          <w:szCs w:val="28"/>
          <w:lang w:eastAsia="ru-RU"/>
        </w:rPr>
        <w:t xml:space="preserve"> Так, </w:t>
      </w:r>
      <w:r w:rsidRPr="00A43B9C">
        <w:rPr>
          <w:rFonts w:ascii="Times New Roman" w:eastAsia="Times New Roman" w:hAnsi="Times New Roman" w:cs="Times New Roman"/>
          <w:sz w:val="28"/>
          <w:szCs w:val="28"/>
          <w:lang w:val="en-US" w:eastAsia="ru-RU"/>
        </w:rPr>
        <w:t>Gupta</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et</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al</w:t>
      </w:r>
      <w:r w:rsidR="00833DE9"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оценивали 16 больных, подвергшихся хирургическому лечению по поводу </w:t>
      </w:r>
      <w:r w:rsidR="00C95D50">
        <w:rPr>
          <w:rFonts w:ascii="Times New Roman" w:eastAsia="Times New Roman" w:hAnsi="Times New Roman" w:cs="Times New Roman"/>
          <w:sz w:val="28"/>
          <w:szCs w:val="28"/>
          <w:lang w:eastAsia="ru-RU"/>
        </w:rPr>
        <w:t>колоректального рака</w:t>
      </w:r>
      <w:r w:rsidRPr="00A43B9C">
        <w:rPr>
          <w:rFonts w:ascii="Times New Roman" w:eastAsia="Times New Roman" w:hAnsi="Times New Roman" w:cs="Times New Roman"/>
          <w:sz w:val="28"/>
          <w:szCs w:val="28"/>
          <w:lang w:eastAsia="ru-RU"/>
        </w:rPr>
        <w:t xml:space="preserve">. Оценка производилась с помощью ПЭТ и КТ. ПЭТ с FDG показала чувствительность 90%, специфичность 66% и точность 87% в выявлении участков опухоли по сравнению с 60% чувствительностью, 100% специфичностью и 65% точностью для КТ. Авторы заключили, что ПЭТ с FDG имеет высокую чувствительность в стадировании </w:t>
      </w:r>
      <w:r w:rsidR="00C95D50">
        <w:rPr>
          <w:rFonts w:ascii="Times New Roman" w:eastAsia="Times New Roman" w:hAnsi="Times New Roman" w:cs="Times New Roman"/>
          <w:sz w:val="28"/>
          <w:szCs w:val="28"/>
          <w:lang w:eastAsia="ru-RU"/>
        </w:rPr>
        <w:t>колорекального рака</w:t>
      </w:r>
      <w:r w:rsidRPr="00A43B9C">
        <w:rPr>
          <w:rFonts w:ascii="Times New Roman" w:eastAsia="Times New Roman" w:hAnsi="Times New Roman" w:cs="Times New Roman"/>
          <w:sz w:val="28"/>
          <w:szCs w:val="28"/>
          <w:lang w:eastAsia="ru-RU"/>
        </w:rPr>
        <w:t xml:space="preserve">, равно как и в выявлении первичной опухоли, если сравнивать с КТ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{"citationID":"MXxmCZge","properties":{"formattedCitation":"[90\\uc0\\u8211{}94]","plainCitation":"[90–94]","noteIndex":0},"citationItems":[{"id":363,"uris":["http://zotero.org/users/8787459/items/NDDADKPD"],"itemData":{"id":363,"type":"article-journal","abstract":"OBJECTIVES: In the UK, colorectal cancer (CRC) is the third most common malignancy (behind lung and breast cancer) with 37,514 cases registered in 2006: around two-thirds (23,384) in the colon and one-third (14,130) in the rectum. Treatment of cancers of the colon can vary considerably, but surgical resection is the mainstay of treatment for curative intent. Following surgical resection, there is a comprehensive assessment of the tumour, it's invasion characteristics and spread (tumour staging). A number of imaging modalities are used in the pre-operative staging of CRCs including; computerised tomography (CT), magnetic resonance imaging, ultrasound imaging and positron emission tomography (PET). This report examines the role of CT in combination with PET scanning (PET/CT 'hybrid' scan). The research objectives are: to evaluate the diagnostic accuracy and therapeutic impact of fluorine-18-deoxyglucose (FDG) PET/CT for the pre-operative staging of primary, recurrent and metastatic cancer using systematic review methods; undertake probabilistic decision-analytic modelling (using Monte Carlo simulation); and conduct a value of information analysis to help inform whether or not there is potential worth in undertaking further research.\nDATA SOURCES: For each aspect of the research - the systematic review, the handsearch study and the economic evaluation - a database was assembled from a comprehensive search for published and unpublished studies, which included database searches, reference lists search and contact with experts. In the systematic review prospective and retrospective patient series (diagnostic cohort) and randomised controlled trials (RCTs) were eligible for inclusion. Both consecutive series and series that are not explicitly reported as consecutive were included.\nREVIEW METHODS: Two reviewers extracted all data and applied the criteria independently and resolved disagreements by discussion. Data to populate 2 × 2 contingency tables consisting of the number of true positives, true negatives, false positives and false negatives using the studies' own definitions were extracted, as were data relating to changes in management. Fourteen items from the Quality Assessment of Diagnostic Accuracy Studies checklist were used to assess the methodological quality of the included studies. Patient-level data were used to calculate sensitivity and specificity with confidence intervals (CIs). Data were plotted graphically in forest plots. For the economic evaluation, economic models were designed for each of the disease states: primary, recurrent and metastatic. These were developed and populated based on a variety of information sources (in particular from published data sources) and literature, and in consultation with clinical experts.\nRESULTS: The review found 30 studies that met the eligibility criteria. Only two small studies evaluated the use of FDG PET/CT in primary CRC, and there is insufficient evidence to support its routine use at this time. The use of FDG PET/CT for the detection of recurrent disease identified data from five retrospective studies from which a pooled sensitivity of 91% (95% CI 0.87% to 0.95%) and specificity of 91% (95% CI 0.85% to 0.95%) were observed. Pooled accuracy data from patients undergoing staging for suspected metastatic disease showed FDG PET/CT to have a pooled sensitivity of 91% (95% CI 87% to 94%) and a specificity of 76% (95% CI 58% to 88%), but the poor quality of the studies means the validity of the data may be compromised by several biases. The separate handsearch study did not yield any additional unique studies relevant to FDG PET/CT. Models for recurrent disease demonstrated an incremental cost-effectiveness ratio of £ 21,409 per quality-adjusted life-year (QALY) for rectal cancer, £ 6189 per QALY for colon cancer and £ 21,434 per QALY for metastatic disease. The value of handsearching to identify studies of less clearly defined or reported diagnostic tests is still to be investigated.\nCONCLUSIONS: The systematic review found insufficient evidence to support the routine use of FDG PET/CT in primary CRC and only a small amount of evidence supporting its use in the pre-operative staging of recurrent and metastatic CRC, and, although FDG PET/CT was shown to change patient management, the data are divergent and the quality of research is generally poor. The handsearch to identify studies of less clearly defined or reported diagnostic tests did not find additional studies. The primary limitations in the economic evaluations were due to uncertainty and lack of available evidence from the systematic reviews for key parameters in each of the five models. In order to address this, a conservative approach was adopted in choosing DTA estimates for the model parameters. Probabilistic analyses were undertaken for each of the models, incorporating wide levels of uncertainty particularly for the DTA estimates. None of the economic models reported cost-savings, but the approach adopted was conservative in order to determine more reliable results given the lack of current information. The economic evaluations conclude that FDG PET/CT as an add-on imaging device is cost-effective in the pre-operative staging of recurrent colon, recurrent rectal and metastatic disease but not in primary colon or rectal cancers. There would be value in undertaking an RCT with a concurrent economic evaluation to evaluate the therapeutic impact and cost-effectiveness of FDG PET/CT compared with conventional imaging (without PET) for the pre-operative staging of recurrent and metastatic CRC.","container-title":"Health Technology Assessment (Winchester, England)","DOI":"10.3310/hta15350","ISSN":"2046-4924","issue":"35","journalAbbreviation":"Health Technol Assess","language":"eng","note":"PMID: 21958472\nPMCID: PMC4781061","page":"1-192, iii-iv","source":"PubMed","title":"The value of FDG positron emission tomography/computerised tomography (PET/CT) in pre-operative staging of colorectal cancer: a systematic review and economic evaluation","title-short":"The value of FDG positron emission tomography/computerised tomography (PET/CT) in pre-operative staging of colorectal cancer","volume":"15","author":[{"family":"Brush","given":"J."},{"family":"Boyd","given":"K."},{"family":"Chappell","given":"F."},{"family":"Crawford","given":"F."},{"family":"Dozier","given":"M."},{"family":"Fenwick","given":"E."},{"family":"Glanville","given":"J."},{"family":"McIntosh","given":"H."},{"family":"Renehan","given":"A."},{"family":"Weller","given":"D."},{"family":"Dunlop","given":"M."}],"issued":{"date-parts":[["2011",9]]}},"label":"page"},{"id":361,"uris":["http://zotero.org/users/8787459/items/BUN66NK8"],"itemData":{"id":361,"type":"article-journal","abstract":"The preoperative staging of colorectal cancer (CRC) with (18)F-FDG PET is not as yet generally considered to be evidence based. We have found only 1 study that evaluated (18)F-FDG PET in a nonselected population with proven CRC. Several other studies have concentrated on more advanced disease. The aim of this study was to assess the potential clinical benefit of (18)F-FDG PET in the routine staging of CRC.\nMETHODS: Thirty-eight consecutive patients who had had CRC histologically proven by colonoscopy underwent prospective preoperative staging by plain chest radiography, sonography, CT, and (18)F-FDG PET. Sensitivity, specificity, and accuracy were retrospectively assessed by comparison with the histologic results after surgery (36 patients) or clinical follow-up (2 inoperable cases-both patients died within 1 y of the PET examination). The impact of (18)F-FDG PET on therapeutic decision making was evaluated by comparing medical records before and after (18)F-FDG PET.\nRESULTS: (18)F-FDG PET correctly detected 95% of primary tumors, whereas CT and sonography correctly detected only 49% and 14%, respectively. Lymph nodes were involved in 7 patients. The sensitivity, specificity, and accuracy of (18)F-FDG PET were 29%, 88%, and 75%, respectively. CT and sonography did not reveal any lymph node involvement. Liver metastases were present in 9 patients. (18)F-FDG PET, CT, and sonography had a sensitivity of 78%, 67%, and 25%, respectively; a specificity of 96%, 100%, and 100%, respectively; and an accuracy of 91%, 91%, and 81%, respectively. (18)F-FDG PET revealed further lesions in 11 patients. Levels of carcinoembryonic antigen and carbohydrate antigen 19-9 tumor markers were elevated in, respectively, only 33% and 8% of cases of proven CRC. (18)F-FDG PET changed the treatment modality for 8% and the range of surgery for 13% of patients. In total, (18)F-FDG PET changed the method of treatment for 16% of patients.\nCONCLUSION: Plain chest radiography and sonography did not bring any clinical benefits. No correlation was found between the level of tumor markers and the stage of disease. CT is necessary for confirmation of PET findings at extraabdominal sites (PET-guided CT) and for their morphologic specification at abdominal and pelvic sites before an operation. (18)F-FDG PET is the best method for the staging of CRC in all localities, despite the high rate of false-negative PET findings in patients with lymph node involvement. PET should be performed as a first examination after verification of CRC. We propose a PET/CT hybrid system as optimal in the staging of CRC.","container-title":"Journal of Nuclear Medicine: Official Publication, Society of Nuclear Medicine","ISSN":"0161-5505","issue":"11","journalAbbreviation":"J Nucl Med","language":"eng","note":"PMID: 14602860","page":"1784-1788","source":"PubMed","title":"Routine (18)F-FDG PET preoperative staging of colorectal cancer: comparison with conventional staging and its impact on treatment decision making","title-short":"Routine (18)F-FDG PET preoperative staging of colorectal cancer","volume":"44","author":[{"family":"Kantorová","given":"Iva"},{"family":"Lipská","given":"Ludmila"},{"family":"Bêlohlávek","given":"Otakar"},{"family":"Visokai","given":"Vladimír"},{"family":"Trubaĉ","given":"Miroslav"},{"family":"Schneiderová","given":"Michaela"}],"issued":{"date-parts":[["2003",11]]}},"label":"page"},{"id":370,"uris":["http://zotero.org/users/8787459/items/3TKKUYY8"],"itemData":{"id":370,"type":"article-journal","abstract":"INTRODUCTION: In patients with colorectal cancer (CRC), preoperative evaluation and staging should focus on techniques that might alter the preoperative or intraoperative surgical plan. The aim of this study was to evaluate the utility of FDG-PET-CT modality in the initial staging of patients with CRC in comparison with conventional staging methods and to determine its impact on therapeutic management.\nMETHODS: One hundred and four patients with a diagnosis of CC, selected prospectively, were studied for staging using a standard procedure (CT) and FDG-PET-CT. All the patients were morphologically verificated by histology.\nRESULTS: In 14 patients, surgery was contraindicated by FDG-PET-CT owing to the extent of disease (only 6/14 suspected by CT). FDG-PET-CT revealed four synchronous tumours. For N staging, both procedures showed a relatively high specificity but a low diagnostic accuracy (PET 60%, CT 64%) and sensitivity (PET 28%, CT 35%). For M assessment, diagnostic accuracy was 94% for FDG-PET-CT and 86% for CT. FDG-PET-CT evaluation led to modification of the therapy approach in 50% of patients with unresectable disease. FDG-PET-CT findings were important, revealing unknown disease in 19.2%, changing the staging in 13.46% and modifying the scope of surgery in 11.54% (with a change in the therapeutic approach in 17.85% of those patients with rectal cancer).\nCONCLUSION: Compared with conventional techniques, FDG-PET-CT appears to be useful in pre-surgical staging of CC, revealing unsuspected disease and impacting on the treatment approach.","container-title":"Khirurgiia","ISSN":"0450-2167","issue":"3","journalAbbreviation":"Khirurgiia (Sofiia)","language":"bul","note":"PMID: 23844462","page":"55-61","source":"PubMed","title":"[Influence of FDG-PET-CT on diagnostic and treatment of colorectal cancer]","author":[{"family":"Kolev","given":"N."},{"family":"Tonev","given":"A."},{"family":"Ignatov","given":"V."},{"family":"Ivanov","given":"G."},{"family":"Ivanov","given":"K."}],"issued":{"date-parts":[["2011"]]}},"label":"page"},{"id":368,"uris":["http://zotero.org/users/8787459/items/WEUAU9AC"],"itemData":{"id":368,"type":"article-journal","abstract":"INTRODUCTION: In patients with colorectal cancer (CC), preoperative evaluation and staging should focus on techniques that might alter the preoperative or intraoperative surgical plan. Conventional imaging methods (CT, MRI) have low accuracy for identifying the depth of tumour infiltration and have limited ability to detect regional lymph node involvement. The aim of this study was to evaluate the utility of FDG-PET in the initial staging of patients with CC in comparison with conventional staging methods and to determine its impact on therapeutic management.\nMETHODS: One hundred and four patients with a diagnosis of CC (53 males and 51 females; mean age 66.76+/-12.36 years), selected prospectively, were studied for staging using a standard procedure (CT) and FDG-PET. When possible, the reference method was histology.\nRESULTS: In 14 patients, surgery was contraindicated by FDG-PET owing to the extent of disease (only 6/14 suspected by CT). FDG-PET revealed four synchronous tumours. For N staging, both procedures showed a relatively high specificity but a low diagnostic accuracy (PET 56%, CT 60%) and sensitivity (PET 21%, CT 25%). For M assessment, diagnostic accuracy was 92% for FDG-PET and 87% for CT. FDG-PET results led to modification of the therapy approach in 50% of patients with unresectable disease. FDG-PET findings were important, revealing unknown disease in 19.2%, changing the staging in 13.46% and modifying the scope of surgery in 11.54% (with a change in the therapeutic approach in 17.85% of those patients with rectal cancer).\nCONCLUSION: Compared with conventional techniques, FDG-PET appears to be useful in pre-surgical staging of CC, revealing unsuspected disease and impacting on the treatment approach.","container-title":"European Journal of Nuclear Medicine and Molecular Imaging","DOI":"10.1007/s00259-006-0274-4","ISSN":"1619-7070","issue":"6","journalAbbreviation":"Eur J Nucl Med Mol Imaging","language":"eng","note":"PMID: 17195075","page":"859-867","source":"PubMed","title":"Fluorine-18 fluorodeoxyglucose PET in the preoperative staging of colorectal cancer","volume":"34","author":[{"family":"Llamas-Elvira","given":"Jose Manuel"},{"family":"Rodríguez-Fernández","given":"Antonio"},{"family":"Gutiérrez-Sáinz","given":"Javier"},{"family":"Gomez-Rio","given":"Manuel"},{"family":"Bellon-Guardia","given":"María"},{"family":"Ramos-Font","given":"Carlos"},{"family":"Rebollo-Aguirre","given":"Angel Custodio"},{"family":"Cabello-García","given":"Dolores"},{"family":"Ferrón-Orihuela","given":"Antonio"}],"issued":{"date-parts":[["2007",6]]}},"label":"page"},{"id":366,"uris":["http://zotero.org/users/8787459/items/8KJXP5BY"],"itemData":{"id":366,"type":"article-journal","abstract":"OBJECTIVE: We aimed to evaluate the predictive value of FDG PET-CT scan and CEA measurements in recurrent colorectal cancer (CRC) patients.\nMETHODS: The records of 211 CRC patients who had FDG PET-CT scans between April 2009 and June 2011 due to suspicion of recurrence were extracted from the data of our previous report of 235 patients after 24 patients were excluded from the study due to lack of follow-up data or death unrelated to CRC. FDG PET-CT findings, simultaneous CEA levels, and survival data were evaluated retrospectively to determine the prognostic factors that affected the overall survival (OS) of the patients.\nRESULTS: The mean age of 211 patients was 60.2 ± 12.8 years. The median follow-up time was 39 months (CI 95%: 4-123 months). The CRC-related death rate was 71.6% and the median OS time was measured 39 months (CI 95%: 27-50 months) for 211 patients. The median OS time for the patients with positive findings for recurrence in PET scans was 28 months (CI 95%: 22-33 months) which was significantly shorter (p &lt; 0.001) than that of PET-negative patients (median OS was not reached; mean OS: 105 months; CI 95%: 95-116 months). CEA positivity also had a significant negative effect on survival (p &lt; 0.001). Median OS times in patients with elevated and normal levels of CEA were 24 months (CI 95%: 17-30 months) and 85 months (CI 95%: 62-107 months), respectively. When the effect of CEA positivity was evaluated in patients with negative PET scans for recurrence, no statistically significant difference was determined (p = 0.209), but PET positivity had a significant negative effect on OS in patients with normal levels of CEA (p &lt; 0.001). On the other hand, PET negativity had a significant positive effect on OS in patients with elevated CEA levels (p = 0.002). The extend of recurrent disease had also a significant effect on OS. The patients with distant metastasis had less favorable OS than those patients with only local recurrence (p &lt; 0.001). The presence of liver metastasis also diminished the OS, but this effect was not statistically significant (p = 0.177).\nCONCLUSION: FDG PET-CT scan which is a reliable imaging method to detect recurrence in CRC patients, regardless of CEA levels, can also provide valuable prognostic information, even superior to that of CEA measurement.","container-title":"Annals of Nuclear Medicine","DOI":"10.1007/s12149-021-01684-7","ISSN":"1864-6433","issue":"1","journalAbbreviation":"Ann Nucl Med","language":"eng","note":"PMID: 34648169","page":"52-60","source":"PubMed","title":"Prognostic value of FDG PET-CT in suspected recurrence of colorectal carcinoma: survival outcomes of a 10-year follow-up : FDG PET in recurrent colorectal CA","title-short":"Prognostic value of FDG PET-CT in suspected recurrence of colorectal carcinoma","volume":"36","author":[{"family":"Özkan","given":"Zeynep Gözde"},{"family":"Has Şimşek","given":"Duygu"},{"family":"Kuyumcu","given":"Serkan"},{"family":"Oflas","given":"Melis"},{"family":"Işık","given":"Emine Göknur"},{"family":"Doğan","given":"İzzet"},{"family":"Karabulut","given":"Senem"},{"family":"Şanlı","given":"Yasemin"}],"issued":{"date-parts":[["2022",1]]}},"label":"page"}],"schema":"https://github.com/citation-style-language/schema/raw/master/csl-citation.json"}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szCs w:val="24"/>
        </w:rPr>
        <w:t>[90</w:t>
      </w:r>
      <w:r w:rsidR="00FF4BDB" w:rsidRPr="00D3420D">
        <w:rPr>
          <w:rFonts w:ascii="Times New Roman" w:hAnsi="Times New Roman" w:cs="Times New Roman"/>
          <w:sz w:val="28"/>
          <w:szCs w:val="24"/>
        </w:rPr>
        <w:t>-</w:t>
      </w:r>
      <w:r w:rsidR="00F6152F" w:rsidRPr="00F6152F">
        <w:rPr>
          <w:rFonts w:ascii="Times New Roman" w:hAnsi="Times New Roman" w:cs="Times New Roman"/>
          <w:sz w:val="28"/>
          <w:szCs w:val="24"/>
        </w:rPr>
        <w:t>94]</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p>
    <w:p w14:paraId="4AA76166" w14:textId="1C7F7F89"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val="en-US" w:eastAsia="ru-RU"/>
        </w:rPr>
        <w:t>Abdel</w:t>
      </w:r>
      <w:r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val="en-US" w:eastAsia="ru-RU"/>
        </w:rPr>
        <w:t>Nabi</w:t>
      </w:r>
      <w:r w:rsidRPr="00A43B9C">
        <w:rPr>
          <w:rFonts w:ascii="Times New Roman" w:eastAsia="Times New Roman" w:hAnsi="Times New Roman" w:cs="Times New Roman"/>
          <w:sz w:val="28"/>
          <w:szCs w:val="28"/>
          <w:lang w:eastAsia="ru-RU"/>
        </w:rPr>
        <w:t xml:space="preserve"> </w:t>
      </w:r>
      <w:r w:rsidR="00833DE9" w:rsidRPr="00A43B9C">
        <w:rPr>
          <w:rFonts w:ascii="Times New Roman" w:hAnsi="Times New Roman" w:cs="Times New Roman"/>
          <w:sz w:val="28"/>
          <w:szCs w:val="28"/>
          <w:lang w:val="en-US"/>
        </w:rPr>
        <w:t>et</w:t>
      </w:r>
      <w:r w:rsidR="00833DE9" w:rsidRPr="00A43B9C">
        <w:rPr>
          <w:rFonts w:ascii="Times New Roman" w:hAnsi="Times New Roman" w:cs="Times New Roman"/>
          <w:sz w:val="28"/>
          <w:szCs w:val="28"/>
        </w:rPr>
        <w:t xml:space="preserve"> </w:t>
      </w:r>
      <w:r w:rsidR="00833DE9" w:rsidRPr="00A43B9C">
        <w:rPr>
          <w:rFonts w:ascii="Times New Roman" w:hAnsi="Times New Roman" w:cs="Times New Roman"/>
          <w:sz w:val="28"/>
          <w:szCs w:val="28"/>
          <w:lang w:val="en-US"/>
        </w:rPr>
        <w:t>al</w:t>
      </w:r>
      <w:r w:rsidR="00833DE9" w:rsidRPr="00A43B9C">
        <w:rPr>
          <w:rFonts w:ascii="Times New Roman" w:hAnsi="Times New Roman" w:cs="Times New Roman"/>
          <w:sz w:val="28"/>
          <w:szCs w:val="28"/>
        </w:rPr>
        <w:t>.</w:t>
      </w:r>
      <w:r w:rsidR="00833DE9"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сообща</w:t>
      </w:r>
      <w:r w:rsidR="00833DE9" w:rsidRPr="00A43B9C">
        <w:rPr>
          <w:rFonts w:ascii="Times New Roman" w:eastAsia="Times New Roman" w:hAnsi="Times New Roman" w:cs="Times New Roman"/>
          <w:sz w:val="28"/>
          <w:szCs w:val="28"/>
          <w:lang w:eastAsia="ru-RU"/>
        </w:rPr>
        <w:t>ю</w:t>
      </w:r>
      <w:r w:rsidRPr="00A43B9C">
        <w:rPr>
          <w:rFonts w:ascii="Times New Roman" w:eastAsia="Times New Roman" w:hAnsi="Times New Roman" w:cs="Times New Roman"/>
          <w:sz w:val="28"/>
          <w:szCs w:val="28"/>
          <w:lang w:eastAsia="ru-RU"/>
        </w:rPr>
        <w:t xml:space="preserve">т, что ПЭТ с FDG выявила метастазы у 4 из 14 больных с чувствительностью 29% в выявлении регионарного вовлечения </w:t>
      </w:r>
      <w:r w:rsidR="00D83043">
        <w:rPr>
          <w:rFonts w:ascii="Times New Roman" w:eastAsia="Times New Roman" w:hAnsi="Times New Roman" w:cs="Times New Roman"/>
          <w:sz w:val="28"/>
          <w:szCs w:val="28"/>
          <w:lang w:eastAsia="ru-RU"/>
        </w:rPr>
        <w:t>лимфатических узлов</w:t>
      </w:r>
      <w:r w:rsidR="003E35F6">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 xml:space="preserve">специфичность 96% у 26 больных </w:t>
      </w:r>
      <w:r w:rsidR="003E35F6">
        <w:rPr>
          <w:rFonts w:ascii="Times New Roman" w:eastAsia="Times New Roman" w:hAnsi="Times New Roman" w:cs="Times New Roman"/>
          <w:sz w:val="28"/>
          <w:szCs w:val="28"/>
          <w:lang w:eastAsia="ru-RU"/>
        </w:rPr>
        <w:t xml:space="preserve">без метастазов в </w:t>
      </w:r>
      <w:r w:rsidR="00C95D50">
        <w:rPr>
          <w:rFonts w:ascii="Times New Roman" w:eastAsia="Times New Roman" w:hAnsi="Times New Roman" w:cs="Times New Roman"/>
          <w:sz w:val="28"/>
          <w:szCs w:val="28"/>
          <w:lang w:eastAsia="ru-RU"/>
        </w:rPr>
        <w:t>лимфоузлы</w:t>
      </w:r>
      <w:r w:rsidRPr="00A43B9C">
        <w:rPr>
          <w:rFonts w:ascii="Times New Roman" w:eastAsia="Times New Roman" w:hAnsi="Times New Roman" w:cs="Times New Roman"/>
          <w:sz w:val="28"/>
          <w:szCs w:val="28"/>
          <w:lang w:eastAsia="ru-RU"/>
        </w:rPr>
        <w:t xml:space="preserve">. ПЭТ с FDG была ложноотрицательной в выявлении метастазов в </w:t>
      </w:r>
      <w:r w:rsidR="00C95D50">
        <w:rPr>
          <w:rFonts w:ascii="Times New Roman" w:eastAsia="Times New Roman" w:hAnsi="Times New Roman" w:cs="Times New Roman"/>
          <w:sz w:val="28"/>
          <w:szCs w:val="28"/>
          <w:lang w:eastAsia="ru-RU"/>
        </w:rPr>
        <w:t>лимфоузлы</w:t>
      </w:r>
      <w:r w:rsidRPr="00A43B9C">
        <w:rPr>
          <w:rFonts w:ascii="Times New Roman" w:eastAsia="Times New Roman" w:hAnsi="Times New Roman" w:cs="Times New Roman"/>
          <w:sz w:val="28"/>
          <w:szCs w:val="28"/>
          <w:lang w:eastAsia="ru-RU"/>
        </w:rPr>
        <w:t xml:space="preserve"> у больных с нормальным или слегка повышенным уровнем </w:t>
      </w:r>
      <w:r w:rsidR="003E35F6">
        <w:rPr>
          <w:rFonts w:ascii="Times New Roman" w:eastAsia="Times New Roman" w:hAnsi="Times New Roman" w:cs="Times New Roman"/>
          <w:sz w:val="28"/>
          <w:szCs w:val="28"/>
          <w:lang w:eastAsia="ru-RU"/>
        </w:rPr>
        <w:t>РЭА</w:t>
      </w:r>
      <w:r w:rsidRPr="00A43B9C">
        <w:rPr>
          <w:rFonts w:ascii="Times New Roman" w:eastAsia="Times New Roman" w:hAnsi="Times New Roman" w:cs="Times New Roman"/>
          <w:sz w:val="28"/>
          <w:szCs w:val="28"/>
          <w:lang w:eastAsia="ru-RU"/>
        </w:rPr>
        <w:t>, тогда как накопление наблюдалось у 50% больных с повышенным (7-61 нг/мл) уровнем РЭА. ПЭТ с FDG дала низкую чувствительность (29%) и высокую специфичность (96%). Оба значения не отличались от полученных при КТ.</w:t>
      </w:r>
    </w:p>
    <w:p w14:paraId="12505508" w14:textId="33FCA880"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val="en-US" w:eastAsia="ru-RU"/>
        </w:rPr>
        <w:t>Mukai</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et</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al</w:t>
      </w:r>
      <w:r w:rsidR="00833DE9"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сообщили о результатах предоперационного исследования 24 больных с первичным </w:t>
      </w:r>
      <w:r w:rsidR="00C95D50">
        <w:rPr>
          <w:rFonts w:ascii="Times New Roman" w:eastAsia="Times New Roman" w:hAnsi="Times New Roman" w:cs="Times New Roman"/>
          <w:sz w:val="28"/>
          <w:szCs w:val="28"/>
          <w:lang w:eastAsia="ru-RU"/>
        </w:rPr>
        <w:t>колоректальным раком</w:t>
      </w:r>
      <w:r w:rsidRPr="00A43B9C">
        <w:rPr>
          <w:rFonts w:ascii="Times New Roman" w:eastAsia="Times New Roman" w:hAnsi="Times New Roman" w:cs="Times New Roman"/>
          <w:sz w:val="28"/>
          <w:szCs w:val="28"/>
          <w:lang w:eastAsia="ru-RU"/>
        </w:rPr>
        <w:t>. Они выявили чувстви</w:t>
      </w:r>
      <w:r w:rsidR="00C95D50">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тельность 22% в диагностике метастазов в </w:t>
      </w:r>
      <w:r w:rsidR="00C95D50">
        <w:rPr>
          <w:rFonts w:ascii="Times New Roman" w:eastAsia="Times New Roman" w:hAnsi="Times New Roman" w:cs="Times New Roman"/>
          <w:sz w:val="28"/>
          <w:szCs w:val="28"/>
          <w:lang w:eastAsia="ru-RU"/>
        </w:rPr>
        <w:t>лимфоузлы</w:t>
      </w:r>
      <w:r w:rsidRPr="00A43B9C">
        <w:rPr>
          <w:rFonts w:ascii="Times New Roman" w:eastAsia="Times New Roman" w:hAnsi="Times New Roman" w:cs="Times New Roman"/>
          <w:sz w:val="28"/>
          <w:szCs w:val="28"/>
          <w:lang w:eastAsia="ru-RU"/>
        </w:rPr>
        <w:t>, тогда как чувстви</w:t>
      </w:r>
      <w:r w:rsidR="00C95D50">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тельность в выявлении первичной опухоли составляла 96%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{"citationID":"K1gnkMPM","properties":{"formattedCitation":"[15, 95\\uc0\\u8211{}97]","plainCitation":"[15, 95–97]","noteIndex":0},"citationItems":[{"id":378,"uris":["http://zotero.org/users/8787459/items/VI5QWXCM"],"itemData":{"id":378,"type":"article-journal","abstract":"Preoperative screening for synchronous colorectal neoplasia (CRN) has been recommended in patients with gastric cancer because patients with gastric cancer are at increased risk for synchronous CRN. The aim of this study was to investigate the diagnostic accuracy of F-fluorodeoxyglucose (F-FDG) positron emission tomography/computed tomography (PET/CT) for detecting synchronous advanced CRN in patients with gastric cancer.A total of 256 patients who underwent colonoscopy and F-FDG PET/CT for preoperative staging were enrolled in this study. The diagnosis of focal colonic F-FDG uptake on F-FDG PET/CT image was made based on histopathologic results from the colonoscopic biopsy. The F-FDG PET/CT result was considered as true positive for advanced CRN when focal F-FDG uptake matched colorectal carcinoma or adenoma with high-grade dysplasia in the same location on colonoscopy.Synchronous advanced CRN was detected in 21 of the 256 patients (4.7%). Sensitivity, specificity, and accuracy of F-FDG PET/CT were 76.2%, 96.2%, and 94.5%. The size of CRN with a true positive result was significantly larger than that with a false negative result.F-FDG PET/CT demonstrated high diagnostic accuracy for detecting synchronous advanced CRN in patients with gastric cancer. Colonoscopy is recommended as the next diagnostic step for further evaluation of a positive F-FDG PET/CT result in patients with gastric cancer.","container-title":"Medicine","DOI":"10.1097/MD.0000000000004741","ISSN":"1536-5964","issue":"36","journalAbbreviation":"Medicine (Baltimore)","language":"eng","note":"PMID: 27603371\nPMCID: PMC5023894","page":"e4741","source":"PubMed","title":"Diagnostic accuracy of 18F-FDG PET/CT for detecting synchronous advanced colorectal neoplasia in patients with gastric cancer","volume":"95","author":[{"family":"Choi","given":"Byung Wook"},{"family":"Kim","given":"Hae Won"},{"family":"Won","given":"Kyoung Sook"},{"family":"Song","given":"Bong-Il"},{"family":"Cho","given":"Kwang Bum"},{"family":"Bae","given":"Sung Uk"}],"issued":{"date-parts":[["2016",9]]}},"label":"page"},{"id":374,"uris":["http://zotero.org/users/8787459/items/RDSX5VCG"],"itemData":{"id":374,"type":"article-journal","abstract":"Positron emission tomography using 18F-fluorodeoxyglucose (FDG-PET) is a encouraging imaging technique allowing a highly sensitive whole-body search for malignant foci detected by their increased glucose metabolism compared with benign tissues. Several studies are now available that indicate its added value for diagnosis and staging of colorectal cancer. In all, patient management seems to be changed in 20-30% of patients who undergo Fluorodeoxyglucose positron emission tomography in addition to standard staging procedures. Fluorodeoxyglucose positron emission tomography is also useful in monitoring radiation therapy and chemotherapy. Regarding preoperative staging of primary colorectal cancer the literature is very limited.","container-title":"Acta Medica Austriaca","DOI":"10.1046/j.1563-2571.2002.02044.x","ISSN":"0303-8173","issue":"5","journalAbbreviation":"Acta Med Austriaca","language":"ger","note":"PMID: 12506769","page":"176-179","source":"PubMed","title":"[18F-fluorodeoxyglucose positron emission tomography in colorectal cancer: value in primary staging and follow-up]","title-short":"[18F-fluorodeoxyglucose positron emission tomography in colorectal cancer","volume":"29","author":[{"family":"Jörg","given":"L."},{"family":"Heinisch","given":"M."},{"family":"Rechberger","given":"E."},{"family":"Kurz","given":"F."},{"family":"Klug","given":"R."},{"family":"Aufschnaiter","given":"M."},{"family":"Hammer","given":"J."},{"family":"Langsteger","given":"W."}],"issued":{"date-parts":[["2002"]]}},"label":"page"},{"id":372,"uris":["http://zotero.org/users/8787459/items/4I5EUCT7"],"itemData":{"id":372,"type":"article-journal","abstract":"Whole-body positron emission tomography (WB PET) was performed preoperatively in 24 patients with primary colorectal cancer, and the results were compared with the histopathological findings. The PET positive rate was 95.8% (23/24 patients) for the primary tumor. Among nine patients with histologically confirmed lymph node metastasis, two (22.2%) were positive by PET, including one with n1 and one with n4 disease. Among 15 patients without lymph node metastasis histopathologically (n0), two (13.3%) showed false-positive nodes on PET, being diagnosed as n1 and n3 disease, respectively. These results suggest that preoperative PET is useful for the diagnosis of primary colorectal cancer, but it is of limited value for detecting metastasis to the regional lymph nodes surrounding the primary lesion.","container-title":"Oncology Reports","ISSN":"1021-335X","issue":"1","journalAbbreviation":"Oncol Rep","language":"eng","note":"PMID: 10601597","page":"85-87","source":"PubMed","title":"Preoperative evaluation by whole-body 18F-fluorodeoxyglucose positron emission tomography in patients with primary colorectal cancer","volume":"7","author":[{"family":"Mukai","given":"M."},{"family":"Sadahiro","given":"S."},{"family":"Yasuda","given":"S."},{"family":"Ishida","given":"H."},{"family":"Tokunaga","given":"N."},{"family":"Tajima","given":"T."},{"family":"Makuuchi","given":"H."}],"issued":{"date-parts":[["2000",2]]}},"label":"page"},{"id":376,"uris":["http://zotero.org/users/8787459/items/LH9GBLRY"],"itemData":{"id":376,"type":"article-journal","abstract":"BACKGROUND: A major challenge in identifying candidates for nonoperative management of locally advanced rectal cancer is predicting pathologic complete response (pCR) following chemoradiation. We evaluated pre- and post-CRT PET-CT imaging to predict pCR and prognosis in this set of patients undergoing resection after neoadjuvant therapy.\nMETHODS: We retrospectively identified patients from 2002 to 2015 with locally advanced rectal cancer who underwent CRT, pre- and post-CRT PET-CT imaging, and resection. Univariate and multivariate analysis was performed and receiver operating characteristic (ROC) curves were generated to evaluate the association of PET-CT characteristics with pCR and survival. ROC curves were generated to define optimal cutoff points for predictive PET-CT characteristics.\nRESULTS: 125 patients were included. pCR rate was 28%, and follow-up was 48 mo. On multivariable analysis, patients who had a pCR had lower median post-CRT maximal standardized uptake value (SUVmax) (3.2 versus 5.2, P = 0.009) and higher median %SUV decrease (72 versus 58%, P = 0.009). ROC curves were generated for %SUVmax decrease (AUC = 0.70) and post-CRT SUV (AUC = 0.69). Post-CRT SUVmax &lt;4.3 and %SUVmax decrease of &gt;66% were equally predictive of pCR with a sensitivity of 65%, specificity of 72%, PPV of 44%, and NPV of 86%. Median 5-y overall and relapse-free survival were improved for patients with post-CRT SUV &lt;4.3 (OS: 86 versus 66%, P = 0.01; RFS: 75 versus 52%, P = 0.01) or %SUV decrease of &gt;66% (OS, 82 versus 66%, P = 0.05; RFS, 75 versus 54%, P = 0.01).\nCONCLUSIONS: PET/CT may be useful in identifying patients who did not achieve pCR, as well as overall survival in patients undergoing CRT for rectal cancer. Patients with a post-CRT SUV of &gt;4.3 should be considered for operative management, as an estimated 86% of these patients will not have a pCR.","container-title":"The Journal of Surgical Research","DOI":"10.1016/j.jss.2019.04.080","ISSN":"1095-8673","journalAbbreviation":"J Surg Res","language":"eng","note":"PMID: 31229791\nPMCID: PMC7751164","page":"242-248","source":"PubMed","title":"Impact of PET/CT for Restaging Patients With Locally Advanced Rectal Cancer After Neoadjuvant Chemoradiation","volume":"243","author":[{"family":"Sorenson","given":"Eric"},{"family":"Lambreton","given":"Fernando"},{"family":"Yu","given":"Jian Q."},{"family":"Li","given":"Tianyu"},{"family":"Denlinger","given":"Crystal S."},{"family":"Meyer","given":"Joshua E."},{"family":"Sigurdson","given":"Elin R."},{"family":"Farma","given":"Jeffrey M."}],"issued":{"date-parts":[["2019",11]]}},"label":"page"}],"schema":"https://github.com/citation-style-language/schema/raw/master/csl-citation.json"}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szCs w:val="24"/>
        </w:rPr>
        <w:t>[95</w:t>
      </w:r>
      <w:r w:rsidR="00FF4BDB" w:rsidRPr="00D3420D">
        <w:rPr>
          <w:rFonts w:ascii="Times New Roman" w:hAnsi="Times New Roman" w:cs="Times New Roman"/>
          <w:sz w:val="28"/>
          <w:szCs w:val="24"/>
        </w:rPr>
        <w:t>-</w:t>
      </w:r>
      <w:r w:rsidR="00F6152F" w:rsidRPr="00F6152F">
        <w:rPr>
          <w:rFonts w:ascii="Times New Roman" w:hAnsi="Times New Roman" w:cs="Times New Roman"/>
          <w:sz w:val="28"/>
          <w:szCs w:val="24"/>
        </w:rPr>
        <w:t>97]</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 xml:space="preserve">. И в исследовании </w:t>
      </w:r>
      <w:r w:rsidRPr="00A43B9C">
        <w:rPr>
          <w:rFonts w:ascii="Times New Roman" w:eastAsia="Times New Roman" w:hAnsi="Times New Roman" w:cs="Times New Roman"/>
          <w:sz w:val="28"/>
          <w:szCs w:val="28"/>
          <w:lang w:val="en-US" w:eastAsia="ru-RU"/>
        </w:rPr>
        <w:t>Abdel</w:t>
      </w:r>
      <w:r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val="en-US" w:eastAsia="ru-RU"/>
        </w:rPr>
        <w:t>Nabi</w:t>
      </w:r>
      <w:r w:rsidR="00833DE9" w:rsidRPr="00A43B9C">
        <w:rPr>
          <w:rFonts w:ascii="Times New Roman" w:eastAsia="Times New Roman" w:hAnsi="Times New Roman" w:cs="Times New Roman"/>
          <w:sz w:val="28"/>
          <w:szCs w:val="28"/>
          <w:lang w:eastAsia="ru-RU"/>
        </w:rPr>
        <w:t xml:space="preserve"> </w:t>
      </w:r>
      <w:r w:rsidR="00833DE9" w:rsidRPr="00A43B9C">
        <w:rPr>
          <w:rFonts w:ascii="Times New Roman" w:hAnsi="Times New Roman" w:cs="Times New Roman"/>
          <w:sz w:val="28"/>
          <w:szCs w:val="28"/>
          <w:lang w:val="en-US"/>
        </w:rPr>
        <w:t>et</w:t>
      </w:r>
      <w:r w:rsidR="00833DE9" w:rsidRPr="00A43B9C">
        <w:rPr>
          <w:rFonts w:ascii="Times New Roman" w:hAnsi="Times New Roman" w:cs="Times New Roman"/>
          <w:sz w:val="28"/>
          <w:szCs w:val="28"/>
        </w:rPr>
        <w:t xml:space="preserve"> </w:t>
      </w:r>
      <w:r w:rsidR="00833DE9" w:rsidRPr="00A43B9C">
        <w:rPr>
          <w:rFonts w:ascii="Times New Roman" w:hAnsi="Times New Roman" w:cs="Times New Roman"/>
          <w:sz w:val="28"/>
          <w:szCs w:val="28"/>
          <w:lang w:val="en-US"/>
        </w:rPr>
        <w:t>al</w:t>
      </w:r>
      <w:r w:rsidR="00833DE9" w:rsidRPr="00A43B9C">
        <w:rPr>
          <w:rFonts w:ascii="Times New Roman" w:hAnsi="Times New Roman" w:cs="Times New Roman"/>
          <w:sz w:val="28"/>
          <w:szCs w:val="28"/>
        </w:rPr>
        <w:t>.</w:t>
      </w:r>
      <w:r w:rsidRPr="00A43B9C">
        <w:rPr>
          <w:rFonts w:ascii="Times New Roman" w:eastAsia="Times New Roman" w:hAnsi="Times New Roman" w:cs="Times New Roman"/>
          <w:sz w:val="28"/>
          <w:szCs w:val="28"/>
          <w:lang w:eastAsia="ru-RU"/>
        </w:rPr>
        <w:t xml:space="preserve">, и в исследовании </w:t>
      </w:r>
      <w:r w:rsidRPr="00A43B9C">
        <w:rPr>
          <w:rFonts w:ascii="Times New Roman" w:eastAsia="Times New Roman" w:hAnsi="Times New Roman" w:cs="Times New Roman"/>
          <w:sz w:val="28"/>
          <w:szCs w:val="28"/>
          <w:lang w:val="en-US" w:eastAsia="ru-RU"/>
        </w:rPr>
        <w:t>Mukai</w:t>
      </w:r>
      <w:r w:rsidR="00833DE9" w:rsidRPr="00A43B9C">
        <w:rPr>
          <w:rFonts w:ascii="Times New Roman" w:hAnsi="Times New Roman" w:cs="Times New Roman"/>
          <w:sz w:val="28"/>
          <w:szCs w:val="28"/>
        </w:rPr>
        <w:t xml:space="preserve"> </w:t>
      </w:r>
      <w:r w:rsidR="00833DE9" w:rsidRPr="00A43B9C">
        <w:rPr>
          <w:rFonts w:ascii="Times New Roman" w:hAnsi="Times New Roman" w:cs="Times New Roman"/>
          <w:sz w:val="28"/>
          <w:szCs w:val="28"/>
          <w:lang w:val="en-US"/>
        </w:rPr>
        <w:t>et</w:t>
      </w:r>
      <w:r w:rsidR="00833DE9" w:rsidRPr="00A43B9C">
        <w:rPr>
          <w:rFonts w:ascii="Times New Roman" w:hAnsi="Times New Roman" w:cs="Times New Roman"/>
          <w:sz w:val="28"/>
          <w:szCs w:val="28"/>
        </w:rPr>
        <w:t xml:space="preserve"> </w:t>
      </w:r>
      <w:r w:rsidR="00833DE9" w:rsidRPr="00A43B9C">
        <w:rPr>
          <w:rFonts w:ascii="Times New Roman" w:hAnsi="Times New Roman" w:cs="Times New Roman"/>
          <w:sz w:val="28"/>
          <w:szCs w:val="28"/>
          <w:lang w:val="en-US"/>
        </w:rPr>
        <w:t>al</w:t>
      </w:r>
      <w:r w:rsidR="00833DE9" w:rsidRPr="00A43B9C">
        <w:rPr>
          <w:rFonts w:ascii="Times New Roman" w:hAnsi="Times New Roman" w:cs="Times New Roman"/>
          <w:sz w:val="28"/>
          <w:szCs w:val="28"/>
        </w:rPr>
        <w:t>.</w:t>
      </w:r>
      <w:r w:rsidRPr="00A43B9C">
        <w:rPr>
          <w:rFonts w:ascii="Times New Roman" w:eastAsia="Times New Roman" w:hAnsi="Times New Roman" w:cs="Times New Roman"/>
          <w:sz w:val="28"/>
          <w:szCs w:val="28"/>
          <w:lang w:eastAsia="ru-RU"/>
        </w:rPr>
        <w:t xml:space="preserve"> ПЭТ не смогла выявить большинство метастазов в регионарные </w:t>
      </w:r>
      <w:r w:rsidR="00C95D50">
        <w:rPr>
          <w:rFonts w:ascii="Times New Roman" w:eastAsia="Times New Roman" w:hAnsi="Times New Roman" w:cs="Times New Roman"/>
          <w:sz w:val="28"/>
          <w:szCs w:val="28"/>
          <w:lang w:eastAsia="ru-RU"/>
        </w:rPr>
        <w:t>лимфоузлы</w:t>
      </w:r>
      <w:r w:rsidRPr="00A43B9C">
        <w:rPr>
          <w:rFonts w:ascii="Times New Roman" w:eastAsia="Times New Roman" w:hAnsi="Times New Roman" w:cs="Times New Roman"/>
          <w:sz w:val="28"/>
          <w:szCs w:val="28"/>
          <w:lang w:eastAsia="ru-RU"/>
        </w:rPr>
        <w:t xml:space="preserve">, окружающие </w:t>
      </w:r>
      <w:r w:rsidRPr="00A43B9C">
        <w:rPr>
          <w:rFonts w:ascii="Times New Roman" w:eastAsia="Times New Roman" w:hAnsi="Times New Roman" w:cs="Times New Roman"/>
          <w:sz w:val="28"/>
          <w:szCs w:val="28"/>
          <w:lang w:eastAsia="ru-RU"/>
        </w:rPr>
        <w:lastRenderedPageBreak/>
        <w:t xml:space="preserve">первичные поражения. Причина низкой чувствительности заключается в том, что большинство </w:t>
      </w:r>
      <w:r w:rsidR="00C95D50">
        <w:rPr>
          <w:rFonts w:ascii="Times New Roman" w:eastAsia="Times New Roman" w:hAnsi="Times New Roman" w:cs="Times New Roman"/>
          <w:sz w:val="28"/>
          <w:szCs w:val="28"/>
          <w:lang w:eastAsia="ru-RU"/>
        </w:rPr>
        <w:t>лимфоузлов</w:t>
      </w:r>
      <w:r w:rsidRPr="00A43B9C">
        <w:rPr>
          <w:rFonts w:ascii="Times New Roman" w:eastAsia="Times New Roman" w:hAnsi="Times New Roman" w:cs="Times New Roman"/>
          <w:sz w:val="28"/>
          <w:szCs w:val="28"/>
          <w:lang w:eastAsia="ru-RU"/>
        </w:rPr>
        <w:t xml:space="preserve"> располагались около первичной опухоли или в них, </w:t>
      </w:r>
      <w:r w:rsidR="0069259F" w:rsidRPr="00A43B9C">
        <w:rPr>
          <w:rFonts w:ascii="Times New Roman" w:eastAsia="Times New Roman" w:hAnsi="Times New Roman" w:cs="Times New Roman"/>
          <w:sz w:val="28"/>
          <w:szCs w:val="28"/>
          <w:lang w:eastAsia="ru-RU"/>
        </w:rPr>
        <w:t xml:space="preserve">и </w:t>
      </w:r>
      <w:r w:rsidRPr="00A43B9C">
        <w:rPr>
          <w:rFonts w:ascii="Times New Roman" w:eastAsia="Times New Roman" w:hAnsi="Times New Roman" w:cs="Times New Roman"/>
          <w:sz w:val="28"/>
          <w:szCs w:val="28"/>
          <w:lang w:eastAsia="ru-RU"/>
        </w:rPr>
        <w:t xml:space="preserve">имелась микрометастатическая инвазия. Отсутствие вовлечения </w:t>
      </w:r>
      <w:r w:rsidR="00C95D50">
        <w:rPr>
          <w:rFonts w:ascii="Times New Roman" w:eastAsia="Times New Roman" w:hAnsi="Times New Roman" w:cs="Times New Roman"/>
          <w:sz w:val="28"/>
          <w:szCs w:val="28"/>
          <w:lang w:eastAsia="ru-RU"/>
        </w:rPr>
        <w:t>лимфоузлов</w:t>
      </w:r>
      <w:r w:rsidRPr="00A43B9C">
        <w:rPr>
          <w:rFonts w:ascii="Times New Roman" w:eastAsia="Times New Roman" w:hAnsi="Times New Roman" w:cs="Times New Roman"/>
          <w:sz w:val="28"/>
          <w:szCs w:val="28"/>
          <w:lang w:eastAsia="ru-RU"/>
        </w:rPr>
        <w:t xml:space="preserve"> может не вызывать никаких изменений в лечении, поскольку удаление лишь брыжейки без первичного </w:t>
      </w:r>
      <w:r w:rsidR="003E35F6">
        <w:rPr>
          <w:rFonts w:ascii="Times New Roman" w:eastAsia="Times New Roman" w:hAnsi="Times New Roman" w:cs="Times New Roman"/>
          <w:sz w:val="28"/>
          <w:szCs w:val="28"/>
          <w:lang w:eastAsia="ru-RU"/>
        </w:rPr>
        <w:t xml:space="preserve">очага </w:t>
      </w:r>
      <w:r w:rsidRPr="00A43B9C">
        <w:rPr>
          <w:rFonts w:ascii="Times New Roman" w:eastAsia="Times New Roman" w:hAnsi="Times New Roman" w:cs="Times New Roman"/>
          <w:sz w:val="28"/>
          <w:szCs w:val="28"/>
          <w:lang w:eastAsia="ru-RU"/>
        </w:rPr>
        <w:t xml:space="preserve">поражения является частью лечебной процедуры. </w:t>
      </w:r>
      <w:r w:rsidRPr="00A43B9C">
        <w:rPr>
          <w:rFonts w:ascii="Times New Roman" w:eastAsia="Times New Roman" w:hAnsi="Times New Roman" w:cs="Times New Roman"/>
          <w:sz w:val="28"/>
          <w:szCs w:val="28"/>
          <w:lang w:val="en-US" w:eastAsia="ru-RU"/>
        </w:rPr>
        <w:t>Taldini</w:t>
      </w:r>
      <w:r w:rsidRPr="00A43B9C">
        <w:rPr>
          <w:rFonts w:ascii="Times New Roman" w:eastAsia="Times New Roman" w:hAnsi="Times New Roman" w:cs="Times New Roman"/>
          <w:sz w:val="28"/>
          <w:szCs w:val="28"/>
          <w:lang w:eastAsia="ru-RU"/>
        </w:rPr>
        <w:t xml:space="preserve"> </w:t>
      </w:r>
      <w:r w:rsidR="00833DE9" w:rsidRPr="00A43B9C">
        <w:rPr>
          <w:rFonts w:ascii="Times New Roman" w:hAnsi="Times New Roman" w:cs="Times New Roman"/>
          <w:sz w:val="28"/>
          <w:szCs w:val="28"/>
          <w:lang w:val="en-US"/>
        </w:rPr>
        <w:t>et</w:t>
      </w:r>
      <w:r w:rsidR="00833DE9" w:rsidRPr="00A43B9C">
        <w:rPr>
          <w:rFonts w:ascii="Times New Roman" w:hAnsi="Times New Roman" w:cs="Times New Roman"/>
          <w:sz w:val="28"/>
          <w:szCs w:val="28"/>
        </w:rPr>
        <w:t xml:space="preserve"> </w:t>
      </w:r>
      <w:r w:rsidR="00833DE9" w:rsidRPr="00A43B9C">
        <w:rPr>
          <w:rFonts w:ascii="Times New Roman" w:hAnsi="Times New Roman" w:cs="Times New Roman"/>
          <w:sz w:val="28"/>
          <w:szCs w:val="28"/>
          <w:lang w:val="en-US"/>
        </w:rPr>
        <w:t>al</w:t>
      </w:r>
      <w:r w:rsidR="00833DE9" w:rsidRPr="00A43B9C">
        <w:rPr>
          <w:rFonts w:ascii="Times New Roman" w:hAnsi="Times New Roman" w:cs="Times New Roman"/>
          <w:sz w:val="28"/>
          <w:szCs w:val="28"/>
        </w:rPr>
        <w:t>.</w:t>
      </w:r>
      <w:r w:rsidR="00833DE9"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 xml:space="preserve">также в своих исследованиях указывал на высокую чувствительность ПЭТ в выявлении первичной опухоли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{"citationID":"MpKne8al","properties":{"formattedCitation":"[98\\uc0\\u8211{}105]","plainCitation":"[98–105]","noteIndex":0},"citationItems":[{"id":395,"uris":["http://zotero.org/users/8787459/items/H94AIENT"],"itemData":{"id":395,"type":"article-journal","abstract":"AIM: To assess the clinical significance of incidental focal colorectal ¹⁸F-fluorodeoxyglucose (¹⁸F-FDG) uptake on ¹⁸F-FDG-positron emission tomography/computed tomography (PET/CT).\nMETHODS: The records of all the cases which had undergone colonoscopy after PET/CT within a two weeks interval were reviewed. Adenomas were considered advanced when they were villous, ≥ 10 mm in size, or had high-grade dysplasia. Colorectal cancers and advanced adenomas are collectively referred to as advanced colorectal neoplasms. Receiver-operating characteristic curve analysis was used to determine the significant predictive maximum standardized uptake value (SUVmax) cutoff value for advanced colorectal neoplasms and cancer.\nRESULTS: Ninety-five colorectal lesions matched the site of incidental focal colorectal ¹⁸F-FDG uptake on PET/CT and 146 did not. Colonoscopy showed advanced colorectal neoplasms corresponding to the site of ¹⁸F-FDG uptake in 49 of the 95 (51.5%) lesions with incidental uptake. Of the lesions without incidental uptake, only 6 of 146 (4.1%) had advanced colorectal neoplasms on colonoscopy, indicating a statistically significant difference between the two groups (P &lt; 0.001). The sensitivity, specificity, positive predictive value (PPV), negative predictive value (NPV), and accuracy of incidental focal ¹⁸F-FDG uptake in identifying advanced colorectal neoplasms were 89.1%, 75.3%, 51.6%, 95.9%, and 78.4%, respectively. In detecting only CRC, these values were 89.2%, 69.6%, 34.7%, 97.3%, and 72.6%, respectively. The significant SUVmax cutoff value for advanced colorectal neoplasms (area under the curve 0.755, P &lt; 0.001) was 4.35, with a sensitivity, specificity, PPV, NPV, and accuracy of 75.5%, 65.2%, 69.8%, 71.4% and 70.5%, respectively. For CRC, 5.05 was the significant SUVmax cutoff value (area under the curve 0.817, P &lt; 0.001), with a sensitivity, specificity, PPV, NPV, and accuracy of 84.8%, 71.0%, 80.9%, 89.8%, and 75.8%, respectively.\nCONCLUSION: The presence of incidental focal colorectal ¹⁸F-FDG uptake on PET/CT with a SUVmax ≥ 4.35 increases the likelihood of an advanced colorectal neoplasm.","container-title":"World Journal of Gastroenterology","DOI":"10.3748/wjg.v19.i22.3453","ISSN":"2219-2840","issue":"22","journalAbbreviation":"World J Gastroenterol","language":"eng","note":"PMID: 23801838\nPMCID: PMC3683684","page":"3453-3458","source":"PubMed","title":"Incidental focal colorectal ¹⁸F-fluorodeoxyglucose uptake on positron emission tomography/computed tomography","volume":"19","author":[{"family":"Cho","given":"Soung Hoon"},{"family":"Kim","given":"Sang Woo"},{"family":"Kim","given":"Won Chul"},{"family":"Park","given":"Jae Myung"},{"family":"Yoo","given":"Ie Ryung"},{"family":"Kim","given":"Sung Hoon"},{"family":"Oh","given":"Seong Taek"}],"issued":{"date-parts":[["2013",6,14]]}},"label":"page"},{"id":383,"uris":["http://zotero.org/users/8787459/items/HB72SW4H"],"itemData":{"id":383,"type":"article-journal","abstract":"PURPOSE: Unexpected focal colonic or rectal radiotracer activity is an usual finding in patients subjected to a PET study. The aim of this work has been to evaluate the clinical significance of this finding in the prediction of an existing colorectal malignancy.\nMATERIAL AND METHODS: During the last three years, all patients studied with (18)F-FDG PET/CT and PET for oncologic work-up purposes were prospectively surveyed for focal colorectal radiotracer activity. Colonoscopy was performed in all patients with this incidental finding in order to exclude colonic malignancy. CEA level, maximum standardized uptake value (SUVmax), CT findings, colonoscopy findings and histopathological results were prospectively analyzed in all patients.\nRESULTS: A total of 2290 patients were evaluated, 158 of whom were studied with PET and the remainder with a hybrid PET/CT. Focal FDG colorectal activity was incidentally detected in 27 patients with no previous history of colorectal cancer. Colorectal adenocarcinoma was diagnosed in seven (25.9%) patients. A pre-cancerous lesion was found in eleven patients (40.7%). Eight patients (29.6%) had no macroscopic lesions. One patient was diagnosed with a benign lesion. Any focal activity found in the colon by (18)F-FDG PET/CT examination predicts a probability greater than 50% of an underlying malignant or premalignant lesion in the histopathological analysis (logistic regression, p=0.01), independently of the calculated SUVmax.\nCONCLUSION: According to the results of the present study, we recommend the performance of a colonoscopy and biopsy of any suspicious lesions, in all patients with unexpected focal FDG activity found in colon or rectum during a (18)F-FDG PET/CT examination.","container-title":"Revista Espanola De Medicina Nuclear E Imagen Molecular","DOI":"10.1016/j.remn.2014.07.008","ISSN":"2253-8070","issue":"2","journalAbbreviation":"Rev Esp Med Nucl Imagen Mol","language":"eng","note":"PMID: 25263718","page":"95-101","source":"PubMed","title":"Incidental focal uptake in colorectal location on oncologic ¹⁸FDG PET and PET/CT studies: histopathological findings and clinical significances","title-short":"Incidental focal uptake in colorectal location on oncologic ¹⁸FDG PET and PET/CT studies","volume":"34","author":[{"family":"Fuertes","given":"Jordi"},{"family":"Montagut","given":"Clara"},{"family":"Bullich","given":"Santi"},{"family":"Coma","given":"Mar Iglesias"},{"family":"Mestre-Fusco","given":"Antoni"},{"family":"Suárez-Piñera","given":"Marina"},{"family":"Trampal","given":"Carlos"},{"family":"Bellmunt","given":"Joaquim"}],"issued":{"date-parts":[["2015",4]]}},"label":"page"},{"id":393,"uris":["http://zotero.org/users/8787459/items/HFQIEQGJ"],"itemData":{"id":393,"type":"article-journal","abstract":"PURPOSE: In patients undergoing (18)F-FDG PET/CT, incidental colonic focal lesions can be indicative of inflammatory, premalignant or malignant lesions. The maximum standardized uptake value (SUVmax) of these lesions, representing the FDG uptake intensity, might be helpful in differentiating malignant from benign lesions, and thereby be helpful in determining the urgency of colonoscopy. The aim of our study was to assess the incidence and underlying pathology of incidental PET-positive colonic lesions in a large cohort of patients, and to determine the usefulness of the SUVmax in differentiating benign from malignant pathology.\nMETHODS: The electronic records of all patients who underwent FDG PET/CT from January 2010 to March 2013 in our hospital were retrospectively reviewed. The main indications for PET/CT were: characterization of an indeterminate mass on radiological imaging, suspicion or staging of malignancy, and suspicion of inflammation. In patients with incidental focal FDG uptake in the large bowel, data regarding subsequent colonoscopy were retrieved, if performed within 120 days. The final diagnosis was defined using colonoscopy findings, combined with additional histopathological assessment of the lesion, if applicable.\nRESULTS: Of 7,318 patients analysed, 359 (5 %) had 404 foci of unexpected colonic FDG uptake. In 242 of these 404 lesions (60 %), colonoscopy follow-up data were available. Final diagnoses were: adenocarcinoma in 25 (10 %), adenoma in 90 (37 %), and benign in 127 (53 %). The median [IQR] SUVmax was significantly higher in adenocarcinoma (16.6 [12 - 20.8]) than in benign lesions (8.2 [5.9 - 10.1]; p &lt; 0.0001), non-advanced adenoma (8.3 [6.1 - 10.5]; p &lt; 0.0001) and advanced adenoma (9.7 [7.2 - 12.6]; p &lt; 0.001). The receiver operating characteristic curve of SUVmax for malignant versus nonmalignant lesions had an area under the curve of 0.868 (SD ± 0.038), the optimal cut-off value being 11.4 (sensitivity 80 %, specificity 82 %, positive predictive value 34 %, negative predictive value 98 %).\nCONCLUSION: In these patients with incidental colonic focal activity undergoing PET/CT (the largest series published to date), malignancies had significantly higher SUVmax values than all other types of lesions. However, SUVmax could not distinguish between benign lesions and adenomas. In conclusion, all incidental findings in the colon should be further evaluated and lesions with SUVmax ≥11.4 should be evaluated without delay.","container-title":"European Journal of Nuclear Medicine and Molecular Imaging","DOI":"10.1007/s00259-014-2887-3","ISSN":"1619-7089","issue":"1","journalAbbreviation":"Eur J Nucl Med Mol Imaging","language":"eng","note":"PMID: 25139518","page":"66-71","source":"PubMed","title":"Incidental colonic focal FDG uptake on PET/CT: can the maximum standardized uptake value (SUVmax) guide us in the timing of colonoscopy?","title-short":"Incidental colonic focal FDG uptake on PET/CT","volume":"42","author":[{"family":"Hoeij","given":"F. B.","non-dropping-particle":"van"},{"family":"Keijsers","given":"R. G. M."},{"family":"Loffeld","given":"B. C. a. J."},{"family":"Dun","given":"G."},{"family":"Stadhouders","given":"P. H. G. M."},{"family":"Weusten","given":"B. L. a. M."}],"issued":{"date-parts":[["2015",1]]}},"label":"page"},{"id":385,"uris":["http://zotero.org/users/8787459/items/TD8B69YG"],"itemData":{"id":385,"type":"article-journal","abstract":"OBJECTIVE: The purpose of this study was to investigate the nature of FDG-avid and non-FDG-avid lesions detected at colonoscopy in patients presenting with incidental focal colonic FDG uptake at PET/CT.\nMATERIALS AND METHODS: Among 9073 patients who underwent PET/CT over a 4-year period, 82 patients without a history of colonic disease had focal colonic FDG uptake and underwent colonoscopy. In consensus, a radiologist and a nuclear physician read images from these PET/CT examinations. They recorded the location of focal FDG uptake in the colon and associated CT abnormalities and measured maximum standardized uptake value (SUVmax) and metabolic volume (MV). Readings were performed twice--first without and second with knowledge of lesion location at colonoscopy. The final diagnosis was based on colonoscopic findings and histopathologic results categorized into benign, premalignant, or malignant.\nRESULTS: One hundred seven foci of colonic FDG uptake at PET/CT and 150 lesions at colonoscopy were detected. Among 107 foci of FDG uptake, 65 (61%) corresponded to a lesion at colonoscopy (true-positive findings), and 42 (39%) did not (false-positive findings). Among 150 lesions found at colonoscopy, 85 (57%) were not FDG avid (false-negative findings). The MV of true-positive findings was lower than that of false-positive findings (4.0 ± 0.4 cm(3) vs 6.2 ± 0.7 cm(3); p = 0.006), but SUVmax did not differ (7.4 ± 0.5 vs 7.7 ± 0.5; p = 0.649). Considering the histopathologic categories of the lesions and the false-positive findings, there was no difference in SUVmax (p = 0.103), but MV was lower in premalignant lesions than in false-positive findings (p = 0.005).\nCONCLUSION: Focal colonic FDG uptake may indicate the presence of a benign, pre-malignant, or malignant lesion. Subsequent colonoscopy should not be restricted to the colonic site of FDG uptake.","container-title":"AJR. American journal of roentgenology","DOI":"10.2214/AJR.14.12817","ISSN":"1546-3141","issue":"5","journalAbbreviation":"AJR Am J Roentgenol","language":"eng","note":"PMID: 25905966","page":"W586-591","source":"PubMed","title":"Colonoscopic Findings in Patients With Incidental Colonic Focal FDG Uptake","volume":"204","author":[{"family":"Keyzer","given":"Caroline"},{"family":"Dhaene","given":"Benjamin"},{"family":"Blocklet","given":"Didier"},{"family":"De Maertelaer","given":"Viviane"},{"family":"Goldman","given":"Serge"},{"family":"Gevenois","given":"Pierre Alain"}],"issued":{"date-parts":[["2015",5]]}},"label":"page"},{"id":391,"uris":["http://zotero.org/users/8787459/items/XURWJ5T6"],"itemData":{"id":391,"type":"article-journal","abstract":"BACKGROUND: Incidental colorectal fluorodeoxyglucose (FDG) uptake can be observed during a positron emission tomography/computed tomography (PET/CT) scan. For clinical and/or histological assessment of the cause, a colonoscopy is then performed. A systematic review was conducted to investigate the relationship between incidental colorectal FDG uptake and lesions observed during a subsequent colonoscopy.\nMETHODS: A literature search was conducted using PubMed, Embase, and Web of Science with the keywords concerning PET/CT scan and colonoscopy. The studies were selected using inclusion criteria defined a priori and were described individually to examine the correlation between incidental colorectal FDG uptake and the lesions found at colonoscopy.\nRESULTS: Twenty-six of 1606 studies found were included. In total, 108,578 patients underwent an FDG-PET/CT scan as part of a diagnostic work-up or cancer staging. In total, 2546 incidental colorectal FDG uptakes were described in 2121 patients (mean age 62.7 years SD ± 5.1), of which 2045 uptakes in 1635 patients were examined by colonoscopy, within a mean of 37 days (SD ± 28). The colonoscopic lesions included neoplasms (n = 1097; 322 cancers), benign lesions (n = 273), and inflammatory lesions (n = 71). Colonoscopies were normal in 604 patients. In total, 82% of lesions were located in the same location as the FDG uptakes. The positive predictive value was 70% (95% CI [68-72]).\nCONCLUSIONS: Incidental colorectal FDG uptake, as evaluated by subsequent colonoscopy, often reveals neoplastic lesions. Predominantly, lesions were located at the same location as FDG uptake. Further investigation is warranted before recommending that incidental colorectal FDG uptake should always result in referral to diagnostic colonoscopy.","container-title":"Techniques in Coloproctology","DOI":"10.1007/s10151-017-1652-6","ISSN":"1128-045X","issue":"7","journalAbbreviation":"Tech Coloproctol","language":"eng","note":"PMID: 28620878","page":"521-529","source":"PubMed","title":"Incidental colorectal FDG uptake on PET/CT scan and lesions observed during subsequent colonoscopy: a systematic review","title-short":"Incidental colorectal FDG uptake on PET/CT scan and lesions observed during subsequent colonoscopy","volume":"21","author":[{"family":"Kousgaard","given":"S. J."},{"family":"Thorlacius-Ussing","given":"O."}],"issued":{"date-parts":[["2017",7]]}},"label":"page"},{"id":387,"uris":["http://zotero.org/users/8787459/items/BWJDEFV8"],"itemData":{"id":387,"type":"article-journal","abstract":"PURPOSE: We evaluated all PET/CTs acquired for patients without a primary diagnosis of colorectal cancer, and compared results for those who had subsequent colonoscopy within 6 months, to assess the accuracy of FDG PET/CT for detection of incidental pre-malignant polyps and malignant colon cancers.\nMATERIALS AND METHODS: Medical records of 9,545 patients who underwent F-18 FDG PET/CT studies over 3.5 years were retrospectively reviewed. Due to pre-existing diagnosis of colorectal cancer, 818 patients were excluded. Of the remainder, 157 patients had colonoscopy within 6 months (79 males; mean age 61). We divided the colon into 4 regions and compared PET/CT results for each region with colonoscopy and histopathologic findings. True positive lesions included colorectal cancer, villous adenoma, tubulovillous adenoma, tubular adenoma and serrated hyperplastic polyp/hyperplastic polyposis.\nRESULTS: Of 157 patients, 44 had incidental colonic uptake on PET/CT (28%). Of those, 25 had true positive (TP) uptake, yielding a 48% positive predictive value (PPV); 9% (4/44) were adenocarcinoma. There were 23 false positive (FP) lesions of which 4 were hyperplastic polyps, one was a juvenile polyp and 7 were explained by diverticulitis. Fifty eight patients had false negative PET scans but colonoscopy revealed true pre-malignant and malignant pathology, yielding 23% sensitivity. The specificity, negative predictive value (NPV) and accuracy were 96%, 90% and 87%, respectively. The average SUVmax values of TP, FP and FN lesions were 7.25, 6.11 and 2.76, respectively. There were no significant difference between SUVmax of TP lesions and FP lesions (p&gt;0.95) but significantly higher than in FN lesions (p&lt;0.001). The average size (by histopathology and colonoscopy) of TP lesions was 18.1 mm, statistically different from that of FN lesions which was 5.9 mm (p&lt;0.001). Fifty-one percent of FN lesions were smaller than 5 mm (29/57) and 88% smaller than 10 mm (50/57).\nCONCLUSIONS: The high positive predictive value of incidental focal colonic FDG uptake of 48% for colonic neoplasia suggests that colonoscopy follow-up is warranted with this finding. We observed a low sensitivity of standardly acquired FDG-PET/CT for detecting small polyps, especially those less than 5 mm. Clinicians and radiologists should be aware of the high PPV of focal colonic uptake reflecting pre-malignant and malignant lesions, and the need for appropriate follow up.","container-title":"Asian Pacific journal of cancer prevention: APJCP","ISSN":"2476-762X","issue":"8","journalAbbreviation":"Asian Pac J Cancer Prev","language":"eng","note":"PMID: 27644675","page":"4143-4147","source":"PubMed","title":"Accuracy of FDG-PET/CT for Detection of Incidental Pre-Malignant and Malignant Colonic Lesions - Correlation with Colonoscopic and Histopathologic Findings","volume":"17","author":[{"family":"Kunawudhi","given":"Anchisa"},{"family":"Wong","given":"Alexandra K."},{"family":"Alkasab","given":"Tarik K."},{"family":"Mahmood","given":"Umar"}],"issued":{"date-parts":[["2016"]]}},"label":"page"},{"id":381,"uris":["http://zotero.org/users/8787459/items/RRQ8ZZG4"],"itemData":{"id":381,"type":"article-journal","abstract":"PURPOSE: To evaluate the pattern and degree of incidental colonic fluorodeoxyglucose (FDG) uptake in patients without colorectal carcinoma who underwent whole-body FDG positron emission tomography (PET) for other purposes and compare them with colonoscopic and/or histopathologic findings.\nMATERIALS AND METHODS: Cases of 27 patients without known history of colorectal carcinoma who were referred for evaluation with whole-body FDG PET and displayed incidental colonic uptake were reviewed retrospectively. Colonoscopy was performed in 10 patients; histopathologic analysis, in two; and both, in 15. The colonic FDG uptake patterns were nodular-focal, nodular-multifocal, segmental, and diffuse. The FDG uptake level was scored with a four-point scale in relation to hepatic uptake. Binomial distribution was used to calculate 95% CIs for the probability of finding an abnormality at histologic examination, as predicted by findings at FDG PET.\nRESULTS: Colonoscopic findings in eight patients with a diffuse uptake pattern were normal. Thirteen patients with nodular high FDG uptake had pathologic findings. Six (22%) of the 27 patients were not suspected of having a malignancy, and seven had benign neoplasms. With a 95% CI, nodular high FDG uptake implies at least a 79% chance that histopathologic findings may be abnormal. Colitis was seen in five of six patients with a segmental pattern of high FDG uptake.\nCONCLUSION: Colonoscopy is a reasonable next step for further diagnostic examination of patients who display nodular high FDG uptake in the colon. Diffuse FDG uptake often is associated with normal findings at colonoscopy, while segmental high uptake may imply inflammation.","container-title":"Radiology","DOI":"10.1148/radiol.2243011214","ISSN":"0033-8419","issue":"3","journalAbbreviation":"Radiology","language":"eng","note":"PMID: 12202714","page":"783-787","source":"PubMed","title":"Incidental colonic fluorodeoxyglucose uptake: correlation with colonoscopic and histopathologic findings","title-short":"Incidental colonic fluorodeoxyglucose uptake","volume":"224","author":[{"family":"Tatlidil","given":"Rozet"},{"family":"Jadvar","given":"Hossein"},{"family":"Bading","given":"James R."},{"family":"Conti","given":"Peter S."}],"issued":{"date-parts":[["2002",9]]}},"label":"page"},{"id":389,"uris":["http://zotero.org/users/8787459/items/XL83QMV4"],"itemData":{"id":389,"type":"article-journal","abstract":"AIM: The aims of the present study were: (i) to evaluate the focal incidental colorectal uptake of (18)F-fluorodeoxyglucose ([(18)F]FDG) and to correlate it with colonoscopy and histological findings; (ii) to evaluate the relationship between the presence/absence of neoplastic disease and clinical data and the anatomical site of [(18)F]FDG uptake; and (iii) to compare our results with those reported for incidental colorectal uptake of [(18)F]FDG in the literature and those obtained from various screening programmes for colorectal cancer.\nMETHOD: The database of 6000 patients referred for [(18)F]FDG positron emission tomography/computed tomography (PET-CT) to our centre was retrospectively reviewed for incidental colorectal uptake of [(18)F]FDG. Patients with focal uptake were selected and the aetiology of PET findings was verified with a subsequent colonoscopy and histopathological analysis when available.\nRESULTS: Incidental colorectal uptake of [(18)F]FDG was seen in 144 (2.4%) patients, of whom 64 (1.1%) had focal uptake; 48 out of these 64 patients underwent colonoscopy, which showed malignant tumours in 12 (25%), premalignant lesions in 19 (40%), non-neoplastic lesions in six (12%) and lesions not confirmed by colonoscopy in 11 (23%). Our data agreed with previously published data. Statistical analysis did not show any significant relationship between the presence/absence of neoplastic disease and patient sex or age, type of primary disease and anatomical site of [(18)F]FDG uptake. Comparing our data with various screening programmes, a significant difference was found only with series in which colonoscopy was performed in patients at high risk for colorectal cancer.\nCONCLUSION: Focal incidental colorectal uptake of [(18)F]FDG is observed in about 1% of PET/CT studies and carries a high risk of neoplastic disease. A PET-CT report should suggest colonoscopy when abnormal findings are reported.","container-title":"Colorectal Disease: The Official Journal of the Association of Coloproctology of Great Britain and Ireland","DOI":"10.1111/j.1463-1318.2011.02588.x","ISSN":"1463-1318","issue":"2","journalAbbreviation":"Colorectal Dis","language":"eng","note":"PMID: 21689289","page":"174-180","source":"PubMed","title":"Clinical significance of incidental focal colorectal (18)F-fluorodeoxyglucose uptake: our experience and a review of the literature","title-short":"Clinical significance of incidental focal colorectal (18)F-fluorodeoxyglucose uptake","volume":"14","author":[{"family":"Treglia","given":"G."},{"family":"Calcagni","given":"M. L."},{"family":"Rufini","given":"V."},{"family":"Leccisotti","given":"L."},{"family":"Meduri","given":"G. M."},{"family":"Spitilli","given":"M. G."},{"family":"Dambra","given":"D. P."},{"family":"De Gaetano","given":"A. M."},{"family":"Giordano","given":"A."}],"issued":{"date-parts":[["2012",2]]}},"label":"page"}],"schema":"https://github.com/citation-style-language/schema/raw/master/csl-citation.json"}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szCs w:val="24"/>
        </w:rPr>
        <w:t>[98</w:t>
      </w:r>
      <w:r w:rsidR="00FF4BDB" w:rsidRPr="00D3420D">
        <w:rPr>
          <w:rFonts w:ascii="Times New Roman" w:hAnsi="Times New Roman" w:cs="Times New Roman"/>
          <w:sz w:val="28"/>
          <w:szCs w:val="24"/>
        </w:rPr>
        <w:t>-</w:t>
      </w:r>
      <w:r w:rsidR="00F6152F" w:rsidRPr="00F6152F">
        <w:rPr>
          <w:rFonts w:ascii="Times New Roman" w:hAnsi="Times New Roman" w:cs="Times New Roman"/>
          <w:sz w:val="28"/>
          <w:szCs w:val="24"/>
        </w:rPr>
        <w:t>105]</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p>
    <w:p w14:paraId="1CB4EE88" w14:textId="71C55A72"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 xml:space="preserve">В определении метастазов в печень ПЭТ с FDG играет важную роль. </w:t>
      </w:r>
      <w:r w:rsidRPr="00A43B9C">
        <w:rPr>
          <w:rFonts w:ascii="Times New Roman" w:eastAsia="Times New Roman" w:hAnsi="Times New Roman" w:cs="Times New Roman"/>
          <w:sz w:val="28"/>
          <w:szCs w:val="28"/>
          <w:lang w:val="en-US" w:eastAsia="ru-RU"/>
        </w:rPr>
        <w:t>Abdel</w:t>
      </w:r>
      <w:r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val="en-US" w:eastAsia="ru-RU"/>
        </w:rPr>
        <w:t>Nabi</w:t>
      </w:r>
      <w:r w:rsidRPr="00A43B9C">
        <w:rPr>
          <w:rFonts w:ascii="Times New Roman" w:eastAsia="Times New Roman" w:hAnsi="Times New Roman" w:cs="Times New Roman"/>
          <w:sz w:val="28"/>
          <w:szCs w:val="28"/>
          <w:lang w:eastAsia="ru-RU"/>
        </w:rPr>
        <w:t xml:space="preserve"> </w:t>
      </w:r>
      <w:r w:rsidR="00833DE9" w:rsidRPr="00A43B9C">
        <w:rPr>
          <w:rFonts w:ascii="Times New Roman" w:hAnsi="Times New Roman" w:cs="Times New Roman"/>
          <w:sz w:val="28"/>
          <w:szCs w:val="28"/>
          <w:lang w:val="en-US"/>
        </w:rPr>
        <w:t>et</w:t>
      </w:r>
      <w:r w:rsidR="00833DE9" w:rsidRPr="00A43B9C">
        <w:rPr>
          <w:rFonts w:ascii="Times New Roman" w:hAnsi="Times New Roman" w:cs="Times New Roman"/>
          <w:sz w:val="28"/>
          <w:szCs w:val="28"/>
        </w:rPr>
        <w:t xml:space="preserve"> </w:t>
      </w:r>
      <w:r w:rsidR="00833DE9" w:rsidRPr="00A43B9C">
        <w:rPr>
          <w:rFonts w:ascii="Times New Roman" w:hAnsi="Times New Roman" w:cs="Times New Roman"/>
          <w:sz w:val="28"/>
          <w:szCs w:val="28"/>
          <w:lang w:val="en-US"/>
        </w:rPr>
        <w:t>al</w:t>
      </w:r>
      <w:r w:rsidR="00833DE9" w:rsidRPr="00A43B9C">
        <w:rPr>
          <w:rFonts w:ascii="Times New Roman" w:hAnsi="Times New Roman" w:cs="Times New Roman"/>
          <w:sz w:val="28"/>
          <w:szCs w:val="28"/>
        </w:rPr>
        <w:t>.</w:t>
      </w:r>
      <w:r w:rsidR="00833DE9"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описал</w:t>
      </w:r>
      <w:r w:rsidR="00833DE9" w:rsidRPr="00A43B9C">
        <w:rPr>
          <w:rFonts w:ascii="Times New Roman" w:eastAsia="Times New Roman" w:hAnsi="Times New Roman" w:cs="Times New Roman"/>
          <w:sz w:val="28"/>
          <w:szCs w:val="28"/>
          <w:lang w:eastAsia="ru-RU"/>
        </w:rPr>
        <w:t>и</w:t>
      </w:r>
      <w:r w:rsidRPr="00A43B9C">
        <w:rPr>
          <w:rFonts w:ascii="Times New Roman" w:eastAsia="Times New Roman" w:hAnsi="Times New Roman" w:cs="Times New Roman"/>
          <w:sz w:val="28"/>
          <w:szCs w:val="28"/>
          <w:lang w:eastAsia="ru-RU"/>
        </w:rPr>
        <w:t>, что ПЭТ с FDG выявляет метастазы в печень у 7 из 8 больных и более точна, чем КТ. Чувствительность и специфичность ПЭТ с FDG в выявлении метастазов в печень составляет 88 и 100% соответственно по сравнению с 38% при КТ.</w:t>
      </w:r>
      <w:r w:rsidR="0069259F" w:rsidRPr="00A43B9C">
        <w:rPr>
          <w:rFonts w:ascii="Times New Roman" w:eastAsia="Times New Roman" w:hAnsi="Times New Roman" w:cs="Times New Roman"/>
          <w:sz w:val="28"/>
          <w:szCs w:val="28"/>
          <w:lang w:eastAsia="ru-RU"/>
        </w:rPr>
        <w:t xml:space="preserve"> Таким образом, </w:t>
      </w:r>
      <w:r w:rsidRPr="00A43B9C">
        <w:rPr>
          <w:rFonts w:ascii="Times New Roman" w:eastAsia="Times New Roman" w:hAnsi="Times New Roman" w:cs="Times New Roman"/>
          <w:sz w:val="28"/>
          <w:szCs w:val="28"/>
          <w:lang w:eastAsia="ru-RU"/>
        </w:rPr>
        <w:t>ПЭТ с FDG имеет высокую чувствительность в диагностике первичного рака, равно как и аденоматозных полипов более 13 мм в размерах и точна в выявлении метастазов в печень.</w:t>
      </w:r>
    </w:p>
    <w:p w14:paraId="642F95AB" w14:textId="187BC8D4"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 xml:space="preserve">После хирургического лечения КТ, по мнению Рязанова В.В. и </w:t>
      </w:r>
      <w:r w:rsidR="00184001" w:rsidRPr="00A43B9C">
        <w:rPr>
          <w:rFonts w:ascii="Times New Roman" w:eastAsia="Times New Roman" w:hAnsi="Times New Roman" w:cs="Times New Roman"/>
          <w:sz w:val="28"/>
          <w:szCs w:val="28"/>
          <w:lang w:eastAsia="ru-RU"/>
        </w:rPr>
        <w:t>др.</w:t>
      </w:r>
      <w:r w:rsidRPr="00A43B9C">
        <w:rPr>
          <w:rFonts w:ascii="Times New Roman" w:eastAsia="Times New Roman" w:hAnsi="Times New Roman" w:cs="Times New Roman"/>
          <w:sz w:val="28"/>
          <w:szCs w:val="28"/>
          <w:lang w:eastAsia="ru-RU"/>
        </w:rPr>
        <w:t xml:space="preserve">, является первичным методом исследования в наблюдении за больными </w:t>
      </w:r>
      <w:r w:rsidR="00C95D50">
        <w:rPr>
          <w:rFonts w:ascii="Times New Roman" w:eastAsia="Times New Roman" w:hAnsi="Times New Roman" w:cs="Times New Roman"/>
          <w:sz w:val="28"/>
          <w:szCs w:val="28"/>
          <w:lang w:eastAsia="ru-RU"/>
        </w:rPr>
        <w:t>колоректальным раком</w:t>
      </w:r>
      <w:r w:rsidRPr="00A43B9C">
        <w:rPr>
          <w:rFonts w:ascii="Times New Roman" w:eastAsia="Times New Roman" w:hAnsi="Times New Roman" w:cs="Times New Roman"/>
          <w:sz w:val="28"/>
          <w:szCs w:val="28"/>
          <w:lang w:eastAsia="ru-RU"/>
        </w:rPr>
        <w:t xml:space="preserve">. Было доказано, что чувствительность и специфичность КТ составляет </w:t>
      </w:r>
      <w:r w:rsidR="0069259F" w:rsidRPr="00A43B9C">
        <w:rPr>
          <w:rFonts w:ascii="Times New Roman" w:eastAsia="Times New Roman" w:hAnsi="Times New Roman" w:cs="Times New Roman"/>
          <w:sz w:val="28"/>
          <w:szCs w:val="28"/>
          <w:lang w:eastAsia="ru-RU"/>
        </w:rPr>
        <w:t xml:space="preserve">в таком случае </w:t>
      </w:r>
      <w:r w:rsidRPr="00A43B9C">
        <w:rPr>
          <w:rFonts w:ascii="Times New Roman" w:eastAsia="Times New Roman" w:hAnsi="Times New Roman" w:cs="Times New Roman"/>
          <w:sz w:val="28"/>
          <w:szCs w:val="28"/>
          <w:lang w:eastAsia="ru-RU"/>
        </w:rPr>
        <w:t xml:space="preserve">65-70%. Проведены </w:t>
      </w:r>
      <w:r w:rsidR="0069259F" w:rsidRPr="00A43B9C">
        <w:rPr>
          <w:rFonts w:ascii="Times New Roman" w:eastAsia="Times New Roman" w:hAnsi="Times New Roman" w:cs="Times New Roman"/>
          <w:sz w:val="28"/>
          <w:szCs w:val="28"/>
          <w:lang w:eastAsia="ru-RU"/>
        </w:rPr>
        <w:t xml:space="preserve">и опубликованы также другие </w:t>
      </w:r>
      <w:r w:rsidRPr="00A43B9C">
        <w:rPr>
          <w:rFonts w:ascii="Times New Roman" w:eastAsia="Times New Roman" w:hAnsi="Times New Roman" w:cs="Times New Roman"/>
          <w:sz w:val="28"/>
          <w:szCs w:val="28"/>
          <w:lang w:eastAsia="ru-RU"/>
        </w:rPr>
        <w:t>исследования, показывающие, что ПЭТ с FDG дает четкую информацию о рецидиве и его резектабельности</w:t>
      </w:r>
      <w:r w:rsidR="0091037C" w:rsidRPr="00A43B9C">
        <w:rPr>
          <w:rFonts w:ascii="Times New Roman" w:eastAsia="Times New Roman" w:hAnsi="Times New Roman" w:cs="Times New Roman"/>
          <w:sz w:val="28"/>
          <w:szCs w:val="28"/>
          <w:lang w:eastAsia="ru-RU"/>
        </w:rPr>
        <w:t xml:space="preserve"> </w:t>
      </w:r>
      <w:r w:rsidR="0091037C" w:rsidRPr="00A43B9C">
        <w:rPr>
          <w:rFonts w:ascii="Times New Roman" w:eastAsia="Times New Roman" w:hAnsi="Times New Roman" w:cs="Times New Roman"/>
          <w:sz w:val="28"/>
          <w:szCs w:val="28"/>
          <w:lang w:val="en-US"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{"citationID":"a1vog3jjg3m","properties":{"formattedCitation":"[106, 107]","plainCitation":"[106, 107]","noteIndex":0},"citationItems":[{"id":400,"uris":["http://zotero.org/users/8787459/items/JGV3ECSS"],"itemData":{"id":400,"type":"article-journal","abstract":"AIM: To assess the clinical impact of 2-[(18)F]-fluoro-2-deoxy-d-glucose (FDG) positron-emission tomography-computed tomography (PET-CT) in patients with potentially resectable metastatic colorectal cancer.\nMATERIALS AND METHODS: One hundred and two patients with potentially resectable metastatic colorectal cancer underwent FDG PET-CT in addition to conventional imaging over an 18-month period. The findings were compared to conventional imaging, with histological or clinico-radiological validation. The impact on subsequent management was evaluated using information from clinico-radiological databases.\nRESULTS: Of 102 patients (mean age 67 years, range 27-85 years), 94 had liver, five had isolated lung, and three had limited peritoneal metastases. In 31 patients (30%) PET-CT had a major impact on subsequent management, by correctly clarifying indeterminate lesions on conventional imaging as inoperable metastatic disease in 16 patients, detecting previously unsuspected metastatic disease in nine patients, identifying occult second primary tumours in three patients, and correctly down-staging three patients. PET-CT had a minor impact in 12 patients (12%), no impact in 49 cases (48%), and a potentially negative impact in 10 cases (10%). Following PET-CT, 36 (35%) patients were no longer considered for surgery. Of those remaining operative 45 of 66 (68%) underwent potentially curative metastatic surgery. In this cohort PET-CT saved 16 futile laparotomies.\nCONCLUSION: FDG PET-CT has a valuable role in selected patients with metastatic colorectal cancer by improving staging accuracy and characterizing indeterminate lesions and helps triage patients to the appropriate treatment.","container-title":"Clinical Radiology","DOI":"10.1016/j.crad.2011.07.046","ISSN":"1365-229X","issue":"12","journalAbbreviation":"Clin Radiol","language":"eng","note":"PMID: 21867996","page":"1167-1174","source":"PubMed","title":"Clinical impact of FDG PET-CT in patients with potentially operable metastatic colorectal cancer","volume":"66","author":[{"family":"Briggs","given":"R. H."},{"family":"Chowdhury","given":"F. U."},{"family":"Lodge","given":"J. P. A."},{"family":"Scarsbrook","given":"A. F."}],"issued":{"date-parts":[["2011",12]]}},"label":"page"},{"id":398,"uris":["http://zotero.org/users/8787459/items/E8FPPFIL"],"itemData":{"id":398,"type":"article-journal","abstract":"This prospective study aimed to confirm, in a clinical setting, the benefits suggested by earlier retrospective studies of (18)F-FDG PET scanning for the evaluation of patients with suspected recurrence of colorectal cancer.\nMETHODS: The referring oncologist was asked to prospectively assign a treatment plan for 102 consecutive patients being evaluated by (18)F-FDG PET for suspected or confirmed recurrence of colorectal cancer and without evidence of unresectable disease on conventional staging investigations, including CT. This treatment plan was then compared with that based on incremental information supplied by PET. Management changes were validated by follow-up.\nRESULTS: For 6 patients, the oncologist would not commit to a management plan without access to PET information, and for all these patients, PET correctly guided management. Of the remaining 96 patients, the management plan for 54 (56%) was altered as a direct result of unexpected PET findings. Thus, PET directly influenced management in 60 (59%) of 102 patients. The discrepant PET results could be validated in 57 patients and were correct for both the presence and the extent of malignant disease in 52 (91%) of these patients but were false-positive in 1 patient because of a pelvic abscess and underestimated the extent of metastatic disease in 4 (7%). Relapse was confirmed in 49 (98%) of 50 evaluable patients with positive PET findings. Significantly, planned surgery was abandoned in 26 (60%) of 43 patients because of incremental PET findings. Of the 42 patients for whom management was not changed by PET findings, false-negative PET findings were documented for 5 (4 with metastases &lt; 1 cm), and the PET findings for 1 were presumed to be false-positive because of sarcoidosis.\nCONCLUSION: This prospective study confirms the high impact, suggested by previous retrospective analyses, of (18)F-FDG PET on management of patients with suspected recurrent colorectal cancer. The major benefit of PET is avoidance of inappropriate local therapies by documentation of widespread disease.","container-title":"Journal of Nuclear Medicine: Official Publication, Society of Nuclear Medicine","ISSN":"0161-5505","issue":"4","journalAbbreviation":"J Nucl Med","language":"eng","note":"PMID: 11937593","page":"492-499","source":"PubMed","title":"The clinical impact of (18)F-FDG PET in patients with suspected or confirmed recurrence of colorectal cancer: a prospective study","title-short":"The clinical impact of (18)F-FDG PET in patients with suspected or confirmed recurrence of colorectal cancer","volume":"43","author":[{"family":"Kalff","given":"Victor"},{"family":"Hicks","given":"Rodney J."},{"family":"Ware","given":"Robert E."},{"family":"Hogg","given":"Annette"},{"family":"Binns","given":"David"},{"family":"McKenzie","given":"Allan F."}],"issued":{"date-parts":[["2002",4]]}},"label":"page"}],"schema":"https://github.com/citation-style-language/schema/raw/master/csl-citation.json"} </w:instrText>
      </w:r>
      <w:r w:rsidR="0091037C" w:rsidRPr="00A43B9C">
        <w:rPr>
          <w:rFonts w:ascii="Times New Roman" w:eastAsia="Times New Roman" w:hAnsi="Times New Roman" w:cs="Times New Roman"/>
          <w:sz w:val="28"/>
          <w:szCs w:val="28"/>
          <w:lang w:val="en-US" w:eastAsia="ru-RU"/>
        </w:rPr>
        <w:fldChar w:fldCharType="separate"/>
      </w:r>
      <w:r w:rsidR="00F6152F" w:rsidRPr="00F6152F">
        <w:rPr>
          <w:rFonts w:ascii="Times New Roman" w:hAnsi="Times New Roman" w:cs="Times New Roman"/>
          <w:sz w:val="28"/>
        </w:rPr>
        <w:t>[106, 107]</w:t>
      </w:r>
      <w:r w:rsidR="0091037C" w:rsidRPr="00A43B9C">
        <w:rPr>
          <w:rFonts w:ascii="Times New Roman" w:eastAsia="Times New Roman" w:hAnsi="Times New Roman" w:cs="Times New Roman"/>
          <w:sz w:val="28"/>
          <w:szCs w:val="28"/>
          <w:lang w:val="en-US" w:eastAsia="ru-RU"/>
        </w:rPr>
        <w:fldChar w:fldCharType="end"/>
      </w:r>
      <w:r w:rsidRPr="00A43B9C">
        <w:rPr>
          <w:rFonts w:ascii="Times New Roman" w:eastAsia="Times New Roman" w:hAnsi="Times New Roman" w:cs="Times New Roman"/>
          <w:sz w:val="28"/>
          <w:szCs w:val="28"/>
          <w:lang w:eastAsia="ru-RU"/>
        </w:rPr>
        <w:t>.</w:t>
      </w:r>
    </w:p>
    <w:p w14:paraId="108DBF27" w14:textId="16DBD0E0"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 xml:space="preserve">Некоторые исследователи оценивали роль ПЭТ с FDG у больных с повышенным РЭА. </w:t>
      </w:r>
      <w:r w:rsidRPr="00A43B9C">
        <w:rPr>
          <w:rFonts w:ascii="Times New Roman" w:eastAsia="Times New Roman" w:hAnsi="Times New Roman" w:cs="Times New Roman"/>
          <w:sz w:val="28"/>
          <w:szCs w:val="28"/>
          <w:lang w:val="en-US" w:eastAsia="ru-RU"/>
        </w:rPr>
        <w:t>Flanagan</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et</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al</w:t>
      </w:r>
      <w:r w:rsidR="00184001"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обследовали 22 больных с аномальным уровнем РЭА (5,0 нг/</w:t>
      </w:r>
      <w:r w:rsidRPr="00A43B9C">
        <w:rPr>
          <w:rFonts w:ascii="Times New Roman" w:eastAsia="Times New Roman" w:hAnsi="Times New Roman" w:cs="Times New Roman"/>
          <w:sz w:val="28"/>
          <w:szCs w:val="28"/>
          <w:lang w:val="kk-KZ" w:eastAsia="ru-RU"/>
        </w:rPr>
        <w:t>мл</w:t>
      </w:r>
      <w:r w:rsidRPr="00A43B9C">
        <w:rPr>
          <w:rFonts w:ascii="Times New Roman" w:eastAsia="Times New Roman" w:hAnsi="Times New Roman" w:cs="Times New Roman"/>
          <w:sz w:val="28"/>
          <w:szCs w:val="28"/>
          <w:lang w:eastAsia="ru-RU"/>
        </w:rPr>
        <w:t xml:space="preserve">) и нормальными результатами стандартных исследований. Аномальное накопление FDG было отмечено у 17 из 22 больных (77%) с ложноположительными результатами у 2 больных и ни одного истинноположительного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{"citationID":"XXAE9FjA","properties":{"formattedCitation":"[108, 109]","plainCitation":"[108, 109]","noteIndex":0},"citationItems":[{"id":405,"uris":["http://zotero.org/users/8787459/items/Y33XPWSM"],"itemData":{"id":405,"type":"article-journal","abstract":"OBJECTIVE: To assess the potential role of positron emission tomography (PET) with 2-[18F]fluoro-2-deoxy-D-glucose (FDG) in patients with unexplained rising carcinoembryonic antigen (CEA) levels after the treatment of colorectal cancer. BACKGROUND: A rising CEA level after the resection of colorectal cancer is an early indicator of tumor recurrence. However, conventional imaging techniques have limited sensitivity for detecting recurrent disease in such patients. Especially after surgical intervention, FDG-PET is rapidly gaining an important role in establishing the extent of disease in the oncology patient. METHODS: Twenty-two patients with abnormal CEA levels and normal results of conventional methods of tumor detection were studied with FDG-PET. The PET results were compared with pathologic findings (n = 9) and long-term radiologic and clinical follow-up (n = 13). RESULTS: FDG-PET was abnormal in 17 of 22 patients. Tissue sampling was available in 7 of these 17 patients; all of these had recurrent disease. Definitive curative surgical intervention was performed in four patients. Subsequent dedicated imaging findings and clinical course confirmed the presence of extensive disease in 8 of the remaining 10 patients; the PET results in the other 2 patients were considered falsely positive. FDG-PET was negative in 5 of 22 patients. No disease was found by tissue sampling (n = 2) and clinical follow-up (n = 3). Overall, the positive-predictive value for PET was 89%, (15 of 17) and the negative-predictive value was 100% (5 of 5). CONCLUSIONS: When conventional examinations are normal, FDG-PET is a valuable imaging tool in patients who have a rising CEA level after colorectal surgery.","container-title":"Annals of Surgery","ISSN":"0003-4932","issue":"3","journalAbbreviation":"Ann Surg","note":"PMID: 9527052\nPMCID: PMC1191267","page":"319-323","source":"PubMed Central","title":"Utility of FDG-PET for investigating unexplained plasma CEA elevation in patients with colorectal cancer.","volume":"227","author":[{"family":"Flanagan","given":"F L"},{"family":"Dehdashti","given":"F"},{"family":"Ogunbiyi","given":"O A"},{"family":"Kodner","given":"I J"},{"family":"Siegel","given":"B A"}],"issued":{"date-parts":[["1998",3]]}},"label":"page"},{"id":407,"uris":["http://zotero.org/users/8787459/items/X2M2SRV2"],"itemData":{"id":407,"type":"article-journal","abstract":"Background\nThe diagnostic value of 18F-fluorodeoxyglucose positron emission tomography/computed tomography (18F-FDG PET/CT) as the first imaging approach in the evaluation of rising carcinoembryonic antigen (CEA) is not clear. The objective of this study was to investigate the value of 18F-FDG PET/CT in patients with colorectal cancer (CRC) and suspected recurrence based on rising CEA.\n\nMethods\nA total of 73 patients with CRC were referred to PET/CT after radical surgery. Generally, all patients were scheduled to follow a CT-based post-surgical follow-up regimen. In the case of rising CEA, 18F-FDG PET/CT was performed in most patients with contrast-enhanced CT. The PET/CT images were independently reviewed by two readers. The presence or absence of recurrence was based on histology and/or standardized clinical follow-up.\n\nResults\nAmong 35 patients who had confirmed recurrence of CRC, PET/CT demonstrated recurrence with a sensitivity of 85.7 %, a specificity of 94.7 %, a positive predictive value of 93.8 %, and a negative predictive value of 87.8 %. The SUVmax ranged from 1.3 to 19.9. The mean time since the last postoperative imaging and PET/CT was 8 months (median 4 months). CEA values at referral ranged from 1.5 to 164.0 μg/L (median 5.6 μg/L). The diagnostic properties of PET/CT were analyzed in subgroups of patients with a single rising CEA sample (30 patients, 41 %), 31 patients (43 %) with two or more consecutive increases, and 12 patients (16 %) with persistently elevated values.\n\nConclusions\n18F-FDG PET/contrast-enhanced CT has high diagnostic accuracy in the diagnosis of recurrent CRC, even in patients in a conventional CT-based follow-up program.","container-title":"Cancer Imaging","DOI":"10.1186/s40644-015-0048-y","ISSN":"1740-5025","issue":"1","journalAbbreviation":"Cancer Imaging","note":"PMID: 26263901\nPMCID: PMC4534082","page":"11","source":"PubMed Central","title":"Diagnostic value of 18F-FDG PET/CT as first choice in the detection of recurrent colorectal cancer due to rising CEA","volume":"15","author":[{"family":"Gade","given":"Michael"},{"family":"Kubik","given":"Magdalena"},{"family":"Fisker","given":"Rune V."},{"family":"Thorlacius-Ussing","given":"Ole"},{"family":"Petersen","given":"Lars J."}],"issued":{"date-parts":[["2015",8,13]]}},"label":"page"}],"schema":"https://github.com/citation-style-language/schema/raw/master/csl-citation.json"}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[108, 109]</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 xml:space="preserve">. </w:t>
      </w:r>
      <w:r w:rsidR="0069259F" w:rsidRPr="00A43B9C">
        <w:rPr>
          <w:rFonts w:ascii="Times New Roman" w:eastAsia="Times New Roman" w:hAnsi="Times New Roman" w:cs="Times New Roman"/>
          <w:sz w:val="28"/>
          <w:szCs w:val="28"/>
          <w:lang w:eastAsia="ru-RU"/>
        </w:rPr>
        <w:t xml:space="preserve">В другом исследовании </w:t>
      </w:r>
      <w:r w:rsidRPr="00A43B9C">
        <w:rPr>
          <w:rFonts w:ascii="Times New Roman" w:eastAsia="Times New Roman" w:hAnsi="Times New Roman" w:cs="Times New Roman"/>
          <w:sz w:val="28"/>
          <w:szCs w:val="28"/>
          <w:lang w:val="en-US" w:eastAsia="ru-RU"/>
        </w:rPr>
        <w:t>Valk</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et</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al</w:t>
      </w:r>
      <w:r w:rsidR="00184001"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сообщили о проспективном исследовании по сравнению с ПЭТ и КТ у 155 больных со стадированием рецидивного </w:t>
      </w:r>
      <w:r w:rsidR="00C95D50">
        <w:rPr>
          <w:rFonts w:ascii="Times New Roman" w:eastAsia="Times New Roman" w:hAnsi="Times New Roman" w:cs="Times New Roman"/>
          <w:sz w:val="28"/>
          <w:szCs w:val="28"/>
          <w:lang w:eastAsia="ru-RU"/>
        </w:rPr>
        <w:t>колоректального рака</w:t>
      </w:r>
      <w:r w:rsidRPr="00A43B9C">
        <w:rPr>
          <w:rFonts w:ascii="Times New Roman" w:eastAsia="Times New Roman" w:hAnsi="Times New Roman" w:cs="Times New Roman"/>
          <w:sz w:val="28"/>
          <w:szCs w:val="28"/>
          <w:lang w:eastAsia="ru-RU"/>
        </w:rPr>
        <w:t xml:space="preserve">. Данные ПЭТ с FDG были истинноположительными у 67% больных из 32 пациентов с повышенным уровнем РЭА. ПЭТ с FDG имела чувствительность и специфичность 90 и 92% в этой группе больных, тогда как в целом эти показатели составили 85% и 79% соответственно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{"citationID":"1x9b651b","properties":{"formattedCitation":"[110\\uc0\\u8211{}117]","plainCitation":"[110–117]","noteIndex":0},"citationItems":[{"id":422,"uris":["http://zotero.org/users/8787459/items/Q4V8XKQ8"],"itemData":{"id":422,"type":"article-journal","abstract":"Recent treatment advances now allow a realistic chance of cure in selected patients with metastatic colorectal carcinoma (CRC). Accurate pre-treatment staging is crucial to ensure appropriate management by identification of patients with more advanced disease who will not benefit from surgery. (18)Fluorine 2-fluoro-2-deoxy-D-glucose positron emission tomography-computed tomography (PET-CT) has a firmly established role in staging, restaging, and recurrence detection of a range of tumors. This article will review the role of PET-CT in patients with CRC with a particular emphasis on optimizing the technique in patients with potentially operable metastatic disease.","container-title":"Abdominal Imaging","DOI":"10.1007/s00261-012-9855-9","ISSN":"1432-0509","issue":"6","journalAbbreviation":"Abdom Imaging","language":"eng","note":"PMID: 22371087","page":"1021-1031","source":"PubMed","title":"Optimizing the role of FDG PET-CT for potentially operable metastatic colorectal cancer","volume":"37","author":[{"family":"Culverwell","given":"A. D."},{"family":"Chowdhury","given":"F. U."},{"family":"Scarsbrook","given":"A. F."}],"issued":{"date-parts":[["2012",12]]}},"label":"page"},{"id":424,"uris":["http://zotero.org/users/8787459/items/F7CGI3WH"],"itemData":{"id":424,"type":"article-journal","abstract":"Fluorodeoxyglucose-positron emission tomography (FDG-PET) imaging is increasingly used for the management of patients with cancer. The technique is now well accepted by most physicians as an effective complement to the existing imaging modalities. For many malignancies, PET achieves high sensitivity and specificity. The critical role of this powerful technique is realized increasingly in the day-to-day practice of oncology. This is particularly true for the management of patients with non-small-cell lung cancer (NSCLC). The contribution of PET for the selection of patients eligible for curative treatments in this setting is well established. Convincing data also exist to support the use of PET for evaluating patients with recurrent colorectal carcinoma, for staging and restaging lymphomas, and for diagnosing recurrent thyroid carcinoma in the presence of elevated thyroglobulin and negative 131I scans. Other indications include staging of various recurrent malignancies, such as breast cancer, melanoma, and head and neck and gynecologic carcinomas. Existing data are limited for the determination of the impact of PET in certain malignancies, and further studies, which should include outcome information, will allow clarification of the role of this modality for such indications. Despite the small number of studies specifically designed to assess changes in management plans for some malignancies after performing PET the overall favorable results are encouraging enough at this time to include this modality as an essential element of the practice of modern oncology. Finally, the evolving role of PET imaging as a predictor of response after local or systemic treatment may add a major dimension to the application of this novel technique.","container-title":"Seminars in Nuclear Medicine","DOI":"10.1053/snuc.2002.29272","ISSN":"0001-2998","issue":"1","journalAbbreviation":"Semin Nucl Med","language":"eng","note":"PMID: 11839068","page":"35-46","source":"PubMed","title":"Whole-body FDG-PET imaging in the management of patients with cancer","volume":"32","author":[{"family":"Hustinx","given":"Roland"},{"family":"Bénard","given":"François"},{"family":"Alavi","given":"Abass"}],"issued":{"date-parts":[["2002",1]]}},"label":"page"},{"id":426,"uris":["http://zotero.org/users/8787459/items/QJ3IT4JV"],"itemData":{"id":426,"type":"article-journal","abstract":"Whole-body fluorine-18 fluorodeoxyglucose positron emission tomography (FDG-PET) has proved effective in the diagnosis and staging of recurrent colorectal cancer. In this study, we analysed how PET affects the management of patients with recurrent colorectal cancer by permitting more accurate selection of candidates for curative resection. The data of 79 patients with known or suspected recurrent colorectal cancer were analysed. Conventional imaging modalities (CIM) and PET results were compared with regard to their accuracy in determining the extent and the resectability of tumour recurrence. Recurrence was demonstrated in 68 of the 79 patients. The data indicate that PET was superior to CIM for detection of recurrence at all sites except the liver. Based on the CIM+PET staging, surgery with curative intent was proposed in 39 patients and was indeed achieved in 31 of them (80%). PET was more accurate than CIM alone in predicting the resectability or non-resectability of the recurrence (82% vs 68%, P=0.02). It is concluded that whole-body FDG-PET is highly sensitive for both the diagnosis and the staging of patients with recurrent colorectal cancer. Its use in conjunction with conventional imaging procedures results in a more accurate selection of patients for surgical treatment with curative intent.","container-title":"European Journal of Nuclear Medicine and Molecular Imaging","DOI":"10.1007/s00259-002-0802-9","ISSN":"1619-7070","issue":"7","journalAbbreviation":"Eur J Nucl Med Mol Imaging","language":"eng","note":"PMID: 12111132","page":"915-921","source":"PubMed","title":"FDG-PET improves the staging and selection of patients with recurrent colorectal cancer","volume":"29","author":[{"family":"Lonneux","given":"Max"},{"family":"Reffad","given":"Abdel-Malek"},{"family":"Detry","given":"Roger"},{"family":"Kartheuser","given":"Alex"},{"family":"Gigot","given":"Jean-François"},{"family":"Pauwels","given":"Stanislas"}],"issued":{"date-parts":[["2002",7]]}},"label":"page"},{"id":418,"uris":["http://zotero.org/users/8787459/items/EH78Y7PI"],"itemData":{"id":418,"type":"article-journal","abstract":"Current guidelines for follow-up after resection of colorectal cancer (CRC) recommend regular measurements of carcinoembryogenic antigen (CEA) and imaging tests. Multidetector computed tomography (MDCT) and magnetic resonance imaging (MRI) are currently primary imaging modalities, while the role of fluorine-18-fluoro-deoxyglucose positron emission tomography/computed tomography (18F-FDG PET/CT), which is recommended in patients with negative MDCT and increased CEA, is still uncertain. Our aim was to compare diagnostic performance and prognostic significance of 18F-FDG PET/CT with MRI and tumor markers CEA and carbohydrate antigen 19-9 (CA 19-9) in detection of recurrent CRC. This prospective study included 35 patients with resected CRC, referred to 18F-FDG PET/CT examination for suspected recurrence. During median follow-up of 24.4±1.5 months 18F-FDG PET/CT and MRI results and tumor marker levels were compared with findings of histopathological examination or with results of clinical and imaging follow-up. Management plan before the 18F-FDG PET/CT scan was considered and compared to the final treatment decision. The sensitivity, specificity, positive and negative predictive value and accuracy of 18F-FDG PET/CT and MRI in detection of recurrent colorectal cancer in patient-based analysis were 92.6%, 75%, 92.6%, 75% and 88.6%, and 65.4%, 66.7%, 85%, 40% and 65.7%, respectively. In lesion-based analysis the sensitivity of 18F-FDG PET/CT and MRI was 83.1% and 68.2%, respectively. The overall accuracy of CEA and CA 19-9 in recurrence detection was 48.6% and 54.3%, respectively. PET/CT induced therapy alterations in 13/35 (37.1%) patients. Progression was observed in 16/35 patients during follow-up, with significantly lower risk of progression in patients with treatment changes based on PET findings (Multivariate Cox regression; p=0.017). In addition, elevated CA 19-9 levels in time of PET scan and male gender carried significantly higher risk of progression (p=0.007 and p=0.016, respectively). Kaplan-Meier Log rank test showed significantly longer progression-free survival time in patients who had treatment plan changed based on PET/CT (p=0.046). We can conclude that 18F-FDG PET/CT showed better sensitivity and accuracy compared to MRI in detection of recurrent colorectal cancer, with much better sensitivity compared to CEA and CA 19-9. Patients with treatment changes based on 18F-FDG PET/CT had significantly better prognosis and longer progression-free survival, while elevated values of CA 19-9 and male gender were associated with worse prognosis.","container-title":"Neoplasma","DOI":"10.4149/neo_2017_613","ISSN":"0028-2685","issue":"6","journalAbbreviation":"Neoplasma","language":"eng","note":"PMID: 28895416","page":"954-961","source":"PubMed","title":"Prospective study on diagnostic and prognostic significance of postoperative FDG PET/CT in recurrent colorectal carcinoma patients: comparison with MRI and tumor markers","title-short":"Prospective study on diagnostic and prognostic significance of postoperative FDG PET/CT in recurrent colorectal carcinoma patients","volume":"64","author":[{"family":"Odalovic","given":"S."},{"family":"Stojiljkovic","given":"M."},{"family":"Sobic-Saranovic","given":"D."},{"family":"Pandurevic","given":"S."},{"family":"Brajkovic","given":"L."},{"family":"Milosevic","given":"I."},{"family":"Grozdic-Milojevic","given":"I."},{"family":"Artiko","given":"V."}],"issued":{"date-parts":[["2017"]]}},"label":"page"},{"id":413,"uris":["http://zotero.org/users/8787459/items/WMVCFDTE"],"itemData":{"id":413,"type":"article-journal","abstract":"INTRODUCTION: In this study we aimed to define the success of fluorine-18 (18F) fluorodeoxyglucose (FDG) PET/computed tomography (PET/CT) in detecting recurrent disease in our patient group with colorectal cancer (CRC) and elevated carcinoembryonic antigen (CEA) levels.\nMATERIAL AND METHOD: Patients who had a previous diagnosis of CRC were searched retrospectively in our PET center database. Seventy-six 18F-FDG PET/CT studies between October 2006 and December 2010 of 69 patients (25 women, 44 men; mean age: 61.61 ± 4.1 years) with elevated CEA levels were evaluated. 18F-FDG PET/CT findings and concurrent abdominopelvic contrast-enhanced computed tomography (ceCT) findings were compared with histopathological findings and/or clinical follow-up data as the 'gold standard'.\nRESULTS: In the patient-based analysis, the sensitivity and specificity of 18F-FDG PET/CT in the detection of disease recurrence were calculated as 97 and 61%, respectively. A statistically significant difference was found in frequencies of positive and negative 18F-FDG PET/CT findings between patients with or without recurrent disease by gold standard (P&lt;0.05). There was no correlation between patients' serum CEA levels and lesions' maximum standardized uptake values (P=0.85). The sensitivity and specificity of ceCT were computed as 51 and 60%, respectively. In the evaluation of separate patient groups, although the sensitivity and specificity of 18F-FDG PET/CT were calculated as 100 and 60% in the group whose CEA level elevation was less than two-fold (5-9.9 ng/ml), these were 100 and 75% in the group with CEA elevation less than three-fold (10-14.9 ng/ml) and 95 and 62% in the group with elevation more than three-fold (≥ 15 ng/ml). The sensitivity and specificity of 18F-FDG PET/CT were computed as 98 and 85% in the lesion-based evaluation. The sensitivity and specificity of ceCT were 73 and 86%, respectively.\nCONCLUSION: 18F-FDG PET/CT is a safe imaging method that can be used in the determination of CRC recurrence in patients with elevated CEA levels, regardless of the CEA level.","container-title":"Nuclear Medicine Communications","DOI":"10.1097/MNM.0b013e32834f7dbe","ISSN":"1473-5628","issue":"4","journalAbbreviation":"Nucl Med Commun","language":"eng","note":"PMID: 22367859","page":"395-402","source":"PubMed","title":"The role of 18F-FDG PET/CT in detecting colorectal cancer recurrence in patients with elevated CEA levels","volume":"33","author":[{"family":"Ozkan","given":"Elgin"},{"family":"Soydal","given":"Cigdem"},{"family":"Araz","given":"Mine"},{"family":"Kir","given":"Kemal Metin"},{"family":"Ibis","given":"Erkan"}],"issued":{"date-parts":[["2012",4]]}},"label":"page"},{"id":415,"uris":["http://zotero.org/users/8787459/items/HTIGGJJL"],"itemData":{"id":415,"type":"article-journal","abstract":"BACKGROUND: The purpose of this study was to combine intraoperative gamma probe (GP) detection with preoperative fluorine 18-fluoro-2-deoxy-glucose positron emission tomography (18F FDG-PET) imaging in order to improve detection of tumor recurrence in colorectal cancer (CRC) patients.\nMETHODS: Twenty-one patients (12 females, 9 males) with a mean age of 54 years (range 31-78) were enrolled. Patients were suspected to have recurrent CRC by elevated CEA (n = 11), suspicious CT findings (n = 1), and clinically suspicious findings (n = 9). Preoperative FDG-PET scan and intraoperative GP study were performed in all patients. Mean time interval between preoperative FDG-PET scan and surgery was 16 days (range 1-41 days) in 19 patients. For intraoperative GP studies, 19 patients were injected with a dose of 10-15 mCi 18F FDG at approximately 30 minutes before the planned surgery time. In two patients, the intraoperative GP study was performed immediately after preoperative FDG-PET scan.\nRESULTS: Preoperative FDG-PET and intraoperative GP detected 48 and 45 lesions, respectively. A total of 50 presumed site of recurrent disease from 20 patients were resected. Thirty-seven of 50 presumed sites of recurrent disease were histological-proven tumor positive and 13 of 50 presumed sites of recurrent disease were histological-proven tumor negative. When correlated with final histopathology, the number of true positive lesions and false positive lesions by preoperative FDG-PET and intraoperative GP were 31/9 and 35/8, respectively. Both preoperative FDG-PET and intraoperative GP were true positive in 29 lesions. Intraoperative GP detected additional small lesions in the omentum and pelvis which were not seen on preoperative FDG-PET scan. FDG-PET scan demonstrated additional liver metastases which were not detected by intraoperative GP. Preoperative FDG-PET detected distant metastasis in the lung in one patient. The estimated radiation dose received by a surgeon during a single 18F FDG GP surgery was below the occupational limit.\nCONCLUSION: The combined use of preoperative FDG-PET and intraoperative GP is potentially helpful to the surgeon as a roadmap for accurately locating and determining the extent of tumor recurrence in patients with CRC. While intraoperative GP appears to be more sensitive in detecting the extent of abdominal and pelvic recurrence, preoperative FDG-PET appears to be more sensitive in detecting liver metastases. FDG-PET is also a valuable method in detecting distant metastases.","container-title":"World Journal of Surgical Oncology","DOI":"10.1186/1477-7819-5-80","ISSN":"1477-7819","journalAbbreviation":"World J Surg Oncol","language":"eng","note":"PMID: 17634125\nPMCID: PMC1941735","page":"80","source":"PubMed","title":"Combined use of preoperative 18F FDG-PET imaging and intraoperative gamma probe detection for accurate assessment of tumor recurrence in patients with colorectal cancer","volume":"5","author":[{"family":"Sarikaya","given":"Ismet"},{"family":"Povoski","given":"Stephen P."},{"family":"Al-Saif","given":"Osama H."},{"family":"Kocak","given":"Ergun"},{"family":"Bloomston","given":"Mark"},{"family":"Marsh","given":"Steven"},{"family":"Cao","given":"Zongjian"},{"family":"Murrey","given":"Douglas A."},{"family":"Zhang","given":"Jun"},{"family":"Hall","given":"Nathan C."},{"family":"Knopp","given":"Michael V."},{"family":"Martin","given":"Edward W."}],"issued":{"date-parts":[["2007",7,16]]}},"label":"page"},{"id":410,"uris":["http://zotero.org/users/8787459/items/REY3K8RW"],"itemData":{"id":410,"type":"article-journal","abstract":"HYPOTHESIS: Metabolic imaging by positron emission tomography (PET) using [18F]fluorodeoxyglucose will be more accurate than anatomic imaging by computed tomography (CT) for detection of recurrent colorectal cancer. More accurate staging of recurrent tumor by PET will lead to more appropriate management decisions.\nDESIGN: Prospective blinded study comparing PET with CT, using histologic diagnosis, serial CT imaging, and clinical follow-up as criterion standards, with a fully blinded, retrospective reinterpretation of PET studies. Changes in diagnosis resulting from PET findings were correlated with subsequent treatment and surgical findings. Potential cost savings resulting from use of PET for preoperative staging were calculated.\nSETTING: Private practice in an outpatient tertiary referral center.\nPATIENTS: A group of 155 consecutive patients with imaging for diagnosis or staging of recurrent colorectal cancer. Twenty-one patient (14%) were excluded due to lack of a criterion standard. Computed tomographic scans were available for comparison for 115 patients.\nRESULTS: Positron emission tomographic scan sensitivity and specificity were 93% and 98%, respectively, compared with 69% and 96% for CT. Ninety-five percent confidence intervals for the differences between the modalities were 16% to 32% for sensitivity and 1% to 5% for specificity. The sensitivity of both modalities varied with anatomic site of recurrence. Positron emission tomographic scans were true positive in 12 (67%) of 18 patients with elevated serum carcinoembryonic antigen levels and negative CT findings. In 23 (29%) of 78 preoperative studies in which CT showed a single site of recurrence, PET showed tumor at additional sites. At surgery, nonresectable, PET-negative tumor was found in 7 (17%) of 42 patients who had PET evidence of localized recurrence only. Potential savings resulting from demonstration of nonresectable tumor by PET were calculated at $3003 per preoperative study.\nCONCLUSIONS: Positron emission tomography was more sensitive and specific than CT for detection of recurrent colorectal cancer. Preoperative detection of nonresectable tumor by PET may avoid unnecessary surgery, and thereby reduce the cost of patient treatment.","container-title":"Archives of Surgery (Chicago, Ill.: 1960)","DOI":"10.1001/archsurg.134.5.503","ISSN":"0004-0010","issue":"5","journalAbbreviation":"Arch Surg","language":"eng","note":"PMID: 10323422","page":"503-511; discussion 511-513","source":"PubMed","title":"Whole-body PET imaging with [18F]fluorodeoxyglucose in management of recurrent colorectal cancer","volume":"134","author":[{"family":"Valk","given":"P. E."},{"family":"Abella-Columna","given":"E."},{"family":"Haseman","given":"M. K."},{"family":"Pounds","given":"T. R."},{"family":"Tesar","given":"R. D."},{"family":"Myers","given":"R. W."},{"family":"Greiss","given":"H. B."},{"family":"Hofer","given":"G. A."}],"issued":{"date-parts":[["1999",5]]}},"label":"page"},{"id":420,"uris":["http://zotero.org/users/8787459/items/S5CYBDD3"],"itemData":{"id":420,"type":"article-journal","abstract":"PURPOSE: Surgery remains the only option for potential cure in patients with recurrent colorectal cancer. Accurate staging modalities aid in the avoidance of futile surgery, which may result in considerable morbidity in patients with incurable disease. Current imaging techniques used in disease staging often are not sensitive enough to identify low-volume metastatic disease. This study reviews the role of positron emission tomography in the assessment of patients with suspected recurrent colorectal cancer.\nMETHODS: A literature search using the PubMed, MEDLINE, and Embase database was performed, locating English language articles on positron emission tomography, positron emission tomography, recurrent colon, and/or rectal cancer. The references of these papers were searched manually for further references.\nRESULTS: Positron emission tomography is more sensitive and more specific than conventional diagnostic imaging for metastatic disease and local recurrence respectively. Studies confirm the superior ability of positron emission tomography scans compared with conventional diagnostic imaging in differentiating between scar tissue and invasive tumor. Positron emission tomography scanning is more sensitive and specific for the assessment of liver metastases (and probably in patients with lung metastasis) than conventional diagnostic imaging. Positron emission tomography is superior to conventional diagnostic imaging in the investigation of raised carcinoembryonic antigen in the postoperative patient and alters management in approximately 37 percent of patients with recurrent colorectal cancer. The limitations and cost effectiveness of positron emission tomography are discussed.\nCONCLUSIONS: Positron emission tomography scanning is emerging as the imaging modality of choice for patients being considered for surgery for locally recurrent colorectal cancer. Positron emission tomography has the greatest impact by detecting unresectable disease and thereby averting inappropriate surgery. Despite the high set-up costs, its use seems to be cost effective.","container-title":"Diseases of the Colon and Rectum","DOI":"10.1007/s10350-006-0735-7","ISSN":"0012-3706","issue":"1","journalAbbreviation":"Dis Colon Rectum","language":"eng","note":"PMID: 17115340","page":"102-114","source":"PubMed","title":"The role of positron emission tomography in the management of recurrent colorectal cancer: a review","title-short":"The role of positron emission tomography in the management of recurrent colorectal cancer","volume":"50","author":[{"family":"Watson","given":"A. J. M."},{"family":"Lolohea","given":"S."},{"family":"Robertson","given":"G. M."},{"family":"Frizelle","given":"F. A."}],"issued":{"date-parts":[["2007",1]]}},"label":"page"}],"schema":"https://github.com/citation-style-language/schema/raw/master/csl-citation.json"}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szCs w:val="24"/>
        </w:rPr>
        <w:t>[110</w:t>
      </w:r>
      <w:r w:rsidR="00FF4BDB" w:rsidRPr="00D3420D">
        <w:rPr>
          <w:rFonts w:ascii="Times New Roman" w:hAnsi="Times New Roman" w:cs="Times New Roman"/>
          <w:sz w:val="28"/>
          <w:szCs w:val="24"/>
        </w:rPr>
        <w:t>-</w:t>
      </w:r>
      <w:r w:rsidR="00F6152F" w:rsidRPr="00F6152F">
        <w:rPr>
          <w:rFonts w:ascii="Times New Roman" w:hAnsi="Times New Roman" w:cs="Times New Roman"/>
          <w:sz w:val="28"/>
          <w:szCs w:val="24"/>
        </w:rPr>
        <w:t>117]</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p>
    <w:p w14:paraId="28EB0294" w14:textId="46FDA10E"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 xml:space="preserve">В </w:t>
      </w:r>
      <w:r w:rsidR="0069259F" w:rsidRPr="00A43B9C">
        <w:rPr>
          <w:rFonts w:ascii="Times New Roman" w:eastAsia="Times New Roman" w:hAnsi="Times New Roman" w:cs="Times New Roman"/>
          <w:sz w:val="28"/>
          <w:szCs w:val="28"/>
          <w:lang w:eastAsia="ru-RU"/>
        </w:rPr>
        <w:t xml:space="preserve">еще одном </w:t>
      </w:r>
      <w:r w:rsidRPr="00A43B9C">
        <w:rPr>
          <w:rFonts w:ascii="Times New Roman" w:eastAsia="Times New Roman" w:hAnsi="Times New Roman" w:cs="Times New Roman"/>
          <w:sz w:val="28"/>
          <w:szCs w:val="28"/>
          <w:lang w:eastAsia="ru-RU"/>
        </w:rPr>
        <w:t xml:space="preserve">исследовании </w:t>
      </w:r>
      <w:r w:rsidRPr="00A43B9C">
        <w:rPr>
          <w:rFonts w:ascii="Times New Roman" w:eastAsia="Times New Roman" w:hAnsi="Times New Roman" w:cs="Times New Roman"/>
          <w:sz w:val="28"/>
          <w:szCs w:val="28"/>
          <w:lang w:val="en-US" w:eastAsia="ru-RU"/>
        </w:rPr>
        <w:t>Libutti</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et</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al</w:t>
      </w:r>
      <w:r w:rsidR="00184001"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сравнивали ПЭТ с FDG и </w:t>
      </w:r>
      <w:r w:rsidR="00353E41" w:rsidRPr="00A43B9C">
        <w:rPr>
          <w:rFonts w:ascii="Times New Roman" w:eastAsia="Times New Roman" w:hAnsi="Times New Roman" w:cs="Times New Roman"/>
          <w:sz w:val="28"/>
          <w:szCs w:val="28"/>
          <w:lang w:eastAsia="ru-RU"/>
        </w:rPr>
        <w:t>Р</w:t>
      </w:r>
      <w:r w:rsidRPr="00A43B9C">
        <w:rPr>
          <w:rFonts w:ascii="Times New Roman" w:eastAsia="Times New Roman" w:hAnsi="Times New Roman" w:cs="Times New Roman"/>
          <w:sz w:val="28"/>
          <w:szCs w:val="28"/>
          <w:lang w:eastAsia="ru-RU"/>
        </w:rPr>
        <w:t xml:space="preserve">ЭА с результатами вторичной лапаротомии в выявлении рецидивов рака у 28 больных с повышенным РЭА. ПЭТ с FDG имела чувствительность и специфичность 89% и 50%, тогда как </w:t>
      </w:r>
      <w:r w:rsidR="00353E41" w:rsidRPr="00A43B9C">
        <w:rPr>
          <w:rFonts w:ascii="Times New Roman" w:eastAsia="Times New Roman" w:hAnsi="Times New Roman" w:cs="Times New Roman"/>
          <w:sz w:val="28"/>
          <w:szCs w:val="28"/>
          <w:lang w:eastAsia="ru-RU"/>
        </w:rPr>
        <w:t>Р</w:t>
      </w:r>
      <w:r w:rsidRPr="00A43B9C">
        <w:rPr>
          <w:rFonts w:ascii="Times New Roman" w:eastAsia="Times New Roman" w:hAnsi="Times New Roman" w:cs="Times New Roman"/>
          <w:sz w:val="28"/>
          <w:szCs w:val="28"/>
          <w:lang w:eastAsia="ru-RU"/>
        </w:rPr>
        <w:t xml:space="preserve">ЭА – 18% и 33% соответственно. ПЭТ с FDG предсказала нерезектабельность у 90% больных, которые при лапаротомии действительно были признаны нерезектабельными. </w:t>
      </w:r>
      <w:r w:rsidRPr="00A43B9C">
        <w:rPr>
          <w:rFonts w:ascii="Times New Roman" w:eastAsia="Times New Roman" w:hAnsi="Times New Roman" w:cs="Times New Roman"/>
          <w:sz w:val="28"/>
          <w:szCs w:val="28"/>
          <w:lang w:val="en-US" w:eastAsia="ru-RU"/>
        </w:rPr>
        <w:t>Swanson</w:t>
      </w:r>
      <w:r w:rsidRPr="00A43B9C">
        <w:rPr>
          <w:rFonts w:ascii="Times New Roman" w:eastAsia="Times New Roman" w:hAnsi="Times New Roman" w:cs="Times New Roman"/>
          <w:sz w:val="28"/>
          <w:szCs w:val="28"/>
          <w:lang w:eastAsia="ru-RU"/>
        </w:rPr>
        <w:t xml:space="preserve"> (2001) в своей статье упомянул значимость проведения исследования и заключил, что ПЭТ с FDG</w:t>
      </w:r>
      <w:r w:rsidR="0069259F"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возможно</w:t>
      </w:r>
      <w:r w:rsidR="0069259F"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будет частью стандартного обследования больных с </w:t>
      </w:r>
      <w:r w:rsidR="00C95D50">
        <w:rPr>
          <w:rFonts w:ascii="Times New Roman" w:eastAsia="Times New Roman" w:hAnsi="Times New Roman" w:cs="Times New Roman"/>
          <w:sz w:val="28"/>
          <w:szCs w:val="28"/>
          <w:lang w:eastAsia="ru-RU"/>
        </w:rPr>
        <w:t xml:space="preserve">колоректальным раком </w:t>
      </w:r>
      <w:r w:rsidRPr="00A43B9C">
        <w:rPr>
          <w:rFonts w:ascii="Times New Roman" w:eastAsia="Times New Roman" w:hAnsi="Times New Roman" w:cs="Times New Roman"/>
          <w:sz w:val="28"/>
          <w:szCs w:val="28"/>
          <w:lang w:eastAsia="ru-RU"/>
        </w:rPr>
        <w:t xml:space="preserve">и возможными рецидивами или метастазами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{"citationID":"e04Z9Xkv","properties":{"formattedCitation":"[6, 10, 118]","plainCitation":"[6, 10, 118]","noteIndex":0},"citationItems":[{"id":430,"uris":["http://zotero.org/users/8787459/items/UG6Q8Y52"],"itemData":{"id":430,"type":"article-journal","abstract":"Positron emission Tomography (PET) with 2-[(18)F]-fluoro-2-deoxy-d-glucose (FDG) is a functional imaging technique with increasing value in special diagnostic fields of gastrointestinal tumours. In the initial staging of esophageal and gastric cancer, FDG-PET is useful in the staging of patients with advanced but local resectable disease. The detection of distant metastases results in an up-staging, and these patients should not be treated by surgery. Furthermore, FDG-PET is sufficient for monitoring early therapy responses after neoadjuvant treatment and enables one to select non-responders who may benefit from therapy alterations. Major indications for FDG-PET in patients with rectal carcinoma are therapy monitoring and diagnosis of relapses, especially the differentiation between tumour and scar and also the localisation of tumour manifestations in cases with increasing tumour markers. FDG-PET is very efficient in the imaging of pulmonal and hepatic metastases of colorectal cancer but not in lymph node staging. In diagnostic procedures for pancreatic carcinoma, FDG-PET can be recommended to explore the dignity of pancreatic lesions and in the imaging of tumour relapses. For gastrointestinal stroma tumours, FDG-PET is useful for the monitoring of therapy and the initial staging. For imaging of hepatocellular carcinoma and carcinoma of the gall bladder, FDG-PET is not sufficient.","container-title":"Zeitschrift Fur Gastroenterologie","DOI":"10.1055/s-2007-963637","ISSN":"0044-2771","issue":"4","journalAbbreviation":"Z Gastroenterol","language":"ger","note":"PMID: 18393156","page":"367-375","source":"PubMed","title":"[[18F]-FDG-PET in the diagnostics of gastrointestinal tumors]","volume":"46","author":[{"family":"Buchmann","given":"I."},{"family":"Ganten","given":"T. M."},{"family":"Haberkorn","given":"U."}],"issued":{"date-parts":[["2008",4]]}},"label":"page"},{"id":432,"uris":["http://zotero.org/users/8787459/items/A6EGQ3E3"],"itemData":{"id":432,"type":"article-journal","abstract":"[18F]Fluorodeoxyglucose (FDG)\npositron emission tomography (PET) is a useful imaging tool in the evolving management of patients with colorectal carcinoma. This technique is able to measure and visualize metabolic changes in cancer cells. This feature results in the ability to distinguish viable tumor from scar tissue, in the detection of tumor foci at an earlier stage than possible by conventional anatomic imaging and in the measurement of alterations in tumor metabolism, indicative of tumor response to therapy. Nowadays, FDG-PET plays a pivotal role in staging patients before surgical resection of recurrence and metastases, in the localization of recurrence in patients with an unexplained rise in serum carcinoembryonic antigen and in assessment of residual masses after treatment. In the presurgical evaluation, FDG-PET may be best used in conjunction with anatomic imaging in order to combine the benefits of both anatomical (CT) and functional (PET) information, which leads to significant improvements in preoperative liver staging and preoperative judgment on the feasibility of resection. Integration of FDG-PET into the management algorithm of these categories of patients alters and improves therapeutic management, reduces morbidity due to futile surgery, leads to substantial cost savings and probably also to a better patient outcome. FDG-PET also appears to have great potential in monitoring the success of local ablative therapies soon after intervention and in the prediction and evaluation of response to radiotherapy, systemic therapy, and combinations thereof. This review aims to outline the current and future role of FDG-PET in the field of colorectal cancer.","container-title":"Cancer Imaging","DOI":"10.1102/1470-7330.2006.9014","ISSN":"1740-5025","issue":"Spec No A","journalAbbreviation":"Cancer Imaging","note":"PMID: 17114081\nPMCID: PMC1805073","page":"S71-S81","source":"PubMed Central","title":"FDG-PET in colorectal cancer","volume":"6","author":[{"family":"Geus-Oei","given":"Lioe-Fee","non-dropping-particle":"de"},{"family":"Ruers","given":"Theo J M"},{"family":"Punt","given":"Cornelis J A"},{"family":"Willem Leer","given":"Jan"},{"family":"Corstens","given":"Frans H M"},{"family":"Oyen","given":"Wim J G"}],"issued":{"date-parts":[["2006",10,31]]}},"label":"page"},{"id":428,"uris":["http://zotero.org/users/8787459/items/9E7UQRVF"],"itemData":{"id":428,"type":"article-journal","container-title":"Annals of Surgical Oncology","DOI":"10.1007/s10434-001-0752-7","ISSN":"1068-9265","issue":"10","journalAbbreviation":"Ann Surg Oncol","language":"eng","note":"PMID: 11776485","page":"752-753","source":"PubMed","title":"Is an FDG-PET scan the new imaging standard for colon cancer?","volume":"8","author":[{"family":"Swanson","given":"R. S."}],"issued":{"date-parts":[["2001",12]]}},"label":"page"}],"schema":"https://github.com/citation-style-language/schema/raw/master/csl-citation.json"}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[118]</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p>
    <w:p w14:paraId="43BEC457" w14:textId="404BA8C6"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val="en-US" w:eastAsia="ru-RU"/>
        </w:rPr>
        <w:t>Flamen</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et</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al</w:t>
      </w:r>
      <w:r w:rsidR="00184001"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оценили потенциальное преимущество ПЭТ с FDG и стандартной диагностики у больных с необъяснимым повышением уровня РЭА и подозрением на рецидив. Было обследовано 50 больных с </w:t>
      </w:r>
      <w:r w:rsidRPr="00A43B9C">
        <w:rPr>
          <w:rFonts w:ascii="Times New Roman" w:eastAsia="Times New Roman" w:hAnsi="Times New Roman" w:cs="Times New Roman"/>
          <w:sz w:val="28"/>
          <w:szCs w:val="28"/>
          <w:lang w:eastAsia="ru-RU"/>
        </w:rPr>
        <w:lastRenderedPageBreak/>
        <w:t xml:space="preserve">повышенными уровнями РЭА, которым была выполнена ПЭТ при нормальных или равных данных стандартного диагностического обследования. Данные ПЭТ и стандартной диагностики были подтверждены биопсией. </w:t>
      </w:r>
      <w:r w:rsidR="0069259F" w:rsidRPr="00A43B9C">
        <w:rPr>
          <w:rFonts w:ascii="Times New Roman" w:eastAsia="Times New Roman" w:hAnsi="Times New Roman" w:cs="Times New Roman"/>
          <w:sz w:val="28"/>
          <w:szCs w:val="28"/>
          <w:lang w:eastAsia="ru-RU"/>
        </w:rPr>
        <w:t>При этом о</w:t>
      </w:r>
      <w:r w:rsidRPr="00A43B9C">
        <w:rPr>
          <w:rFonts w:ascii="Times New Roman" w:eastAsia="Times New Roman" w:hAnsi="Times New Roman" w:cs="Times New Roman"/>
          <w:sz w:val="28"/>
          <w:szCs w:val="28"/>
          <w:lang w:eastAsia="ru-RU"/>
        </w:rPr>
        <w:t xml:space="preserve">бщая чувствительность ПЭТ с FDG при наличии рецидивов составила 79%. Было решено, что ПЭТ с FDG имеет большую чувствительность у больных с подозрением на рецидив, особенно при повышении уровня РЭА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{"citationID":"kSAAc1o1","properties":{"formattedCitation":"[32, 119\\uc0\\u8211{}122]","plainCitation":"[32, 119–122]","noteIndex":0},"citationItems":[{"id":435,"uris":["http://zotero.org/users/8787459/items/LQFK555C"],"itemData":{"id":435,"type":"article-journal","abstract":"The aim of the study was to evaluate the use of positron emission tomography with [18F]-fluorodeoxyglucose (FDG-PET) in patients with unexplained rising carcinoembryonic antigen (CEA) in the postoperative surveillance of colorectal cancer. 50 consecutive patients with elevated CEA levels and a completely normal (n=31) or equivocal (n=19) conventional diagnostic work-up (CDW) were retrospectively selected. All PET images were reviewed with full knowledge of the CDW. The gold standard consisted of histology, or clinical follow-up of more than 1 year. Recurrent disease was established in 56 lesions in 43 patients. On a patient-based analysis, the sensitivity of FDG-PET was 34/43 (79%), and the positive predictive value 34/38 (89%). In 14/50 patients (28%), the FDG-PET findings led to a surgical resection with curative intent. On a lesion-based analysis, FDG-PET detected 42/56 lesions (sensitivity: 75%), the positive predictive value was 79% (42/53). These results demonstrate that FDG-PET can have a clear impact on patient management in patients with an unexplained elevation in CEA levels.","container-title":"European Journal of Cancer (Oxford, England: 1990)","DOI":"10.1016/s0959-8049(01)00049-1","ISSN":"0959-8049","issue":"7","journalAbbreviation":"Eur J Cancer","language":"eng","note":"PMID: 11313174","page":"862-869","source":"PubMed","title":"Unexplained rising carcinoembryonic antigen (CEA) in the postoperative surveillance of colorectal cancer: the utility of positron emission tomography (PET)","title-short":"Unexplained rising carcinoembryonic antigen (CEA) in the postoperative surveillance of colorectal cancer","volume":"37","author":[{"family":"Flamen","given":"P."},{"family":"Hoekstra","given":"O. S."},{"family":"Homans","given":"F."},{"family":"Van Cutsem","given":"E."},{"family":"Maes","given":"A."},{"family":"Stroobants","given":"S."},{"family":"Peeters","given":"M."},{"family":"Penninckx","given":"F."},{"family":"Filez","given":"L."},{"family":"Bleichrodt","given":"R. P."},{"family":"Mortelmans","given":"L."}],"issued":{"date-parts":[["2001",5]]}},"label":"page"},{"id":443,"uris":["http://zotero.org/users/8787459/items/ANGHD9JN"],"itemData":{"id":443,"type":"article-journal","abstract":"The current follow-up programmes for patients with colorectal cancer (CRC) after curative surgery do not include 18F-fluorodeoxyglucose-positron emission tomography (PET). Several small studies on selected patient populations indicate a high sensitivity of PET/computed tomography (CT) on visualizing relapse in patients with CRC after curative surgery. Therefore, PET/CT could probably be valuable in patients with unexplained increase in carcinoembryonic antigen level or a clinical suspicion of relapse, but PET/CT is not recommended as a standard in follow-up after CRC.","container-title":"Ugeskrift for Laeger","ISSN":"1603-6824","issue":"37","journalAbbreviation":"Ugeskr Laeger","language":"dan","note":"PMID: 27649583","page":"V03160229","source":"PubMed","title":"[Positron emission tomography/computed tomography in follow-up programmes for patients with colorectal cancer]","volume":"178","author":[{"family":"Hansen","given":"Anne Fogh"},{"family":"Jensen","given":"Mads Radmer"},{"family":"Nordholm-Carstensen","given":"Andreas"}],"issued":{"date-parts":[["2016",9,12]]}},"label":"page"},{"id":441,"uris":["http://zotero.org/users/8787459/items/HAQRDNIL"],"itemData":{"id":441,"type":"article-journal","abstract":"AIM: The purpose of the present study was to conduct a systematic review and meta-analysis of the published literature to assess the diagnostic performance of FDG-PET or PET/CT in the detection of recurrent colorectal cancer (CRC) rising in patients with elevated CEA.\nMATERIALS AND METHODS: The authors conducted a systematic MEDLINE search of published articles. Two reviewers independently assessed the methodological quality of each study. We estimated pooled sensitivity and specificity and positive and negative likelihood ratios, and summary receiver-operating characteristic curves in the detection of recurrent CRC in patients with elevated CEA.\nRESULTS: Eleven studies with a total of 510 patients met the inclusion criteria. One hundred and six patients (106/510 = 20.8%) had true-negative FDG-PET (PET/CT) results in detection of recurrent CRC when rising CEA. The pooled estimates of sensitivity and specificity and positive and negative likelihood ratios of FDG-PET in the detection of tumor recurrence in CRC patients with elevated CEA were 90.3% (95% CI, 85.5-94.0%), 80.0% (95% CI, 67.0-89.6%), 2.88 (95% CI, 1.37-6.07), and 0.12 (95% CI, 0.07-0.20), respectively. The pooled estimates of sensitivity and specificity and positive and negative likelihood ratios of FDG-PET/CT in the detection of tumor recurrence in CRC patients with elevated CEA were 94.1% (95% CI, 89.4-97.1%), 77.2% (95% CI, 66.4-85.9%), 4.70 (95% CI, 0.82-12.13), and 0.06 (95% CI, 0.03-0.13), respectively.\nCONCLUSIONS: Whole-body FDG-PET and PET/CT are valuable imaging tools for the assessment of patients with suspected CRC tumor recurrence based on the increase of CEA.","container-title":"International Journal of Colorectal Disease","DOI":"10.1007/s00384-013-1659-z","ISSN":"1432-1262","issue":"8","journalAbbreviation":"Int J Colorectal Dis","language":"eng","note":"PMID: 23407908","page":"1039-1047","source":"PubMed","title":"Use of FDG-PET or PET/CT to detect recurrent colorectal cancer in patients with elevated CEA: a systematic review and meta-analysis","title-short":"Use of FDG-PET or PET/CT to detect recurrent colorectal cancer in patients with elevated CEA","volume":"28","author":[{"family":"Lu","given":"Yu-Yu"},{"family":"Chen","given":"Jin-Hua"},{"family":"Chien","given":"Chun-Ru"},{"family":"Chen","given":"William Tzu-Liang"},{"family":"Tsai","given":"Shih-Chuan"},{"family":"Lin","given":"Wan-Yu"},{"family":"Kao","given":"Chia-Hung"}],"issued":{"date-parts":[["2013",8]]}},"label":"page"},{"id":437,"uris":["http://zotero.org/users/8787459/items/CL83TTS2"],"itemData":{"id":437,"type":"article-journal","abstract":"BACKGROUND/AIMS: To retrospectively evaluate the impact of 18F-fluorodeoxy-glucose-positron emission tomography (FDG-PET) to detect recurrent colorectal cancer based on asymptomatically elevated tumor marker level of carcinoembryonic antigen (CEA).\nMETHODOLOGY: Whole-body FDG-PET was performed in 50 patients suspected of having recurrent colorectal cancer and asymptomatically increased serum level of CEA (&gt; 5 ng/mL), but other negative or equivocal imaging modality results. A blood sample was drawn in each case for CEA assay on the same day as the FDG-PET. The final diagnosis of recurrent colorectal cancer was established by operation/biopsy histopathological findings or clinical follow-up longer than 1 year by additional morphologic imaging techniques.\nRESULTS: Among the 50 patients, the final diagnosis of recurrent colorectal cancer was established in 64 lesions of 45 patients. FDG-PET could accurately detect 62 lesions but missed 2 false-negative lesions. In addition, there were 2 false-positive lesions. On a lesion-based analysis, the diagnostic sensitivity and positive predictive value of FDG-PET was 96.9%. There were 2 patients with false-negative lesions and 2 patients with false-positive lesions. Therefore, FDG-PET findings could lead to successful surgical resection in 41 (82.0%) patients. In addition, on a patient-based analysis, the diagnostic sensitivity and positive predictive value of FDG-PET was 95.3%.\nCONCLUSIONS: FDG-PET is a useful technique for detecting recurrent colorectal cancer suspected by asymptomatically elevated serum level of CEA and has an important clinical impact on the management in patients with suspected recurrent colorectal cancer.","container-title":"Hepato-Gastroenterology","ISSN":"0172-6390","issue":"69","journalAbbreviation":"Hepatogastroenterology","language":"eng","note":"PMID: 16795969","page":"348-350","source":"PubMed","title":"Clinical impact of 18F-FDG-PET in the suspicion of recurrent colorectal cancer based on asymptomatically elevated serum level of carcinoembryonic antigen (CEA) in Taiwan","volume":"53","author":[{"family":"Shen","given":"Yeh-You"},{"family":"Liang","given":"Ji-An"},{"family":"Chen","given":"Yen-Kung"},{"family":"Tsai","given":"Chun-Yueh"},{"family":"Kao","given":"Chia-Hung"}],"issued":{"date-parts":[["2006",6]]}},"label":"page"},{"id":439,"uris":["http://zotero.org/users/8787459/items/2ZKN7DH4"],"itemData":{"id":439,"type":"article-journal","abstract":"AIM: During the follow-up of surgically resected colorectal cancer (CRC), positron emission tomography-contrast-enhanced computed tomography (PET-CECT) is indicated for asymptomatic elevation of carcinoembryonic antigen (CEA) &gt; 5 ng/ml and no obvious site of recurrence on clinical examination and basic imaging. As an institutional policy, a PET-CECT scan was performed at our institute whenever (1) CEA levels rose above 5 ng/ml and (2) CEA values were doubled (even if the CEA level was &lt; 5 ng/ml). Our aim was to correlate the range of CEA elevation with recurrence rates and to evaluate the diagnostic utility of PET-CECT scanning in this setting.\nMETHOD: We retrospectively analysed all cases where a PET-CECT scan was performed for elevated CEA levels during surveillance visits after complete resection of the primary tumour followed by adjuvant therapy. This study was conducted from 1 January 2013 to 31 July 2015.\nRESULTS: In all, 104 patients underwent a PET-CECT scan for rising CEA values, and 62 patients (59.6%) were found to have recurrent disease. At CEA levels &lt; 5, 5.1-10, 10.1-15, 15.1-50 and &gt; 50 ng/ml, disease recurred in 10%, 45%, 70%, 94% and 100% patients, respectively. Sensitivity, specificity, positive predictive value and negative predictive value of the PET-CECT scan were 92.7%, 95.2%, 96.2% and 90.9%, respectively. Elevation of CEA levels during follow-up was indicative of recurrence in 68% of the secretors and 45% of the non-secretors (based on baseline CEA status).\nCONCLUSION: In the setting of rising CEA levels during follow-up of patients with CRC, a PET-CECT scan is a valuable tool to detect recurrence, irrespective of the baseline CEA secretor status. The likelihood of recurrence of disease was directly proportional to the value of the raised CEA level.","container-title":"Colorectal Disease: The Official Journal of the Association of Coloproctology of Great Britain and Ireland","DOI":"10.1111/codi.13695","ISSN":"1463-1318","issue":"10","journalAbbreviation":"Colorectal Dis","language":"eng","note":"PMID: 28444968","page":"907-911","source":"PubMed","title":"Carcinoembryonic antigen directed PET-CECT scanning for postoperative surveillance of colorectal cancer","volume":"19","author":[{"family":"Vallam","given":"K. C."},{"family":"Guruchannabasavaiah","given":"B."},{"family":"Agrawal","given":"A."},{"family":"Rangarajan","given":"V."},{"family":"Ostwal","given":"V."},{"family":"Engineer","given":"R."},{"family":"Saklani","given":"A."}],"issued":{"date-parts":[["2017",10]]}},"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szCs w:val="24"/>
        </w:rPr>
        <w:t>[119</w:t>
      </w:r>
      <w:r w:rsidR="00FF4BDB" w:rsidRPr="00D3420D">
        <w:rPr>
          <w:rFonts w:ascii="Times New Roman" w:hAnsi="Times New Roman" w:cs="Times New Roman"/>
          <w:sz w:val="28"/>
          <w:szCs w:val="24"/>
        </w:rPr>
        <w:t>-</w:t>
      </w:r>
      <w:r w:rsidR="00F6152F" w:rsidRPr="00F6152F">
        <w:rPr>
          <w:rFonts w:ascii="Times New Roman" w:hAnsi="Times New Roman" w:cs="Times New Roman"/>
          <w:sz w:val="28"/>
          <w:szCs w:val="24"/>
        </w:rPr>
        <w:t>122]</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r w:rsidR="0069259F"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 xml:space="preserve">Авторы заключили, что оба метода пригодны для диагностики локальных </w:t>
      </w:r>
      <w:r w:rsidR="001A7EDA">
        <w:rPr>
          <w:rFonts w:ascii="Times New Roman" w:eastAsia="Times New Roman" w:hAnsi="Times New Roman" w:cs="Times New Roman"/>
          <w:sz w:val="28"/>
          <w:szCs w:val="28"/>
          <w:lang w:eastAsia="ru-RU"/>
        </w:rPr>
        <w:t xml:space="preserve">колоректальных </w:t>
      </w:r>
      <w:r w:rsidRPr="00A43B9C">
        <w:rPr>
          <w:rFonts w:ascii="Times New Roman" w:eastAsia="Times New Roman" w:hAnsi="Times New Roman" w:cs="Times New Roman"/>
          <w:sz w:val="28"/>
          <w:szCs w:val="28"/>
          <w:lang w:eastAsia="ru-RU"/>
        </w:rPr>
        <w:t xml:space="preserve">рецидивов. Однако они рекомендуют проведение ПЭТ с FDG для стадирования опухоли вследствие большей чувствительности этого метода в выявлении поражений </w:t>
      </w:r>
      <w:r w:rsidR="00E706A5">
        <w:rPr>
          <w:rFonts w:ascii="Times New Roman" w:eastAsia="Times New Roman" w:hAnsi="Times New Roman" w:cs="Times New Roman"/>
          <w:sz w:val="28"/>
          <w:szCs w:val="28"/>
          <w:lang w:val="kk-KZ" w:eastAsia="ru-RU"/>
        </w:rPr>
        <w:t>лимфоузлов</w:t>
      </w:r>
      <w:r w:rsidRPr="00A43B9C">
        <w:rPr>
          <w:rFonts w:ascii="Times New Roman" w:eastAsia="Times New Roman" w:hAnsi="Times New Roman" w:cs="Times New Roman"/>
          <w:sz w:val="28"/>
          <w:szCs w:val="28"/>
          <w:lang w:eastAsia="ru-RU"/>
        </w:rPr>
        <w:t xml:space="preserve"> и отдаленного метастазирования.</w:t>
      </w:r>
    </w:p>
    <w:p w14:paraId="087F22C3" w14:textId="0D4C756C"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val="en-US" w:eastAsia="ru-RU"/>
        </w:rPr>
        <w:t>Flamen</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et</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al</w:t>
      </w:r>
      <w:r w:rsidR="00184001"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обследовали 103 больных для сравнения ПЭТ с FDG со стандартными методами диагностики (КТ, УЗИ, МРТ). Авторы заключили, что ПЭТ с FDG оказывает позитивное влияние на характеристику поражений. В этом исследовании они сообщили, что чувствительность ПЭТ с FDG составила 81% у больных с такими же данными стандартных диагностических методов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{"citationID":"A14ks3ig","properties":{"formattedCitation":"[53, 119, 121, 123\\uc0\\u8211{}126]","plainCitation":"[53, 119, 121, 123–126]","noteIndex":0},"citationItems":[{"id":445,"uris":["http://zotero.org/users/8787459/items/G88PFQZA"],"itemData":{"id":445,"type":"article-journal","abstract":"PURPOSE: To assess the additional value of the whole-body [18F]-2-fluoro-2-deoxy-D-glucose positron emission tomography (FDG-PET) scan as a staging modality complementing conventional diagnostic methods (CDM) in patients suspected of having recurrent colorectal adenocarcinoma.\nPATIENTS AND METHODS: In 103 patients, the discordances between FDG-PET and CDM results were identified and related to the final diagnosis obtained by histopathology or clinical follow-up (&gt; 1 year). All FDG-PET studies were reviewed with full knowledge of the CDM findings.\nRESULTS: In a region-based analysis, discordances between CDM and FDG-PET findings were found in 40 of 412 regions (10%). In these, FDG-PET had additional diagnostic value in 14 of 16 locoregional, six of seven hepatic, seven of eight abdominal, and eight of nine extra-abdominal regions. In a patient-based analysis, CDM categorized a subgroup of 60 patients as having resectable recurrent disease limited to the liver (n = 37) or locoregional region (n = 23). In 13 of these patients, there were discordant FDG-PET findings, detecting additional tumor sites in nine patients and excluding disease in three patients and yielding an additional diagnostic value in 20% of the patients. A second subgroup consisted of 13 patients with inconclusive CDM findings (n = 5) or with elevated plasma carcinoembryonic antigen levels and an otherwise negative conventional work-up (n = 8). In these patients, FDG-PET results were correct in eight of nine discordances, yielding a positive additional diagnostic value in 62% of the patients.\nCONCLUSION: Whole-body FDG-PET can have a clear impact on the therapeutic management in the follow-up of patients with colorectal cancer.","container-title":"Journal of Clinical Oncology: Official Journal of the American Society of Clinical Oncology","DOI":"10.1200/JCO.1999.17.3.894","ISSN":"0732-183X","issue":"3","journalAbbreviation":"J Clin Oncol","language":"eng","note":"PMID: 10071281","page":"894-901","source":"PubMed","title":"Additional value of whole-body positron emission tomography with fluorine-18-2-fluoro-2-deoxy-D-glucose in recurrent colorectal cancer","volume":"17","author":[{"family":"Flamen","given":"P."},{"family":"Stroobants","given":"S."},{"family":"Van Cutsem","given":"E."},{"family":"Dupont","given":"P."},{"family":"Bormans","given":"G."},{"family":"De Vadder","given":"N."},{"family":"Penninckx","given":"F."},{"family":"Van Hoe","given":"L."},{"family":"Mortelmans","given":"L."}],"issued":{"date-parts":[["1999",3]]}},"label":"page"},{"id":435,"uris":["http://zotero.org/users/8787459/items/LQFK555C"],"itemData":{"id":435,"type":"article-journal","abstract":"The aim of the study was to evaluate the use of positron emission tomography with [18F]-fluorodeoxyglucose (FDG-PET) in patients with unexplained rising carcinoembryonic antigen (CEA) in the postoperative surveillance of colorectal cancer. 50 consecutive patients with elevated CEA levels and a completely normal (n=31) or equivocal (n=19) conventional diagnostic work-up (CDW) were retrospectively selected. All PET images were reviewed with full knowledge of the CDW. The gold standard consisted of histology, or clinical follow-up of more than 1 year. Recurrent disease was established in 56 lesions in 43 patients. On a patient-based analysis, the sensitivity of FDG-PET was 34/43 (79%), and the positive predictive value 34/38 (89%). In 14/50 patients (28%), the FDG-PET findings led to a surgical resection with curative intent. On a lesion-based analysis, FDG-PET detected 42/56 lesions (sensitivity: 75%), the positive predictive value was 79% (42/53). These results demonstrate that FDG-PET can have a clear impact on patient management in patients with an unexplained elevation in CEA levels.","container-title":"European Journal of Cancer (Oxford, England: 1990)","DOI":"10.1016/s0959-8049(01)00049-1","ISSN":"0959-8049","issue":"7","journalAbbreviation":"Eur J Cancer","language":"eng","note":"PMID: 11313174","page":"862-869","source":"PubMed","title":"Unexplained rising carcinoembryonic antigen (CEA) in the postoperative surveillance of colorectal cancer: the utility of positron emission tomography (PET)","title-short":"Unexplained rising carcinoembryonic antigen (CEA) in the postoperative surveillance of colorectal cancer","volume":"37","author":[{"family":"Flamen","given":"P."},{"family":"Hoekstra","given":"O. S."},{"family":"Homans","given":"F."},{"family":"Van Cutsem","given":"E."},{"family":"Maes","given":"A."},{"family":"Stroobants","given":"S."},{"family":"Peeters","given":"M."},{"family":"Penninckx","given":"F."},{"family":"Filez","given":"L."},{"family":"Bleichrodt","given":"R. P."},{"family":"Mortelmans","given":"L."}],"issued":{"date-parts":[["2001",5]]}},"label":"page"},{"id":456,"uris":["http://zotero.org/users/8787459/items/WMVMMBNG"],"itemData":{"id":456,"type":"article-journal","abstract":"AIM: In patients with colorectal cancer an accurate diagnostic work-up is mandatory in order to perform the most specific treatment. At this moment 18F-fluoro-deoxy-glucose positron emission tomography (FDG-PET) is considered an accurate imaging technique in staging/restaging several malignancies. The aim of this paper is to review the scientific literature available about the role of FDG-PET in the management of patients with colorectal cancer.\nMETHODS: An overview on Medline of scientific literature concerning FDG-PET and colorectal cancer was performed. The most relevant studies are reported. Advantages, limitations and new chances in using FDG-PET in these subsets of patients are summarized.\nRESULTS: FDG-PET is a useful tool in the evaluation of colorectal cancer. In comparison to conventional imaging technique, FDG-PET has an additional diagnostic value because it allows to metabolically characterize undetermined lesions suspected for recurrence of disease, to perform a complete pre-surgical staging and to identify occult metastatic disease. In clinical practice its use leads to a change in therapeutic choices in a high percentage of cases.\nCONCLUSIONS: FDG-PET should be considered an essential diagnostic tool in the management of patients with colorectal cancer, especially in recurrent disease evaluation.","container-title":"European Journal of Surgical Oncology: The Journal of the European Society of Surgical Oncology and the British Association of Surgical Oncology","DOI":"10.1016/j.ejso.2006.10.020","ISSN":"0748-7983","issue":"1","journalAbbreviation":"Eur J Surg Oncol","language":"eng","note":"PMID: 17126522","page":"1-6","source":"PubMed","title":"The role of 18F-fluoro-deoxy-glucose positron emission tomography (FDG-PET) in the management of patients with colorectal cancer","volume":"33","author":[{"family":"Pelosi","given":"E."},{"family":"Deandreis","given":"D."}],"issued":{"date-parts":[["2007",2]]}},"label":"page"},{"id":449,"uris":["http://zotero.org/users/8787459/items/3SH2GLV5"],"itemData":{"id":449,"type":"article-journal","abstract":"PURPOSE: To assess prospectively the value of fluor-18-deoxyglucose (FDG) positron emission tomography (PET), in addition to conventional diagnostic methods (CDM), as a staging modality in candidates for resection of colorectal liver metastases.\nPATIENTS AND METHODS: In 51 patients analyzed for resection of colorectal liver metastases, clinical management decisions were recorded after a complete work-up with CDM. Afterward, FDG-PET scans were performed and any change of clinical management according to FDG-PET results was carefully documented. Discordances between FDG-PET and CDM results were identified and related to the final diagnosis by histopathology, intraoperative findings, and follow-up.\nRESULTS: In 10 (20%) out of 51 patients, clinical management decisions based on CDM were changed after FDG-PET findings were known. FDG-PET detected unresectable pulmonary (n = 5) and hepatic metastases (n = 1) and ruled out extrahepatic (n = 2) and hepatic disease (n = 2). Due to FDG-PET, eight patients were spared unwarranted liver resection or laparotomy and two other patients were identified as candidates for liver resection. When the results of FDG-PET were regarded as decisive in a retrospective analysis, potential change of management was 29% (15 patients). FDG-PET and CDM showed discordant extrahepatic results in 11 patients (22%) and discordant hepatic results in eight patients (16%). Compared with CDM, FDG-PET resulted in true upstaging (n = 11), true downstaging (n = 5), false upstaging (n = 1), and false downstaging (n = 2). The detection rate of liver metastases on a lesion basis was generally better for computed tomography than for FDG-PET (80% v 65%); this was related to tumor size.\nCONCLUSION: FDG-PET as a complementary staging method improves the therapeutic management of patients with colorectal liver metastases, especially by detecting unsuspected extrahepatic disease.","container-title":"Journal of Clinical Oncology: Official Journal of the American Society of Clinical Oncology","DOI":"10.1200/JCO.2002.20.2.388","ISSN":"0732-183X","issue":"2","journalAbbreviation":"J Clin Oncol","language":"eng","note":"PMID: 11786565","page":"388-395","source":"PubMed","title":"Value of positron emission tomography with [F-18]fluorodeoxyglucose in patients with colorectal liver metastases: a prospective study","title-short":"Value of positron emission tomography with [F-18]fluorodeoxyglucose in patients with colorectal liver metastases","volume":"20","author":[{"family":"Ruers","given":"T. J. M."},{"family":"Langenhoff","given":"B. S."},{"family":"Neeleman","given":"N."},{"family":"Jager","given":"G. J."},{"family":"Strijk","given":"S."},{"family":"Wobbes","given":"Th"},{"family":"Corstens","given":"F. H. M."},{"family":"Oyen","given":"W. J. G."}],"issued":{"date-parts":[["2002",1,15]]}},"label":"page"},{"id":437,"uris":["http://zotero.org/users/8787459/items/CL83TTS2"],"itemData":{"id":437,"type":"article-journal","abstract":"BACKGROUND/AIMS: To retrospectively evaluate the impact of 18F-fluorodeoxy-glucose-positron emission tomography (FDG-PET) to detect recurrent colorectal cancer based on asymptomatically elevated tumor marker level of carcinoembryonic antigen (CEA).\nMETHODOLOGY: Whole-body FDG-PET was performed in 50 patients suspected of having recurrent colorectal cancer and asymptomatically increased serum level of CEA (&gt; 5 ng/mL), but other negative or equivocal imaging modality results. A blood sample was drawn in each case for CEA assay on the same day as the FDG-PET. The final diagnosis of recurrent colorectal cancer was established by operation/biopsy histopathological findings or clinical follow-up longer than 1 year by additional morphologic imaging techniques.\nRESULTS: Among the 50 patients, the final diagnosis of recurrent colorectal cancer was established in 64 lesions of 45 patients. FDG-PET could accurately detect 62 lesions but missed 2 false-negative lesions. In addition, there were 2 false-positive lesions. On a lesion-based analysis, the diagnostic sensitivity and positive predictive value of FDG-PET was 96.9%. There were 2 patients with false-negative lesions and 2 patients with false-positive lesions. Therefore, FDG-PET findings could lead to successful surgical resection in 41 (82.0%) patients. In addition, on a patient-based analysis, the diagnostic sensitivity and positive predictive value of FDG-PET was 95.3%.\nCONCLUSIONS: FDG-PET is a useful technique for detecting recurrent colorectal cancer suspected by asymptomatically elevated serum level of CEA and has an important clinical impact on the management in patients with suspected recurrent colorectal cancer.","container-title":"Hepato-Gastroenterology","ISSN":"0172-6390","issue":"69","journalAbbreviation":"Hepatogastroenterology","language":"eng","note":"PMID: 16795969","page":"348-350","source":"PubMed","title":"Clinical impact of 18F-FDG-PET in the suspicion of recurrent colorectal cancer based on asymptomatically elevated serum level of carcinoembryonic antigen (CEA) in Taiwan","volume":"53","author":[{"family":"Shen","given":"Yeh-You"},{"family":"Liang","given":"Ji-An"},{"family":"Chen","given":"Yen-Kung"},{"family":"Tsai","given":"Chun-Yueh"},{"family":"Kao","given":"Chia-Hung"}],"issued":{"date-parts":[["2006",6]]}},"label":"page"},{"id":255,"uris":["http://zotero.org/users/8787459/items/EL338MSK"],"itemData":{"id":255,"type":"article-journal","abstract":"This study was designed to assess the value of whole-body positron emission tomography (PET) using 2-[fluorine-18]-fluoro-2-deoxy- D-glucose (FDG) for the diagnosis of recurrent ovarian cancer. Twenty-five patients who had previously undergone surgery for ovarian cancer were imaged using whole-body FDG-PET. During the 4 weeks preceding the PET study, conventional imaging, comprising computed tomography (CT) and magnetic resonance (MR) imaging of the abdomen and/or pelvis, was performed and serum CA125 levels were measured. PET imaging was commenced at 60 min after the intravenous administration of FDG in all patients. PET results were compared with the results of conventional imaging and CA125 levels, and related to pathological findings and clinical follow-up for more than 6 months. FDG-PET showed a sensitivity of 80% (16/20), a specificity of 100% (5/5) and an accuracy of 84% accuracy (21/25) for the diagnosis of recurrent ovarian cancer. The sensitivity, specificity and accuracy of conventional imaging were 55% (11/20), 100% (5/5) and 64% (16/25), respectively. PET could detect recurrent lesions in seven of nine patients in whom conventional imaging was falsely normal, while conventional imaging was true positive in two of four patients with false-negative PET results. The CA125 results showed a sensitivity of 75% (15/20), a specificity of 100% (5/5) and an accuracy of 80% accuracy (20/25). Among the 15 patients with true-positive CA125 results, PET correctly detected abnormal foci of recurrence in 13 patients (86.7%) whereas conventional imaging showed recurrent lesions in only eight patients (53.3%). In conclusion, our preliminary study demonstrates that FDG-PET may be accurate and useful for the detection of tumour recurrence when conventional imaging is inconclusive or negative, especially in patients with abnormal CA125 levels.","container-title":"European Journal of Nuclear Medicine and Molecular Imaging","DOI":"10.1007/s00259-001-0750-9","ISSN":"1619-7070","issue":"6","journalAbbreviation":"Eur J Nucl Med Mol Imaging","language":"eng","note":"PMID: 12029554","page":"797-803","source":"PubMed","title":"Ovarian cancer recurrence: role of whole-body positron emission tomography using 2-[fluorine-18]-fluoro-2-deoxy- D-glucose","title-short":"Ovarian cancer recurrence","volume":"29","author":[{"family":"Torizuka","given":"Tatsuo"},{"family":"Nobezawa","given":"Shuji"},{"family":"Kanno","given":"Toshihiko"},{"family":"Futatsubashi","given":"Masami"},{"family":"Yoshikawa","given":"Etsuji"},{"family":"Okada","given":"Hiroyuki"},{"family":"Takekuma","given":"Munetaka"},{"family":"Maeda","given":"Makoto"},{"family":"Ouchi","given":"Yasuomi"}],"issued":{"date-parts":[["2002",6]]}},"label":"page"},{"id":453,"uris":["http://zotero.org/users/8787459/items/HIEGI3VD"],"itemData":{"id":453,"type":"article-journal","abstract":"Fluor-18-deoxyglucose-positron emission tomography (FDG-PET) has emerged as a promising diagnostic modality in recurrent colorectal carcinoma. Whole-body FDG-PET may be an accurate diagnostic modality to determine whether patients with recurrent hepatic disease are suitable candidates for curative resection. Reports on the use of FDG-PET in patients with recurrent colorectal carcinoma are scarce, especially those on colorectal liver metastases. To assess the usefulness of this emerging modality for the selection of patients to undergo resection for colorectal liver metastases, a systematic (meta)-analysis of the current literature was conducted. In the absence of randomized controlled clinical trials, a traditional meta-analysis could not be performed. An alternative strategy was designed to evaluate the current literature. After a literature search, an index score was devised to evaluate the articles with regard to the impact of FDG-PET in patients with colorectal liver metastases. The index scored articles on several items and, as such, could be considered an objective approach for the assessment of diagnostic, nonrandomized clinical trials. The proposed index proved to be an independent instrument for judging several research questions and was used systematically to address the sensitivity, specificity, and clinical impact of FDG-PET in patients with colorectal liver metastases. For FDG-PET, the pooled sensitivity and specificity results were 88.0% and 96.1%, respectively, for hepatic disease and 91.5% and 95.4%, respectively, for extrahepatic disease. For the 6 articles that reported the highest scores on the index, the sensitivity and specificity of FDG-PET for hepatic metastatic disease were 79.9% and 92.3%, respectively, and 91.2% and 98.4%, respectively, for extrahepatic disease, respectively. For computed tomography, the pooled sensitivity and specificity results were 82.7% and 84.1%, respectively, for hepatic lesions and 60.9% and 91.1%, respectively, for extrahepatic lesions. The percentage change in clinical management due to FDG-PET was 31.6% (range, 20.0-58.0%) in the articles that scored above the mean and reported this item. For the 6 highest scoring studies, the percentage change in clinical management was 25.0% (range, 20.0-32.0%). Despite apparent omissions in the literature, the combined sensitivity and specificity of FDG-PET clearly indicated that FDG-PET has added value in the diagnostic workup of patients with colorectal liver metastases. FDG-PET can be considered a useful tool in preoperative staging and produced superior results compared with conventional diagnostic modalities, especially for excluding or detecting extrahepatic disease.","container-title":"Cancer","DOI":"10.1002/cncr.21569","ISSN":"0008-543X","issue":"12","journalAbbreviation":"Cancer","language":"eng","note":"PMID: 16315241","page":"2658-2670","source":"PubMed","title":"The impact of fluor-18-deoxyglucose-positron emission tomography in the management of colorectal liver metastases","volume":"104","author":[{"family":"Wiering","given":"Bastiaan"},{"family":"Krabbe","given":"Paul F. M."},{"family":"Jager","given":"Gerrit J."},{"family":"Oyen","given":"Wim J. G."},{"family":"Ruers","given":"Theo J. M."}],"issued":{"date-parts":[["2005",12,15]]}},"label":"page"}],"schema":"https://github.com/citation-style-language/schema/raw/master/csl-citation.json"}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szCs w:val="24"/>
        </w:rPr>
        <w:t>[123</w:t>
      </w:r>
      <w:r w:rsidR="00FF4BDB" w:rsidRPr="00D3420D">
        <w:rPr>
          <w:rFonts w:ascii="Times New Roman" w:hAnsi="Times New Roman" w:cs="Times New Roman"/>
          <w:sz w:val="28"/>
          <w:szCs w:val="24"/>
        </w:rPr>
        <w:t>-</w:t>
      </w:r>
      <w:r w:rsidR="00F6152F" w:rsidRPr="00F6152F">
        <w:rPr>
          <w:rFonts w:ascii="Times New Roman" w:hAnsi="Times New Roman" w:cs="Times New Roman"/>
          <w:sz w:val="28"/>
          <w:szCs w:val="24"/>
        </w:rPr>
        <w:t>126]</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p>
    <w:p w14:paraId="198394E0" w14:textId="694F95B8"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 xml:space="preserve">В </w:t>
      </w:r>
      <w:r w:rsidR="0069259F" w:rsidRPr="00A43B9C">
        <w:rPr>
          <w:rFonts w:ascii="Times New Roman" w:eastAsia="Times New Roman" w:hAnsi="Times New Roman" w:cs="Times New Roman"/>
          <w:sz w:val="28"/>
          <w:szCs w:val="28"/>
          <w:lang w:eastAsia="ru-RU"/>
        </w:rPr>
        <w:t xml:space="preserve">другом </w:t>
      </w:r>
      <w:r w:rsidRPr="00A43B9C">
        <w:rPr>
          <w:rFonts w:ascii="Times New Roman" w:eastAsia="Times New Roman" w:hAnsi="Times New Roman" w:cs="Times New Roman"/>
          <w:sz w:val="28"/>
          <w:szCs w:val="28"/>
          <w:lang w:eastAsia="ru-RU"/>
        </w:rPr>
        <w:t xml:space="preserve">исследовании на 16 больных </w:t>
      </w:r>
      <w:r w:rsidRPr="00A43B9C">
        <w:rPr>
          <w:rFonts w:ascii="Times New Roman" w:eastAsia="Times New Roman" w:hAnsi="Times New Roman" w:cs="Times New Roman"/>
          <w:sz w:val="28"/>
          <w:szCs w:val="28"/>
          <w:lang w:val="en-US" w:eastAsia="ru-RU"/>
        </w:rPr>
        <w:t>Falk</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et</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al</w:t>
      </w:r>
      <w:r w:rsidR="00184001"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сообщили о чувствительности и специфичности ПЭТ с FDG 87% и 67% соответственно, тогда как для КТ эти данные составляли 47% и 100%. Хотя большинство этих случаев диагностировались с помощью ПЭТ с FDG, у 2-х больных наблюдались ложноотрицательные находки. Одну из них составила аденокарцинома с центральным некрозом и отмеченным фиброзом, другую – два поражения, которые располагались одно за другим, и ПЭТ не смогла его обнаружить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{"citationID":"QnGbb7FU","properties":{"formattedCitation":"[36, 127\\uc0\\u8211{}130]","plainCitation":"[36, 127–130]","noteIndex":0},"citationItems":[{"id":460,"uris":["http://zotero.org/users/8787459/items/YMAZI7MC"],"itemData":{"id":460,"type":"article-journal","abstract":"BACKGROUND: Positron emission tomography (PET) with 18- fluorodeoxyglucose (FDG) has been used to both detect and stage a variety of malignancies. The current study examined the value of PET for preoperative staging of gastric adenocarcinoma.\nMETHODS: Sixty-eight patients (49 males and 19 females) with gastric adenocarcinoma, who were referred for preoperative FDG-PET scans, were enrolled in this study. The patients underwent spiral-computed tomography (CT) within 1 week of referral. The final diagnosis in all patients was made by histologic and surgical findings. For quantitative PET analysis, the regional tumor FDG uptake was measured by the standardized uptake value (SUV).\nRESULTS: For the primary tumor of a gastric adenocarcinoma, PET demonstrated an increased uptake in 64 of 68 patients (sensitivity, 94%), with a mean SUV of 7.0 (range, 0.9-27.7). A comparison of FDG uptake and clinicopathologic features showed significant association between FDG uptake and macroscopic type, tumor size, lymph node metastasis, histologic type, and TNM stage. The PET scan had a similar accuracy with that of CT for diagnosing local and distant lymph node metastases as well as peritoneal status. In assessing local lymph node status, however, PET had a higher specificity than CT (92% vs. 62%, P = 0.000). Moreover, PET had additional diagnostic value in 10 (15%) of 68 patients by upstaging 4 (6%) and downstaging 6 (9%) patients. PET combined with CT was more accurate for preoperative staging than either modality alone (66% vs. 51%, 66% vs. 47%, respectively; P = 0.002).\nCONCLUSIONS: FDG-PET improves the preoperative TNM staging of gastric adenocarcinoma. Based on its superior specificity, FDG-PET can facilitate the selection of patients for a curative resection by confirming a nodal status identified by CT.","container-title":"Cancer","DOI":"10.1002/cncr.21074","ISSN":"0008-543X","issue":"11","journalAbbreviation":"Cancer","language":"eng","note":"PMID: 15856477","page":"2383-2390","source":"PubMed","title":"Improvement in preoperative staging of gastric adenocarcinoma with positron emission tomography","volume":"103","author":[{"family":"Chen","given":"Jian"},{"family":"Cheong","given":"Jae-Ho"},{"family":"Yun","given":"Mi Jin"},{"family":"Kim","given":"Junuk"},{"family":"Lim","given":"Joon Seok"},{"family":"Hyung","given":"Woo Jin"},{"family":"Noh","given":"Sung Hoon"}],"issued":{"date-parts":[["2005",6,1]]}},"label":"page"},{"id":465,"uris":["http://zotero.org/users/8787459/items/37486SYP"],"itemData":{"id":465,"type":"article-journal","abstract":"In extrahepatic bile duct cancer, preoperative evaluation is important because only surgical excision of all detectable tumours is associated with improvement in 5-year survival. However, morphological imaging techniques, including computed tomography (CT), are still insufficient for accurate staging. The purpose of this study was to assess the additional value, in relation to CT, of 2-[(18)F]fluoro-2-deoxy- D-glucose positron emission tomography ((18)F-FDG PET) for the evaluation of extrahepatic bile duct cancer. Thirty patients with extrahepatic bile duct cancer underwent both (18)F-FDG PET and CT for initial staging. The results of the two modalities for evaluation of primary tumours and regional lymph nodes were compared with the final diagnoses based on pathological or clinical findings. The primary tumours were interpreted as malignant on the basis of CT in 24 (80%) of the patients, while (18)F-FDG PET revealed increased (18)F-FDG uptake in 18 (60%) of them. On the other hand, (18)F-FDG PET showed focal accumulation of (18)F-FDG in the bile duct in three of the six patients with equivocal findings on CT. The sensitivity, specificity and accuracy of CT for regional lymph node metastases were 54%, 59% and 57%, while those of (18)F-FDG PET were 38%, 100% and 73%, respectively. The specificity of (18)F-FDG PET for regional lymph node metastases was significantly higher than that of CT ( P&lt;0.01). Of 14 patients with N1 or N2 disease diagnosed by CT, only seven (50%) had a final diagnosis of regional lymph node metastasis. In these 14 patients, (18)F-FDG PET accurately evaluated the N component of the disease in 12 patients (86%). In conclusion, in the initial staging of patients with extrahepatic bile duct cancer, (18)F-FDG PET offers additional value in relation to CT in evaluating both the primary tumour and regional lymph nodes.","container-title":"European Journal of Nuclear Medicine and Molecular Imaging","DOI":"10.1007/s00259-002-0852-z","ISSN":"1619-7070","issue":"8","journalAbbreviation":"Eur J Nucl Med Mol Imaging","language":"eng","note":"PMID: 12173019","page":"1047-1054","source":"PubMed","title":"Clinical role of (18)F-FDG PET for initial staging of patients with extrahepatic bile duct cancer","volume":"29","author":[{"family":"Kato","given":"Takashi"},{"family":"Tsukamoto","given":"Eriko"},{"family":"Kuge","given":"Yuji"},{"family":"Katoh","given":"Chietsugu"},{"family":"Nambu","given":"Toshikazu"},{"family":"Nobuta","given":"Aichiro"},{"family":"Kondo","given":"Satoshi"},{"family":"Asaka","given":"Masahiro"},{"family":"Tamaki","given":"Nagara"}],"issued":{"date-parts":[["2002",8]]}},"label":"page"},{"id":458,"uris":["http://zotero.org/users/8787459/items/FC35VMKM"],"itemData":{"id":458,"type":"article-journal","abstract":"BACKGROUND/AIMS: The impact of positron emission tomography was prospectively evaluated using 18 (F)-fluoro-deoxyglucose (FDG-PET) for the detection of lymph node (LN) metastasis in preoperative locally advanced colorectal adenocarcinoma, compared with computed tomography (CT) and pathologic findings.\nMETHODOLOGY: Fifty-three patients who were suspected of LN involvement by CT were staged preoperatively for LN metastasis using FDG-PET and CT. Regional LNs were classified into 3 groups, N1, N2-3, and N4, according to the Japanese General Rules for Clinical and Pathological Studies on Cancer of the Colon, Rectum and Anus (6th Edition). A comparison of pathologic findings with CT and FDG-PET findings was used to calculate sensitivity, specificity, and accuracy.\nRESULTS: The sensitivity, specificity and accuracy of CT/FDG-PET were 91.3%/52.2%, 91.7%/75.0% and 65.9%/72.3%, respectively, for N1, 91.7%/75.0%, 72.2%/94.4% and 77.1%/89.6%, respectively, for N2-3, and 100%/100%, 17.6%/100% and 41.7%/100%, respectively, for N4. The detection rate of the num ber of metastatic N1 LNs by CT was significantly higher than by FDG-PET, and not significantly in the N2-4 area. LNs hidden by strong halation of the primary tumor were not detected by FDG-PET.\nCONCLUSIONS: While FDG-PET is markedly more sensitive than CT for detection of N4 LN involve. ment, the number of metastatic LNs is difficult to determine.","container-title":"Hepato-Gastroenterology","ISSN":"0172-6390","issue":"82-83","journalAbbreviation":"Hepatogastroenterology","language":"eng","note":"PMID: 18613374","page":"398-402","source":"PubMed","title":"Positron emission tomography for preoperative staging in patients with locally advanced or metastatic colorectal adenocarcinoma in lymph node metastasis","volume":"55","author":[{"family":"Kosugi","given":"Chihiro"},{"family":"Saito","given":"Norio"},{"family":"Murakami","given":"Koji"},{"family":"Ochiai","given":"Atsushi"},{"family":"Koda","given":"Keiji"},{"family":"Ono","given":"Masato"},{"family":"Sugito","given":"Masanori"},{"family":"Ito","given":"Masaaki"},{"family":"Oda","given":"Kenji"},{"family":"Seike","given":"Kazuhiro"},{"family":"Miyazaki","given":"Masaru"}],"issued":{"date-parts":[["2008",4]]}},"label":"page"},{"id":467,"uris":["http://zotero.org/users/8787459/items/CGUQ36T9"],"itemData":{"id":467,"type":"article-journal","abstract":"Colo-rectal cancer is the most common malignancy of the gastrointestinal tract and is the third frequency for malignancy in humans. CT and MRI development allows an early diagnosis and a modulation of the therapeutic approach. Many papers seem to confirm the role of PET/CT and virtual colonography in the evaluation of primary lesions. The PET/CT appears mode accurate in assessing lymph node metastases. Today, new approaches such as virtual colonoscopy and PET/CT open new horizons in the diagnosis and staging of cancer of the colon and rectum.","container-title":"Recenti Progressi in Medicina","DOI":"10.1701/1315.14573","ISSN":"0034-1193","issue":"7-8","journalAbbreviation":"Recenti Prog Med","language":"ita","note":"PMID: 24042405","page":"345-349","source":"PubMed","title":"[Virtual colonoscopy and PET/CT for diagnosis and staging of colorectal cancer]","volume":"104","author":[{"family":"Rossi","given":"Michele"},{"family":"Mallardo","given":"Vania"},{"family":"Rosati","given":"Immacolata"},{"family":"Prisco","given":"Maria Rosaria"},{"family":"Califano","given":"Teresa"},{"family":"Della Vecchia","given":"Nicoletta"},{"family":"Romano","given":"Giovanna"},{"family":"Di Lanno","given":"Imma"},{"family":"Genovese","given":"Eugenio Annibale"}],"issued":{"date-parts":[["2013",8]]}},"label":"page"},{"id":463,"uris":["http://zotero.org/users/8787459/items/NXWR3ZRU"],"itemData":{"id":463,"type":"article-journal","abstract":"This study was performed to compare (18)F-FDG PET with CT for the evaluation of primary tumors and lymph node metastases in gastric cancer.\nMETHODS: Eighty-one patients (28 women and 53 men; mean age, 56.6 y; age range; 32-82 y) who had undergone radical (n = 74) or palliative (n = 7) gastrectomy and lymph node dissection for the management of gastric cancer were included. Preoperative (18)F-FDG PET and CT were reviewed retrospectively for primary tumors of the stomach and lymph node metastases. Any increased (18)F-FDG uptake exceeding that of the adjacent normal gastric wall was considered positive for the primary tumor. Lymph nodes were classified into 3 groups based on their anatomic sites. Because perigastric lymph nodes (N1) were often not clearly differentiated from primary tumors, N1 lymph node metastases were determined when possible. Lymph nodes were considered positive or negative on the basis of the group as a whole. Final conclusions for primary tumors and lymph node metastases were based on histopathologic specimens in all patients.\nRESULTS: There were 17 patients with early gastric cancer (EGC) and 64 patients with advanced gastric cancer (AGC). For primary tumors, both PET and CT showed a sensitivity of 47% (8/17) for EGC and 98% (63/64) for AGC. The sensitivity of CT for N1 disease was significantly higher than that of PET. (18)F-FDG PET had a sensitivity, specificity, and accuracy of 34% (11/32), 96% (47/49), and 72% (58/81), respectively, for N2 metastases, whereas the corresponding CT values were 44% (14/32), 86% (42/49), and 69% (56/81). For N3 metastases, PET and CT had the same sensitivity, specificity, and accuracy: 50% (3/6), 99% (74/75), and 95% (77/81), respectively. Overall, the sensitivity, specificity, and accuracy of (18)F-FDG PET were not significantly different from those of CT for primary tumors or for N2 and N3 metastases.\nCONCLUSION: (18)F-FDG PET is as accurate as CT for the detection of primary tumors of either EGC or AGC. The low sensitivities of PET and CT were insufficient to allow decision making on the extent of lymphadenectomy. In contrast, the high specificity of PET for N disease appeared valuable, and the presence of N disease on PET may have a clinically significant impact on the choice of initial therapy.","container-title":"Journal of Nuclear Medicine: Official Publication, Society of Nuclear Medicine","ISSN":"0161-5505","issue":"10","journalAbbreviation":"J Nucl Med","language":"eng","note":"PMID: 16204706","page":"1582-1588","source":"PubMed","title":"Lymph node staging of gastric cancer using (18)F-FDG PET: a comparison study with CT","title-short":"Lymph node staging of gastric cancer using (18)F-FDG PET","volume":"46","author":[{"family":"Yun","given":"Mijin"},{"family":"Lim","given":"Joon Seok"},{"family":"Noh","given":"Sung Hoon"},{"family":"Hyung","given":"Woo Jin"},{"family":"Cheong","given":"Jae Ho"},{"family":"Bong","given":"Jung Kyun"},{"family":"Cho","given":"Arthur"},{"family":"Lee","given":"Jong Doo"}],"issued":{"date-parts":[["2005",10]]}},"label":"page"}],"schema":"https://github.com/citation-style-language/schema/raw/master/csl-citation.json"}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szCs w:val="24"/>
        </w:rPr>
        <w:t>[127</w:t>
      </w:r>
      <w:r w:rsidR="00FF4BDB" w:rsidRPr="00D3420D">
        <w:rPr>
          <w:rFonts w:ascii="Times New Roman" w:hAnsi="Times New Roman" w:cs="Times New Roman"/>
          <w:sz w:val="28"/>
          <w:szCs w:val="24"/>
        </w:rPr>
        <w:t>-</w:t>
      </w:r>
      <w:r w:rsidR="00F6152F" w:rsidRPr="00F6152F">
        <w:rPr>
          <w:rFonts w:ascii="Times New Roman" w:hAnsi="Times New Roman" w:cs="Times New Roman"/>
          <w:sz w:val="28"/>
          <w:szCs w:val="24"/>
        </w:rPr>
        <w:t>130]</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r w:rsidR="0069259F" w:rsidRPr="00A43B9C">
        <w:rPr>
          <w:rFonts w:ascii="Times New Roman" w:eastAsia="Times New Roman" w:hAnsi="Times New Roman" w:cs="Times New Roman"/>
          <w:sz w:val="28"/>
          <w:szCs w:val="28"/>
          <w:lang w:eastAsia="ru-RU"/>
        </w:rPr>
        <w:t xml:space="preserve"> Таким образом, </w:t>
      </w:r>
      <w:r w:rsidRPr="00A43B9C">
        <w:rPr>
          <w:rFonts w:ascii="Times New Roman" w:eastAsia="Times New Roman" w:hAnsi="Times New Roman" w:cs="Times New Roman"/>
          <w:sz w:val="28"/>
          <w:szCs w:val="28"/>
          <w:lang w:eastAsia="ru-RU"/>
        </w:rPr>
        <w:t xml:space="preserve">ПЭТ с FDG может улучшить диагностику </w:t>
      </w:r>
      <w:r w:rsidR="00E706A5">
        <w:rPr>
          <w:rFonts w:ascii="Times New Roman" w:eastAsia="Times New Roman" w:hAnsi="Times New Roman" w:cs="Times New Roman"/>
          <w:sz w:val="28"/>
          <w:szCs w:val="28"/>
          <w:lang w:val="kk-KZ" w:eastAsia="ru-RU"/>
        </w:rPr>
        <w:t xml:space="preserve">колоректальных </w:t>
      </w:r>
      <w:r w:rsidRPr="00A43B9C">
        <w:rPr>
          <w:rFonts w:ascii="Times New Roman" w:eastAsia="Times New Roman" w:hAnsi="Times New Roman" w:cs="Times New Roman"/>
          <w:sz w:val="28"/>
          <w:szCs w:val="28"/>
          <w:lang w:eastAsia="ru-RU"/>
        </w:rPr>
        <w:t>рецидивов до того, как структурные изменения будут видимы при КТ и МРТ.</w:t>
      </w:r>
    </w:p>
    <w:p w14:paraId="67F30F71" w14:textId="6515E5ED"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val="en-US" w:eastAsia="ru-RU"/>
        </w:rPr>
        <w:t>Huebner</w:t>
      </w:r>
      <w:r w:rsidRPr="00A43B9C">
        <w:rPr>
          <w:rFonts w:ascii="Times New Roman" w:eastAsia="Times New Roman" w:hAnsi="Times New Roman" w:cs="Times New Roman"/>
          <w:sz w:val="28"/>
          <w:szCs w:val="28"/>
          <w:lang w:eastAsia="ru-RU"/>
        </w:rPr>
        <w:t xml:space="preserve"> (2000) опубликовал анализ литературы по выявлению </w:t>
      </w:r>
      <w:r w:rsidR="00E706A5">
        <w:rPr>
          <w:rFonts w:ascii="Times New Roman" w:eastAsia="Times New Roman" w:hAnsi="Times New Roman" w:cs="Times New Roman"/>
          <w:sz w:val="28"/>
          <w:szCs w:val="28"/>
          <w:lang w:val="kk-KZ" w:eastAsia="ru-RU"/>
        </w:rPr>
        <w:t xml:space="preserve">колоректальных </w:t>
      </w:r>
      <w:r w:rsidRPr="00A43B9C">
        <w:rPr>
          <w:rFonts w:ascii="Times New Roman" w:eastAsia="Times New Roman" w:hAnsi="Times New Roman" w:cs="Times New Roman"/>
          <w:sz w:val="28"/>
          <w:szCs w:val="28"/>
          <w:lang w:eastAsia="ru-RU"/>
        </w:rPr>
        <w:t xml:space="preserve">рецидивов с помощью ПЭТ с FDG. Чувствительность и специфичность составили 97% и 76% соответственно. ПЭТ с FDG обнаружила локальные рецидивы и поражения печени у 366 и 393 больных соответственно. Результаты локальных и тазовых рецидивов составляли 95% чувствительности и 98% специфичности, тогда как в печени данные составляли 96% и 99% соответственно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{"citationID":"kXkJD0Tu","properties":{"formattedCitation":"[18, 131, 132]","plainCitation":"[18, 131, 132]","noteIndex":0},"citationItems":[{"id":469,"uris":["http://zotero.org/users/8787459/items/IPQWTTEF"],"itemData":{"id":469,"type":"article-journal","abstract":"A meta-analysis of the literature for the use of FDG PET in the detection of recurrent colorectal cancer (CRC) was conducted to evaluate the quality of the reported studies. Overall values for the sensitivity and specificity of whole-body FDG PET and an overall FDG PET-directed percentage change in management were also determined through this analysis.\nMETHODS: Guidelines to evaluate the articles were formulated on the basis of the U.S. medical payer source criteria for assessing studies that report information on usage of new medical technology. A metaanalysis was conducted using methodology described in the peer-reviewed literature.\nRESULTS: On the basis of the guidelines established for our review, the availability of necessary information for assessing the reliability of the FDG PET data for diagnosing recurrent CRC was less than ideal. Through a meta-analysis of 11 articles, we determined, within a 95% confidence level, an overall sensitivity of 97% (95% confidence level, 95%-99%) and an overall specificity of 76% (95% confidence level, 64%-88%) for FDG PET detecting recurrent CRC throughout the whole body. Furthermore, through pooling of the change-in-management data, an overall FDG PET-directed change in management was calculated to be 29% (95% confidence level, 25%-34%).\nCONCLUSION: Our review suggests that improvements can be made to more effectively report the results of these FDG PET studies. The overall values determined through the meta-analysis indicate the potential benefits of using FDG PET as a diagnostic or management tool. Furthermore, these values should prove to be useful to assess the cost-effectiveness of using FDG PET in the management of patients with recurrent CRC.","container-title":"Journal of Nuclear Medicine: Official Publication, Society of Nuclear Medicine","ISSN":"0161-5505","issue":"7","journalAbbreviation":"J Nucl Med","language":"eng","note":"PMID: 10914907","page":"1177-1189","source":"PubMed","title":"A meta-analysis of the literature for whole-body FDG PET detection of recurrent colorectal cancer","volume":"41","author":[{"family":"Huebner","given":"R. H."},{"family":"Park","given":"K. C."},{"family":"Shepherd","given":"J. E."},{"family":"Schwimmer","given":"J."},{"family":"Czernin","given":"J."},{"family":"Phelps","given":"M. E."},{"family":"Gambhir","given":"S. S."}],"issued":{"date-parts":[["2000",7]]}},"label":"page"},{"id":473,"uris":["http://zotero.org/users/8787459/items/AAHUVDF3"],"itemData":{"id":473,"type":"article-journal","abstract":"OBJECTIVE: There is currently no conclusive scientific evidence available regarding the role of the 18F-FDG PET/CT for detecting pulmonary metastases from colorectal cancer (PMCRC) in patients operated on for colorectal liver metastases (CRLM). In the follow up of patients who underwent surgery for CRLM, we compare CT-scan and 18F-FDG PET/CT in patients with PMCRC.\nMETHODS: We designed the study prospectively performing an 18F-FDG PET/CT on all patients operated on for CRLM where the CT-scan detected PMCRC during the follow up. We included patients who were operated on for PMCRC because the histological findings were taken as a control rather than biopsies.\nRESULTS: Of the 101 pulmonary nodules removed from 57 patients, the CT-scan identified a greater number (89 nodules) than the 18F-FDG PET/CT (75 nodules) (p &lt; 0.001). Sensitivity was greater with the CT-scan (90 vs 76%, respectively) with a lower specificity (50 vs 75%, respectively) than with the 18F-FDG PET/CT. There were no differences between positive-predictive value and negative-predictive value. The 18F-FDG PET/CT detected more pulmonary nodules in four patients (one PMCRC in each of these patients) and more extrapulmonary disease in six patients (four mediastinal lymph nodes, one retroperitoneal lymph node and one liver metastases) that the CT-scan had not detected.\nCONCLUSION: Although CT-scans have a greater capacity to detect PMCRC, the 18F-FDG PET/CT could be useful in the detection of more pulmonary and extrapulmonary disease not identified by the CT-scan. Advances in knowledge: We tried to clarify the utility of 18F-FDG PET/CT in the management of this subpopulation of patients.","container-title":"The British Journal of Radiology","DOI":"10.1259/bjr.20170216","ISSN":"1748-880X","issue":"1081","journalAbbreviation":"Br J Radiol","language":"eng","note":"PMID: 29034693\nPMCID: PMC5966201","page":"20170216","source":"PubMed","title":"Role of 18F-FDG PET/CT vs CT-scan in patients with pulmonary metastases previously operated on for colorectal liver metastases","volume":"91","author":[{"family":"Lopez-Lopez","given":"Victor"},{"family":"Robles","given":"Ricardo"},{"family":"Brusadin","given":"Roberto"},{"family":"López Conesa","given":"Asuncion"},{"family":"Torres","given":"Juan"},{"family":"Perez Flores","given":"Domingo"},{"family":"Navarro","given":"Jose Luis"},{"family":"Gil","given":"Pedro Jose"},{"family":"Parrilla","given":"Pascual"}],"issued":{"date-parts":[["2018",1]]}},"label":"page"},{"id":471,"uris":["http://zotero.org/users/8787459/items/FZ4MBC5K"],"itemData":{"id":471,"type":"article-journal","abstract":"Accurate detection of recurrent colorectal carcinoma remains a diagnostic challenge. The purposes of this study were to evaluate the diagnostic value of Positron emission tomography (PET) using fluor-18-deoxyglucose (FDG) in recurrent colorectal carcinoma with a meta-analysis. All the published studies in English relating the diagnostic value of FDG-PET in the detection of recurrent colorectal carcinoma were collected. Methodological quality of the included studies was evaluated. Pooled sensitivity, specificity and diagnostic odds ratio and SROC (summary receiver operating characteristic curves) were obtained by the statistical software. Twenty-seven studies were included in the meta-analysis. The pooled sensitivity and specificity for FDG-PET detecting distant metastasis or whole body involvement in recurrent colorectal carcinoma were 0.91 (95% CI 0.88-0.92) and 0.83 (95% CI 0.79-0.87), respectively. The pooled sensitivity and specificity for FDG-PET detecting hepatic metastasis were 0.97 (95% CI 0.95-0.98) and 0.98 (95% CI 0.97-0.99). The pooled sensitivity and specificity for pelvic metastasis or local regional recurrence were 0.94 (95% CI 0.91-0.97) and 0.94 (95% CI 0.92-0.96). FDG-PET is valuable for the assessment of recurrent colorectal carcinoma.","container-title":"International Journal of Cancer","DOI":"10.1002/ijc.23926","ISSN":"1097-0215","issue":"1","journalAbbreviation":"Int J Cancer","language":"eng","note":"PMID: 18844237","page":"167-173","source":"PubMed","title":"Diagnostic value of FDG-PET in recurrent colorectal carcinoma: a meta-analysis","title-short":"Diagnostic value of FDG-PET in recurrent colorectal carcinoma","volume":"124","author":[{"family":"Zhang","given":"Chenpeng"},{"family":"Chen","given":"Yumei"},{"family":"Xue","given":"Huiping"},{"family":"Zheng","given":"Ping"},{"family":"Tong","given":"Jinlu"},{"family":"Liu","given":"Jianjun"},{"family":"Sun","given":"Xiaoguang"},{"family":"Huang","given":"Gang"}],"issued":{"date-parts":[["2009",1,1]]}},"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[131, 132]</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p>
    <w:p w14:paraId="72A4597C" w14:textId="53F6465E"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ПЭТ с FDG обладает большей чувствительностью, чем КТ во всех областях, исключая легкие, где метод</w:t>
      </w:r>
      <w:r w:rsidR="00E706A5">
        <w:rPr>
          <w:rFonts w:ascii="Times New Roman" w:eastAsia="Times New Roman" w:hAnsi="Times New Roman" w:cs="Times New Roman"/>
          <w:sz w:val="28"/>
          <w:szCs w:val="28"/>
          <w:lang w:val="kk-KZ" w:eastAsia="ru-RU"/>
        </w:rPr>
        <w:t>ы</w:t>
      </w:r>
      <w:r w:rsidRPr="00A43B9C">
        <w:rPr>
          <w:rFonts w:ascii="Times New Roman" w:eastAsia="Times New Roman" w:hAnsi="Times New Roman" w:cs="Times New Roman"/>
          <w:sz w:val="28"/>
          <w:szCs w:val="28"/>
          <w:lang w:eastAsia="ru-RU"/>
        </w:rPr>
        <w:t xml:space="preserve"> были эквивалентны. По результатам литературы было сделано заключение, что на ПЭТ с FDG можно уверенно направлять больных с подозрением на</w:t>
      </w:r>
      <w:r w:rsidR="00E706A5">
        <w:rPr>
          <w:rFonts w:ascii="Times New Roman" w:eastAsia="Times New Roman" w:hAnsi="Times New Roman" w:cs="Times New Roman"/>
          <w:sz w:val="28"/>
          <w:szCs w:val="28"/>
          <w:lang w:val="kk-KZ" w:eastAsia="ru-RU"/>
        </w:rPr>
        <w:t xml:space="preserve"> </w:t>
      </w:r>
      <w:r w:rsidRPr="00A43B9C">
        <w:rPr>
          <w:rFonts w:ascii="Times New Roman" w:eastAsia="Times New Roman" w:hAnsi="Times New Roman" w:cs="Times New Roman"/>
          <w:sz w:val="28"/>
          <w:szCs w:val="28"/>
          <w:lang w:eastAsia="ru-RU"/>
        </w:rPr>
        <w:t xml:space="preserve">рецидив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{"citationID":"93FjYAEM","properties":{"formattedCitation":"[23, 109, 133\\uc0\\u8211{}140]","plainCitation":"[23, 109, 133–140]","noteIndex":0},"citationItems":[{"id":492,"uris":["http://zotero.org/users/8787459/items/254TPDWK"],"itemData":{"id":492,"type":"article-journal","abstract":"BACKGROUND AND AIMS: Early detection is an essential prognostic factor in colorectal cancer (CRC) recurrence. Our aim was to evaluate diagnostic performances of (18)F-fluorodeoxyglucose-positron emission tomography ((18)F-FDG-PET)/computed tomography (CT) as compared with CT in the detection of CRC recurrence.\nMETHODS: Data of patients with suspected CRC recurrence and in whom both FDG-PET/CT and CT were performed were analyzed. All detected lesions were characterized according to their number, size, and localization. Positive histological or radiological follow-up was considered as the 'gold standard'. Diagnostic performances of FDG-PET/CT and CT were calculated by lesion, globally and with respect to the site of recurrence.\nRESULTS: One hundred and seventy-six true-positive lesions were identified in 71 patients. CT scan was positive in 58 (82%) patients and FDG-PET/CT in 70 (98%) patients. In per lesion analysis, the global accuracy of FDG-PET/CT in detection of lesions was of 88% (sensitivity = 95%, specificity = 54%), which was higher than that of CT (53%, sensitivity = 55%, specificity = 43%), particularly in case of lymph nodes metastases (100 vs. 35%) and locoregional lesions (100 vs. 39%) (P&lt;0.0001). FDG-PET/CT modified the clinical management in 31 patients.\nCONCLUSIONS: FDG-PET/CT is more sensitive than CT for diagnosis of CRC recurrence and can modify the management in 40% of patients.","container-title":"European Journal of Gastroenterology &amp; Hepatology","DOI":"10.1097/MEG.0b013e328343eaa0","ISSN":"1473-5687","issue":"3","journalAbbreviation":"Eur J Gastroenterol Hepatol","language":"eng","note":"PMID: 21304319","page":"275-281","source":"PubMed","title":"Clinical impact of fluorodeoxyglucose-positron emission tomography scan/computed tomography in comparison with computed tomography on the detection of colorectal cancer recurrence","volume":"23","author":[{"family":"Deleau","given":"Céline"},{"family":"Buecher","given":"Bruno"},{"family":"Rousseau","given":"Caroline"},{"family":"Kraeber-Bodéré","given":"Françoise"},{"family":"Flamant","given":"Mathurin"},{"family":"Varannes","given":"Stanislas Bruley","non-dropping-particle":"des"},{"family":"Frampas","given":"Eric"},{"family":"Galmiche","given":"Jean-Paul"},{"family":"Matysiak-Budnik","given":"Tamara"}],"issued":{"date-parts":[["2011",3]]}},"label":"page"},{"id":407,"uris":["http://zotero.org/users/8787459/items/X2M2SRV2"],"itemData":{"id":407,"type":"article-journal","abstract":"Background\nThe diagnostic value of 18F-fluorodeoxyglucose positron emission tomography/computed tomography (18F-FDG PET/CT) as the first imaging approach in the evaluation of rising carcinoembryonic antigen (CEA) is not clear. The objective of this study was to investigate the value of 18F-FDG PET/CT in patients with colorectal cancer (CRC) and suspected recurrence based on rising CEA.\n\nMethods\nA total of 73 patients with CRC were referred to PET/CT after radical surgery. Generally, all patients were scheduled to follow a CT-based post-surgical follow-up regimen. In the case of rising CEA, 18F-FDG PET/CT was performed in most patients with contrast-enhanced CT. The PET/CT images were independently reviewed by two readers. The presence or absence of recurrence was based on histology and/or standardized clinical follow-up.\n\nResults\nAmong 35 patients who had confirmed recurrence of CRC, PET/CT demonstrated recurrence with a sensitivity of 85.7 %, a specificity of 94.7 %, a positive predictive value of 93.8 %, and a negative predictive value of 87.8 %. The SUVmax ranged from 1.3 to 19.9. The mean time since the last postoperative imaging and PET/CT was 8 months (median 4 months). CEA values at referral ranged from 1.5 to 164.0 μg/L (median 5.6 μg/L). The diagnostic properties of PET/CT were analyzed in subgroups of patients with a single rising CEA sample (30 patients, 41 %), 31 patients (43 %) with two or more consecutive increases, and 12 patients (16 %) with persistently elevated values.\n\nConclusions\n18F-FDG PET/contrast-enhanced CT has high diagnostic accuracy in the diagnosis of recurrent CRC, even in patients in a conventional CT-based follow-up program.","container-title":"Cancer Imaging","DOI":"10.1186/s40644-015-0048-y","ISSN":"1740-5025","issue":"1","journalAbbreviation":"Cancer Imaging","note":"PMID: 26263901\nPMCID: PMC4534082","page":"11","source":"PubMed Central","title":"Diagnostic value of 18F-FDG PET/CT as first choice in the detection of recurrent colorectal cancer due to rising CEA","volume":"15","author":[{"family":"Gade","given":"Michael"},{"family":"Kubik","given":"Magdalena"},{"family":"Fisker","given":"Rune V."},{"family":"Thorlacius-Ussing","given":"Ole"},{"family":"Petersen","given":"Lars J."}],"issued":{"date-parts":[["2015",8,13]]}},"label":"page"},{"id":479,"uris":["http://zotero.org/users/8787459/items/CP4P7YGW"],"itemData":{"id":479,"type":"article-journal","abstract":"Positron-emission tomography-computed tomography (PET/CT) is rapidly being integrated into the imaging pathways of several different tumour types, most frequently using the glucose analogue 2- [(18)F]-fluoro-2-deoxy-D-glucose (FDG). Integrated FDG-PET/CT combines functional and anatomical imaging to improve sensitivity and specificity of tumour detection. The aim of this article is to review the established, emerging, and future roles of FDG-PET/CT in the management of patients with colorectal cancer (CRC).","container-title":"Clinical Radiology","DOI":"10.1016/j.crad.2008.08.008","ISSN":"1365-229X","issue":"3","journalAbbreviation":"Clin Radiol","language":"eng","note":"PMID: 19185652","page":"225-237","source":"PubMed","title":"Established, emerging and future roles of PET/CT in the management of colorectal cancer","volume":"64","author":[{"family":"Herbertson","given":"R. A."},{"family":"Scarsbrook","given":"A. F."},{"family":"Lee","given":"S. T."},{"family":"Tebbutt","given":"N."},{"family":"Scott","given":"A. M."}],"issued":{"date-parts":[["2009",3]]}},"label":"page"},{"id":475,"uris":["http://zotero.org/users/8787459/items/UNUZEJRI"],"itemData":{"id":475,"type":"article-journal","abstract":"The aim of this study was to compare PET with (18)F-FDG PET, in-line PET/CT, and software fusion of independently acquired CT and PET scans for staging of recurrent colorectal cancer (CRC).\nMETHODS: Fifty-one patients with suspected recurrent CRC were studied with in-line PET/CT. Thirty-four of these patients underwent an additional CT scan of the chest or abdomen within 4 wk of PET/CT. Software fusion of PET and CT was performed using a fully automated, intensity-based algorithm. The accuracy of the coregistration of PET and CT scans was evaluated by measuring the distance between landmarks visible in the PET and CT images. Histologic evaluation and follow-up for 6 mo served as the gold standard for the presence or absence of recurrent CRC.\nRESULTS: On a patient basis, the accuracy of staging was significantly higher for in-line PET/CT than for PET (88% vs. 71%, P = 0.01). Software fusion of the independently acquired PET and CT images was unsuccessful in 8 patients (24%). In the remaining patients, the mean distance between 62 landmarks visible in PET and CT was 12.9 +/- 7.9 mm, whereas it was only 7.7 +/- 4.7 mm for in-line PET/CT (P &lt; 0.001).\nCONCLUSION: In patients with suspected recurrent CRC, in-line PET/CT significantly improves staging compared with PET alone. Due to its high failure rate, software fusion of independently acquired PET and CT studies cannot be considered to represent an alternative to in-line PET/CT.","container-title":"Journal of Nuclear Medicine: Official Publication, Society of Nuclear Medicine","ISSN":"0161-5505","issue":"4","journalAbbreviation":"J Nucl Med","language":"eng","note":"PMID: 15809480","page":"587-595","source":"PubMed","title":"Comparison between 18F-FDG PET, in-line PET/CT, and software fusion for restaging of recurrent colorectal cancer","volume":"46","author":[{"family":"Kim","given":"Jong-Ho"},{"family":"Czernin","given":"Johannes"},{"family":"Allen-Auerbach","given":"Martin S."},{"family":"Halpern","given":"Benjamin S."},{"family":"Fueger","given":"Barbara J."},{"family":"Hecht","given":"Joel R."},{"family":"Ratib","given":"Osman"},{"family":"Phelps","given":"Michael E."},{"family":"Weber","given":"Wolfgang A."}],"issued":{"date-parts":[["2005",4]]}},"label":"page"},{"id":486,"uris":["http://zotero.org/users/8787459/items/TSTMTMB7"],"itemData":{"id":486,"type":"article-journal","abstract":"Accurate detection of recurrent colorectal carcinoma remains a clinical challenge. 18-F-fluorodeoxyglucose-positron emission tomography is new imaging technique that allows direct evaluation of cellular metabolism. This method is mainly used in oncology, especially in fusion with computer tomography (FDG-PET/CT, PET/CT Fusion). The aim of the study was to evaluate the usefulness of FDG-PET/CT in diagnosis of recurrent colorectal cancer.\nMATERIAL AND METHODS: The results of FDG-PET/CT scan performed in 120 patients who had suspected recurrence disease were analyzed retrospectively. The definite diagnosis was established on the basis of histopathological examination or clinical follow-up. FDG-PET/CT results were compared with 76 computer tomography (CT), 30 magnetic resonance imaging (MRI), 81 ultrasonography (US), 75 chest roentgenogram (X-ray) and 91 carcinoembryonic antigen (CEA) test.\nRESULTS: Recurrence colorectal cancer was demonstrated on FDG-PET-CT in 69 patients (57.5%). In 24 patients local recurrence, 33 liver metastases, 23 pulmonary metastases and in 36 other metastases were found. A total of 116 suspicious lesions were identified. The final diagnosis of recurrence was obtained in 56 patients (46.6%). Sensitivity, specificity, and accuracy for malignant findings were: for FDG-PET/CT 98, 94 and 97%; for CEA test 68, 82 and 72%; for CT scan 85, 91 and 89%; for RMI scan 96, 86 and 93%; for ultrasound test 71, 96 and 82%; for X-ray 87, 96 and 92%, respectively. FDG-PET-CT influenced surgical decisions in 23.6% of cases.\nCONCLUSIONS: FDG-PET/CT is a very useful diagnostic method in case of patients with suspected recurrence of colorectal carcinoma. Its usefulness is higher than the serum level of CEA and other conventional imaging modalities (CT MRI, US, X-ray).","container-title":"Polski Merkuriusz Lekarski: Organ Polskiego Towarzystwa Lekarskiego","ISSN":"1426-9686","journalAbbreviation":"Pol Merkur Lekarski","language":"pol","note":"PMID: 15603351","page":"63-66","source":"PubMed","title":"[Evaluation of positron emission tomography by using F-18-fluorodeoxyglucose in diagnosis of recurrent colorectal cancer]","volume":"17 Suppl 1","author":[{"family":"Kula","given":"Zbigniew"},{"family":"Szefer","given":"Jarosław"},{"family":"Zuchora","given":"Zdzisław"},{"family":"Romanowicz","given":"Grzegorz"},{"family":"Pietrzak","given":"Tomasz"}],"issued":{"date-parts":[["2004"]]}},"label":"page"},{"id":490,"uris":["http://zotero.org/users/8787459/items/UAT7UWVU"],"itemData":{"id":490,"type":"article-journal","abstract":"BACKGROUND: Studies reported various diagnostic value of radiologic imaging modalities for diagnosis and management of colorectal cancer (CRC).\nAIMS: To summary the diagnosis and management of CRC using computed tomography colonography (CTC), magnetic resonance colonography (MRC), and positron emission tomography (PET)/computed tomography (CT).\nMETHODS: Comprehensive literature searches were conducted in PubMed, EmBase, and the Cochrane library for studies published before April 2021. The diagnostic performance of CTC, MRC, and PET/CT for CRC was summarized.\nRESULTS: A total of 54 studies (17 studies for CTC, 8 studies for MRC, and 29 studies for PET/CT) were selected for final analysis. The sensitivity and specificity for CTC ranged from 27 to 100%, 88 to 100%, respectively, and the pooled sensitivity and specificity for CTC were 0.97 (95% CI 0.88-0.99) and 0.99 (95% CI 0.99-1.00). The sensitivity and specificity for MRC ranged from 48 to 100%, 60 to 100%, respectively, and the pooled sensitivity and specificity for MRC were 0.98 (95% C: 0.77-1.00) and 0.94 (95% CI 0.84-0.98). The sensitivity and specificity for PET/CT ranged from 84 to 100%, 33 to 100%, respectively, and the pooled sensitivity and specificity for PET/CT were 0.94 (95% CI 0.92-0.96) and 0.94 (95% CI 0.90-0.97). The area under the receiver operating characteristic curve for CTC, MRC, and PET/CT was 1.00 (95% CI 0.99-1.00), 0.99 (95% CI 0.98-1.00), and 0.97 (0.95% CI 0.95-0.98), respectively.\nCONCLUSIONS: This study suggested both CTC and MRC with relative higher diagnostic value for diagnosing CRC, while PET/CT with higher diagnostic value in detecting local recurrence for patients with CRC.","container-title":"Digestive Diseases and Sciences","DOI":"10.1007/s10620-021-07166-0","ISSN":"1573-2568","journalAbbreviation":"Dig Dis Sci","language":"eng","note":"PMID: 34328590","source":"PubMed","title":"Radiologic Imaging Modalities for Colorectal Cancer","author":[{"family":"Liu","given":"Wen"},{"family":"Zeng","given":"An-Rong"},{"family":"Tang","given":"Han-Zhou"},{"family":"Qiang","given":"Jin-Wei"}],"issued":{"date-parts":[["2021",7,30]]}},"label":"page"},{"id":477,"uris":["http://zotero.org/users/8787459/items/YIGB3IF7"],"itemData":{"id":477,"type":"article-journal","abstract":"OBJECTIVE: The purpose of this study was to compare the diagnostic performance of manually fused PET images obtained using 18F-FDG and CT images with that of CT alone, PET alone, and conventional side-by-side review of PET images and CT images (hereafter referred to as \"PET + CT\") in patients with suspected recurrent colorectal cancer.\nMATERIALS AND METHODS: Ethics committee approval and informed consent were obtained. Sixty-three patients with suspected recurrent colorectal cancer underwent whole-body 18F-FDG PET followed by diagnostic CT. The acquired PET and CT images were merged on a workstation on a pixel-to-pixel basis. CT, PET, PET + CT, and fused images were evaluated separately in terms of the presence or absence of recurrence, new metastases, or both using a 5-point grading scale (0 = definitely negative, 1 = probably negative, 2 = equivocal, 3 = probably positive, and 4 = definitely positive). Lesions determined to be grade 3 or 4 were considered positive, and diagnostic accuracy and certainty were evaluated with statistical analysis using the chi-square test for independence.\nRESULTS: Of 119 pathologically or clinically confirmed lesions in 36 patients, evaluation of CT, PET, PET + CT, and fused images resulted in the detection of 75 (63%), 84 (71%), 91 (76%), and 111 (93%) lesions, respectively (p &lt; 0.01) with the number of grade 4 lesions detected being 59 (50%), 72 (61%), 84 (71%), and 108 (91%), respectively (p &lt; 0.01). Overall, the diagnostic accuracy of CT, PET, PET + CT, and fused images according to patient were 78%, 79%, 84%, and 92%, respectively (p = 0.13).\nCONCLUSION: Interpreting fused images provided more accurate diagnoses than interpreting CT, PET, or PET + CT images. This method of manually fusing separately obtained PET and CT images increased the diagnostic certainty for detecting colorectal cancer recurrence and decreased the number of equivocal cases.","container-title":"AJR. American journal of roentgenology","DOI":"10.2214/AJR.05.0708","ISSN":"1546-3141","issue":"1","journalAbbreviation":"AJR Am J Roentgenol","language":"eng","note":"PMID: 17179375","page":"257-267","source":"PubMed","title":"Clinical value of manual fusion of PET and CT images in patients with suspected recurrent colorectal cancer","volume":"188","author":[{"family":"Nakamoto","given":"Yuji"},{"family":"Sakamoto","given":"Setsu"},{"family":"Okada","given":"Tomohisa"},{"family":"Senda","given":"Michio"},{"family":"Higashi","given":"Tatsuya"},{"family":"Saga","given":"Tsuneo"},{"family":"Togashi","given":"Kaori"}],"issued":{"date-parts":[["2007",1]]}},"label":"page"},{"id":494,"uris":["http://zotero.org/users/8787459/items/8TZDDTXY"],"itemData":{"id":494,"type":"article-journal","abstract":"PURPOSE: To evaluate the usefulness of 2-[(18)F]fluoro-2-deoxy-D-glucose-positron emission tomography/computed tomography (FDG-PET/CT) in the early detection of resectable recurrences of colorectal cancer (CRC) and the impacts on the clinical disease management.\nMETHODS: FDG-PET/CT was performed on patients with elevated serum carcinoembryonic antigen (CEA) levels &gt;5 ng/mL (Group 1) or suspicious recurrences without rise in serum CEA levels (Group 2). The results were analyzed on the basis of histological data, disease progression, and/or clinical follow-up. Recurrence was defined as evidence of recurrent lesions within 6 months of the FDG-PET/CT scan. Resectable recurrences and changes in management were calculated based on medical records.\nRESULTS: In our study, 128 consecutive FDG-PET/CT analyses (n=49 in Group 1 and n=79 in Group 2) were performed on 96 recruited patients. Recurrences were proven in 63. The overall sensitivity, specificity, and accuracy of FDG-PET/CT were 98.4%, 89.2%, and 93.8%, respectively, and were 100%, 88.9%, and 95.9% in Group 1 and 96.9% and 89.4% and 92.4% in Group 2, respectively. Surgical resections were performed in 38.7% (12/31) of Group 1 patients and 53.1% (17/32) of Group 2 patients. FDG-PET/CT induced changes in planned management in 48.4% (62/128) of all patients, which included 63.3% (31/49) of Group 1 patients and 39.2% (31/79) of Group 2 patients (p=0.008). After a follow-up, 3.4% (1/29) of patients who underwent surgical resection of recurrent lesions and 34.3% (11/34) patients who did not undergo resection died at the end of study (p=0.004).\nCONCLUSIONS: The surgical resection of limited recurrent disease, as determined by FDG-PET/CT, improves the survival of CRC patients. FDG-PET/CT should be performed not only in patients with elevated serum CEA levels, but also in those in whom recurrences are suspected to improve the early detection of resectable disease.","container-title":"Cancer Biotherapy &amp; Radiopharmaceuticals","DOI":"10.1089/cbr.2012.1382","ISSN":"1557-8852","issue":"6","journalAbbreviation":"Cancer Biother Radiopharm","language":"eng","note":"PMID: 23713869\nPMCID: PMC3715809","page":"479-487","source":"PubMed","title":"Detection of resectable recurrences in colorectal cancer patients with 2-[18F]fluoro-2-deoxy-D-glucose-positron emission tomography/computed tomography","volume":"28","author":[{"family":"Peng","given":"Nan-Jing"},{"family":"Hu","given":"Chin"},{"family":"King","given":"Tai-Ming"},{"family":"Chiu","given":"Yu-Li"},{"family":"Wang","given":"Jui-Ho"},{"family":"Liu","given":"Ren-Shyan"}],"issued":{"date-parts":[["2013",8]]}},"label":"page"},{"id":481,"uris":["http://zotero.org/users/8787459/items/MJPQJHKF"],"itemData":{"id":481,"type":"article-journal","abstract":"BACKGROUND: Accuracy of (18)F-fluorodeoxyglucose positron emission tomography (FDG-PET) and contribution to surgical decision making in recurrent or metastatic colorectal cancer were evaluated.\nMETHODS: One hundred whole-body PET tests in colorectal cancer patients (1994 to 1998) were compared with computed tomography (CT), liver ultrasonography, and carcinoembryonic antigen (CEA) test. Mean follow-up was 12 months.\nRESULTS: Sensitivity, specificity, and accuracy of FDG-PET for malignant findings were, respectively, 98%, 90% and 95%; for 87 CT scans, 91%, 72%, and 82%; for 98 CEA tests, 76%, 90%, and 82%; for detection of liver metastases with PET, 100%, 99%, and 99%; and for 68 ultrasound tests, 87%, 96%, and 93%. PET accuracy for local recurrence was 96%. Additional information was provided by PET in 86% of cases (abdomen, thorax, liver). PET influenced surgical decisions in 61% of cases.\nCONCLUSION: FDG-PET adds relevant accuracy to the conventional staging of patients with colorectal cancer and may cost-effectively help to select the appropriate treatment.","container-title":"American Journal of Surgery","DOI":"10.1016/s0002-9610(00)00406-2","ISSN":"0002-9610","issue":"1","journalAbbreviation":"Am J Surg","language":"eng","note":"PMID: 11036130","page":"1-5","source":"PubMed","title":"Is (18)F-fluorodeoxyglucose positron emission tomography in recurrent colorectal cancer a contribution to surgical decision making?","volume":"180","author":[{"family":"Staib","given":"L."},{"family":"Schirrmeister","given":"H."},{"family":"Reske","given":"S. N."},{"family":"Beger","given":"H. G."}],"issued":{"date-parts":[["2000",7]]}},"label":"page"},{"id":488,"uris":["http://zotero.org/users/8787459/items/8XDR5W5D"],"itemData":{"id":488,"type":"article-journal","abstract":"Positron emission tomography (PET) using [(18)F]-2-deoxy-2-fluoro-d-glucose (FDG) has emerged as a promising diagnostic modality in recurrent colorectal cancer. Data in the literature show that the addition of FDG-PET changes disease management in up to 30% of patients with potentially resectable liver metastases, mainly by detecting previously unknown extrahepatic disease. Furthermore, FDG-PET is useful in the follow-up of patients who underwent surgical procedures of the liver, since it is exquisitely sensitive in detecting residual or relapse malignancy in scarred liver tissue following both resection and local ablative techniques. For follow-up during systemic therapy, early FDG-PET appears predictive for response to therapy. However, at present, the available data are insufficient to justify the FDG-PET-driven management of patients treated with chemotherapy. FDG-PET and computerized tomography are complimentary techniques in staging and restaging patients with advanced colorectal cancer. The combination of these two modalities significantly impacts upon patient management.","container-title":"Expert Review of Anticancer Therapy","DOI":"10.1586/14737140.4.4.607","ISSN":"1473-7140","issue":"4","journalAbbreviation":"Expert Rev Anticancer Ther","language":"eng","note":"PMID: 15270664","page":"607-613","source":"PubMed","title":"Role of FDG-PET in the diagnosis and treatment of colorectal liver metastases","volume":"4","author":[{"family":"Wiering","given":"Bastiaan"},{"family":"Ruers","given":"Theo J. M."},{"family":"Oyen","given":"Wim J. G."}],"issued":{"date-parts":[["2004",8]]}},"label":"page"}],"schema":"https://github.com/citation-style-language/schema/raw/master/csl-citation.json"}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szCs w:val="24"/>
        </w:rPr>
        <w:t>[133</w:t>
      </w:r>
      <w:r w:rsidR="00FF4BDB" w:rsidRPr="00FF4BDB">
        <w:rPr>
          <w:rFonts w:ascii="Times New Roman" w:hAnsi="Times New Roman" w:cs="Times New Roman"/>
          <w:sz w:val="28"/>
          <w:szCs w:val="24"/>
        </w:rPr>
        <w:t>-</w:t>
      </w:r>
      <w:r w:rsidR="00F6152F" w:rsidRPr="00F6152F">
        <w:rPr>
          <w:rFonts w:ascii="Times New Roman" w:hAnsi="Times New Roman" w:cs="Times New Roman"/>
          <w:sz w:val="28"/>
          <w:szCs w:val="24"/>
        </w:rPr>
        <w:t>140]</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p>
    <w:p w14:paraId="2609D86B" w14:textId="089F927E"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val="en-US" w:eastAsia="ru-RU"/>
        </w:rPr>
        <w:t>Ogunbiyi</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et</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al</w:t>
      </w:r>
      <w:r w:rsidR="00184001"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сообщили о высокой чувствительности (95%) и специфичности ПЭТ с FDG в выявлении метастазов в печень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0NFZZUVo","properties":{"formattedCitation":"[141\\uc0\\u8211{}143]","plainCitation":"[141–143]","noteIndex":0},"citationItems":[{"id":500,"uris":["http://zotero.org/users/8787459/items/6ZZU7W2A"],"itemData":{"id":500,"type":"article-journal","abstract":"Positron emission tomography (PET) has been successfully used to image colorectal cancer (CRC). This study evaluated the accuracy of 2-[(18)F]-fluoro-2-deoxy- D-glucose (FDG) PET for the detection and staging of recurrent CRC and the consequent impact on clinical management. Forty-two patients previously treated for CRC were investigated for suspected recurrence and, if recurrence was confirmed, the extent of disease was evaluated. All patients underwent whole-body FDG-PET and computed tomography (CT) scan and results were compared to assess sensitivity, specificity and diagnostic accuracy for each modality. We then assessed the FDG-PET directed alteration in clinical management from that planned on the basis of spiral CT results. FDG-PET was more sensitive (93%) than CT (73%) for detection of recurrence (specificity 58% and 75%, respectively). FDG-PET yielded a correct diagnosis in 35 (83%) out of 42 patients, while CT did so in 31 patients (74%). FDG-PET was more accurate than CT for staging local recurrence (sensitivity 100%, specificity 86% with FDG-PET vs 75% and 100%, respectively, with CT) and CRC liver metastases (sensitivity 100% vs 45%; specificity 100% for both). Overall, PET upstaged 8 out of 30 patients (27%) and altered patient management in 16 (38%) cases. This study confirms that FDG-PET is more sensitive than CT for the detection and staging of recurrent CRC. The results also indicate that FDG-PET is an accurate means of selecting appropriate patients for operative treatment. When applied to routine clinical practice, patient management is altered.","container-title":"European Journal of Nuclear Medicine","DOI":"10.1007/s002590100646","ISSN":"0340-6997","issue":"12","journalAbbreviation":"Eur J Nucl Med","language":"eng","note":"PMID: 11734912","page":"1758-1765","source":"PubMed","title":"The impact of FDG-PET on the management algorithm for recurrent colorectal cancer","volume":"28","author":[{"family":"Arulampalam","given":"T."},{"family":"Costa","given":"D."},{"family":"Visvikis","given":"D."},{"family":"Boulos","given":"P."},{"family":"Taylor","given":"I."},{"family":"Ell","given":"P."}],"issued":{"date-parts":[["2001",12]]}},"label":"page"},{"id":498,"uris":["http://zotero.org/users/8787459/items/RU88FVQJ"],"itemData":{"id":498,"type":"article-journal","abstract":"BACKGROUND: Serum tumor markers and computed tomography (CT) are the most widely accepted monitoring tools for the follow-up patients with colorectal cancer (CRC). Positron emission tomography (PET) with 18[F]-fluorodeoxyglucose (FDG) is a promising modality for the evaluation of recurrent CRC. The purpose of this study was to (1) investigate the sensitivity and specificity of serum tumor marker assay, CT and FDG PET-CT, (2) determine the correlation of these markers with FDG PET-CT quantitative indices such as maximum standardized uptake value (SUVmax), metabolic tumor volume (MTV) and total lesion glycolysis (TLG) in patients suspected to have recurrent CRC.\nPATIENTS: FDG PET-CT imaging was performed in 212 patients with possible CRC recurrence. A retrospective study was performed on patients with (1) a history of CRC with complete remission after treatment, (2) pathology of adenocarcinoma and (3) increase in cancer antigen 19-9 (CA 19-9) and/or carcinoembryonic antigen (CEA) or suspicious radiological evaluation during follow-up after complete remission.\nMETHODS: All patients underwent integrated FDG PET-CT scan. Serum tumor markers were obtained within 3 months of PET-CT. All enrolled cases showed increase in a tumor marker over the reference value on at least two serial measurements or abnormal CT scan before PET-CT was performed. Results were compared with histopathological findings or clinical follow-up.\nRESULTS: Following exclusion of 57 patients with missing data or lost to follow-up, 155 patients (87 men, mean age: 61 years) remained for final analysis. Serum CEA and CA 19-9 had a sensitivity of 74 and 35% and specificity of 86 and 83% for the detection recurrent CRC, respectively. The sensitivities of CT and FDG PET-CT were 79 and 92% and specificities were 45 and 100%, respectively. At an adaptive threshold of 42%, the median SUVmax, SUVmean, MTV and TLG of these lesions were 8.8, 5.2, 11.3 cm[Formula: see text] and 55.4, respectively. All FDG PET-CT quantitative parameters correlated positively with serum CEA levels, and the correlation coefficients were 0.45, 0.44 and 0.49 for SUVmax, MTV and TLG [Formula: see text].\nCONCLUSION: PET-CT scan, CEA and CA-19-9 results were correlated. However, both tumor markers had poor sensitivity to detect metastatic disease. PET-CT is more accurate than CT in detecting recurrent CRC in this study. Majority of the recurrences were in the liver and the sensitivity is affected by tumor histology. The correlation between semiquantitative FDG PET parameters and serum tumor marker levels is moderate.","container-title":"International Journal of Computer Assisted Radiology and Surgery","DOI":"10.1007/s11548-014-1115-8","ISSN":"1861-6429","issue":"7","journalAbbreviation":"Int J Comput Assist Radiol Surg","language":"eng","note":"PMID: 25213271","page":"993-1002","source":"PubMed","title":"Value of CT, FDG PET-CT and serum tumor markers in staging recurrent colorectal cancer","volume":"10","author":[{"family":"Caglar","given":"Meltem"},{"family":"Yener","given":"Can"},{"family":"Karabulut","given":"Erdem"}],"issued":{"date-parts":[["2015",7]]}},"label":"page"},{"id":496,"uris":["http://zotero.org/users/8787459/items/YX2MW65Q"],"itemData":{"id":496,"type":"article-journal","abstract":"BACKGROUND: This study evaluates the clinical value of positron emission tomography (PET) with 2-[F-18] fluoro-2-deoxy-D-glucose (FDG) as compared to computed tomography (CT) in patients with suspected recurrent or metastatic colorectal cancer (CRC).\nMETHODS: A retrospective review of the records of 58 patients who had FDG-PET for evaluation of recurrent or advanced primary CRC was performed. FDG-PET results were compared with those of CT and correlated with operative and histopathologic findings, or with clinical course and autopsy reports.\nRESULTS: Recurrent or advanced primary CRC was diagnosed in 40 and 11 patients, respectively. The sensitivity and specificity of FDG-PET were 91% and 100% for detecting local pelvic recurrence, and 95% and 100% for hepatic metastases. These values were superior to CT, which had sensitivity and specificity of 52% and 80% for detecting pelvic recurrence, and 74% and 85% for hepatic metastases. FDG-PET correctly identified pelvic recurrence in 19 of 21 patients; CT was negative in 6 of these patients and equivocal in 4. FDG-PET was superior to CT in detecting multiple hepatic lesions and influenced clinical management in 10 of 23 (43%) patients.\nCONCLUSION: FDG-PET is more sensitive than CT in the clinical assessment of patients with recurrent or metastatic CRC, and provides an accurate means of selecting appropriate treatment for these patients.","container-title":"Annals of Surgical Oncology","DOI":"10.1007/BF02303744","ISSN":"1068-9265","issue":"8","journalAbbreviation":"Ann Surg Oncol","language":"eng","note":"PMID: 9416407","page":"613-620","source":"PubMed","title":"Detection of recurrent and metastatic colorectal cancer: comparison of positron emission tomography and computed tomography","title-short":"Detection of recurrent and metastatic colorectal cancer","volume":"4","author":[{"family":"Ogunbiyi","given":"O. A."},{"family":"Flanagan","given":"F. L."},{"family":"Dehdashti","given":"F."},{"family":"Siegel","given":"B. A."},{"family":"Trask","given":"D. D."},{"family":"Birnbaum","given":"E. H."},{"family":"Fleshman","given":"J. W."},{"family":"Read","given":"T. E."},{"family":"Philpott","given":"G. W."},{"family":"Kodner","given":"I. J."}],"issued":{"date-parts":[["1997",12]]}},"label":"page"}],"schema":"https://github.com/citation-style-language/schema/raw/master/csl-citation.json"}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szCs w:val="24"/>
        </w:rPr>
        <w:t>[141</w:t>
      </w:r>
      <w:r w:rsidR="00FF4BDB" w:rsidRPr="00D3420D">
        <w:rPr>
          <w:rFonts w:ascii="Times New Roman" w:hAnsi="Times New Roman" w:cs="Times New Roman"/>
          <w:sz w:val="28"/>
          <w:szCs w:val="24"/>
        </w:rPr>
        <w:t>-</w:t>
      </w:r>
      <w:r w:rsidR="00F6152F" w:rsidRPr="00F6152F">
        <w:rPr>
          <w:rFonts w:ascii="Times New Roman" w:hAnsi="Times New Roman" w:cs="Times New Roman"/>
          <w:sz w:val="28"/>
          <w:szCs w:val="24"/>
        </w:rPr>
        <w:t>143]</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Rohren</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et</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al</w:t>
      </w:r>
      <w:r w:rsidR="00184001"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опубликовали свои результаты обследования больных с </w:t>
      </w:r>
      <w:r w:rsidR="00E706A5">
        <w:rPr>
          <w:rFonts w:ascii="Times New Roman" w:eastAsia="Times New Roman" w:hAnsi="Times New Roman" w:cs="Times New Roman"/>
          <w:sz w:val="28"/>
          <w:szCs w:val="28"/>
          <w:lang w:val="kk-KZ" w:eastAsia="ru-RU"/>
        </w:rPr>
        <w:t>колоректальным раком</w:t>
      </w:r>
      <w:r w:rsidRPr="00A43B9C">
        <w:rPr>
          <w:rFonts w:ascii="Times New Roman" w:eastAsia="Times New Roman" w:hAnsi="Times New Roman" w:cs="Times New Roman"/>
          <w:sz w:val="28"/>
          <w:szCs w:val="28"/>
          <w:lang w:eastAsia="ru-RU"/>
        </w:rPr>
        <w:t xml:space="preserve"> и наличием печеночных метастазов на предмет оценки возможности их куративной резекции. Чувствительность ПЭТ с FDG составила 95%, а специфичность 100%. Возможность выявления поражений с помощью ПЭТ с FDG прямо коррелировала с размерами поражения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{"citationID":"CVwS8KNm","properties":{"formattedCitation":"[3, 33, 144\\uc0\\u8211{}148]","plainCitation":"[3, 33, 144–148]","noteIndex":0},"citationItems":[{"id":514,"uris":["http://zotero.org/users/8787459/items/JEE9RH39"],"itemData":{"id":514,"type":"article-journal","abstract":"Positron Emission Tomography/Computerized Tomography (PET/CT) is an important assessment method in restaging of oncology patients. Its ability to detect the metabolic/functional changes in patients with colorectal cancer during the early stages, in which morphological changes cannot be documented, is significantly superior to other imaging modalities.","container-title":"Ulusal Cerrahi Dergisi","DOI":"10.5152/UCD.2013.42","ISSN":"1300-0705","issue":"2","journalAbbreviation":"Ulus Cerrahi Derg","language":"eng","note":"PMID: 25931851\nPMCID: PMC4379843","page":"76-80","source":"PubMed","title":"Restaging of colorectal cancer and PET/CT","volume":"29","author":[{"family":"Çınar","given":"Alev"},{"family":"Gençoğlu","given":"Esra Arzu"},{"family":"Korkmaz","given":"Meliha"}],"issued":{"date-parts":[["2013"]]}},"label":"page"},{"id":508,"uris":["http://zotero.org/users/8787459/items/VCXXP7UM"],"itemData":{"id":508,"type":"article-journal","abstract":"PURPOSE: Preoperative F-18-fluoro-2-deoxy-glucose positron emission tomography (18F-FDG PET) imaging results appear to predict tumor recurrence and patient survival. The present study compared outcomes between PET-positive and PET-negative groups with HBV-related hepatocellular carcinoma (HCC) who underwent curative hepatectomy and assessed the prognostic value of positive PET-CT for HCC recurrence and death.\nMETHODS: This study included patients who underwent liver resection of solitary HCC between 2007 and 2014 based on preoperative radiological images. There were 133 patients in the PET-positive group and 93 in the PET-negative group.\nRESULTS: There were no statistically significant differences in baseline, perioperative, or pathologic characteristics between the 2 groups except HBsAg titer, tumor size, and presence of bile duct tumor thrombi. Multivariate analysis showed that tumor size &gt;3.5 cm and HBsAg titer &gt;1,000 cutoff index were predisposing factors of positive PET-CT. Disease-free survival and overall survival rate at 1, 3, and 5 years were 76.3%, 64.4%, 60.3% and 96.8%, 91.1%, 85.1% in the PET-negative group, respectively, compared with 70.7%, 62.2%, 58.9% and 98.5%, 97.0%, 97.0% in the PET-positive group (P = 0.547 and P = 0.046). Multivariate analysis showed that positive PET-CT was closely associated with increased patient survival, but was not related to HCC recurrence.\nCONCLUSION: These results suggest that positive PET findings are not a predisposing factor for recurrence of HBV-related HCC patients, but appear to be associated with improved patient survival. Further prospective studies are needed to confirm the prognostic value of 18F-FDG PET in these patients.","container-title":"Annals of Surgical Treatment and Research","DOI":"10.4174/astr.2018.94.4.183","ISSN":"2288-6575","issue":"4","journalAbbreviation":"Ann Surg Treat Res","language":"eng","note":"PMID: 29629352\nPMCID: PMC5880975","page":"183-189","source":"PubMed","title":"Prognosis of preoperative positron emission tomography uptake in hepatectomy patients","volume":"94","author":[{"family":"Kim","given":"Jong Man"},{"family":"Kwon","given":"Choon Hyuck David"},{"family":"Joh","given":"Jae-Won"},{"family":"Sinn","given":"Dong Hyun"},{"family":"Choi","given":"Gyu-Seong"},{"family":"Paik","given":"Seung Woon"}],"issued":{"date-parts":[["2018",4]]}},"label":"page"},{"id":517,"uris":["http://zotero.org/users/8787459/items/DRMNUQAH"],"itemData":{"id":517,"type":"article-journal","abstract":"PURPOSE: Accurate preoperative staging of colon cancer is essential for providing the optimal treatment strategy and evaluating the expected prognosis. The aim of this study is to assess the value of positron emission tomography/computed tomography (PET/CT) over conventional studies in the staging of colon cancer.\nMETHODS: A total of 266 colon cancer patients diagnosed between January 2008 and December 2010 were assessed with both PET/CT and conventional studies. Discordance with PET/CT and conventional studies were evaluated, and changes in the management strategy were assessed for each stage. Discordant findings were verified by using intraoperative examination, pathology reports, and follow-up imaging studies.\nRESULTS: Multidetector computed tomography (MDCT) and PET/CT showed similar accuracy in detecting lymph node metastasis in patients with clinical stage III (36.2% vs. 42%, P = 0.822) and stage IV (60.3% vs. 63.5%, P = 0.509) disease. PET/CT led to a change in management strategy for 1 of 40 patients (2.5%) with clinical stage I, 0 of 25 patients (0%) with stage II, 9 of 138 patients (6.5%) with stage III, and 8 of 63 patients (12.7%) with stage IV disease.\nCONCLUSION: PET/CT changed the management plan in 6.5% of patients with clinical stage III and 12.7% of patients with clinical stage IV colon cancer. Our findings suggest that PET/CT may be considered as a routine staging tool for clinical stage III and IV colon cancers.","container-title":"Annals of Coloproctology","DOI":"10.3393/ac.2014.30.1.23","ISSN":"2287-9714","issue":"1","journalAbbreviation":"Ann Coloproctol","language":"eng","note":"PMID: 24639967\nPMCID: PMC3953165","page":"23-27","source":"PubMed","title":"Positron emission tomography/computed tomography in the staging of colon cancer","volume":"30","author":[{"family":"Lee","given":"Jae Hyung"},{"family":"Lee","given":"Min Ro"}],"issued":{"date-parts":[["2014",2]]}},"label":"page"},{"id":511,"uris":["http://zotero.org/users/8787459/items/ALE9T9ZH"],"itemData":{"id":511,"type":"article-journal","abstract":"BACKGROUND/AIMS: 18F-fluorodeoxyglucose positron emission tomography/computed tomography (FDG-PET/CT) has been used for preoperative staging of colorectal cancer (CRC). However, the diagnostic accuracy of FDG-PET/CT for detection of lymph node or distant metastasis and its prognostic role have not been well established. We therefore evaluated the diagnostic and prognostic value of FDG-PET/CT in comparison with conventional CT for CRC.\nMETHODS: We investigated 220 patients who underwent preoperative FDG-PET/CT and CT, followed by curative surgery for CRC. The sensitivity, specificity, accuracy, positive predictive value, and negative predictive value of FDG-PET/CT and CT for detection of lymph node metastasis and distant metastasis were evaluated. In addition, we assessed the findings of FDG-PET/CT and CT according to outcomes, including cancer recurrence and cancer-related death, for evaluation of prognostic value.\nRESULTS: For detection of lymph node metastasis, FDG-PET/CT had a sensitivity of 44%, a specificity of 84%, and an accuracy of 67%, compared with 59%, 65%, and 62%, respectively, for CT (P=0.029, P=0.000, and P=0.022). For distant metastasis, FDG-PET/CT had a sensitivity of 79%, a specificity of 94%, and an accuracy of 93%, compared with 79%, 87%, and 86%, respectively, for CT (P=1.000, P=0.004, and P=0.037). In addition, positive findings of lymph node metastasis and distant metastasis on FDG-PET/CT were associated significantly with cancer recurrence or cancer-related death (P=0.009, P=0.001, respectively).\nCONCLUSIONS: Preoperative FDG-PET/CT had a higher specificity and accuracy compared to CT for detection of lymph node metastasis and distant metastasis of CRC. In addition, FDG-PET/CT could be a valuable prognostic tool for CRC.","container-title":"Intestinal Research","DOI":"10.5217/ir.2017.15.2.208","ISSN":"1598-9100","issue":"2","journalAbbreviation":"Intest Res","language":"eng","note":"PMID: 28522951\nPMCID: PMC5430013","page":"208-214","source":"PubMed","title":"Diagnostic and prognostic value of preoperative 18F-fluorodeoxyglucose positron emission tomography/computed tomography for colorectal cancer: comparison with conventional computed tomography","title-short":"Diagnostic and prognostic value of preoperative 18F-fluorodeoxyglucose positron emission tomography/computed tomography for colorectal cancer","volume":"15","author":[{"family":"Lee","given":"Joo Young"},{"family":"Yoon","given":"Soon Man"},{"family":"Kim","given":"Jeong Tae"},{"family":"Kim","given":"Ki Bae"},{"family":"Kim","given":"Mi Jin"},{"family":"Park","given":"Jae Geun"},{"family":"Lee","given":"Taek-Gu"},{"family":"Lee","given":"Sang-Jeon"},{"family":"Koong","given":"Sung Soo"},{"family":"Han","given":"Joung-Ho"},{"family":"Chae","given":"Hee Bok"},{"family":"Park","given":"Seon Mee"},{"family":"Youn","given":"Sei Jin"}],"issued":{"date-parts":[["2017",4]]}},"label":"page"},{"id":506,"uris":["http://zotero.org/users/8787459/items/ZRK3JR7R"],"itemData":{"id":506,"type":"article-journal","abstract":"The liver is the commonest site of metastatic disease for patients with colorectal cancer, with at least 25% developing colorectal liver metastases (CRLM) during the course of their illness. The management of CRLM has evolved into a complex field requiring input from experienced members of a multi-disciplinary team involving radiology (cross sectional, nuclear medicine and interventional), Oncology, Liver surgery, Colorectal surgery, and Histopathology. Patient management is based on assessment of sophisticated clinical, radiological and biomarker information. Despite incomplete evidence in this very heterogeneous patient group, maximising resection of CRLM using all available techniques remains a key objective and provides the best chance of long-term survival and cure. To this end, liver resection is maximised by the use of downsizing chemotherapy, optimisation of liver remnant by portal vein embolization, associating liver partition and portal vein ligation for staged hepatectomy, and combining resection with ablation, in the context of improvements in the functional assessment of the future remnant liver. Liver resection may safely be carried out laparoscopically or open, and synchronously with, or before, colorectal surgery in selected patients. For unresectable patients, treatment options including systemic chemotherapy, targeted biological agents, intra-arterial infusion or bead delivered chemotherapy, tumour ablation, stereotactic radiotherapy, and selective internal radiotherapy contribute to improve survival and may convert initially unresectable patients to operability. Currently evolving areas include biomarker characterisation of tumours, the development of novel systemic agents targeting specific oncogenic pathways, and the potential re-emergence of radical surgical options such as liver transplantation.","container-title":"World Journal of Clinical Oncology","DOI":"10.5306/wjco.v11.i10.761","ISSN":"2218-4333","issue":"10","journalAbbreviation":"World J Clin Oncol","language":"eng","note":"PMID: 33200074\nPMCID: PMC7643190","page":"761-808","source":"PubMed","title":"Colorectal liver metastases: Current management and future perspectives","title-short":"Colorectal liver metastases","volume":"11","author":[{"family":"Martin","given":"Jack"},{"family":"Petrillo","given":"Angelica"},{"family":"Smyth","given":"Elizabeth C."},{"family":"Shaida","given":"Nadeem"},{"family":"Khwaja","given":"Samir"},{"family":"Cheow","given":"H. K."},{"family":"Duckworth","given":"Adam"},{"family":"Heister","given":"Paula"},{"family":"Praseedom","given":"Raaj"},{"family":"Jah","given":"Asif"},{"family":"Balakrishnan","given":"Anita"},{"family":"Harper","given":"Simon"},{"family":"Liau","given":"Siong"},{"family":"Kosmoliaptsis","given":"Vasilis"},{"family":"Huguet","given":"Emmanuel"}],"issued":{"date-parts":[["2020",10,24]]}},"label":"page"},{"id":502,"uris":["http://zotero.org/users/8787459/items/3NZNQXUA"],"itemData":{"id":502,"type":"article-journal","abstract":"PURPOSE: The authors' goal was to determine the sensitivity and specificity of F-18 fluorodeoxyglucose (FDG) positron emission tomography (PET) for identifying patients with hepatic metastases from colorectal cancer and the accuracy of PET for determining the number and distribution of lesions within the liver. Intraoperative sonography and surgical inspection and palpation were used as the reference standard.\nMETHODS: Twenty-three patients being evaluated for surgical resection of hepatic metastases from colorectal carcinoma underwent FDG PET before operation. Findings of the PET studies were reviewed in a blinded, retrospective manner, with the results compared with the findings of intraoperative sonography and surgical exploration. Lesions of all sizes were considered in the analysis.\nRESULTS: The FDG-PET results were positive in 21 of the 22 patients ultimately found to have metastatic disease to the liver, and they were negative in the single patient without metastases. Therefore, for identification of patients with hepatic metastatic disease, PET has a sensitivity of 95% and a specificity of 100%. In all, 48 metastatic lesions were identified in these patients, of which 38 (79%) were identified on PET images. The probability of lesion detection by PET was directly correlated with lesion size (P &lt; 0.01). The assessment of lobar disease distribution in the liver was discordant between PET and surgery in 3 of 23 (13%) patients.\nCONCLUSIONS: In patients being evaluated for potential curative resection of hepatic metastases from colorectal cancer, FDG PET is accurate for the identification of the presence or absence of metastatic disease to the liver. However, detection of individual lesions depends on their size, and determination of lesion number and distribution within the liver is more accurately accomplished with intraoperative sonography.","container-title":"Clinical Nuclear Medicine","DOI":"10.1097/00003072-200208000-00002","ISSN":"0363-9762","issue":"8","journalAbbreviation":"Clin Nucl Med","language":"eng","note":"PMID: 12169999","page":"550-555","source":"PubMed","title":"The role of F-18 FDG positron emission tomography in preoperative assessment of the liver in patients being considered for curative resection of hepatic metastases from colorectal cancer","volume":"27","author":[{"family":"Rohren","given":"Eric M."},{"family":"Paulson","given":"Erik K."},{"family":"Hagge","given":"Rosalie"},{"family":"Wong","given":"Terrence Z."},{"family":"Killius","given":"James"},{"family":"Clavien","given":"Pierre-Alain"},{"family":"Nelson","given":"Rendon C."}],"issued":{"date-parts":[["2002",8]]}},"label":"page"},{"id":504,"uris":["http://zotero.org/users/8787459/items/G9S6GKZB"],"itemData":{"id":504,"type":"article-journal","abstract":"OBJECTIVE: The purpose of this study was to compare the diagnostic performance of preoperative positron emission tomography (PET) with FDG and intraoperative sonography with the standard of histologic examination of resected liver specimens in evaluating patients for curative resection of liver metastases from colorectal cancer.\nMATERIALS AND METHODS: We retrospectively identified 47 patients with recurrent colorectal cancer who underwent surgical exploration for possible curative resection of hepatic metastases. All patients underwent CT or MR imaging and FDG PET preoperatively and intraoperative sonography. The performance of the imaging techniques was evaluated through review of the radiologic reports and correlation with surgical and histopathologic findings.\nRESULTS: Eighty-seven malignant hepatic lesions were identified by histopathologic analysis of liver specimens, and 23 benign hepatic abnormalities were documented histopathologically or by uroradiologic imaging. For hepatic sections characterized as containing metastases by radiologic imaging, the positive predictive value for FDG PET was 93% (54/58); for intraoperative sonography, 87% (52/60); and for conventional imaging, 83% (43/52). For individual lesions characterized as probably malignant, the positive predictive value for FDG PET was 93% (62/68); for intraoperative sonography, 89% (63/71); and for conventional imaging, 78% (46/59). The findings at intraoperative sonography led to a change in the clinical treatment of only one patient (2%).\nCONCLUSION: The results indicate that FDG PET effectively screens potential candidates for curative liver resection. Although intraoperative sonography helps to determine the anatomic location of metastases thus facilitating surgical resection, its adjunctive use in patients screened preoperatively by FDG PET has limited impact on treatment selection.","container-title":"AJR. American journal of roentgenology","DOI":"10.2214/ajr.178.2.1780353","ISSN":"0361-803X","issue":"2","journalAbbreviation":"AJR Am J Roentgenol","language":"eng","note":"PMID: 11804891","page":"353-358","source":"PubMed","title":"Usefulness of intraoperative sonography for revealing hepatic metastases from colorectal cancer in patients selected for surgery after undergoing FDG PET","volume":"178","author":[{"family":"Rydzewski","given":"Bartosz"},{"family":"Dehdashti","given":"Farrokh"},{"family":"Gordon","given":"Brigid A."},{"family":"Teefey","given":"Sharlene A."},{"family":"Strasberg","given":"Steven M."},{"family":"Siegel","given":"Barry A."}],"issued":{"date-parts":[["2002",2]]}},"label":"page"}],"schema":"https://github.com/citation-style-language/schema/raw/master/csl-citation.json"}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szCs w:val="24"/>
        </w:rPr>
        <w:t>[144</w:t>
      </w:r>
      <w:r w:rsidR="00FF4BDB" w:rsidRPr="00D3420D">
        <w:rPr>
          <w:rFonts w:ascii="Times New Roman" w:hAnsi="Times New Roman" w:cs="Times New Roman"/>
          <w:sz w:val="28"/>
          <w:szCs w:val="24"/>
        </w:rPr>
        <w:t>-</w:t>
      </w:r>
      <w:r w:rsidR="00F6152F" w:rsidRPr="00F6152F">
        <w:rPr>
          <w:rFonts w:ascii="Times New Roman" w:hAnsi="Times New Roman" w:cs="Times New Roman"/>
          <w:sz w:val="28"/>
          <w:szCs w:val="24"/>
        </w:rPr>
        <w:t>148]</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 xml:space="preserve">. Авторы </w:t>
      </w:r>
      <w:r w:rsidRPr="00A43B9C">
        <w:rPr>
          <w:rFonts w:ascii="Times New Roman" w:eastAsia="Times New Roman" w:hAnsi="Times New Roman" w:cs="Times New Roman"/>
          <w:sz w:val="28"/>
          <w:szCs w:val="28"/>
          <w:lang w:eastAsia="ru-RU"/>
        </w:rPr>
        <w:lastRenderedPageBreak/>
        <w:t xml:space="preserve">заключили, что ПЭТ с FDG точна для определения резектабельности образований печени у больных с </w:t>
      </w:r>
      <w:r w:rsidR="00E706A5">
        <w:rPr>
          <w:rFonts w:ascii="Times New Roman" w:eastAsia="Times New Roman" w:hAnsi="Times New Roman" w:cs="Times New Roman"/>
          <w:sz w:val="28"/>
          <w:szCs w:val="28"/>
          <w:lang w:val="kk-KZ" w:eastAsia="ru-RU"/>
        </w:rPr>
        <w:t>колоректальным раком</w:t>
      </w:r>
      <w:r w:rsidRPr="00A43B9C">
        <w:rPr>
          <w:rFonts w:ascii="Times New Roman" w:eastAsia="Times New Roman" w:hAnsi="Times New Roman" w:cs="Times New Roman"/>
          <w:sz w:val="28"/>
          <w:szCs w:val="28"/>
          <w:lang w:eastAsia="ru-RU"/>
        </w:rPr>
        <w:t>.</w:t>
      </w:r>
    </w:p>
    <w:p w14:paraId="05DB2705" w14:textId="4729348E"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val="en-US" w:eastAsia="ru-RU"/>
        </w:rPr>
        <w:t>Kinkel</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et</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al</w:t>
      </w:r>
      <w:r w:rsidR="00184001"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провели ретроспективный анализ сравнения данных УЗИ, КТ и МРТ с ПЭТ с FDG в выявлении метастазов в печень при </w:t>
      </w:r>
      <w:r w:rsidR="00E706A5">
        <w:rPr>
          <w:rFonts w:ascii="Times New Roman" w:eastAsia="Times New Roman" w:hAnsi="Times New Roman" w:cs="Times New Roman"/>
          <w:sz w:val="28"/>
          <w:szCs w:val="28"/>
          <w:lang w:val="kk-KZ" w:eastAsia="ru-RU"/>
        </w:rPr>
        <w:t>колоректальном раке</w:t>
      </w:r>
      <w:r w:rsidRPr="00A43B9C">
        <w:rPr>
          <w:rFonts w:ascii="Times New Roman" w:eastAsia="Times New Roman" w:hAnsi="Times New Roman" w:cs="Times New Roman"/>
          <w:sz w:val="28"/>
          <w:szCs w:val="28"/>
          <w:lang w:eastAsia="ru-RU"/>
        </w:rPr>
        <w:t xml:space="preserve">. Значимая чувствительность метода со специфичностью выше, чем 85% составляла 55% для УЗИ, 72% для КТ, 76% для МРТ и 90% для ПЭТ с FDG. У больных с подозрениями на </w:t>
      </w:r>
      <w:r w:rsidR="00E706A5">
        <w:rPr>
          <w:rFonts w:ascii="Times New Roman" w:eastAsia="Times New Roman" w:hAnsi="Times New Roman" w:cs="Times New Roman"/>
          <w:sz w:val="28"/>
          <w:szCs w:val="28"/>
          <w:lang w:val="kk-KZ" w:eastAsia="ru-RU"/>
        </w:rPr>
        <w:t xml:space="preserve">колоректальные </w:t>
      </w:r>
      <w:r w:rsidRPr="00A43B9C">
        <w:rPr>
          <w:rFonts w:ascii="Times New Roman" w:eastAsia="Times New Roman" w:hAnsi="Times New Roman" w:cs="Times New Roman"/>
          <w:sz w:val="28"/>
          <w:szCs w:val="28"/>
          <w:lang w:eastAsia="ru-RU"/>
        </w:rPr>
        <w:t xml:space="preserve">рецидивные метастазы в печень чувствительность ПЭТ с FDG составляла 88%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0O7tIt6L","properties":{"formattedCitation":"[149\\uc0\\u8211{}153]","plainCitation":"[149–153]","noteIndex":0},"citationItems":[{"id":523,"uris":["http://zotero.org/users/8787459/items/5WLL43YZ"],"itemData":{"id":523,"type":"article-journal","abstract":"PURPOSE: To perform a meta-analysis to obtain sensitivity estimates of computed tomography (CT), magnetic resonance (MR) imaging, and fluorine 18 fluorodeoxyglucose (FDG) positron emission tomography (PET) for detection of colorectal liver metastases on per-patient and per-lesion bases.\nMATERIALS AND METHODS: MEDLINE, EMBASE, Web of Science, and CANCERLIT databases and Cochrane Database of Systematic Reviews were searched for relevant original articles published from January 1990 to December 2003. Criteria for inclusion of articles were as follows: Articles were reported in the English, German, or French language; CT, MR imaging, or FDG PET was performed to identify and characterize colorectal liver metastases; histopathologic analysis (surgery, biopsy, or autopsy), intraoperative observation (manual palpatation, intraoperative ultrasonography [US]), and/or follow-up US was the reference standard; and data were sufficient for calculation of true-positive or false-negative values. A random-effects linear regression model was used to obtain sensitivity estimates in assessment of liver metastases.\nRESULTS: Of 165 identified relevant articles, 61 fulfilled all inclusion criteria. Sensitivity estimates on a per-patient basis for nonhelical CT, helical CT, 1.5-T MR imaging, and FDG PET were 60.2%, 64.7%, 75.8%, and 94.6%, respectively; FDG PET was the most accurate modality. On a per-lesion basis, sensitivity estimates for nonhelical CT, helical CT, 1.0-T MR imaging, 1.5-T MR imaging, and FDG PET were 52.3%, 63.8%, 66.1%, 64.4%, and 75.9%, respectively; nonhelical CT had lowest sensitivity. Estimates of gadolinium-enhanced MR imaging and superparamagnetic iron oxide (SPIO)-enhanced MR imaging were significantly better, compared with nonenhanced MR imaging (P = .019 and P &lt; .001, respectively) and with helical CT with 45 g of iodine or less (P = .02 and P &lt; .001, respectively). For lesions of 1 cm or larger, SPIO-enhanced MR imaging was the most accurate modality (P &lt; .001).\nCONCLUSION: FDG PET had significantly higher sensitivity on a per-patient basis, compared with that of the other modalities, but not on a per-lesion basis. Sensitivity estimates for MR imaging with contrast agent were significantly superior to those for helical CT with 45 g of iodine or less.","container-title":"Radiology","DOI":"10.1148/radiol.2371042060","ISSN":"0033-8419","issue":"1","journalAbbreviation":"Radiology","language":"eng","note":"PMID: 16100087","page":"123-131","source":"PubMed","title":"Colorectal liver metastases: CT, MR imaging, and PET for diagnosis--meta-analysis","title-short":"Colorectal liver metastases","volume":"237","author":[{"family":"Bipat","given":"Shandra"},{"family":"Leeuwen","given":"Maarten S.","non-dropping-particle":"van"},{"family":"Comans","given":"Emile F. I."},{"family":"Pijl","given":"Milan E. J."},{"family":"Bossuyt","given":"Patrick M. M."},{"family":"Zwinderman","given":"Aeilko H."},{"family":"Stoker","given":"Jaap"}],"issued":{"date-parts":[["2005",10]]}},"label":"page"},{"id":521,"uris":["http://zotero.org/users/8787459/items/THKLKFXM"],"itemData":{"id":521,"type":"article-journal","abstract":"PURPOSE: To perform a meta-analysis to compare current noninvasive imaging methods (ultrasonography [US], computed tomography [CT], magnetic resonance [MR] imaging, and (18)F fluorodeoxyglucose [FDG] positron emission tomography [PET]) in the detection of hepatic metastases from colorectal, gastric, and esophageal cancers.\nMATERIALS AND METHODS: A MEDLINE literature search and review of article bibliographies and our institutional charts of patients with colorectal cancer identified data with histopathologic correlation or at least 6 months of patient follow-up. Two authors independently abstracted data sets and excluded data without contingency tables or data published more than once. Summary-weighted estimates of sensitivity were obtained and stratified according to specificity of less than 85% or 85% and higher. A covariate analysis was used to evaluate the influence of patient- or study-related factors on sensitivity.\nRESULTS: Among 111 data sets, nine US (509 patients), 25 CT (1,747 patients), 11 MR imaging (401 patients), and nine PET (423 patients) data sets met the inclusion criteria. In studies with a specificity higher than 85%, the mean weighted sensitivity was 55% (95% CI: 41, 68) for US, 72% (95% CI: 63, 80) for CT, 76% (95% CI: 57, 91) for MR imaging, and 90% (95% CI: 80, 97) for FDG PET. Results of pairwise comparison between imaging modalities demonstrated a greater sensitivity of FDG PET than US (P =.001), CT (P =.017), and MR imaging (P =.055).\nCONCLUSION: At equivalent specificity, FDG PET is the most sensitive noninvasive imaging modality for the diagnosis of hepatic metastases from colorectal, gastric, and esophageal cancers.","container-title":"Radiology","DOI":"10.1148/radiol.2243011362","ISSN":"0033-8419","issue":"3","journalAbbreviation":"Radiology","language":"eng","note":"PMID: 12202709","page":"748-756","source":"PubMed","title":"Detection of hepatic metastases from cancers of the gastrointestinal tract by using noninvasive imaging methods (US, CT, MR imaging, PET): a meta-analysis","title-short":"Detection of hepatic metastases from cancers of the gastrointestinal tract by using noninvasive imaging methods (US, CT, MR imaging, PET)","volume":"224","author":[{"family":"Kinkel","given":"Karen"},{"family":"Lu","given":"Ying"},{"family":"Both","given":"Marcus"},{"family":"Warren","given":"Robert S."},{"family":"Thoeni","given":"Ruedi F."}],"issued":{"date-parts":[["2002",9]]}},"label":"page"},{"id":527,"uris":["http://zotero.org/users/8787459/items/76PMB4JG"],"itemData":{"id":527,"type":"article-journal","abstract":"PURPOSE: Aim of our study was to compare the diagnostic performance of (18)F-FDG PET/CT and MR imaging (MRI) in the detection of liver metastases in patients with adenocarcinomas of the gastrointestinal tract.\nMETHODS: A total of 49 patients with adenocarcinomas of the gastrointestinal tract who had undergone (18)F-FDG PET/CT and MRI of the liver were included in this study. The MRI protocol included diffusion-weighted imaging and dynamic contrast-enhanced MR imaging after intravenous injection of Gd-DTPA. PET and MR images were analyzed by two experienced radiologists. Imaging results were correlated with histopathological findings or imaging follow-up as available. Sensitivities of both modalities were compared using McNemar Test. Receiver operating characteristic (ROC) curves were calculated to determine the diagnostic performance in correctly identifying liver metastases.\nRESULTS: A total of 151 metastases were confirmed. For lesion detection, MRI was significantly superior to (18)F-FDG PET/CT. Sensitivity of MRI in detecting metastases was 86.8% for Reader 1 (R1) and 87.4% for Reader 2 (R2), of PET/CT 66.2% for R1 and 68.2% for R2. Regarding only metastases with diameters of 10 mm or less, sensitivities of MRI were 66.7% for R1 and 75.0% for R2, and were significantly higher than those of PET/CT (17.9% for R1 and 20.5% for R2). ROC analysis showed superiority for lesion classification of MRI as compared to (18)F-FDG PET/CT.\nCONCLUSION: MRI is significantly superior to (18)F-FDG PET/CT in the detection and classification of liver metastases in patients with adenocarcinomas of the gastrointestinal tract, especially in the detection of small metastases.","container-title":"Abdominal Imaging","DOI":"10.1007/s00261-014-0283-x","ISSN":"1432-0509","issue":"5","journalAbbreviation":"Abdom Imaging","language":"eng","note":"PMID: 25348732","page":"1213-1222","source":"PubMed","title":"Detection of liver metastases in patients with adenocarcinomas of the gastrointestinal tract: comparison of (18)F-FDG PET/CT and MR imaging","title-short":"Detection of liver metastases in patients with adenocarcinomas of the gastrointestinal tract","volume":"40","author":[{"family":"Maegerlein","given":"Christian"},{"family":"Fingerle","given":"Alexander A."},{"family":"Souvatzoglou","given":"Michael"},{"family":"Rummeny","given":"Ernst J."},{"family":"Holzapfel","given":"Konstantin"}],"issued":{"date-parts":[["2015",6]]}},"label":"page"},{"id":529,"uris":["http://zotero.org/users/8787459/items/D2KYPDJE"],"itemData":{"id":529,"type":"article-journal","abstract":"PURPOSE: The first aim of the review (aim 1) was to obtain the diagnostic performance values of (18)F-FDG PET for the detection and staging of liver metastases in patients with colorectal cancer (CRC), the second aim (aim 2) was to compare PET and conventional imaging modalities, and the third aim (aim 3) was to evaluate the impact of PET on patient management. The incidence of extrahepatic disease (EHD) detected by PET is also reviewed.\nMETHODS: A comprehensive search was performed on PubMed/MEDLINE for studies evaluating PET and PET/CT in CRC patients with liver metastases up to June 2014. For inclusion PET had to have been performed prior to surgery, there had to be at least 18 patients in the study, and the reported data had to allow calculation of 2 × 2 contingency tables (for aim 1). A total of 18 studies were eligible for at least one of the three intended subanalyses including a total of 1,059 patients. Pooled sensitivity, specificity and accuracy and the corresponding 95 % confidence intervals were derived from the contingency tables on a patient basis (patient-based analysis, PBA) and a lesion basis (lesion-based analysis, LBA) for eight studies.\nRESULTS: Pooled sensitivity and specificity of PET on PBA were both 93 %. Corresponding values for LBA were 60 % and 79 %, respectively. Areas under the summary ROC were 0.97 for PBA and 0.67 for LBA. Regarding aim 2, PET had a slightly lower sensitivity than MRI and CT on PBA (93 %, 100 % and 98 %, respectively) and LBA (66 %, 89 % and 79 %, respectively) but appeared to be more specific than MRI and CT (86 %, 81 % and 67 %, respectively). PET findings resulted in changes in the management of a mean of 24 % of patients. The mean incidence of PET-based EHD was 32 %.\nCONCLUSION: This meta-analysis suggests that FDG PET/CT is highly accurate for the detection of liver metastases on a patient basis but less accurate on a lesion basis. Compared to MRI, PET is less sensitive but more specific and affects the management of about one-quarter of patients.","container-title":"European Journal of Nuclear Medicine and Molecular Imaging","DOI":"10.1007/s00259-014-2930-4","ISSN":"1619-7089","issue":"1","journalAbbreviation":"Eur J Nucl Med Mol Imaging","language":"eng","note":"PMID: 25319712","page":"152-163","source":"PubMed","title":"Diagnostic accuracy and impact on management of (18)F-FDG PET and PET/CT in colorectal liver metastasis: a meta-analysis and systematic review","title-short":"Diagnostic accuracy and impact on management of (18)F-FDG PET and PET/CT in colorectal liver metastasis","volume":"42","author":[{"family":"Maffione","given":"Anna Margherita"},{"family":"Lopci","given":"Egesta"},{"family":"Bluemel","given":"Christina"},{"family":"Giammarile","given":"Francesco"},{"family":"Herrmann","given":"Ken"},{"family":"Rubello","given":"Domenico"}],"issued":{"date-parts":[["2015",1]]}},"label":"page"},{"id":525,"uris":["http://zotero.org/users/8787459/items/REXNKLCH"],"itemData":{"id":525,"type":"article-journal","abstract":"PURPOSE: To obtain diagnostic performance values of computed tomography (CT), magnetic resonance (MR) imaging, fluorine 18 fluorodeoxyglucose (FDG) positron emission tomography (PET), and FDG PET/CT in the detection of colorectal liver metastases in patients who have not previously undergone therapy.\nMATERIALS AND METHODS: A comprehensive search was performed for articles published from January 1990 to January 2010 that fulfilled the following criteria: a prospective study design was used; the study population included at least 10 patients; patients had histopathologically proved colorectal cancer; CT, MR imaging, FDG PET, or FDG PET/CT was performed for the detection of liver metastases; intraoperative findings or those from histopathologic examination or follow-up were used as the reference standard; and data for calculating sensitivity and specificity were included. Study design characteristics, patient characteristics, imaging features, reference tests, and 2 × 2 tables were recorded.\nRESULTS: Thirty-nine articles (3391 patients) were included. Variation existed in study design characteristics, patient descriptions, imaging features, and reference tests. The sensitivity estimates of CT, MR imaging, and FDG PET on a per-lesion basis were 74.4%, 80.3%, and 81.4%, respectively. On a per-patient basis, the sensitivities of CT, MR imaging, and FDG PET were 83.6%, 88.2%, and 94.1%, respectively. The per-patient sensitivity of CT was lower than that of FDG PET (P = .025). Specificity estimates were comparable. For lesions smaller than 10 mm, the sensitivity estimates for MR imaging were higher than those for CT. No differences were seen for lesions measuring at least 10 mm. The sensitivity of MR imaging increased significantly after January 2004. The use of liver-specific contrast material and multisection CT scanners did not provide improved results. Data about FDG PET/CT were too limited for comparisons with other modalities.\nCONCLUSION: MR imaging is the preferred first-line modality for evaluating colorectal liver metastases in patients who have not previously undergone therapy. FDG PET can be used as the second-line modality. The role of FDG PET/CT is not yet clear owing to the small number of studies.\nSUPPLEMENTAL MATERIAL: http://radiology.rsna.org/lookup/suppl/doi:10.1148/radiol.10100729/-/DC1.","container-title":"Radiology","DOI":"10.1148/radiol.10100729","ISSN":"1527-1315","issue":"3","journalAbbreviation":"Radiology","language":"eng","note":"PMID: 20829538","page":"674-684","source":"PubMed","title":"Diagnostic imaging of colorectal liver metastases with CT, MR imaging, FDG PET, and/or FDG PET/CT: a meta-analysis of prospective studies including patients who have not previously undergone treatment","title-short":"Diagnostic imaging of colorectal liver metastases with CT, MR imaging, FDG PET, and/or FDG PET/CT","volume":"257","author":[{"family":"Niekel","given":"Maarten Christian"},{"family":"Bipat","given":"Shandra"},{"family":"Stoker","given":"Jaap"}],"issued":{"date-parts":[["2010",12]]}},"label":"page"}],"schema":"https://github.com/citation-style-language/schema/raw/master/csl-citation.json"}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szCs w:val="24"/>
        </w:rPr>
        <w:t>[149</w:t>
      </w:r>
      <w:r w:rsidR="00FF4BDB" w:rsidRPr="00D3420D">
        <w:rPr>
          <w:rFonts w:ascii="Times New Roman" w:hAnsi="Times New Roman" w:cs="Times New Roman"/>
          <w:sz w:val="28"/>
          <w:szCs w:val="24"/>
        </w:rPr>
        <w:t>-</w:t>
      </w:r>
      <w:r w:rsidR="00F6152F" w:rsidRPr="00F6152F">
        <w:rPr>
          <w:rFonts w:ascii="Times New Roman" w:hAnsi="Times New Roman" w:cs="Times New Roman"/>
          <w:sz w:val="28"/>
          <w:szCs w:val="24"/>
        </w:rPr>
        <w:t>153]</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r w:rsidR="0069259F"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 xml:space="preserve">На основе этих результатов было сделано заключение, что ПЭТ с FDG является наиболее чувствительным методом выявления </w:t>
      </w:r>
      <w:r w:rsidR="00E706A5">
        <w:rPr>
          <w:rFonts w:ascii="Times New Roman" w:eastAsia="Times New Roman" w:hAnsi="Times New Roman" w:cs="Times New Roman"/>
          <w:sz w:val="28"/>
          <w:szCs w:val="28"/>
          <w:lang w:val="kk-KZ" w:eastAsia="ru-RU"/>
        </w:rPr>
        <w:t xml:space="preserve">колоректальных </w:t>
      </w:r>
      <w:r w:rsidRPr="00A43B9C">
        <w:rPr>
          <w:rFonts w:ascii="Times New Roman" w:eastAsia="Times New Roman" w:hAnsi="Times New Roman" w:cs="Times New Roman"/>
          <w:sz w:val="28"/>
          <w:szCs w:val="28"/>
          <w:lang w:eastAsia="ru-RU"/>
        </w:rPr>
        <w:t xml:space="preserve">метастазов в печень. Другие исследования также подтвердили эти данные </w:t>
      </w:r>
      <w:r w:rsidRPr="00A43B9C">
        <w:rPr>
          <w:rFonts w:ascii="Times New Roman" w:eastAsia="Times New Roman" w:hAnsi="Times New Roman" w:cs="Times New Roman"/>
          <w:sz w:val="28"/>
          <w:szCs w:val="28"/>
          <w:lang w:val="en-US"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{"citationID":"2CHk4Acb","properties":{"formattedCitation":"[19, 125, 154\\uc0\\u8211{}156]","plainCitation":"[19, 125, 154–156]","noteIndex":0},"citationItems":[{"id":535,"uris":["http://zotero.org/users/8787459/items/AAC9Y39X"],"itemData":{"id":535,"type":"article-journal","abstract":"BACKGROUND: Preoperative scanning for hepatic colorectal metastases surgery remains a challenge, especially in the age of preoperative chemotherapy, which has marked biochemical and physical effects on the liver. Integrated fluoro-deoxyglucose positron emission tomography and computed tomography (FDG-PET/CT) has applications for detecting extrahepatic disease. The aim of the present study was to investigate FDG-PET/CT as a preoperative planning tool for detecting liver lesions in patients with and without preoperative chemotherapy.\nMETHODS: Patients who had resection of hepatic colorectal metastases between January 2004 and June 2006 were included. Patients were divided into those who received preoperative chemotherapy and those who did not. Malignant hepatic lesions found on each scan were compared with those found on histopathology, intraoperative examination and/or intraoperative ultrasound. Accurate scans (scan lesions corresponded to true lesions), false positives (scan lesions detected at least one non-lesion) and false negatives (scan lesions missed at least one true lesions) were recorded. Results were also compared on a per lesion basis.\nRESULTS: A total of 21 patients had preoperative FDG-PET/CT scans with preoperative chemotherapy and 53 without. Accurate tests were six (29%) for the chemotherapy group versus 28 (53%) for the non-chemotherapy group (P= 0.06). Notably, there were 11 (52%) underestimations in the chemotherapy group versus 18 (34%) in the non-chemotherapy group. A total of 1.7 lesions were missed per patient in the chemotherapy group versus 0.7 in those who did not receive chemotherapy.\nCONCLUSION: Preoperative assessment with FDG-PET/CT is not useful for hepatic colorectal metastases, particularly when preoperative chemotherapy is used, with a trend towards underestimation of lesions.","container-title":"ANZ journal of surgery","DOI":"10.1111/j.1445-2197.2009.04889.x","ISSN":"1445-2197","issue":"5","journalAbbreviation":"ANZ J Surg","language":"eng","note":"PMID: 19566517","page":"358-361","source":"PubMed","title":"Resection of liver metastases from colorectal cancer: does preoperative chemotherapy affect the accuracy of PET in preoperative planning?","title-short":"Resection of liver metastases from colorectal cancer","volume":"79","author":[{"family":"Adie","given":"Sam"},{"family":"Yip","given":"Carmen"},{"family":"Chu","given":"Francis"},{"family":"Morris","given":"David L."}],"issued":{"date-parts":[["2009",5]]}},"label":"page"},{"id":537,"uris":["http://zotero.org/users/8787459/items/3VGZY36V"],"itemData":{"id":537,"type":"article-journal","abstract":"BACKGROUND: Recent data confirmed the importance of 18-fluoro-2-deoxy-D-glucose positron emission tomography (FDG-PET) in the selection of patients with colorectal hepatic metastases for surgery. Neoadjuvant chemotherapy before hepatic resection in selected cases may improve outcome. The influence of chemotherapy on the sensitivity of FDG-PET and CT in detecting liver metastases is not known.\nMETHODS: Patients were assigned to either neoadjuvant treatment or immediate hepatic resection according to resectability, risk of recurrence, extrahepatic disease, and patient preference. Two-thirds of them underwent FDG-PET/CT before chemotherapy; all underwent preoperative contrast-enhanced CT and FDG-PET/CT. Those without extensive extrahepatic disease underwent open exploration and resection of all the metastases according to original imaging findings. Operative and pathological findings were compared to imaging results.\nRESULTS: Twenty-seven patients (33 lesions) underwent immediate hepatic resection (group 1), and 48 patients (122 lesions) received preoperative neoadjuvant chemotherapy (group 2). Sensitivity of FDG-PET and CT in detecting colorectal (CR) metastases was significantly higher in group 1 than in group 2 (FDG-PET: 93.3 vs 49%, P&lt;0.0001; CT: 87.5 vs 65.3, P=0.038). CT had a higher sensitivity than FDG-PET in detecting CR metastases following neoadjuvant therapy (65.3 vs 49%, P&lt;0.0001). Sensitivity of FDG-PET, but not of CT, was lower in group 2 patients whose chemotherapy included bevacizumab compared to patients who did not receive bevacizumab (39 vs 59%, P=0.068).\nCONCLUSIONS: FDG-PET/CT sensitivity is lowered by neoadjuvant chemotherapy. CT is more sensitive than FDG-PET in detecting CR metastases following neoadjuvant therapy. Surgical decision-making requires information from multiple imaging modalities and pretreatment findings. Baseline FDG-PET and CT before neoadjuvant therapy are mandatory.","container-title":"Journal of Gastrointestinal Surgery: Official Journal of the Society for Surgery of the Alimentary Tract","DOI":"10.1007/s11605-006-0032-8","ISSN":"1091-255X","issue":"4","journalAbbreviation":"J Gastrointest Surg","language":"eng","note":"PMID: 17436132\nPMCID: PMC1852376","page":"472-478","source":"PubMed","title":"The role and limitations of 18-fluoro-2-deoxy-D-glucose positron emission tomography (FDG-PET) scan and computerized tomography (CT) in restaging patients with hepatic colorectal metastases following neoadjuvant chemotherapy: comparison with operative and pathological findings","title-short":"The role and limitations of 18-fluoro-2-deoxy-D-glucose positron emission tomography (FDG-PET) scan and computerized tomography (CT) in restaging patients with hepatic colorectal metastases following neoadjuvant chemotherapy","volume":"11","author":[{"family":"Lubezky","given":"Nir"},{"family":"Metser","given":"Ur"},{"family":"Geva","given":"Ravit"},{"family":"Nakache","given":"Richard"},{"family":"Shmueli","given":"Einat"},{"family":"Klausner","given":"Joseph M."},{"family":"Even-Sapir","given":"Einat"},{"family":"Figer","given":"Arie"},{"family":"Ben-Haim","given":"Menahem"}],"issued":{"date-parts":[["2007",4]]}},"label":"page"},{"id":531,"uris":["http://zotero.org/users/8787459/items/TMJCX72B"],"itemData":{"id":531,"type":"article-journal","abstract":"BACKGROUND: Although many factors have been investigated in connection with the prognoses of colorectal carcinoma patients with metastases to the liver, a means for evaluating response and prognosis prior to the administration of standard chemotherapy has not been available. Positron emission tomography (PET) is a noninvasive means of measuring the distribution of radiolabeled cytostatic agents in tumor regions.\nMETHODS: Prior to the administration of 5-fluorouracil chemotherapy, the authors examined 14 colorectal carcinoma patients with unresectable liver metastases using a single PET scan and 18F-labeled fluorouracil (18F-FU). Clinical response and survival time were correlated with 18F-FU uptake values (SUV) measured in liver metastases 120 minutes after tracer infusion.\nRESULTS: Trapping of 18F-FU varied even among different metastases in the same patient. The range of SUV was 0.9-4.3 (mean, 2.20). Four patients with SUV exceeding 2.8 had stable disease for longer than 12 months and survived longer than 21 months. Three patients with SUV less than 1.2 had progressive disease and survived less than 12 months. The 6 patients with partial remission or stable disease had a mean SUV of 2.96 and a mean survival of 31.6 months. Eight patients with progressive disease had a mean SUV of 1.59 and a mean survival of 14.5 months (Student's t-test, P &lt; 0.012). In scatterplot analysis, there was a statistically significant correlation between SUV and survival time.\nCONCLUSIONS: Patients with high 18F-FU uptake values are more likely to achieve at least stabilization of disease with planned chemotherapy. 18F-FU PET may be a valuable new tool for determining, prior to 5-FU-based chemotherapy, which patients are likely to have good responses and prolonged survival.","container-title":"Cancer","ISSN":"0008-543X","issue":"2","journalAbbreviation":"Cancer","language":"eng","note":"PMID: 9669806","page":"245-253","source":"PubMed","title":"18F-labeled fluorouracil positron emission tomography and the prognoses of colorectal carcinoma patients with metastases to the liver treated with 5-fluorouracil","volume":"83","author":[{"family":"Moehler","given":"M."},{"family":"Dimitrakopoulou-Strauss","given":"A."},{"family":"Gutzler","given":"F."},{"family":"Raeth","given":"U."},{"family":"Strauss","given":"L. G."},{"family":"Stremmel","given":"W."}],"issued":{"date-parts":[["1998",7,15]]}},"label":"page"},{"id":449,"uris":["http://zotero.org/users/8787459/items/3SH2GLV5"],"itemData":{"id":449,"type":"article-journal","abstract":"PURPOSE: To assess prospectively the value of fluor-18-deoxyglucose (FDG) positron emission tomography (PET), in addition to conventional diagnostic methods (CDM), as a staging modality in candidates for resection of colorectal liver metastases.\nPATIENTS AND METHODS: In 51 patients analyzed for resection of colorectal liver metastases, clinical management decisions were recorded after a complete work-up with CDM. Afterward, FDG-PET scans were performed and any change of clinical management according to FDG-PET results was carefully documented. Discordances between FDG-PET and CDM results were identified and related to the final diagnosis by histopathology, intraoperative findings, and follow-up.\nRESULTS: In 10 (20%) out of 51 patients, clinical management decisions based on CDM were changed after FDG-PET findings were known. FDG-PET detected unresectable pulmonary (n = 5) and hepatic metastases (n = 1) and ruled out extrahepatic (n = 2) and hepatic disease (n = 2). Due to FDG-PET, eight patients were spared unwarranted liver resection or laparotomy and two other patients were identified as candidates for liver resection. When the results of FDG-PET were regarded as decisive in a retrospective analysis, potential change of management was 29% (15 patients). FDG-PET and CDM showed discordant extrahepatic results in 11 patients (22%) and discordant hepatic results in eight patients (16%). Compared with CDM, FDG-PET resulted in true upstaging (n = 11), true downstaging (n = 5), false upstaging (n = 1), and false downstaging (n = 2). The detection rate of liver metastases on a lesion basis was generally better for computed tomography than for FDG-PET (80% v 65%); this was related to tumor size.\nCONCLUSION: FDG-PET as a complementary staging method improves the therapeutic management of patients with colorectal liver metastases, especially by detecting unsuspected extrahepatic disease.","container-title":"Journal of Clinical Oncology: Official Journal of the American Society of Clinical Oncology","DOI":"10.1200/JCO.2002.20.2.388","ISSN":"0732-183X","issue":"2","journalAbbreviation":"J Clin Oncol","language":"eng","note":"PMID: 11786565","page":"388-395","source":"PubMed","title":"Value of positron emission tomography with [F-18]fluorodeoxyglucose in patients with colorectal liver metastases: a prospective study","title-short":"Value of positron emission tomography with [F-18]fluorodeoxyglucose in patients with colorectal liver metastases","volume":"20","author":[{"family":"Ruers","given":"T. J. M."},{"family":"Langenhoff","given":"B. S."},{"family":"Neeleman","given":"N."},{"family":"Jager","given":"G. J."},{"family":"Strijk","given":"S."},{"family":"Wobbes","given":"Th"},{"family":"Corstens","given":"F. H. M."},{"family":"Oyen","given":"W. J. G."}],"issued":{"date-parts":[["2002",1,15]]}},"label":"page"},{"id":539,"uris":["http://zotero.org/users/8787459/items/EQK35MVH"],"itemData":{"id":539,"type":"article-journal","abstract":"OBJECTIVE: [F-18]-Fluorodeoxyglucose-positron emission tomography (FDG-PET) is used increasingly in the work-up to surgery for patients with potentially resectable colorectal liver metastases. This study evaluates the clinical effectiveness, impact on health care resources and cost-effectiveness of adding FDG-PET to the diagnostic algorithm alongside a randomized clinical trial from a health care perspective.\nMETHODS: In a randomized clinical trial, the net monetary benefit (NMB) of FDG-PET added to conventional diagnostic work-up (CWU) was determined in patients with colorectal liver metastases. Seventy-five patients were included in each arm. Change in clinical management, futile laparotomies, preoperative findings and all relevant health care consumption were prospectively documented during 3 years. To assess health-related quality of life European Quality of Life-5 Dimensions was administered at the time of randomization, 3 and 6 weeks postoperatively, and every 3 months postoperatively for 3 years. Quality-adjusted life years (QALYs) were calculated based on European Quality of Life-5 Dimensions outcomes.\nRESULTS: In adding FDG-PET, diagnostic performance increased and futile laparotomies were reduced by 38%. Both health-related quality of life and QALYs showed no significant difference between the CWU and PET groups. For CWU and PET groups costs were euro 92,836 and euro 81,776, respectively, accumulated in 3 years after randomization. NMB ranged from euro 1004 to euro 11,060 depending on the monetary value given to a QALY. When costs for chemotherapy were disregarded, costs amounted to euro 15,874 for CWU and euro 18,664 for PET group.\nCONCLUSION: Additional costs of FDG-PET in the diagnostic work-up of patients with potentially resectable colorectal liver metastases were compensated by a reduction in futile laparotomies. The NMB analysis showed savings over a relevant range of willingness to pay for a QALY.","container-title":"Nuclear Medicine Communications","DOI":"10.1097/MNM.0b013e32833fa9ba","ISSN":"1473-5628","issue":"11","journalAbbreviation":"Nucl Med Commun","language":"eng","note":"PMID: 20856152","page":"938-944","source":"PubMed","title":"Added value of positron emission tomography imaging in the surgical treatment of colorectal liver metastases","volume":"31","author":[{"family":"Wiering","given":"Bastiaan"},{"family":"Adang","given":"Eddy M. M."},{"family":"Sijp","given":"Joost R. M.","non-dropping-particle":"van der"},{"family":"Roumen","given":"Rudi M."},{"family":"Jong","given":"Koert P.","non-dropping-particle":"de"},{"family":"Comans","given":"Emile F. I."},{"family":"Pruim","given":"Jan"},{"family":"Dekker","given":"Helena M."},{"family":"Ruers","given":"Theo J. M."},{"family":"Krabbe","given":"Paul F. M."},{"family":"Oyen","given":"Wim J. G."}],"issued":{"date-parts":[["2010",11]]}},"label":"page"}],"schema":"https://github.com/citation-style-language/schema/raw/master/csl-citation.json"} </w:instrText>
      </w:r>
      <w:r w:rsidRPr="00A43B9C">
        <w:rPr>
          <w:rFonts w:ascii="Times New Roman" w:eastAsia="Times New Roman" w:hAnsi="Times New Roman" w:cs="Times New Roman"/>
          <w:sz w:val="28"/>
          <w:szCs w:val="28"/>
          <w:lang w:val="en-US" w:eastAsia="ru-RU"/>
        </w:rPr>
        <w:fldChar w:fldCharType="separate"/>
      </w:r>
      <w:r w:rsidR="00F6152F" w:rsidRPr="00F6152F">
        <w:rPr>
          <w:rFonts w:ascii="Times New Roman" w:hAnsi="Times New Roman" w:cs="Times New Roman"/>
          <w:sz w:val="28"/>
          <w:szCs w:val="24"/>
        </w:rPr>
        <w:t>[154</w:t>
      </w:r>
      <w:r w:rsidR="00FF4BDB" w:rsidRPr="00D3420D">
        <w:rPr>
          <w:rFonts w:ascii="Times New Roman" w:hAnsi="Times New Roman" w:cs="Times New Roman"/>
          <w:sz w:val="28"/>
          <w:szCs w:val="24"/>
        </w:rPr>
        <w:t>-</w:t>
      </w:r>
      <w:r w:rsidR="00F6152F" w:rsidRPr="00F6152F">
        <w:rPr>
          <w:rFonts w:ascii="Times New Roman" w:hAnsi="Times New Roman" w:cs="Times New Roman"/>
          <w:sz w:val="28"/>
          <w:szCs w:val="24"/>
        </w:rPr>
        <w:t>156]</w:t>
      </w:r>
      <w:r w:rsidRPr="00A43B9C">
        <w:rPr>
          <w:rFonts w:ascii="Times New Roman" w:eastAsia="Times New Roman" w:hAnsi="Times New Roman" w:cs="Times New Roman"/>
          <w:sz w:val="28"/>
          <w:szCs w:val="28"/>
          <w:lang w:val="en-US" w:eastAsia="ru-RU"/>
        </w:rPr>
        <w:fldChar w:fldCharType="end"/>
      </w:r>
      <w:r w:rsidRPr="00A43B9C">
        <w:rPr>
          <w:rFonts w:ascii="Times New Roman" w:eastAsia="Times New Roman" w:hAnsi="Times New Roman" w:cs="Times New Roman"/>
          <w:sz w:val="28"/>
          <w:szCs w:val="28"/>
          <w:lang w:eastAsia="ru-RU"/>
        </w:rPr>
        <w:t>.</w:t>
      </w:r>
    </w:p>
    <w:p w14:paraId="4374A87C" w14:textId="3F92AE13"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 xml:space="preserve">В исследовании </w:t>
      </w:r>
      <w:r w:rsidRPr="00A43B9C">
        <w:rPr>
          <w:rFonts w:ascii="Times New Roman" w:eastAsia="Times New Roman" w:hAnsi="Times New Roman" w:cs="Times New Roman"/>
          <w:sz w:val="28"/>
          <w:szCs w:val="28"/>
          <w:lang w:val="en-US" w:eastAsia="ru-RU"/>
        </w:rPr>
        <w:t>Lonneux</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et</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al</w:t>
      </w:r>
      <w:r w:rsidR="00184001"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результаты стандартной визуализации и ПЭТ с FDG сравнены у 73 больных с известными или </w:t>
      </w:r>
      <w:r w:rsidR="0069259F" w:rsidRPr="00A43B9C">
        <w:rPr>
          <w:rFonts w:ascii="Times New Roman" w:eastAsia="Times New Roman" w:hAnsi="Times New Roman" w:cs="Times New Roman"/>
          <w:sz w:val="28"/>
          <w:szCs w:val="28"/>
          <w:lang w:eastAsia="ru-RU"/>
        </w:rPr>
        <w:t xml:space="preserve">предполагаемыми </w:t>
      </w:r>
      <w:r w:rsidR="00E706A5">
        <w:rPr>
          <w:rFonts w:ascii="Times New Roman" w:eastAsia="Times New Roman" w:hAnsi="Times New Roman" w:cs="Times New Roman"/>
          <w:sz w:val="28"/>
          <w:szCs w:val="28"/>
          <w:lang w:val="kk-KZ" w:eastAsia="ru-RU"/>
        </w:rPr>
        <w:t xml:space="preserve">колоректальными </w:t>
      </w:r>
      <w:r w:rsidRPr="00A43B9C">
        <w:rPr>
          <w:rFonts w:ascii="Times New Roman" w:eastAsia="Times New Roman" w:hAnsi="Times New Roman" w:cs="Times New Roman"/>
          <w:sz w:val="28"/>
          <w:szCs w:val="28"/>
          <w:lang w:eastAsia="ru-RU"/>
        </w:rPr>
        <w:t xml:space="preserve">рецидивами. ПЭТ с FDG имела общую чувствительность и специфичность 97% и 72% соответственно, что было выше, чем для стандартных методов визуализации при исследовании всех органов, исключая печень. ПЭТ с FDG имела 100% чувствительность и 98% специфичность в выявлении локальных рецидивов, и эти цифры составили 97% и 100% соответственно в выявлении метастазов в печень, тогда как стандартные методы исследования имели чувствительность 73%, специфичность 95% для локальных рецидивов, 94% и 96% соответственно в печень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{"citationID":"0JFprg5V","properties":{"formattedCitation":"[112, 157]","plainCitation":"[112, 157]","noteIndex":0},"citationItems":[{"id":544,"uris":["http://zotero.org/users/8787459/items/BTECQLLQ"],"itemData":{"id":544,"type":"article-journal","abstract":"Colorectal cancer is one of the most common malignancies in the Western world. Most colorectal cancers show fluorodeoxyglucose (FDG) uptake, although in mucinous adenocarcinoma uptake may be limited. A literature search was conducted regarding the impact of FDG-PET/computed tomography (CT) on management and outcome in patients with colorectal carcinoma. FDG-PET/CT can have a significant clinical impact on patient management in various stages of the disease. In patients with suspected recurrent disease and patients with liver metastases who might be eligible for surgery FDG-PET/CT can have more benefit than conventional imaging. FDG-PET/CT can be a useful modality to monitor treatment response.","container-title":"PET clinics","DOI":"10.1016/j.cpet.2015.03.007","ISSN":"1879-9809","issue":"3","journalAbbreviation":"PET Clin","language":"eng","note":"PMID: 26099671","page":"345-360","source":"PubMed","title":"Impact of Fluorodeoxyglucose PET/Computed Tomography on the Management of Patients with Colorectal Cancer","volume":"10","author":[{"family":"Laurens","given":"Sander Thomas"},{"family":"Oyen","given":"Wim J. G."}],"issued":{"date-parts":[["2015",7]]}},"label":"page"},{"id":426,"uris":["http://zotero.org/users/8787459/items/QJ3IT4JV"],"itemData":{"id":426,"type":"article-journal","abstract":"Whole-body fluorine-18 fluorodeoxyglucose positron emission tomography (FDG-PET) has proved effective in the diagnosis and staging of recurrent colorectal cancer. In this study, we analysed how PET affects the management of patients with recurrent colorectal cancer by permitting more accurate selection of candidates for curative resection. The data of 79 patients with known or suspected recurrent colorectal cancer were analysed. Conventional imaging modalities (CIM) and PET results were compared with regard to their accuracy in determining the extent and the resectability of tumour recurrence. Recurrence was demonstrated in 68 of the 79 patients. The data indicate that PET was superior to CIM for detection of recurrence at all sites except the liver. Based on the CIM+PET staging, surgery with curative intent was proposed in 39 patients and was indeed achieved in 31 of them (80%). PET was more accurate than CIM alone in predicting the resectability or non-resectability of the recurrence (82% vs 68%, P=0.02). It is concluded that whole-body FDG-PET is highly sensitive for both the diagnosis and the staging of patients with recurrent colorectal cancer. Its use in conjunction with conventional imaging procedures results in a more accurate selection of patients for surgical treatment with curative intent.","container-title":"European Journal of Nuclear Medicine and Molecular Imaging","DOI":"10.1007/s00259-002-0802-9","ISSN":"1619-7070","issue":"7","journalAbbreviation":"Eur J Nucl Med Mol Imaging","language":"eng","note":"PMID: 12111132","page":"915-921","source":"PubMed","title":"FDG-PET improves the staging and selection of patients with recurrent colorectal cancer","volume":"29","author":[{"family":"Lonneux","given":"Max"},{"family":"Reffad","given":"Abdel-Malek"},{"family":"Detry","given":"Roger"},{"family":"Kartheuser","given":"Alex"},{"family":"Gigot","given":"Jean-François"},{"family":"Pauwels","given":"Stanislas"}],"issued":{"date-parts":[["2002",7]]}},"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[157]</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p>
    <w:p w14:paraId="6D706354" w14:textId="33A853F5"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 xml:space="preserve">Инфекционные и воспалительные процессы с увеличением числа макрофагов могут давать аномальный захват FDG. Также такое явление может возникать как результат лучевой терапии. Большинство воспалительных эффектов исчезает спустя 6 месяцев. Согласно этим данным ПЭТ с FDG может точно различать рецидив опухоли от лучевого захвата спустя 6 месяцев после лучевой терапии </w:t>
      </w:r>
      <w:r w:rsidRPr="00A43B9C">
        <w:rPr>
          <w:rFonts w:ascii="Times New Roman" w:eastAsia="Times New Roman" w:hAnsi="Times New Roman" w:cs="Times New Roman"/>
          <w:sz w:val="28"/>
          <w:szCs w:val="28"/>
          <w:lang w:val="en-US"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{"citationID":"WdtV8qk8","properties":{"formattedCitation":"[91, 158\\uc0\\u8211{}161]","plainCitation":"[91, 158–161]","noteIndex":0},"citationItems":[{"id":550,"uris":["http://zotero.org/users/8787459/items/HFUC8WH9"],"itemData":{"id":550,"type":"article-journal","abstract":"Positron emission tomography (PET) with 2-[fluorine-18] fluoro-2-deoxy-D-glucose (FDG) has been effective for the diagnosis, staging, and restaging of malignancies of the head and neck region. However, lack of anatomic landmarks, variable physiologic uptake, and asymmetric FDG distribution in several altered physiologic states can confound image interpretation. In addition, many benign causes and several artifacts can simulate physiologic or pathologic FDG uptake in the head and neck. Combined PET-computed tomography (CT) is a unique imaging modality that permits anatomic and functional imaging on a single scanner with nearly perfect coregistration. Combined PET-CT provides information that cannot be obtained with PET or CT alone. In particular, PET-CT facilitates the interpretation of FDG uptake in the head and neck, an area that is characterized by dense and complex anatomic structures. An atlas of FDG uptake in this anatomic region was compiled on the basis of combined PET-CT findings in 11,000 patients. In general, patterns of FDG uptake were variable and often reflected patient activity during or immediately preceding the uptake phase. With the growing interest in PET-CT, interpreting radiologists and nuclear medicine physicians must be familiar with the patterns of FDG uptake in the head and neck to avoid misinterpretation or mis-diagnosis.","container-title":"Radiographics: A Review Publication of the Radiological Society of North America, Inc","DOI":"10.1148/rg.254035156","ISSN":"1527-1323","issue":"4","journalAbbreviation":"Radiographics","language":"eng","note":"PMID: 16009814","page":"897-912","source":"PubMed","title":"Combined PET-CT in the head and neck: part 1. Physiologic, altered physiologic, and artifactual FDG uptake","title-short":"Combined PET-CT in the head and neck","volume":"25","author":[{"family":"Blodgett","given":"Todd M."},{"family":"Fukui","given":"Melanie B."},{"family":"Snyderman","given":"Carl H."},{"family":"Branstetter","given":"Barton F."},{"family":"McCook","given":"Barry M."},{"family":"Townsend","given":"Dave W."},{"family":"Meltzer","given":"Carolyn C."}],"issued":{"date-parts":[["2005",8]]}},"label":"page"},{"id":548,"uris":["http://zotero.org/users/8787459/items/F3BT8QBD"],"itemData":{"id":548,"type":"article-journal","abstract":"BACKGROUND: We investigated the association between physiologic bowel FDG uptake and gut microbiota. FDG uptake in the normal large and small intestine is widely variable both in distribution and intensity. The etiology of physiologic bowel 18F-FDG activity remains unknown.\nRESULTS: We included 63 healthy male subjects. After overnight fasting, blood samples and 18F-FDG PET/CT scans were taken. Fecal samples were collected, and gut microbiota were analyzed by 16S rRNA gene-pyrosequencing. The physiologic bowel FDG uptake was classified into three groups by visual assessment and measured using the maximum and mean standardized uptake value. We used the total bowel to liver uptake ratio (TBRmax and TBRmean). There was no significant difference in age, BMI, or lipid profiles between groups. To identify specific microbial taxa associated with the bowel FDG uptake while accounting for age and BMI, we performed a generalized linear model. At the genus level, the group with focal or intense FDG uptake in the intestine was associated with low abundance of unclassified Clostridiales. The group with intestinal FDG uptake lower than the liver was associated with high abundance of Klebsiella. TBRmax and TBRmean were negatively associated with abundance of unclassified Enterobacteriaceae.\nCONCLUSION: We cautiously speculate that physiologic bowel FDG activity might be caused by an increase in intestinal permeability and may reflect an impaired barrier function in the intestine.","container-title":"EJNMMI research","DOI":"10.1186/s13550-017-0318-8","ISSN":"2191-219X","issue":"1","journalAbbreviation":"EJNMMI Res","language":"eng","note":"PMID: 28861740\nPMCID: PMC5578947","page":"72","source":"PubMed","title":"Gut microbiota and physiologic bowel 18F-FDG uptake","volume":"7","author":[{"family":"Kang","given":"Ji Yeon"},{"family":"Kim","given":"Han-Na"},{"family":"Chang","given":"Yoosoo"},{"family":"Yun","given":"Yeojun"},{"family":"Ryu","given":"Seungho"},{"family":"Shin","given":"Hocheol"},{"family":"Kim","given":"Hyung-Lae"}],"issued":{"date-parts":[["2017",8,31]]}},"label":"page"},{"id":361,"uris":["http://zotero.org/users/8787459/items/BUN66NK8"],"itemData":{"id":361,"type":"article-journal","abstract":"The preoperative staging of colorectal cancer (CRC) with (18)F-FDG PET is not as yet generally considered to be evidence based. We have found only 1 study that evaluated (18)F-FDG PET in a nonselected population with proven CRC. Several other studies have concentrated on more advanced disease. The aim of this study was to assess the potential clinical benefit of (18)F-FDG PET in the routine staging of CRC.\nMETHODS: Thirty-eight consecutive patients who had had CRC histologically proven by colonoscopy underwent prospective preoperative staging by plain chest radiography, sonography, CT, and (18)F-FDG PET. Sensitivity, specificity, and accuracy were retrospectively assessed by comparison with the histologic results after surgery (36 patients) or clinical follow-up (2 inoperable cases-both patients died within 1 y of the PET examination). The impact of (18)F-FDG PET on therapeutic decision making was evaluated by comparing medical records before and after (18)F-FDG PET.\nRESULTS: (18)F-FDG PET correctly detected 95% of primary tumors, whereas CT and sonography correctly detected only 49% and 14%, respectively. Lymph nodes were involved in 7 patients. The sensitivity, specificity, and accuracy of (18)F-FDG PET were 29%, 88%, and 75%, respectively. CT and sonography did not reveal any lymph node involvement. Liver metastases were present in 9 patients. (18)F-FDG PET, CT, and sonography had a sensitivity of 78%, 67%, and 25%, respectively; a specificity of 96%, 100%, and 100%, respectively; and an accuracy of 91%, 91%, and 81%, respectively. (18)F-FDG PET revealed further lesions in 11 patients. Levels of carcinoembryonic antigen and carbohydrate antigen 19-9 tumor markers were elevated in, respectively, only 33% and 8% of cases of proven CRC. (18)F-FDG PET changed the treatment modality for 8% and the range of surgery for 13% of patients. In total, (18)F-FDG PET changed the method of treatment for 16% of patients.\nCONCLUSION: Plain chest radiography and sonography did not bring any clinical benefits. No correlation was found between the level of tumor markers and the stage of disease. CT is necessary for confirmation of PET findings at extraabdominal sites (PET-guided CT) and for their morphologic specification at abdominal and pelvic sites before an operation. (18)F-FDG PET is the best method for the staging of CRC in all localities, despite the high rate of false-negative PET findings in patients with lymph node involvement. PET should be performed as a first examination after verification of CRC. We propose a PET/CT hybrid system as optimal in the staging of CRC.","container-title":"Journal of Nuclear Medicine: Official Publication, Society of Nuclear Medicine","ISSN":"0161-5505","issue":"11","journalAbbreviation":"J Nucl Med","language":"eng","note":"PMID: 14602860","page":"1784-1788","source":"PubMed","title":"Routine (18)F-FDG PET preoperative staging of colorectal cancer: comparison with conventional staging and its impact on treatment decision making","title-short":"Routine (18)F-FDG PET preoperative staging of colorectal cancer","volume":"44","author":[{"family":"Kantorová","given":"Iva"},{"family":"Lipská","given":"Ludmila"},{"family":"Bêlohlávek","given":"Otakar"},{"family":"Visokai","given":"Vladimír"},{"family":"Trubaĉ","given":"Miroslav"},{"family":"Schneiderová","given":"Michaela"}],"issued":{"date-parts":[["2003",11]]}},"label":"page"},{"id":546,"uris":["http://zotero.org/users/8787459/items/N45PTLXQ"],"itemData":{"id":546,"type":"article-journal","abstract":"PURPOSE: Physiologic uptake of 2-[(18)F]-fluoro-2-deoxy-D: -glucose (FDG) by bowel can confound positron emission tomography/computed tomography (PET/CT) assessment for abdominal pathology, particularly within the bowel itself. We wished to determine if oral administration of the antimotility agent, Lomotil (5 mg diphenoxylate hydrochloride/0.05 mg atropine sulfate; G.D. Searle and Company, a division of Pfizer), prior to PET/CT scanning would reduce physiologic uptake of FDG by the small bowel and colon (lower gastrointestinal [GI] tract).\nPROCEDURES: Patients undergoing PET/CT scans for lymphoma were enrolled in a prospective, randomized, double-blinded study and received either 10 mL water (control group) or 10 mL Lomotil (experimental group) orally 30-60 min prior to scanning. Scans were reviewed independently by two blinded experienced readers and scored for the degree of FDG activity in the lower GI tract relative to liver activity.\nRESULTS: The administration of Lomotil prior to PET/CT scanning did not reduce physiologic FDG activity in the small bowel and colon. In contrast, increased radiotracer uptake by the lower GI tract was observed in the Lomotil group compared to the control group.\nCONCLUSIONS: Pretreatment with Lomotil prior to PET/CT scanning confers no benefit toward the reduction of physiologic FDG uptake by the small bowel and colon.","container-title":"Molecular Imaging and Biology","DOI":"10.1007/s11307-008-0178-8","ISSN":"1536-1632","issue":"2","journalAbbreviation":"Mol Imaging Biol","language":"eng","note":"PMID: 19037613","page":"114-117","source":"PubMed","title":"Pretreatment with diphenoxylate hydrochloride/atropine sulfate (Lomotil) does not decrease physiologic bowel FDG activity on PET/CT scans of the abdomen and pelvis","volume":"11","author":[{"family":"Murphy","given":"Robert"},{"family":"Doerger","given":"Kirk M."},{"family":"Nathan","given":"Mark A."},{"family":"Lowe","given":"Val J."}],"issued":{"date-parts":[["2009",4]]}},"label":"page"},{"id":555,"uris":["http://zotero.org/users/8787459/items/KM4AKJUU"],"itemData":{"id":555,"type":"article-journal","abstract":"Accurate preoperative staging is essential in determining the optimal therapeutic planning for individual patients. The computed tomography (CT) in the preoperative staging of colorectal cancer, even if controversial, may be useful for planning surgery and/or neoadjuvant therapy, particularly when local tumor extension into adjacent organs or distant metastases are detected. There have been significant changes in the CT technology with the advent of multi-detector row CT (MDCT) scanner. Advances in CT technology have raised interest in the potential role of CT for detection and staging of colorectal cancer. In recent studies, MDCT with MPR images has shown promising accuracy in the evaluation of local extent and nodal involvement of colorectal cancer. Combined PET/CT images have significant advantages over either alone because it provides both functional and anatomical data. Therefore, it is natural to expect that PET/CT would improve the accuracy of preoperative staging of colorectal cancer. The most significant additional information provided by PET/CT relates to the accurate detection of distant metastases. For the evaluation of patients with colorectal cancer, CT has relative advantages over PET/CT in regard to the depth of tumor invasion through the wall, extramural extension, and regional lymph node metastases. PET/CT should be performed on selected patients with suggestive but inconclusive metastatic lesions with CT. In addition, PET/CT with dedicated CT protocols, such as contrast-enhanced PET/CT and PET/CT colonography, may replace the diagnostic CT for the preoperative staging of colorectal cancer.","container-title":"Abdominal Imaging","DOI":"10.1007/s00261-007-9262-9","ISSN":"1432-0509","issue":"3","journalAbbreviation":"Abdom Imaging","language":"eng","note":"PMID: 17610107","page":"270-277","source":"PubMed","title":"Preoperative staging of colorectal cancer: CT vs. integrated FDG PET/CT","title-short":"Preoperative staging of colorectal cancer","volume":"33","author":[{"family":"Shin","given":"Sang Soo"},{"family":"Jeong","given":"Yong Yeon"},{"family":"Min","given":"Jung Jun"},{"family":"Kim","given":"Hyeong Rok"},{"family":"Chung","given":"Tae Woong"},{"family":"Kang","given":"Heoung Keun"}],"issued":{"date-parts":[["2008",6]]}},"label":"page"}],"schema":"https://github.com/citation-style-language/schema/raw/master/csl-citation.json"} </w:instrText>
      </w:r>
      <w:r w:rsidRPr="00A43B9C">
        <w:rPr>
          <w:rFonts w:ascii="Times New Roman" w:eastAsia="Times New Roman" w:hAnsi="Times New Roman" w:cs="Times New Roman"/>
          <w:sz w:val="28"/>
          <w:szCs w:val="28"/>
          <w:lang w:val="en-US" w:eastAsia="ru-RU"/>
        </w:rPr>
        <w:fldChar w:fldCharType="separate"/>
      </w:r>
      <w:r w:rsidR="00F6152F" w:rsidRPr="00F6152F">
        <w:rPr>
          <w:rFonts w:ascii="Times New Roman" w:hAnsi="Times New Roman" w:cs="Times New Roman"/>
          <w:sz w:val="28"/>
          <w:szCs w:val="24"/>
        </w:rPr>
        <w:t>[158</w:t>
      </w:r>
      <w:r w:rsidR="00FF4BDB" w:rsidRPr="00D3420D">
        <w:rPr>
          <w:rFonts w:ascii="Times New Roman" w:hAnsi="Times New Roman" w:cs="Times New Roman"/>
          <w:sz w:val="28"/>
          <w:szCs w:val="24"/>
        </w:rPr>
        <w:t>-</w:t>
      </w:r>
      <w:r w:rsidR="00F6152F" w:rsidRPr="00F6152F">
        <w:rPr>
          <w:rFonts w:ascii="Times New Roman" w:hAnsi="Times New Roman" w:cs="Times New Roman"/>
          <w:sz w:val="28"/>
          <w:szCs w:val="24"/>
        </w:rPr>
        <w:t>161]</w:t>
      </w:r>
      <w:r w:rsidRPr="00A43B9C">
        <w:rPr>
          <w:rFonts w:ascii="Times New Roman" w:eastAsia="Times New Roman" w:hAnsi="Times New Roman" w:cs="Times New Roman"/>
          <w:sz w:val="28"/>
          <w:szCs w:val="28"/>
          <w:lang w:val="en-US" w:eastAsia="ru-RU"/>
        </w:rPr>
        <w:fldChar w:fldCharType="end"/>
      </w:r>
      <w:r w:rsidRPr="00A43B9C">
        <w:rPr>
          <w:rFonts w:ascii="Times New Roman" w:eastAsia="Times New Roman" w:hAnsi="Times New Roman" w:cs="Times New Roman"/>
          <w:sz w:val="28"/>
          <w:szCs w:val="28"/>
          <w:lang w:eastAsia="ru-RU"/>
        </w:rPr>
        <w:t>.</w:t>
      </w:r>
    </w:p>
    <w:p w14:paraId="0B9F75E5" w14:textId="152FEF43"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val="en-US" w:eastAsia="ru-RU"/>
        </w:rPr>
        <w:t>Gullem</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et</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al</w:t>
      </w:r>
      <w:r w:rsidR="00184001"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сообщили об исследовании 21 больного с первичным раком прямой кишки, </w:t>
      </w:r>
      <w:r w:rsidR="0069259F" w:rsidRPr="00A43B9C">
        <w:rPr>
          <w:rFonts w:ascii="Times New Roman" w:eastAsia="Times New Roman" w:hAnsi="Times New Roman" w:cs="Times New Roman"/>
          <w:sz w:val="28"/>
          <w:szCs w:val="28"/>
          <w:lang w:eastAsia="ru-RU"/>
        </w:rPr>
        <w:t xml:space="preserve">при этом </w:t>
      </w:r>
      <w:r w:rsidRPr="00A43B9C">
        <w:rPr>
          <w:rFonts w:ascii="Times New Roman" w:eastAsia="Times New Roman" w:hAnsi="Times New Roman" w:cs="Times New Roman"/>
          <w:sz w:val="28"/>
          <w:szCs w:val="28"/>
          <w:lang w:eastAsia="ru-RU"/>
        </w:rPr>
        <w:t xml:space="preserve">15 больным выполнена ПЭТ с FDG для оценки ответа на предоперационное лучевое лечение. ПЭТ с FDG выявила первичный рак прямой кишки у всех больных, для оценки ответа на терапию были использованы 5 параметров: гликолиз в опухоли, </w:t>
      </w:r>
      <w:r w:rsidRPr="00A43B9C">
        <w:rPr>
          <w:rFonts w:ascii="Times New Roman" w:eastAsia="Times New Roman" w:hAnsi="Times New Roman" w:cs="Times New Roman"/>
          <w:sz w:val="28"/>
          <w:szCs w:val="28"/>
          <w:lang w:val="en-US" w:eastAsia="ru-RU"/>
        </w:rPr>
        <w:t>SUV</w:t>
      </w:r>
      <w:r w:rsidRPr="00A43B9C">
        <w:rPr>
          <w:rFonts w:ascii="Times New Roman" w:eastAsia="Times New Roman" w:hAnsi="Times New Roman" w:cs="Times New Roman"/>
          <w:sz w:val="28"/>
          <w:szCs w:val="28"/>
          <w:vertAlign w:val="subscript"/>
          <w:lang w:val="en-US" w:eastAsia="ru-RU"/>
        </w:rPr>
        <w:t>max</w:t>
      </w:r>
      <w:r w:rsidRPr="00A43B9C">
        <w:rPr>
          <w:rFonts w:ascii="Times New Roman" w:eastAsia="Times New Roman" w:hAnsi="Times New Roman" w:cs="Times New Roman"/>
          <w:sz w:val="28"/>
          <w:szCs w:val="28"/>
          <w:lang w:eastAsia="ru-RU"/>
        </w:rPr>
        <w:t xml:space="preserve">, средний </w:t>
      </w:r>
      <w:r w:rsidRPr="00A43B9C">
        <w:rPr>
          <w:rFonts w:ascii="Times New Roman" w:eastAsia="Times New Roman" w:hAnsi="Times New Roman" w:cs="Times New Roman"/>
          <w:sz w:val="28"/>
          <w:szCs w:val="28"/>
          <w:lang w:val="en-US" w:eastAsia="ru-RU"/>
        </w:rPr>
        <w:t>SUV</w:t>
      </w:r>
      <w:r w:rsidRPr="00A43B9C">
        <w:rPr>
          <w:rFonts w:ascii="Times New Roman" w:eastAsia="Times New Roman" w:hAnsi="Times New Roman" w:cs="Times New Roman"/>
          <w:sz w:val="28"/>
          <w:szCs w:val="28"/>
          <w:lang w:eastAsia="ru-RU"/>
        </w:rPr>
        <w:t xml:space="preserve">, объем ПЭТ и визуальная шкала ответа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3keBs2kS","properties":{"formattedCitation":"[162\\uc0\\u8211{}167]","plainCitation":"[162–167]","noteIndex":0},"citationItems":[{"id":561,"uris":["http://zotero.org/users/8787459/items/AK6HYJNN"],"itemData":{"id":561,"type":"article-journal","abstract":"BACKGROUND: Locally advanced rectal cancer is frequently treated with neoadjuvant chemoradiotherapy to reduce local recurrence and possibly improve survival. The tumor response to chemoradiotherapy is variable and may influence the prognosis after surgery. This study assessed tumor regression and its influence on survival in patients with rectal cancer treated with chemoradiotherapy followed by curative surgery.\nMETHODS: One hundred twenty-six patients with locally advanced rectal cancer (T3/T4 or N1/N2) were treated with chemoradiotherapy followed by total mesorectal excision. Patients received long-course radiotherapy (50 Gy in 25 fractions) in combination with 5-flourouracil over 5 weeks. By means of a standardized approach, tumor regression was graded in the resection specimen using a 3-point system related to tumor regression grade (TRG): complete or near-complete response (TRG1), partial response (TRG2), or no response (TRG3).\nRESULTS: The 5-year disease-free survival was 72% (median follow-up 37 months), and 7% of patients had local recurrence. Chemoradiotherapy produced downstaging in 60% of patients; 21% of patients experienced TRG1. TRG1 correlated with a pathological T0/1 or N0 status. Five-year disease-free survival after chemoradiotherapy and surgery was significantly better in TRG1 patients (100%) compared with TRG2 (71%) and TRG3 (66%) (P = .01).\nCONCLUSION: Tumor regression grade measured on a 3-point system predicts outcome after chemoradiotherapy and surgery for locally advanced rectal cancer.","container-title":"Annals of Surgical Oncology","DOI":"10.1245/s10434-008-0149-y","ISSN":"1534-4681","issue":"12","journalAbbreviation":"Ann Surg Oncol","language":"eng","note":"PMID: 18846402","page":"3471-3477","source":"PubMed","title":"A simplified tumor regression grade correlates with survival in locally advanced rectal carcinoma treated with neoadjuvant chemoradiotherapy","volume":"15","author":[{"family":"Beddy","given":"D."},{"family":"Hyland","given":"J. M. P."},{"family":"Winter","given":"D. C."},{"family":"Lim","given":"C."},{"family":"White","given":"A."},{"family":"Moriarty","given":"M."},{"family":"Armstrong","given":"J."},{"family":"Fennelly","given":"D."},{"family":"Gibbons","given":"D."},{"family":"Sheahan","given":"K."}],"issued":{"date-parts":[["2008",12]]}},"label":"page"},{"id":566,"uris":["http://zotero.org/users/8787459/items/IDBGQ5U2"],"itemData":{"id":566,"type":"article-journal","abstract":"PURPOSE: A proportion of patients, who receive preoperative chemoradiation for locally advanced (T3, T4, NX) rectal cancer achieve a complete clinical response and a pathologic complete response in the region of 15 to 30 percent. Support is growing in the United Kingdom for the concept of \"waiting to see\" and not proceeding to radical surgery when a complete clinical response is observed. The purpose of this review was to use a literature search to assess how often complete clinical response is achieved after neoadjuvant chemoradiation, the concordance of this finding with pathologic complete response, and to determine whether it is feasible to observe patients who achieve complete clinical response rather than proceed to surgery.\nRESULTS: In total, 218 Phase I/II or retrospective studies and 28 Phase III trials of preoperative radiotherapy or chemoradiation were identified: 96 percent of trials documented the pathologic complete response, but only 38 trials presented data on the achievement of a complete clinical response/partial clinical response. Only five studies were found in which patients with clinically staged T2/T3 tumors were treated with radiotherapy/chemoradiation and did not routinely proceed to surgery and also reported on the long-term outcome of a \"wait and see\" policy.\nDISCUSSION: It remains uncertain whether the degree of response to chemoradiation in terms of complete clinical response or pathologic complete response is a useful clinical end point. Studies that include T3 rectal cancer are associated with high local recurrence rates after nonsurgical treatment. Few studies report long-term outcome after achievement of a complete clinical response.\nCONCLUSIONS: The end point of complete clinical response is inconsistently defined and seems insufficiently robust with only partial concordance with pathologic complete response. The rationale of a \"wait and see\" policy when complete clinical response status is achieved relies on retrospective observations, which are currently insufficient to support this policy except in patients who are recognized to be unfit for or refuse radical surgery.","container-title":"Diseases of the Colon and Rectum","DOI":"10.1007/s10350-007-9080-8","ISSN":"0012-3706","issue":"1","journalAbbreviation":"Dis Colon Rectum","language":"eng","note":"PMID: 18043968","page":"10-19; discussion 19-20","source":"PubMed","title":"Complete clinical response after preoperative chemoradiation in rectal cancer: is a \"wait and see\" policy justified?","title-short":"Complete clinical response after preoperative chemoradiation in rectal cancer","volume":"51","author":[{"family":"Glynne-Jones","given":"R."},{"family":"Wallace","given":"M."},{"family":"Livingstone","given":"J. I. L."},{"family":"Meyrick-Thomas","given":"J."}],"issued":{"date-parts":[["2008",1]]}},"label":"page"},{"id":568,"uris":["http://zotero.org/users/8787459/items/NB4NYSNT"],"itemData":{"id":568,"type":"article-journal","abstract":"OBJECTIVE: The presence of microscopic tumour cells within 1 mm of the circumferential surgical resection margin (CRM) is the endpoint most strongly associated with local recurrence in rectal cancer and doubles the risk of developing distant metastases. Reporting on the CRM can monitor surgical quality assurance and over the past two decades has driven advances in surgical technique with the increasing use of total mesorectal excision. The aim of this review was to use the evidence from both phase II and phase III randomized trials of preoperative radiotherapy and chemoradiation in rectal cancer, to assess how often CRM involvement is currently documented and examine its utility as an early predictor of both disease-free and overall survival.\nMETHOD: A literature search identified both randomized and nonrandomized trials of preoperative radiation therapy and chemoradiation therapy in rectal cancer since 1993. The aim was to find those studies, which documented the distance from the periphery of the tumour and the CRM. Small trials treating &lt; 20 patients were excluded.\nRESULTS: One hundred and eighty-seven phase II and 28 phase III trials of preoperative radiotherapy or chemoradiation were identified. Most trials documented the degree of response but only 10 of 187 phase II/retrospective studies and four of 28 phase III trials presented data on the achievement of a negative CRM. Few defined this early pathological endpoint prospectively with accurate measurements. However, the majority of studies did use the definition of &lt;or= 1 mm as an involved CRM. Discussion Pathological parameters have been used as early endpoints to compare studies of preoperative radiotherapy or chemoradiation. It remains uncertain whether the degree of response to chemoradiation (e.g. complete pathological response, downsizing the primary tumour, sterilizing the regional nodes, tumour regression grades or residual cell density) or the achievement of a curative resection (uninvolved CRM) is the best early clinical endpoint. Retrospective studies in rectal cancer have confirmed a strong association between the presence of microscopic tumour cells within 1 mm of the CRM and increased risks of both local recurrence and distant metastases. However, as yet this early pathological endpoint lacks structured measurement and analysis techniques to control for intra- and inter-observer variation and has not been validated as a potential surrogate for local control and survival. Recommendations are made as to the most appropriate information, which should be documented in future trials.\nCONCLUSION: The CRM status predicts outcome after surgery alone, preoperative radiotherapy and preoperative chemoradiation. Yet CRM status and its measurement has been poorly documented in the literature, and rarely as a prospective measure of outcome. The CRM should be measured and documented in all cases, using the definition of &lt;or= 1 mm to denote an involved CRM. This definition should also be incorporated into future rectal cancer studies with the use of a standardized proforma.","container-title":"Colorectal Disease: The Official Journal of the Association of Coloproctology of Great Britain and Ireland","DOI":"10.1111/j.1463-1318.2006.01139.x","ISSN":"1462-8910","issue":"9","journalAbbreviation":"Colorectal Dis","language":"eng","note":"PMID: 17032329","page":"800-807","source":"PubMed","title":"The clinical significance of the circumferential resection margin following preoperative pelvic chemo-radiotherapy in rectal cancer: why we need a common language","title-short":"The clinical significance of the circumferential resection margin following preoperative pelvic chemo-radiotherapy in rectal cancer","volume":"8","author":[{"family":"Glynne-Jones","given":"R."},{"family":"Mawdsley","given":"S."},{"family":"Novell","given":"J. R."}],"issued":{"date-parts":[["2006",11]]}},"label":"page"},{"id":557,"uris":["http://zotero.org/users/8787459/items/V5ZNRX3B"],"itemData":{"id":557,"type":"article-journal","abstract":"PURPOSE: Clinical assessment of rectal cancer response to preoperative combined-modality therapy (CMT) using digital rectal examination (DRE) has been proposed as a means of assessing efficacy of therapy. However, because the accuracy of this approach has not been established, we conducted a prospective analysis to determine the operating surgeon's ability to assess response using DRE.\nPATIENTS AND METHODS: Ninety-four prospectively accrued patients with locally advanced rectal cancer (T3/4 or N1) were evaluated with DRE and sigmoidoscopy in order to determine the following tumor characteristics: size, location, mobility, morphology, and circumference. Following preoperative CMT (50.40 Gy with fluorouracil-based chemotherapy) and under general anesthesia, the same surgeon estimated tumor response based on changes in these tumor characteristics, assessed via DRE. Percent pathologic tumor response was determined prospectively by a single pathologist using whole mount sections of the resected cancer.\nRESULTS: Clinical assessment using DRE underestimated pathologic response in 73 cases (78%). In addition, DRE was able to identify only 3 of 14 cases (21%) with a pathologic complete response. There were no clinical overestimates of response. None of the clinicopathologic tumor characteristics examined had a significant impact on DRE estimation of response.\nCONCLUSION: Clinical examination underestimates the extent of rectal cancer response to preoperative CMT. Given the inaccuracy of DRE following preoperative CMT, it should not be used as a sole means of assessing efficacy of therapy nor for selecting patients following CMT for local surgical therapies.","container-title":"Journal of Clinical Oncology: Official Journal of the American Society of Clinical Oncology","DOI":"10.1200/JCO.2005.06.114","ISSN":"0732-183X","issue":"15","journalAbbreviation":"J Clin Oncol","language":"eng","note":"PMID: 15908656","page":"3475-3479","source":"PubMed","title":"Clinical examination following preoperative chemoradiation for rectal cancer is not a reliable surrogate end point","volume":"23","author":[{"family":"Guillem","given":"Jose G."},{"family":"Chessin","given":"David B."},{"family":"Shia","given":"Jinru"},{"family":"Moore","given":"Harvey G."},{"family":"Mazumdar","given":"Madhu"},{"family":"Bernard","given":"Bianca"},{"family":"Paty","given":"Philip B."},{"family":"Saltz","given":"Leonard"},{"family":"Minsky","given":"Bruce D."},{"family":"Weiser","given":"Martin R."},{"family":"Temple","given":"Larissa K. F."},{"family":"Cohen","given":"Alfred M."},{"family":"Wong","given":"W. Douglas"}],"issued":{"date-parts":[["2005",5,20]]}},"label":"page"},{"id":559,"uris":["http://zotero.org/users/8787459/items/B8U2TIBW"],"itemData":{"id":559,"type":"article-journal","abstract":"OBJECTIVE: The purpose of the present study was to investigate the impact of tumour regression and the post-treatment lymph node status on the prognosis of rectal cancer treated by preoperative neoadjuvant chemoradiotherapy.\nMETHOD: One hundred and thirty-five patients with locally advanced T3 and T4 rectal tumours received preoperative long-course chemoradiation, to a dose of 60 Gy external radiation and oral 5-fluorouracil 300 mg/m(2) daily and Leukovorin 22.5 mg/day 5 days a week. Surgery was performed 8 weeks after the end of treatment. The tumour response was evaluated according to the tumour regression grade system and lymph node status in the surgical specimen was assessed. The prognostic value of clinico-pathological parameters was analysed using univariate analysis and Kaplan-Meier methods for comparison of groups.\nRESULTS: All patients responded to treatment and 47% had a major response, including 25 (19%) complete responders. The median follow-up was 26 months (range 12-94 months). The cancer specific survival was 82% and there was a significant lower survival rate in the group of patients with post-treatment lymph node metastases compared to lymph-node negative patients [63% and 87% respectively (P = 0.007)]. Furthermore patients with a major tumour response and no lymph node metastases in the surgical specimen after treatment had a survival rate of 100% compared with 60% in the group of patients with major response but lymph node metastases after surgery (P &lt; 0.01).\nCONCLUSION: The combined assessment of lymph-node status and tumour response has strong prognostic value in locally advanced rectal cancer patient treated with preoperative long-course chemoradiation.","container-title":"Colorectal Disease: The Official Journal of the Association of Coloproctology of Great Britain and Ireland","DOI":"10.1111/j.1463-1318.2008.01599.x","ISSN":"1463-1318","issue":"3","journalAbbreviation":"Colorectal Dis","language":"eng","note":"PMID: 18573119","page":"264-269","source":"PubMed","title":"The prognostic value of lymph node metastases and tumour regression grade in rectal cancer patients treated with long-course preoperative chemoradiotherapy","volume":"11","author":[{"family":"Lindebjerg","given":"J."},{"family":"Spindler","given":"K.-L. G."},{"family":"Ploen","given":"J."},{"family":"Jakobsen","given":"A."}],"issued":{"date-parts":[["2009",3]]}},"label":"page"},{"id":563,"uris":["http://zotero.org/users/8787459/items/QQRPHNR5"],"itemData":{"id":563,"type":"article-journal","abstract":"BACKGROUND: Preoperative chemoradiation is the standard treatment for locally advanced rectal cancer. However, it is uncertain whether pretreatment clinical stage, degree of response to neoadjuvant treatment, or pathologic stage is the most reliable predictor of outcome. This study compared various staging elements and treatment-related variables to identify which factors or combination of factors reliably prognosticates disease-free survival in rectal cancer patients receiving neoadjuvant combined modality therapy.\nMETHODS: From a prospectively maintained single institution database, 342 consecutive patients with locally advanced rectal cancer staged by endorectal ultrasound were identified. Patients underwent rectal resection 4 to 8 weeks after a 5.5-week course of pelvic radiotherapy/concurrent chemotherapy. The degree of tumor regression was histologically graded on each resected specimen using a previously reported response scale of 0% to 100%. Predictive models of disease-free survival were created utilizing available pretherapy and postoperative staging elements in addition to the degree of tumor regression noted histologically. Model accuracy was measured and compared by concordance index, with 95% confidence interval (CI).\nRESULTS: Stratifying patients by degree of tumor regression predicted outcome with a concordance index of 0.65 (95% CI, 0.59-0.71), which was significantly better than models using preoperative stage elements (concordance index of 0.54; 95% CI, 0.50-0.58). However, the model found to be most predictive of disease-free survival stratified patients by final pathologic T classification and N classification elements, with a concordance index of 0.75 (95% CI, 0.70-0.80).\nCONCLUSIONS: Tumor response to preoperative therapy is a strong predictor of disease-free survival. However, outcome is most accurately estimated by final pathologic stage, which is influenced by both preoperative stage and response to therapy.","container-title":"Cancer","DOI":"10.1002/cncr.23516","ISSN":"0008-543X","issue":"1","journalAbbreviation":"Cancer","language":"eng","note":"PMID: 18442099","page":"57-64","source":"PubMed","title":"Pathologic stage is most prognostic of disease-free survival in locally advanced rectal cancer patients after preoperative chemoradiation","volume":"113","author":[{"family":"Quah","given":"Hak-Mien"},{"family":"Chou","given":"Joanne F."},{"family":"Gonen","given":"Mithat"},{"family":"Shia","given":"Jinru"},{"family":"Schrag","given":"Deborah"},{"family":"Saltz","given":"Leonard B."},{"family":"Goodman","given":"Karyn A."},{"family":"Minsky","given":"Bruce D."},{"family":"Wong","given":"W. Douglas"},{"family":"Weiser","given":"Martin R."}],"issued":{"date-parts":[["2008",7,1]]}},"label":"page"}],"schema":"https://github.com/citation-style-language/schema/raw/master/csl-citation.json"}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szCs w:val="24"/>
        </w:rPr>
        <w:t>[162</w:t>
      </w:r>
      <w:r w:rsidR="00FF4BDB" w:rsidRPr="00D3420D">
        <w:rPr>
          <w:rFonts w:ascii="Times New Roman" w:hAnsi="Times New Roman" w:cs="Times New Roman"/>
          <w:sz w:val="28"/>
          <w:szCs w:val="24"/>
        </w:rPr>
        <w:t>-</w:t>
      </w:r>
      <w:r w:rsidR="00F6152F" w:rsidRPr="00F6152F">
        <w:rPr>
          <w:rFonts w:ascii="Times New Roman" w:hAnsi="Times New Roman" w:cs="Times New Roman"/>
          <w:sz w:val="28"/>
          <w:szCs w:val="24"/>
        </w:rPr>
        <w:t>167]</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 xml:space="preserve">. Было решено, что последняя, разработанная </w:t>
      </w:r>
      <w:r w:rsidRPr="00A43B9C">
        <w:rPr>
          <w:rFonts w:ascii="Times New Roman" w:eastAsia="Times New Roman" w:hAnsi="Times New Roman" w:cs="Times New Roman"/>
          <w:sz w:val="28"/>
          <w:szCs w:val="28"/>
          <w:lang w:val="en-US" w:eastAsia="ru-RU"/>
        </w:rPr>
        <w:t>Larson</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et</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al</w:t>
      </w:r>
      <w:r w:rsidR="00184001"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является лучшим параметром для оценки опухоли на терапию. После терапии во всех раках прямой кишки происходил резко повышенный гликолиз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{"citationID":"XAGo6Hvy","properties":{"formattedCitation":"[27, 168\\uc0\\u8211{}170]","plainCitation":"[27, 168–170]","noteIndex":0},"citationItems":[{"id":575,"uris":["http://zotero.org/users/8787459/items/A3C3SAWB"],"itemData":{"id":575,"type":"article-journal","abstract":"BACKGROUND: Diabetes has been associated with an increased risk of colorectal cancer in most, but not all, studies. Findings have also been inconclusive with regard to sex and subsite in the colorectum. To resolve these inconsistencies, we conducted a meta-analysis of published data on the association between diabetes and the incidence and mortality of colorectal cancer.\nMETHODS: We identified studies by a literature search of Medline from January 1, 1966, through July 31, 2005, and by searching the reference lists of pertinent articles. Summary relative risks (RRs) with 95% confidence intervals (CIs) were calculated with a random-effects model. All statistical tests were two-sided.\nRESULTS: Analysis of 15 studies (six case-control and nine cohort studies), including 2 593 935 participants, found that diabetes was associated with an increased risk of colorectal cancer, compared with no diabetes (summary RR of colorectal cancer incidence = 1.30, 95% CI = 1.20 to 1.40), without heterogeneity between studies (P(heterogeneity) = .21). These results were consistent between case-control and cohort studies and between studies conducted in the United States and in Europe. The association between diabetes and colorectal cancer incidence did not differ statistically significantly by sex (summary RR among women = 1.33, 95% CI = 1.23 to 1.44; summary RR among men = 1.29, 95% CI = 1.15 to 1.44; P(heterogeneity) = .26) or by cancer subsite (summary RR for colon = 1.43, 95% CI = 1.28 to 1.60; summary RR for rectum = 1.33, 95% CI = 1.14 to 1.54; P(heterogeneity) = .42). Diabetes was positively associated with colorectal cancer mortality (summary RR = 1.26, 95% CI = 1.05 to 1.50), but there was evidence for heterogeneity between studies (P(heterogeneity) = .04).\nCONCLUSIONS: Our findings strongly support a relationship between diabetes and increased risk of colon and rectal cancer in both women and men.","container-title":"Journal of the National Cancer Institute","DOI":"10.1093/jnci/dji375","ISSN":"1460-2105","issue":"22","journalAbbreviation":"J Natl Cancer Inst","language":"eng","note":"PMID: 16288121","page":"1679-1687","source":"PubMed","title":"Diabetes mellitus and risk of colorectal cancer: a meta-analysis","title-short":"Diabetes mellitus and risk of colorectal cancer","volume":"97","author":[{"family":"Larsson","given":"Susanna C."},{"family":"Orsini","given":"Nicola"},{"family":"Wolk","given":"Alicja"}],"issued":{"date-parts":[["2005",11,16]]}},"label":"page"},{"id":577,"uris":["http://zotero.org/users/8787459/items/IILXZEST"],"itemData":{"id":577,"type":"article-journal","abstract":"CONTEXT: Mounting evidence indicates that vitamin B(6), a coenzyme involved in nearly 100 enzymatic reactions, may reduce the risk of colorectal cancer.\nOBJECTIVE: To conduct a systematic review with meta-analysis of prospective studies assessing the association of vitamin B(6) intake or blood levels of pyridoxal 5'-phosphate (PLP; the active form of vitamin B(6)) with risk of colorectal cancer.\nDATA SOURCES: Relevant studies were identified by a search of MEDLINE and EMBASE databases to February 2010, with no restrictions. We also reviewed reference lists from retrieved articles.\nSTUDY SELECTION: We included prospective studies that reported relative risk (RR) estimates with 95% confidence intervals (CIs) for the association between vitamin B(6) intake or blood PLP levels and the risk of colorectal, colon, or rectal cancer.\nDATA EXTRACTION: Two authors independently extracted data and assessed study quality. Study-specific RRs were pooled using a random-effects model.\nDATA SYNTHESIS: Nine studies on vitamin B(6) intake and 4 studies on blood PLP levels were included in the meta-analysis. The pooled RRs of colorectal cancer for the highest vs lowest category of vitamin B(6) intake and blood PLP levels were 0.90 (95% CI, 0.75-1.07) and 0.52 (95% CI, 0.38-0.71), respectively. There was heterogeneity among studies of vitamin B(6) intake (P = .01) but not among studies of blood PLP levels (P = .95). Omitting 1 study that contributed substantially to the heterogeneity among studies of vitamin B(6) intake yielded a pooled RR of 0.80 (95% CI, 0.69-0.92). The risk of colorectal cancer decreased by 49% for every 100-pmol/mL increase (approximately 2 SDs) in blood PLP levels (RR, 0.51; 95% CI, 0.38-0.69).\nCONCLUSION: Vitamin B(6) intake and blood PLP levels were inversely associated with the risk of colorectal cancer in this meta-analysis.","container-title":"JAMA","DOI":"10.1001/jama.2010.263","ISSN":"1538-3598","issue":"11","journalAbbreviation":"JAMA","language":"eng","note":"PMID: 20233826","page":"1077-1083","source":"PubMed","title":"Vitamin B6 and risk of colorectal cancer: a meta-analysis of prospective studies","title-short":"Vitamin B6 and risk of colorectal cancer","volume":"303","author":[{"family":"Larsson","given":"Susanna C."},{"family":"Orsini","given":"Nicola"},{"family":"Wolk","given":"Alicja"}],"issued":{"date-parts":[["2010",3,17]]}},"label":"page"},{"id":570,"uris":["http://zotero.org/users/8787459/items/YIPJ2S3S"],"itemData":{"id":570,"type":"article-journal","abstract":"Accumulating epidemiologic evidence indicates that high consumption of red meat and of processed meat may increase the risk of colorectal cancer. We quantitatively assessed the association between red meat and processed meat consumption and the risk of colorectal cancer in a meta-analysis of prospective studies published through March 2006. Random-effects models were used to pool study results and to assess dose-response relationships. We identified 15 prospective studies on red meat (involving 7,367 cases) and 14 prospective studies on processed meat consumption (7,903 cases). The summary relative risks (RRs) of colorectal cancer for the highest vs. the lowest intake categories were 1.28 (95% confidence interval (CI) = 1.15-1.42) for red meat and 1.20 (95% CI = 1.11-1.31) for processed meat. The estimated summary RRs were 1.28 (95% CI = 1.18-1.39) for an increase of 120 g/day of red meat and 1.09 (95% CI = 1.05-1.13) for an increase of 30 g/day of processed meat. Consumption of red meat and processed meat was positively associated with risk of both colon and rectal cancer, although the association with red meat appeared to be stronger for rectal cancer. In 3 studies that reported results for subsites in the colon, high consumption of processed meat was associated with an increased risk of distal colon cancer but not of proximal colon cancer. The results of this meta-analysis of prospective studies support the hypothesis that high consumption of red meat and of processed meat is associated with an increased risk of colorectal cancer.","container-title":"International Journal of Cancer","DOI":"10.1002/ijc.22170","ISSN":"0020-7136","issue":"11","journalAbbreviation":"Int J Cancer","language":"eng","note":"PMID: 16991129","page":"2657-2664","source":"PubMed","title":"Meat consumption and risk of colorectal cancer: a meta-analysis of prospective studies","title-short":"Meat consumption and risk of colorectal cancer","volume":"119","author":[{"family":"Larsson","given":"Susanna C."},{"family":"Wolk","given":"Alicja"}],"issued":{"date-parts":[["2006",12,1]]}},"label":"page"},{"id":573,"uris":["http://zotero.org/users/8787459/items/U3C2FIIJ"],"itemData":{"id":573,"type":"article-journal","abstract":"BACKGROUND: Whereas obesity has been associated with an increased risk of colon cancer in men, a weak or no association has been observed in women. Results for rectal cancer have also been inconsistent.\nOBJECTIVE: The objective was to perform a meta-analysis to summarize the available evidence from prospective studies on the associations of overall and abdominal obesity with the risk of colon and rectal cancer.\nDESIGN: We searched MEDLINE (1966-April 2007) and the references of the retrieved articles. Study-specific relative risks (RRs) were pooled by using a random-effects model.\nRESULTS: Thirty prospective studies were included in the meta-analysis of body mass index (BMI; in kg/m(2)). Overall, a 5-unit increase in BMI was related to an increased risk of colon cancer in both men (RR: 1.30; 95% CI: 1.25, 1.35) and women (RR: 1.12; 95% CI: 1.07, 1.18), but the association was stronger in men (P &lt; 0.001). BMI was positively associated with rectal cancer in men (RR: 1.12; 95% CI: 1.09, 1.16) but not in women (RR: 1.03; 95% CI: 0.99, 1.08). The difference in RRs between cancer sites was statistically significant (P &lt; 0.001 in men and P = 0.04 in women). Colon cancer risk increased with increasing waist circumference (per 10-cm increase) in both men (RR: 1.33; 95% CI: 1.19, 1.49) and women (RR: 1.16; 95% CI: 1.09, 1.23) and with increasing waist-hip ratio (per 0.1-unit increase) in both men (RR: 1.43; 95% CI: 1.19, 1.71) and women (RR: 1.20; 95% CI: 1.08, 1.33).\nCONCLUSIONS: The association between obesity and colon and rectal cancer risk varies by sex and cancer site.","container-title":"The American Journal of Clinical Nutrition","DOI":"10.1093/ajcn/86.3.556","ISSN":"0002-9165","issue":"3","journalAbbreviation":"Am J Clin Nutr","language":"eng","note":"PMID: 17823417","page":"556-565","source":"PubMed","title":"Obesity and colon and rectal cancer risk: a meta-analysis of prospective studies","title-short":"Obesity and colon and rectal cancer risk","volume":"86","author":[{"family":"Larsson","given":"Susanna C."},{"family":"Wolk","given":"Alicja"}],"issued":{"date-parts":[["2007",9]]}},"label":"page"}],"schema":"https://github.com/citation-style-language/schema/raw/master/csl-citation.json"}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szCs w:val="24"/>
        </w:rPr>
        <w:t>[168</w:t>
      </w:r>
      <w:r w:rsidR="00FF4BDB" w:rsidRPr="00D3420D">
        <w:rPr>
          <w:rFonts w:ascii="Times New Roman" w:hAnsi="Times New Roman" w:cs="Times New Roman"/>
          <w:sz w:val="28"/>
          <w:szCs w:val="24"/>
        </w:rPr>
        <w:t>-</w:t>
      </w:r>
      <w:r w:rsidR="00F6152F" w:rsidRPr="00F6152F">
        <w:rPr>
          <w:rFonts w:ascii="Times New Roman" w:hAnsi="Times New Roman" w:cs="Times New Roman"/>
          <w:sz w:val="28"/>
          <w:szCs w:val="24"/>
        </w:rPr>
        <w:t>170]</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p>
    <w:p w14:paraId="7F7A86B6" w14:textId="0BA99A8E"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 xml:space="preserve">В исследовании 100 больных с рецидивом раком по сравнению с КТ, УЗИ печени и измерением уровня РЭА, </w:t>
      </w:r>
      <w:r w:rsidRPr="00A43B9C">
        <w:rPr>
          <w:rFonts w:ascii="Times New Roman" w:eastAsia="Times New Roman" w:hAnsi="Times New Roman" w:cs="Times New Roman"/>
          <w:sz w:val="28"/>
          <w:szCs w:val="28"/>
          <w:lang w:val="en-US" w:eastAsia="ru-RU"/>
        </w:rPr>
        <w:t>Staib</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et</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al</w:t>
      </w:r>
      <w:r w:rsidR="00184001"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оценили влияние, оказанное ПЭТ с FDG на решение о принятии соответствующей тактики лечения. Было обнаружено, что ПЭТ с FDG дала чувствительность 98%, специфичность 90% и точность 95% по сравнению с 91%, 73% и 82% соответственно у КТ в выявлении рецидивов или </w:t>
      </w:r>
      <w:r w:rsidR="001A7EDA">
        <w:rPr>
          <w:rFonts w:ascii="Times New Roman" w:eastAsia="Times New Roman" w:hAnsi="Times New Roman" w:cs="Times New Roman"/>
          <w:sz w:val="28"/>
          <w:szCs w:val="28"/>
          <w:lang w:eastAsia="ru-RU"/>
        </w:rPr>
        <w:t xml:space="preserve">колоректальных </w:t>
      </w:r>
      <w:r w:rsidRPr="00A43B9C">
        <w:rPr>
          <w:rFonts w:ascii="Times New Roman" w:eastAsia="Times New Roman" w:hAnsi="Times New Roman" w:cs="Times New Roman"/>
          <w:sz w:val="28"/>
          <w:szCs w:val="28"/>
          <w:lang w:eastAsia="ru-RU"/>
        </w:rPr>
        <w:t>метастазов. Авторы доложили о чувствительности ПЭТ 100% в выявлении метастазов в печень.</w:t>
      </w:r>
    </w:p>
    <w:p w14:paraId="1A8F00FC" w14:textId="473D4835"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val="en-US" w:eastAsia="ru-RU"/>
        </w:rPr>
        <w:t>Arulampalam</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et</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al</w:t>
      </w:r>
      <w:r w:rsidR="00184001"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оценивали по ПЭТ с FDG 42 больных, лечившихся от </w:t>
      </w:r>
      <w:r w:rsidR="00E706A5">
        <w:rPr>
          <w:rFonts w:ascii="Times New Roman" w:eastAsia="Times New Roman" w:hAnsi="Times New Roman" w:cs="Times New Roman"/>
          <w:sz w:val="28"/>
          <w:szCs w:val="28"/>
          <w:lang w:val="kk-KZ" w:eastAsia="ru-RU"/>
        </w:rPr>
        <w:t>колоректального рака</w:t>
      </w:r>
      <w:r w:rsidRPr="00A43B9C">
        <w:rPr>
          <w:rFonts w:ascii="Times New Roman" w:eastAsia="Times New Roman" w:hAnsi="Times New Roman" w:cs="Times New Roman"/>
          <w:sz w:val="28"/>
          <w:szCs w:val="28"/>
          <w:lang w:eastAsia="ru-RU"/>
        </w:rPr>
        <w:t xml:space="preserve">. Результаты были сравнены с данными КТ для оценки </w:t>
      </w:r>
      <w:r w:rsidRPr="00A43B9C">
        <w:rPr>
          <w:rFonts w:ascii="Times New Roman" w:eastAsia="Times New Roman" w:hAnsi="Times New Roman" w:cs="Times New Roman"/>
          <w:sz w:val="28"/>
          <w:szCs w:val="28"/>
          <w:lang w:eastAsia="ru-RU"/>
        </w:rPr>
        <w:lastRenderedPageBreak/>
        <w:t>влияния ПЭТ с FDG на ведение больного. ПЭТ с FDG показала чувствительность и специфичность 93% и 58% по сравнению с данными КТ 73% и 75% соответственно.</w:t>
      </w:r>
    </w:p>
    <w:p w14:paraId="6A1CD2C7" w14:textId="2AEDA1EA"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 xml:space="preserve">Несколько последующих исследований опубликовали сведения о влиянии ПЭТ с FDG на ведение больных с </w:t>
      </w:r>
      <w:r w:rsidR="00E706A5">
        <w:rPr>
          <w:rFonts w:ascii="Times New Roman" w:eastAsia="Times New Roman" w:hAnsi="Times New Roman" w:cs="Times New Roman"/>
          <w:sz w:val="28"/>
          <w:szCs w:val="28"/>
          <w:lang w:val="kk-KZ" w:eastAsia="ru-RU"/>
        </w:rPr>
        <w:t xml:space="preserve">колоректальными </w:t>
      </w:r>
      <w:r w:rsidRPr="00A43B9C">
        <w:rPr>
          <w:rFonts w:ascii="Times New Roman" w:eastAsia="Times New Roman" w:hAnsi="Times New Roman" w:cs="Times New Roman"/>
          <w:sz w:val="28"/>
          <w:szCs w:val="28"/>
          <w:lang w:eastAsia="ru-RU"/>
        </w:rPr>
        <w:t>рецидивами.</w:t>
      </w:r>
      <w:r w:rsidR="0069259F"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Simo</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et</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al</w:t>
      </w:r>
      <w:r w:rsidR="00184001"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сообщили о результатах исследования 120 больных с подозрением на рецидив для оценки влияния ПЭТ с FDG на ведение больных. ПЭТ с FDG выявила больше поражений, чем КТ, и привела к серьезным изменениям в лечении у 48% больных, в частности, тех, у кого был повышен уровень РЭА. В другом исследовании </w:t>
      </w:r>
      <w:r w:rsidRPr="00A43B9C">
        <w:rPr>
          <w:rFonts w:ascii="Times New Roman" w:eastAsia="Times New Roman" w:hAnsi="Times New Roman" w:cs="Times New Roman"/>
          <w:sz w:val="28"/>
          <w:szCs w:val="28"/>
          <w:lang w:val="en-US" w:eastAsia="ru-RU"/>
        </w:rPr>
        <w:t>Dizendorf</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et</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al</w:t>
      </w:r>
      <w:r w:rsidR="00184001"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сообщили, что ПЭТ с FDG оказывает серьезное влияние на лечение больных с показаниями к лучевой терапии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{"citationID":"LRUjuAgo","properties":{"formattedCitation":"[14, 35, 66, 171, 172]","plainCitation":"[14, 35, 66, 171, 172]","noteIndex":0},"citationItems":[{"id":586,"uris":["http://zotero.org/users/8787459/items/6MTCENDT"],"itemData":{"id":586,"type":"article-journal","abstract":"Whole-body PET with (18)F-FDG has proven to be a very effective imaging modality for staging of malignant tumors. This study was performed to evaluate the impact of (18)F-FDG PET on staging and managing patients for radiation therapy.\nMETHODS: The treatment records of 202 consecutive patients (98 male, 104 female; mean age, 56.9 y; age range, 8-91 y) with different malignant tumors were reviewed. Radiation therapy was intended for all patients. The diagnoses were head and neck tumors (n = 55), gynecologic tumors (n = 28), breast cancer (n = 28), lung cancer (n = 26), malignant lymphomas (n = 24), tumors of the gastrointestinal tract (n = 18), and others (n = 23). Whole-body PET was performed before radiation therapy. The alteration of PET on each patient's staging and management decisions for radiation therapy were determined.\nRESULTS: For 55 of 202 patients (27%), PET results changed the patients' management in radiation therapy. In 18 cases (9%), PET resulted in a cancellation of radiation therapy because of the detection of previously unknown distant metastases (8 patients), additional lymph node metastases (9 patients), residual tumor (6 patients), or the exclusion of active disease (2 patients). In 6 patients, &gt;1 incremental reason was found for cancellation. In 21 PET examinations (10%), PET results changed the intention of radiation treatment (curative or palliative). The radiation dose was changed in 25 cases (12%). A change of radiation volume was necessary in 12 patients (6%).\nCONCLUSION: The results of this study show that (18)F-FDG PET has a major impact on the management of patients for radiation therapy, influencing both the stage and the management in 27% of patients.","container-title":"Journal of Nuclear Medicine: Official Publication, Society of Nuclear Medicine","ISSN":"0161-5505","issue":"1","journalAbbreviation":"J Nucl Med","language":"eng","note":"PMID: 12515872","page":"24-29","source":"PubMed","title":"Impact of whole-body 18F-FDG PET on staging and managing patients for radiation therapy","volume":"44","author":[{"family":"Dizendorf","given":"Elena V."},{"family":"Baumert","given":"Brigitta G."},{"family":"Schulthess","given":"Gustav K.","non-dropping-particle":"von"},{"family":"Lütolf","given":"Urs M."},{"family":"Steinert","given":"Hans C."}],"issued":{"date-parts":[["2003",1]]}},"label":"page"},{"id":592,"uris":["http://zotero.org/users/8787459/items/N5S2LMP4"],"itemData":{"id":592,"type":"article-journal","abstract":"PURPOSE: To evaluate the impact of positron emission tomography (PET) on target volume delineation for radiation treatment planning.\nMATERIAL AND METHODS: The data of the literature concerning the use of PET in target volume delineation are summarized. The following points are discussed for each tumor entity: biological background for the PET investigation, sensitivity and specificity of PET (with different tracers) in comparison to computed tomography (CT) and magnetic resonance imaging (MRI) and impact of PET on target volume definition. New PET tracers, which could visualize biological pathways, such as hypoxia, proliferation, angiogenesis, apoptosis and gene expression patterns, will also be discussed.\nRESULTS: The results of clinical studies on the integration of PET in target volume definition for lung, head-and-neck, genitourinary and brain tumors were analyzed. Fluorodeoxyglucose-(FDG-)PET has a significant impact on GTV (gross tumor volume) and PTV (planning target volume) delineation in lung cancer and can detect lymph node involvement and differentiate malignant tissue from atelectasis. In head-and-neck cancer, the value of FDG-PET for radiation treatment planning is still under investigation. For example, FDG-PET could be superior to CT and MRI in the detection of lymph node metastases and unknown primary cancer and in the differentiation of viable tumor tissue after treatment. Therefore, it might play an important role in GTV definition and sparing of normal tissue. Choline PET and acetate PET are promising tracers in the diagnosis of prostate cancer, but their validity in local tumor demarcation, lymph node diagnosis and detection of recurrence has to be defined in future clinical trials. FDG-PET seems to be particularly valuable in lymph node status definition in cervical cancer. In high-grade gliomas and meningiomas, methionine PET helps to define the GTV and differentiate tumor from normal tissue. For other entities like gastrointestinal cancer, lymphomas, sarcomas, etc., the data of the literature are yet insufficient. The imaging of hypoxia, cell proliferation, angiogenesis, apoptosis and gene expression leads to the identification of different areas of a biologically heterogeneous tumor mass that can individually be targeted using intensity modulated radiotherapy (IMRT). In addition, a biological dose distribution can be generated, the socalled dose painting. However, systematic experimental and clinical trials are necessary to validate this hypothesis.\nCONCLUSION: Regarding treatment planning in radiotherapy, PET offers advantages in terms of tumor delineation and the description of biological processes. To define the real impact of this investigation in radiation treatment planning, subsequent experimental, clinical and cost-benefit analyses are required.","container-title":"Strahlentherapie Und Onkologie: Organ Der Deutschen Rontgengesellschaft ... [et Al]","DOI":"10.1007/s00066-005-1422-7","ISSN":"0179-7158","issue":"8","journalAbbreviation":"Strahlenther Onkol","language":"eng","note":"PMID: 16044216","page":"483-499","source":"PubMed","title":"Positron emission tomography for radiation treatment planning","volume":"181","author":[{"family":"Grosu","given":"Anca-Ligia"},{"family":"Piert","given":"Morand"},{"family":"Weber","given":"Wolfgang A."},{"family":"Jeremic","given":"Branislav"},{"family":"Picchio","given":"Maria"},{"family":"Schratzenstaller","given":"Ulrich"},{"family":"Zimmermann","given":"Frank B."},{"family":"Schwaiger","given":"Markus"},{"family":"Molls","given":"Michael"}],"issued":{"date-parts":[["2005",8]]}},"label":"page"},{"id":588,"uris":["http://zotero.org/users/8787459/items/ZDT9LMXY"],"itemData":{"id":588,"type":"article-journal","container-title":"Journal of Nuclear Medicine: Official Publication, Society of Nuclear Medicine","ISSN":"0161-5505","issue":"1","journalAbbreviation":"J Nucl Med","language":"eng","note":"PMID: 12515873","page":"30-32","source":"PubMed","title":"18F-FDG PET in candidates for radiation therapy: is it important and how do we validate its impact?","title-short":"18F-FDG PET in candidates for radiation therapy","volume":"44","author":[{"family":"Hicks","given":"Rodney J."},{"family":"Mac Manus","given":"Michael P."}],"issued":{"date-parts":[["2003",1]]}},"label":"page"},{"id":590,"uris":["http://zotero.org/users/8787459/items/JJ3RBKF9"],"itemData":{"id":590,"type":"article-journal","abstract":"The aim of this study was to evaluate the impact of whole-body (18)F-FDG PET on staging and managing patients with small cell lung cancer (SCLC).\nMETHODS: The treatment records of 42 consecutive patients (27 men, 15 women; mean age, 62 y; age range, 45-83 y) with SCLC were reviewed. Whole-body (18)F-FDG PET was performed for initial staging in 24 patients and for restaging after chemotherapy or radiation treatment in 20 patients. Two patients of the initial staging group were restaged with PET after therapy. PET findings were correlated with clinical and radiologic findings (CT of the chest and abdomen, bone scan, and CT or MRI of the brain). The impact of PET on staging and management decisions was determined.\nRESULTS: For 12 of 42 patients (29%), PET results changed the patient's management. In 8 patients (19%), PET resulted in a change of radiation therapy because of the detection of previously unknown tumor foci. Adjuvant radiation therapy was cancelled in 3 patients. A change of radiation field and volume was necessary in 5 patients. In 1 patient, PET results excluded extensive disease, which permitted surgical resection of the tumor. Chemotherapy was discontinued in 2 patients and restarted in 1 patient on the basis of the PET findings. In 5 patients (12%), PET excluded malignancy as the suspicious lesions found with conventional cross-sectional imaging did not take up (18)F-FDG.\nCONCLUSION: The results of this study show that (18)F-FDG PET has a major impact on the management of patients with SCLC, influencing both the stage and the management in 29% of patients. PET is a highly valuable tool for accurate target definition of radiation treatment by reducing the probability of overlooking involved areas.","container-title":"Journal of Nuclear Medicine: Official Publication, Society of Nuclear Medicine","ISSN":"0161-5505","issue":"12","journalAbbreviation":"J Nucl Med","language":"eng","note":"PMID: 14660716","page":"1911-1917","source":"PubMed","title":"Whole-body (18)F-FDG PET improves the management of patients with small cell lung cancer","volume":"44","author":[{"family":"Kamel","given":"Ehab M."},{"family":"Zwahlen","given":"Daniel"},{"family":"Wyss","given":"Matthias T."},{"family":"Stumpe","given":"Katrin D."},{"family":"Schulthess","given":"Gustav K.","non-dropping-particle":"von"},{"family":"Steinert","given":"Hans C."}],"issued":{"date-parts":[["2003",12]]}},"label":"page"},{"id":295,"uris":["http://zotero.org/users/8787459/items/PZWAPV2B"],"itemData":{"id":295,"type":"article-journal","abstract":"BACKGROUND: We assessed the contribution of dedicated computed tomographic (CT) interpretation to the accuracy of positron emission tomography (PET) plus CT in imaging patients with suspected primary or metastatic colorectal carcinoma.\nMETHODS: One hundred PET/CT scans in 90 consecutive patients were evaluated retrospectively. Imaging was performed on a GE Discovery LS PET/CT scanner. PET images were obtained from the skull base through the midthigh after intravenous administration of 15 to 20 mCi of [(18)F] fluorine-18-fluoro-2-deoxyglucose. Noncontrast axial CT images were obtained at the same anatomic locations, with 140 kV, 80 mA, 0.8 s/CT rotation, a pitch of 6, and a table speed of 22.5 mm/s. The CT component of the PET/CT study was reviewed independently by consensus of two blinded readers. Scans were evaluated for the presence of primary disease, local recurrence, and distant metastases. Results were compared with the PET/CT report. The gold standard was clinical and imaging follow-up for at least 6 months, surgery, or biopsy.\nRESULTS: The study included 40 males and 50 females, with a mean age of 63 years (range, 31-92 years). The indications for the examination were to evaluate for recurrence of colorectal cancer in 83 cases, determine disease spread in 15 cases, and evaluate for possible primary malignancy in two cases with rising carcinoembryonic antigen. Sensitivity, specificity, and accuracy of the PET/CT report and of the combined PET/CT with dedicated CT interpretation were 0.914, 0.633, and 0.830 and 0.986, 1.000, and 0.980, respectively. The difference between PET/CT and the combined PET/CT with dedicated CT interpretation with respect to accuracy was statistically significant (p &lt; 0.05).\nCONCLUSION: The CT portion of PET/CT provides valuable anatomic and pathologic information to the functional information provided by PET and helps improve the overall accuracy of the combined study.","container-title":"Abdominal Imaging","DOI":"10.1007/s00261-003-0163-2","ISSN":"0942-8925","issue":"6","journalAbbreviation":"Abdom Imaging","language":"eng","note":"PMID: 15162236","page":"663-668","source":"PubMed","title":"Incremental value of CT in PET/CT of patients with colorectal carcinoma","volume":"29","author":[{"family":"Kamel","given":"I. R."},{"family":"Cohade","given":"C."},{"family":"Neyman","given":"E."},{"family":"Fishman","given":"E. K."},{"family":"Wahl","given":"R. L."}],"issued":{"date-parts":[["2004",12]]}},"label":"page"}],"schema":"https://github.com/citation-style-language/schema/raw/master/csl-citation.json"}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[171, 172]</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p>
    <w:p w14:paraId="6ECF039E" w14:textId="6F1C96CA"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 xml:space="preserve">ПЭТ с FDG может определить больных с благоприятным прогнозом. </w:t>
      </w:r>
      <w:r w:rsidRPr="00A43B9C">
        <w:rPr>
          <w:rFonts w:ascii="Times New Roman" w:eastAsia="Times New Roman" w:hAnsi="Times New Roman" w:cs="Times New Roman"/>
          <w:sz w:val="28"/>
          <w:szCs w:val="28"/>
          <w:lang w:val="en-US" w:eastAsia="ru-RU"/>
        </w:rPr>
        <w:t>Strasberg</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et</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al</w:t>
      </w:r>
      <w:r w:rsidR="00184001"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провели исследование 43 больных с метастатическим </w:t>
      </w:r>
      <w:r w:rsidR="00E706A5">
        <w:rPr>
          <w:rFonts w:ascii="Times New Roman" w:eastAsia="Times New Roman" w:hAnsi="Times New Roman" w:cs="Times New Roman"/>
          <w:sz w:val="28"/>
          <w:szCs w:val="28"/>
          <w:lang w:val="kk-KZ" w:eastAsia="ru-RU"/>
        </w:rPr>
        <w:t>колоректальным раком</w:t>
      </w:r>
      <w:r w:rsidRPr="00A43B9C">
        <w:rPr>
          <w:rFonts w:ascii="Times New Roman" w:eastAsia="Times New Roman" w:hAnsi="Times New Roman" w:cs="Times New Roman"/>
          <w:sz w:val="28"/>
          <w:szCs w:val="28"/>
          <w:lang w:eastAsia="ru-RU"/>
        </w:rPr>
        <w:t>. В этом исследовании ПЭТ с FDG выявила дополнительные поражения, не выявленные при КТ, у 10 больных (25%)</w:t>
      </w:r>
      <w:r w:rsidR="00940631">
        <w:rPr>
          <w:rFonts w:ascii="Times New Roman" w:eastAsia="Times New Roman" w:hAnsi="Times New Roman" w:cs="Times New Roman"/>
          <w:sz w:val="28"/>
          <w:szCs w:val="28"/>
          <w:lang w:eastAsia="ru-RU"/>
        </w:rPr>
        <w:t>, трех</w:t>
      </w:r>
      <w:r w:rsidRPr="00A43B9C">
        <w:rPr>
          <w:rFonts w:ascii="Times New Roman" w:eastAsia="Times New Roman" w:hAnsi="Times New Roman" w:cs="Times New Roman"/>
          <w:sz w:val="28"/>
          <w:szCs w:val="28"/>
          <w:lang w:eastAsia="ru-RU"/>
        </w:rPr>
        <w:t xml:space="preserve">летняя выживаемость этих больных, обследованных до резекции печени, составляла 77% по сравнению с 40% раннее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{"citationID":"hcZe1W7G","properties":{"formattedCitation":"[173]","plainCitation":"[173]","noteIndex":0},"citationItems":[{"id":594,"uris":["http://zotero.org/users/8787459/items/U2Q7EZ2L"],"itemData":{"id":594,"type":"article-journal","abstract":"Objective\nTo present the survival results for patients with colorectal carcinoma metastases who have undergone liver resection after being staged by [18F] fluoro-2-deoxy-D-glucose–positron emission tomography (FDG-PET).\n\nSummary Background Data\nHepatic resection is standard therapy for colorectal metastases confined to the liver, but recurrence is common because of the presence of undetected cancer at the time of surgery. FDG-PET is a sensitive diagnostic tool that identifies tumors based on the increased uptake of glucose by tumor cells. To date, no survival results have been reported for patients who have actually had liver resection after being staged by FDG-PET.\n\nMethods\nForty-three patients with metastatic colorectal cancer were referred for hepatic resection after conventional tumor staging with computed tomography. FDG-PET was performed on all patients. Laparotomy was performed on patients not staged out by PET. Resection was performed at the time of laparotomy unless extrahepatic disease or unresectable hepatic tumors were found. Patients were examined at intervals in the preoperative period.\n\nResults\nFDG-PET identified additional cancer not seen on computed tomography in 10 patients. Surgery was contraindicated in six of these patients because of the findings on FDG-PET. Laparotomy was performed in 37 patients. In all but two, liver resection was performed. Median follow-up in the 35 patients undergoing resection was 24 months. The Kaplan-Meier estimate of overall survival at 3 years was 77% and the lower 95% confidence limit of this estimate of survival was 60%. This figure is higher than 3-year estimate of survival found in previously published series. The 3-year disease-free survival rate was 40%.\n\nConclusions\nPreoperative FDG-PET lessens the recurrence rate in patients undergoing hepatic resection for colorectal metastases to the liver by detection of disease not found on conventional imaging.","container-title":"Annals of Surgery","ISSN":"0003-4932","issue":"3","journalAbbreviation":"Ann Surg","note":"PMID: 11224615\nPMCID: PMC1421243","page":"293-299","source":"PubMed Central","title":"Survival of Patients Evaluated by FDG-PET Before Hepatic Resection for Metastatic Colorectal Carcinoma: A Prospective Database Study","title-short":"Survival of Patients Evaluated by FDG-PET Before Hepatic Resection for Metastatic Colorectal Carcinoma","volume":"233","author":[{"family":"Strasberg","given":"Steven M."},{"family":"Dehdashti","given":"Farrokh"},{"family":"Siegel","given":"Barry A."},{"family":"Drebin","given":"Jeffrey A."},{"family":"Linehan","given":"David"}],"issued":{"date-parts":[["2001",3]]}}}],"schema":"https://github.com/citation-style-language/schema/raw/master/csl-citation.json"}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[173]</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p>
    <w:p w14:paraId="78EB5C09" w14:textId="691EC426" w:rsidR="00FF1D30" w:rsidRPr="00A43B9C" w:rsidRDefault="00FF1D30" w:rsidP="00FF1D30">
      <w:pPr>
        <w:autoSpaceDE w:val="0"/>
        <w:autoSpaceDN w:val="0"/>
        <w:adjustRightInd w:val="0"/>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Таким образом, </w:t>
      </w:r>
      <w:r w:rsidRPr="00A43B9C">
        <w:rPr>
          <w:rFonts w:ascii="Times New Roman" w:eastAsia="Times New Roman" w:hAnsi="Times New Roman" w:cs="Times New Roman"/>
          <w:sz w:val="28"/>
          <w:szCs w:val="28"/>
          <w:lang w:eastAsia="ru-RU"/>
        </w:rPr>
        <w:t>анализируя данные литературы можно сделать вывод</w:t>
      </w:r>
      <w:r w:rsidR="007950EB">
        <w:rPr>
          <w:rFonts w:ascii="Times New Roman" w:eastAsia="Times New Roman" w:hAnsi="Times New Roman" w:cs="Times New Roman"/>
          <w:sz w:val="28"/>
          <w:szCs w:val="28"/>
          <w:lang w:eastAsia="ru-RU"/>
        </w:rPr>
        <w:t xml:space="preserve"> о том</w:t>
      </w:r>
      <w:r w:rsidRPr="00A43B9C">
        <w:rPr>
          <w:rFonts w:ascii="Times New Roman" w:hAnsi="Times New Roman" w:cs="Times New Roman"/>
          <w:sz w:val="28"/>
          <w:szCs w:val="28"/>
        </w:rPr>
        <w:t xml:space="preserve">, что ПЭТ/КТ является чрезвычайно перспективным функциональным методом визуализации опухолевых очагов у больных с диагнозом </w:t>
      </w:r>
      <w:r w:rsidR="00E706A5">
        <w:rPr>
          <w:rFonts w:ascii="Times New Roman" w:hAnsi="Times New Roman" w:cs="Times New Roman"/>
          <w:sz w:val="28"/>
          <w:szCs w:val="28"/>
          <w:lang w:val="kk-KZ"/>
        </w:rPr>
        <w:t>рака яичников и колоректального рака</w:t>
      </w:r>
      <w:r w:rsidR="007950EB">
        <w:rPr>
          <w:rFonts w:ascii="Times New Roman" w:hAnsi="Times New Roman" w:cs="Times New Roman"/>
          <w:sz w:val="28"/>
          <w:szCs w:val="28"/>
        </w:rPr>
        <w:t>,</w:t>
      </w:r>
      <w:r w:rsidRPr="00A43B9C">
        <w:rPr>
          <w:rFonts w:ascii="Times New Roman" w:hAnsi="Times New Roman" w:cs="Times New Roman"/>
          <w:sz w:val="28"/>
          <w:szCs w:val="28"/>
        </w:rPr>
        <w:t xml:space="preserve"> </w:t>
      </w:r>
      <w:r w:rsidR="0069259F" w:rsidRPr="00A43B9C">
        <w:rPr>
          <w:rFonts w:ascii="Times New Roman" w:hAnsi="Times New Roman" w:cs="Times New Roman"/>
          <w:sz w:val="28"/>
          <w:szCs w:val="28"/>
        </w:rPr>
        <w:t>а также</w:t>
      </w:r>
      <w:r w:rsidRPr="00A43B9C">
        <w:rPr>
          <w:rFonts w:ascii="Times New Roman" w:hAnsi="Times New Roman" w:cs="Times New Roman"/>
          <w:sz w:val="28"/>
          <w:szCs w:val="28"/>
        </w:rPr>
        <w:t xml:space="preserve"> высокоинформативным методом лучевой диагностики, позволяя за одно исследование оценить стадию заболевания, получив изображение первичной опухоли </w:t>
      </w:r>
      <w:r w:rsidR="00E706A5">
        <w:rPr>
          <w:rFonts w:ascii="Times New Roman" w:hAnsi="Times New Roman" w:cs="Times New Roman"/>
          <w:sz w:val="28"/>
          <w:szCs w:val="28"/>
          <w:lang w:val="kk-KZ"/>
        </w:rPr>
        <w:t>оварильного рака и колоректального рака</w:t>
      </w:r>
      <w:r w:rsidRPr="00A43B9C">
        <w:rPr>
          <w:rFonts w:ascii="Times New Roman" w:hAnsi="Times New Roman" w:cs="Times New Roman"/>
          <w:sz w:val="28"/>
          <w:szCs w:val="28"/>
        </w:rPr>
        <w:t>, регионарных и отдаленных метастазов, в том числе ранее непредвиденных, что зачастую кардинально меняет тактику ведения лечения пациента.</w:t>
      </w:r>
    </w:p>
    <w:p w14:paraId="7836BE80" w14:textId="77777777"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i/>
          <w:iCs/>
          <w:sz w:val="28"/>
          <w:szCs w:val="28"/>
          <w:lang w:eastAsia="ru-RU"/>
        </w:rPr>
      </w:pPr>
    </w:p>
    <w:p w14:paraId="673730CE" w14:textId="77777777" w:rsidR="00FF1D30" w:rsidRPr="00AF0775" w:rsidRDefault="00FF1D30" w:rsidP="009C5FDC">
      <w:pPr>
        <w:pStyle w:val="31"/>
        <w:spacing w:before="0" w:line="240" w:lineRule="auto"/>
        <w:ind w:firstLine="709"/>
        <w:jc w:val="both"/>
        <w:rPr>
          <w:rFonts w:ascii="Times New Roman" w:eastAsia="Times New Roman" w:hAnsi="Times New Roman" w:cs="Times New Roman"/>
          <w:b/>
          <w:bCs/>
          <w:color w:val="auto"/>
          <w:sz w:val="28"/>
          <w:szCs w:val="28"/>
          <w:lang w:val="kk-KZ" w:eastAsia="ru-RU"/>
        </w:rPr>
      </w:pPr>
      <w:bookmarkStart w:id="23" w:name="_Toc93151291"/>
      <w:bookmarkStart w:id="24" w:name="_Toc101861801"/>
      <w:bookmarkStart w:id="25" w:name="_Toc102937608"/>
      <w:r w:rsidRPr="00AF0775">
        <w:rPr>
          <w:rFonts w:ascii="Times New Roman" w:eastAsia="Times New Roman" w:hAnsi="Times New Roman" w:cs="Times New Roman"/>
          <w:b/>
          <w:bCs/>
          <w:color w:val="auto"/>
          <w:sz w:val="28"/>
          <w:szCs w:val="28"/>
          <w:lang w:eastAsia="ru-RU"/>
        </w:rPr>
        <w:t xml:space="preserve">1.4 Прогностическая ценность определения уровня накопления </w:t>
      </w:r>
      <w:r w:rsidRPr="00AF0775">
        <w:rPr>
          <w:rFonts w:ascii="Times New Roman" w:eastAsia="Times New Roman" w:hAnsi="Times New Roman" w:cs="Times New Roman"/>
          <w:b/>
          <w:bCs/>
          <w:color w:val="auto"/>
          <w:sz w:val="28"/>
          <w:szCs w:val="28"/>
          <w:vertAlign w:val="superscript"/>
          <w:lang w:eastAsia="ru-RU"/>
        </w:rPr>
        <w:t>18</w:t>
      </w:r>
      <w:r w:rsidRPr="00AF0775">
        <w:rPr>
          <w:rFonts w:ascii="Times New Roman" w:eastAsia="Times New Roman" w:hAnsi="Times New Roman" w:cs="Times New Roman"/>
          <w:b/>
          <w:bCs/>
          <w:color w:val="auto"/>
          <w:sz w:val="28"/>
          <w:szCs w:val="28"/>
          <w:lang w:val="en-US" w:eastAsia="ru-RU"/>
        </w:rPr>
        <w:t>F</w:t>
      </w:r>
      <w:r w:rsidRPr="00AF0775">
        <w:rPr>
          <w:rFonts w:ascii="Times New Roman" w:eastAsia="Times New Roman" w:hAnsi="Times New Roman" w:cs="Times New Roman"/>
          <w:b/>
          <w:bCs/>
          <w:color w:val="auto"/>
          <w:sz w:val="28"/>
          <w:szCs w:val="28"/>
          <w:lang w:eastAsia="ru-RU"/>
        </w:rPr>
        <w:t xml:space="preserve">-FDG </w:t>
      </w:r>
      <w:r w:rsidRPr="00AF0775">
        <w:rPr>
          <w:rFonts w:ascii="Times New Roman" w:eastAsia="Times New Roman" w:hAnsi="Times New Roman" w:cs="Times New Roman"/>
          <w:b/>
          <w:bCs/>
          <w:color w:val="auto"/>
          <w:sz w:val="28"/>
          <w:szCs w:val="28"/>
          <w:lang w:val="kk-KZ" w:eastAsia="ru-RU"/>
        </w:rPr>
        <w:t>ПЭТ</w:t>
      </w:r>
      <w:r w:rsidRPr="00AF0775">
        <w:rPr>
          <w:rFonts w:ascii="Times New Roman" w:eastAsia="Times New Roman" w:hAnsi="Times New Roman" w:cs="Times New Roman"/>
          <w:b/>
          <w:bCs/>
          <w:color w:val="auto"/>
          <w:sz w:val="28"/>
          <w:szCs w:val="28"/>
          <w:lang w:eastAsia="ru-RU"/>
        </w:rPr>
        <w:t>/</w:t>
      </w:r>
      <w:r w:rsidRPr="00AF0775">
        <w:rPr>
          <w:rFonts w:ascii="Times New Roman" w:eastAsia="Times New Roman" w:hAnsi="Times New Roman" w:cs="Times New Roman"/>
          <w:b/>
          <w:bCs/>
          <w:color w:val="auto"/>
          <w:sz w:val="28"/>
          <w:szCs w:val="28"/>
          <w:lang w:val="kk-KZ" w:eastAsia="ru-RU"/>
        </w:rPr>
        <w:t xml:space="preserve">КТ </w:t>
      </w:r>
      <w:r w:rsidRPr="00AF0775">
        <w:rPr>
          <w:rFonts w:ascii="Times New Roman" w:eastAsia="Times New Roman" w:hAnsi="Times New Roman" w:cs="Times New Roman"/>
          <w:b/>
          <w:bCs/>
          <w:color w:val="auto"/>
          <w:sz w:val="28"/>
          <w:szCs w:val="28"/>
          <w:lang w:eastAsia="ru-RU"/>
        </w:rPr>
        <w:t xml:space="preserve">при </w:t>
      </w:r>
      <w:r w:rsidRPr="00AF0775">
        <w:rPr>
          <w:rFonts w:ascii="Times New Roman" w:eastAsia="Times New Roman" w:hAnsi="Times New Roman" w:cs="Times New Roman"/>
          <w:b/>
          <w:bCs/>
          <w:color w:val="auto"/>
          <w:sz w:val="28"/>
          <w:szCs w:val="28"/>
          <w:lang w:val="kk-KZ" w:eastAsia="ru-RU"/>
        </w:rPr>
        <w:t>эпителиальном раке яичников</w:t>
      </w:r>
      <w:bookmarkEnd w:id="23"/>
      <w:bookmarkEnd w:id="24"/>
      <w:r w:rsidRPr="00AF0775">
        <w:rPr>
          <w:rFonts w:ascii="Times New Roman" w:eastAsia="Times New Roman" w:hAnsi="Times New Roman" w:cs="Times New Roman"/>
          <w:b/>
          <w:bCs/>
          <w:color w:val="auto"/>
          <w:sz w:val="28"/>
          <w:szCs w:val="28"/>
          <w:lang w:val="kk-KZ" w:eastAsia="ru-RU"/>
        </w:rPr>
        <w:t xml:space="preserve"> и колоректальном раке</w:t>
      </w:r>
      <w:bookmarkEnd w:id="25"/>
    </w:p>
    <w:p w14:paraId="1E900277" w14:textId="45496D62" w:rsidR="00FF1D30" w:rsidRPr="00A43B9C" w:rsidRDefault="00FF1D30" w:rsidP="00FF1D30">
      <w:pPr>
        <w:autoSpaceDE w:val="0"/>
        <w:autoSpaceDN w:val="0"/>
        <w:adjustRightInd w:val="0"/>
        <w:spacing w:after="0" w:line="240" w:lineRule="auto"/>
        <w:ind w:firstLine="709"/>
        <w:jc w:val="both"/>
        <w:rPr>
          <w:rFonts w:ascii="Times New Roman" w:hAnsi="Times New Roman" w:cs="Times New Roman"/>
          <w:sz w:val="28"/>
          <w:szCs w:val="28"/>
        </w:rPr>
      </w:pPr>
      <w:r w:rsidRPr="000534CE">
        <w:rPr>
          <w:rFonts w:ascii="Times New Roman" w:hAnsi="Times New Roman" w:cs="Times New Roman"/>
          <w:sz w:val="28"/>
          <w:szCs w:val="28"/>
        </w:rPr>
        <w:t xml:space="preserve">В отношении </w:t>
      </w:r>
      <w:r w:rsidR="000534CE">
        <w:rPr>
          <w:rFonts w:ascii="Times New Roman" w:hAnsi="Times New Roman" w:cs="Times New Roman"/>
          <w:sz w:val="28"/>
          <w:szCs w:val="28"/>
        </w:rPr>
        <w:t xml:space="preserve">овариального рака </w:t>
      </w:r>
      <w:r w:rsidRPr="000534CE">
        <w:rPr>
          <w:rFonts w:ascii="Times New Roman" w:hAnsi="Times New Roman" w:cs="Times New Roman"/>
          <w:sz w:val="28"/>
          <w:szCs w:val="28"/>
        </w:rPr>
        <w:t xml:space="preserve">в некоторых исследованиях было высказано предположение о прогностической роли </w:t>
      </w:r>
      <w:r w:rsidRPr="000534CE">
        <w:rPr>
          <w:rFonts w:ascii="Times New Roman" w:eastAsia="Times New Roman" w:hAnsi="Times New Roman" w:cs="Times New Roman"/>
          <w:sz w:val="28"/>
          <w:szCs w:val="28"/>
          <w:vertAlign w:val="superscript"/>
          <w:lang w:eastAsia="ru-RU"/>
        </w:rPr>
        <w:t>18</w:t>
      </w:r>
      <w:r w:rsidRPr="000534CE">
        <w:rPr>
          <w:rFonts w:ascii="Times New Roman" w:eastAsia="Times New Roman" w:hAnsi="Times New Roman" w:cs="Times New Roman"/>
          <w:sz w:val="28"/>
          <w:szCs w:val="28"/>
          <w:lang w:val="en-US" w:eastAsia="ru-RU"/>
        </w:rPr>
        <w:t>F</w:t>
      </w:r>
      <w:r w:rsidRPr="000534CE">
        <w:rPr>
          <w:rFonts w:ascii="Times New Roman" w:hAnsi="Times New Roman" w:cs="Times New Roman"/>
          <w:sz w:val="28"/>
          <w:szCs w:val="28"/>
        </w:rPr>
        <w:t xml:space="preserve">-FDG ПЭТ/КТ через его метаболические параметры и методы визуализации ПЭТ, которые могут быть использованы для прогнозирования наступления метастатического поражения сальника и </w:t>
      </w:r>
      <w:r w:rsidR="000534CE">
        <w:rPr>
          <w:rFonts w:ascii="Times New Roman" w:hAnsi="Times New Roman" w:cs="Times New Roman"/>
          <w:sz w:val="28"/>
          <w:szCs w:val="28"/>
        </w:rPr>
        <w:t xml:space="preserve">лимфоузлов </w:t>
      </w:r>
      <w:r w:rsidRPr="000534CE">
        <w:rPr>
          <w:rFonts w:ascii="Times New Roman" w:hAnsi="Times New Roman" w:cs="Times New Roman"/>
          <w:sz w:val="28"/>
          <w:szCs w:val="28"/>
        </w:rPr>
        <w:t xml:space="preserve">(региональных или отдаленных групп), а также изучения биологического поведения опухолей во время терапии </w:t>
      </w:r>
      <w:r w:rsidRPr="000534CE">
        <w:rPr>
          <w:rFonts w:ascii="Times New Roman" w:hAnsi="Times New Roman" w:cs="Times New Roman"/>
          <w:sz w:val="28"/>
          <w:szCs w:val="28"/>
        </w:rPr>
        <w:fldChar w:fldCharType="begin"/>
      </w:r>
      <w:r w:rsidR="00F6152F" w:rsidRPr="000534CE">
        <w:rPr>
          <w:rFonts w:ascii="Times New Roman" w:hAnsi="Times New Roman" w:cs="Times New Roman"/>
          <w:sz w:val="28"/>
          <w:szCs w:val="28"/>
        </w:rPr>
        <w:instrText xml:space="preserve"> ADDIN ZOTERO_ITEM CSL_CITATION {"citationID":"lLujABxQ","properties":{"formattedCitation":"[174]","plainCitation":"[174]","noteIndex":0},"citationItems":[{"id":596,"uris":["http://zotero.org/users/8787459/items/LMRM7J3Q"],"itemData":{"id":596,"type":"article-journal","abstract":"Outcome analysis in oncologic imaging is complex because of the multiple variables that can affect survival, including how early disease is diagnosed, the accuracy of staging at diagnosis, and where and how the patient is treated. Risk for tumor recurrence is estimated based on tumor histologic grade, stage at diagnosis, and other factors, including expressed molecular markers. This article reviews the data supporting the use of F 18 fluorodeoxyglucose PET-computed tomography in endometrial, ovarian, and cervical malignancies, with emphasis on the impact of imaging on treatment stratification and prognosis.","container-title":"PET clinics","DOI":"10.1016/j.cpet.2015.03.010","ISSN":"1879-9809","issue":"3","journalAbbreviation":"PET Clin","language":"eng","note":"PMID: 26099674","page":"395-409","source":"PubMed","title":"Fludeoxyglucose F 18 PET-Computed Tomography: Management Changes Effecting Patient Outcomes in Gynecologic Malignancies","title-short":"Fludeoxyglucose F 18 PET-Computed Tomography","volume":"10","author":[{"family":"Brunetti","given":"Jacqueline C."}],"issued":{"date-parts":[["2015",7]]}}}],"schema":"https://github.com/citation-style-language/schema/raw/master/csl-citation.json"} </w:instrText>
      </w:r>
      <w:r w:rsidRPr="000534CE">
        <w:rPr>
          <w:rFonts w:ascii="Times New Roman" w:hAnsi="Times New Roman" w:cs="Times New Roman"/>
          <w:sz w:val="28"/>
          <w:szCs w:val="28"/>
        </w:rPr>
        <w:fldChar w:fldCharType="separate"/>
      </w:r>
      <w:r w:rsidR="00F6152F" w:rsidRPr="000534CE">
        <w:rPr>
          <w:rFonts w:ascii="Times New Roman" w:hAnsi="Times New Roman" w:cs="Times New Roman"/>
          <w:sz w:val="28"/>
        </w:rPr>
        <w:t>[174]</w:t>
      </w:r>
      <w:r w:rsidRPr="000534CE">
        <w:rPr>
          <w:rFonts w:ascii="Times New Roman" w:hAnsi="Times New Roman" w:cs="Times New Roman"/>
          <w:sz w:val="28"/>
          <w:szCs w:val="28"/>
        </w:rPr>
        <w:fldChar w:fldCharType="end"/>
      </w:r>
      <w:r w:rsidRPr="000534CE">
        <w:rPr>
          <w:rFonts w:ascii="Times New Roman" w:hAnsi="Times New Roman" w:cs="Times New Roman"/>
          <w:sz w:val="28"/>
          <w:szCs w:val="28"/>
        </w:rPr>
        <w:t>.</w:t>
      </w:r>
      <w:r w:rsidR="00D85264" w:rsidRPr="000534CE">
        <w:rPr>
          <w:rFonts w:ascii="Times New Roman" w:hAnsi="Times New Roman" w:cs="Times New Roman"/>
          <w:sz w:val="28"/>
          <w:szCs w:val="28"/>
        </w:rPr>
        <w:t xml:space="preserve"> </w:t>
      </w:r>
      <w:r w:rsidRPr="000534CE">
        <w:rPr>
          <w:rFonts w:ascii="Times New Roman" w:hAnsi="Times New Roman" w:cs="Times New Roman"/>
          <w:sz w:val="28"/>
          <w:szCs w:val="28"/>
        </w:rPr>
        <w:t xml:space="preserve">При подозрении на придаточную массу в малом тазу необходимо установить характер ее злокачественности. Традиционные методы лучевой диагностики являются оптимальными методами визуализации для характеристики придаточных масс малого таза. Доброкачественные поражения яичников, включая эндометриомы, текомы, кисты желтого тела и серозные цистаденомы, могут демонстрировать повышенное поглощение </w:t>
      </w:r>
      <w:r w:rsidRPr="000534CE">
        <w:rPr>
          <w:rFonts w:ascii="Times New Roman" w:hAnsi="Times New Roman" w:cs="Times New Roman"/>
          <w:sz w:val="28"/>
          <w:szCs w:val="28"/>
          <w:vertAlign w:val="superscript"/>
        </w:rPr>
        <w:t>18</w:t>
      </w:r>
      <w:r w:rsidRPr="000534CE">
        <w:rPr>
          <w:rFonts w:ascii="Times New Roman" w:hAnsi="Times New Roman" w:cs="Times New Roman"/>
          <w:sz w:val="28"/>
          <w:szCs w:val="28"/>
          <w:lang w:val="en-US"/>
        </w:rPr>
        <w:t>F</w:t>
      </w:r>
      <w:r w:rsidRPr="000534CE">
        <w:rPr>
          <w:rFonts w:ascii="Times New Roman" w:hAnsi="Times New Roman" w:cs="Times New Roman"/>
          <w:sz w:val="28"/>
          <w:szCs w:val="28"/>
        </w:rPr>
        <w:t xml:space="preserve">-FDG, но вероятность злокачественности увеличивается с накоплением </w:t>
      </w:r>
      <w:r w:rsidRPr="000534CE">
        <w:rPr>
          <w:rFonts w:ascii="Times New Roman" w:hAnsi="Times New Roman" w:cs="Times New Roman"/>
          <w:sz w:val="28"/>
          <w:szCs w:val="28"/>
          <w:lang w:val="en-US"/>
        </w:rPr>
        <w:t>SUV</w:t>
      </w:r>
      <w:r w:rsidRPr="000534CE">
        <w:rPr>
          <w:rFonts w:ascii="Times New Roman" w:hAnsi="Times New Roman" w:cs="Times New Roman"/>
          <w:sz w:val="28"/>
          <w:szCs w:val="28"/>
          <w:vertAlign w:val="subscript"/>
          <w:lang w:val="en-US"/>
        </w:rPr>
        <w:t>max</w:t>
      </w:r>
      <w:r w:rsidRPr="000534CE">
        <w:rPr>
          <w:rFonts w:ascii="Times New Roman" w:hAnsi="Times New Roman" w:cs="Times New Roman"/>
          <w:sz w:val="28"/>
          <w:szCs w:val="28"/>
        </w:rPr>
        <w:t xml:space="preserve">, в котором существует перекрытие между доброкачественными, пограничными и злокачественными придаточными массами </w:t>
      </w:r>
      <w:r w:rsidRPr="000534CE">
        <w:rPr>
          <w:rFonts w:ascii="Times New Roman" w:hAnsi="Times New Roman" w:cs="Times New Roman"/>
          <w:sz w:val="28"/>
          <w:szCs w:val="28"/>
        </w:rPr>
        <w:fldChar w:fldCharType="begin"/>
      </w:r>
      <w:r w:rsidR="00F6152F" w:rsidRPr="000534CE">
        <w:rPr>
          <w:rFonts w:ascii="Times New Roman" w:hAnsi="Times New Roman" w:cs="Times New Roman"/>
          <w:sz w:val="28"/>
          <w:szCs w:val="28"/>
        </w:rPr>
        <w:instrText xml:space="preserve"> ADDIN ZOTERO_ITEM CSL_CITATION {"citationID":"WuIemJMe","properties":{"formattedCitation":"[17, 21, 22, 175\\uc0\\u8211{}177]","plainCitation":"[17, 21, 22, 175–177]","noteIndex":0},"citationItems":[{"id":606,"uris":["http://zotero.org/users/8787459/items/2W47F2UV"],"itemData":{"id":606,"type":"article-journal","abstract":"Numerous methods to segment tumors using 18F-fluorodeoxyglucose positron emission tomography (FDG PET) have been introduced. Metabolic tumor volume (MTV) refers to the metabolically active volume of the tumor segmented using FDG PET, and has been shown to be useful in predicting patient outcome and in assessing treatment response. Also, tumor segmentation using FDG PET has useful applications in radiotherapy treatment planning. Despite extensive research on MTV showing promising results, MTV is not used in standard clinical practice yet, mainly because there is no consensus on the optimal method to segment tumors in FDG PET images. In this review, we discuss currently available methods to measure MTV using FDG PET, and assess the advantages and disadvantages of the methods.","container-title":"Nuclear Medicine and Molecular Imaging","DOI":"10.1007/s13139-017-0493-6","ISSN":"1869-3474","issue":"1","journalAbbreviation":"Nucl Med Mol Imaging","language":"eng","note":"PMID: 29391907\nPMCID: PMC5777960","page":"5-15","source":"PubMed","title":"Current Methods to Define Metabolic Tumor Volume in Positron Emission Tomography: Which One is Better?","title-short":"Current Methods to Define Metabolic Tumor Volume in Positron Emission Tomography","volume":"52","author":[{"family":"Im","given":"Hyung-Jun"},{"family":"Bradshaw","given":"Tyler"},{"family":"Solaiyappan","given":"Meiyappan"},{"family":"Cho","given":"Steve Y."}],"issued":{"date-parts":[["2018",2]]}},"label":"page"},{"id":602,"uris":["http://zotero.org/users/8787459/items/8LBT9PWG"],"itemData":{"id":602,"type":"article-journal","abstract":"PURPOSE: This study aimed to explore the clinical and prognostic significance of 18F-fluoro-2-deoxy-D-glucose positron emission tomography/computed tomography (18F-FDG PET/CT) in epithelial ovarian cancer (EOC).\nMETHODS: We retrospectively investigated 48 EOC patients who underwent preoperative 18F-FDG PET/CT and primary cytoreductive surgery at our hospital between January 2010 and June 2015. None of these patients received neoadjuvant chemotherapy. PET/CT parameters including the maximum and average standardized uptake value (SUVmax, SUVavg), the metabolic tumor volume (MTV) were measured. Tumor proliferation marker Ki67 was evaluated using immunohistochemistry. The relationships between the PET/CT parameters and chemosensitivity, tumor proliferation, and overall survival (OS) were analyzed, respectively.\nRESULTS: The median (range) SUVmax, SUVavg, and MTV values were 11.42 (3.14-20.20), 4.8 (2.55-9.47), and 150.11 (0.19-792.46), respectively. Overall, 93.8% (45/48) of patients had high-grade serous ovarian cancer. The SUVmax value had a positive correlation with the Ki67 index (P = 0.030, r = 0.314), and a higher SUVmax level was associated with chemosensitivity (P = 0.026). However, neither SUVavg nor MTV had associations with the patients' clinicopathological parameters. None of these three PET/CT parameters were found to be potential predictors of OS.\nCONCLUSIONS: Preoperative 18F-FDG PET/CT had a predictive value on chemosensitivity and proliferation after primary debulking surgery in EOC patients noninvasively.","container-title":"Japanese Journal of Radiology","DOI":"10.1007/s11604-018-0755-y","ISSN":"1867-108X","issue":"9","journalAbbreviation":"Jpn J Radiol","language":"eng","note":"PMID: 29943313","page":"544-550","source":"PubMed","title":"18F-FDG PET/CT can predict chemosensitivity and proliferation of epithelial ovarian cancer via SUVmax value","volume":"36","author":[{"family":"Liu","given":"Shuai"},{"family":"Feng","given":"Zheng"},{"family":"Wen","given":"Hao"},{"family":"Jiang","given":"Zhaoxia"},{"family":"Pan","given":"Herong"},{"family":"Deng","given":"Yu"},{"family":"Zhang","given":"Lei"},{"family":"Ju","given":"Xingzhu"},{"family":"Chen","given":"Xiaojun"},{"family":"Wu","given":"Xiaohua"}],"issued":{"date-parts":[["2018",9]]}},"label":"page"},{"id":604,"uris":["http://zotero.org/users/8787459/items/CIHWSE7T"],"itemData":{"id":604,"type":"article-journal","abstract":"Published experiences related to the prognostic relevance of negative or positive FDG PET/CT in patients treated for ovarian cancer for progression-free survival and overall survival are typically heterogeneous retrospective analyses. Several points have been well defined, these are as follows: (a) there is a correlation between FDG tumor uptake and prognosis; (b) ovarian cancer patients treated by neoadjuvant or adjuvant chemotherapy can be divided into responders with reduction in tumor FDG uptake during and after treatment and nonresponders where tumor FDG uptake remains stable or increases after treatment;","container-title":"Clinical Nuclear Medicine","DOI":"10.1097/RLU.0000000000002227","ISSN":"1536-0229","issue":"10","journalAbbreviation":"Clin Nucl Med","language":"eng","note":"PMID: 30106857","page":"735-738","source":"PubMed","title":"The Prognostic Value of 18F-FDG PET/CT in Monitoring Chemotherapy in Ovarian Cancer Both at Initial Diagnosis and at Recurrent Disease","volume":"43","author":[{"family":"Rubello","given":"Domenico"},{"family":"Marzola","given":"Maria Cristina"},{"family":"Colletti","given":"Patrick M."}],"issued":{"date-parts":[["2018",10]]}},"label":"page"},{"id":609,"uris":["http://zotero.org/users/8787459/items/9ZQ8AYXI"],"itemData":{"id":609,"type":"article-journal","abstract":"The aim of this study is to compare the efficiency of conventional imaging and 18F-FDG PET-CT in detecting progressive disease and recurrences over a period of one year (2018), in the case of ovarian cancer, and also to assess the importance of 18F-FDG PET/CT in changing the course of the treatment for these patients. This study included 29 patients diagnosed in various stages with ovarian carcinoma, most of them of epithelial origin. All patients were evaluated throughout their treatment using 18F-FDG PET/CT and various conventional techniques (computed tomography (CT), magnetic resonance imaging (MRI), abdominal and intravaginal ultrasound, chest X-ray). PET/CT was more useful and effective in our group of patients in detecting progressive disease compared with conventional imaging (37.93% vs. 17.24%) and also in establishing the recurrences (24.14% vs. 6.90%). Moreover, F18-FDG PET-CT led to a therapeutic change in 55.17% of the patients of our group, compared with only 17.24% after conventional imaging. This underlines the crucial aspect of the metabolic changes of tumors that should be assessed alongside the morphological ones, with PET-CT imaging remaining the only viable tool for achieving that at present. PET/CT with 18F-FDG represents one of the most important imaging techniques used in the diagnosis and management of ovarian carcinoma. Our results seem to fall in line with what other authors reported, indicating that 18F-FDG PET-CT is potentially gaining more ground in the management of ovarian carcinoma, by influencing therapeutic strategies and by being able to detect relapse and progression accurately.","container-title":"Healthcare","DOI":"10.3390/healthcare9060666","ISSN":"2227-9032","issue":"6","journalAbbreviation":"Healthcare (Basel)","note":"PMID: 34205173\nPMCID: PMC8229870","page":"666","source":"PubMed Central","title":"A Comparative Study between 18F-FDG PET/CT and Conventional Imaging in the Evaluation of Progressive Disease and Recurrence in Ovarian Carcinoma","volume":"9","author":[{"family":"Rusu","given":"George"},{"family":"Achimaș-Cadariu","given":"Patriciu"},{"family":"Piciu","given":"Andra"},{"family":"Căinap","given":"Simona Sorana"},{"family":"Căinap","given":"Călin"},{"family":"Piciu","given":"Doina"}],"issued":{"date-parts":[["2021",6,3]]}},"label":"page"},{"id":600,"uris":["http://zotero.org/users/8787459/items/C5BEXH7Z"],"itemData":{"id":600,"type":"article-journal","abstract":"OBJECTIVE: The aim of this study was to examine the relationship between the reduction of maximum standardized uptake values (SUVmax) in 18F-FDG-PET/CT to histopathological changes obtained with neoadjuvant chemotherapy (NACT) in advanced epithelial ovarian cancer (EOC). We wanted to evaluate whether 18F-FDG-PET/CT is useful for identifying patients who will not respond to NACT and would therefore benefit from second-line chemotherapy instead of interval debulking surgery (IDS).\nMETHODS: Twenty-six primarily inoperable EOC patients treated with NACT were enrolled in this study. 18F-FDG-PET/CT imaging was performed before diagnostic laparoscopy and after three to four NACT cycles. The relationship between the decrease in omental SUVmax from before to after NACT with omental histopathological response was examined in samples taken from the corresponding anatomical sites during IDS. Patients were divided into three groups according to chemotherapy-induced histopathological changes. Serum CA125 and HE4 halftimes during NACT as well as Ki-67 antigen expression in IDS samples were determined.\nRESULTS: The median omental SUVmax change during NACT was -64% (range-16% to -84%), and it was associated with histopathological response (p=0.004, OR 0.9, CI 0.84-0.97). A SUVmax decrease of less than 57% identified histopathological non-responders. Progression-free survival (PFS) differed between the poor, moderate and good histopathological response groups (0.9 year vs. 1.2 years vs. 1.4 years, respectively, p=0.05). The SUVmax change was not associated with PFS.\nCONCLUSION: 18F-FDG-PET/CT was able to identify patients who would not respond to NACT. To obtain a histopathological response in EOC, a substantial metabolic response in 18F-FDG-PET/CT is necessary.","container-title":"Gynecologic Oncology","DOI":"10.1016/j.ygyno.2015.10.018","ISSN":"1095-6859","issue":"1","journalAbbreviation":"Gynecol Oncol","language":"eng","note":"PMID: 26515076","page":"29-35","source":"PubMed","title":"18F-FDG-PET/CT can identify histopathological non-responders to platinum-based neoadjuvant chemotherapy in advanced epithelial ovarian cancer","volume":"140","author":[{"family":"Vallius","given":"Tuulia"},{"family":"Peter","given":"Anniina"},{"family":"Auranen","given":"Annika"},{"family":"Carpén","given":"Olli"},{"family":"Kemppainen","given":"Jukka"},{"family":"Matomäki","given":"Jaakko"},{"family":"Oksa","given":"Sinikka"},{"family":"Roering","given":"Pia"},{"family":"Seppänen","given":"Marko"},{"family":"Grénman","given":"Seija"},{"family":"Hynninen","given":"Johanna"}],"issued":{"date-parts":[["2016",1]]}},"label":"page"},{"id":598,"uris":["http://zotero.org/users/8787459/items/I4JPMJZU"],"itemData":{"id":598,"type":"article-journal","abstract":"OBJECTIVE: To evaluate the predictive potential of total metabolic tumor volume (MTV) reduction during neoadjuvant chemotherapy (NACT) with 18F-FDG-PET/CT in an advanced FIGO stage III/IV epithelial ovarian cancer (EOC) patient cohort.\nMETHODS: Twenty-nine primarily inoperable EOC patients underwent 18F-FDG-PET/CT before and after NACT. The pre- and post-NACT total MTV, in addition to the percentage MTV reduction during NACT, were compared with primary therapy outcome and progression-free survival (PFS). ROC-analysis determined an optimal threshold for MTV reduction identifying patients with progressive or stable disease (PD/SD) at the end of primary therapy. A multivariate analysis with residual tumor (0/&gt;0), FIGO stage (III/IV) and MTV reduction compared to PFS was performed. The association between MTV reduction and overall survival (OS) was evaluated.\nRESULTS: The median pre- and post-NACT total MTV were 352 cm3 (range 150 to 1322 cm3) and 51 cm3 (range 0 to 417 cm3), respectively. The median MTV reduction during NACT was 89% (range 24% to 100%). Post-NACT MTV and MTV reduction associated with primary therapy outcome (MTV post-NACT p = 0.007, MTV reduction p = 0.001) and PFS (MTV post-NACT p = 0.005, MTV reduction p = 0.005). MTV reduction &lt;85% identified the PD/SD patients (sensitivity 70%, specificity 78%, AUC 0.79). In a multivariate analysis, MTV reduction (p = 0.002) and FIGO stage (p = 0.003) were statistically significant variables associated with PFS. MTV reduction during NACT corresponded to OS (p = 0.05).\nCONCLUSION: 18F-FDG-PET/CT is helpful in NACT response evaluation. Patients with total MTV reduction &lt;85% during NACT might be candidates for second-line chemotherapy and clinical trials, instead of interval debulking surgery.","container-title":"European Journal of Nuclear Medicine and Molecular Imaging","DOI":"10.1007/s00259-018-3961-z","ISSN":"1619-7089","issue":"7","journalAbbreviation":"Eur J Nucl Med Mol Imaging","language":"eng","note":"PMID: 29476227","page":"1224-1232","source":"PubMed","title":"18F-FDG-PET/CT based total metabolic tumor volume change during neoadjuvant chemotherapy predicts outcome in advanced epithelial ovarian cancer","volume":"45","author":[{"family":"Vallius","given":"Tuulia"},{"family":"Hynninen","given":"Johanna"},{"family":"Kemppainen","given":"Jukka"},{"family":"Alves","given":"Victor"},{"family":"Auranen","given":"Kari"},{"family":"Matomäki","given":"Jaakko"},{"family":"Oksa","given":"Sinikka"},{"family":"Virtanen","given":"Johanna"},{"family":"Grénman","given":"Seija"},{"family":"Auranen","given":"Annika"},{"family":"Seppänen","given":"Marko"}],"issued":{"date-parts":[["2018",7]]}},"label":"page"}],"schema":"https://github.com/citation-style-language/schema/raw/master/csl-citation.json"} </w:instrText>
      </w:r>
      <w:r w:rsidRPr="000534CE">
        <w:rPr>
          <w:rFonts w:ascii="Times New Roman" w:hAnsi="Times New Roman" w:cs="Times New Roman"/>
          <w:sz w:val="28"/>
          <w:szCs w:val="28"/>
        </w:rPr>
        <w:fldChar w:fldCharType="separate"/>
      </w:r>
      <w:r w:rsidR="00F6152F" w:rsidRPr="000534CE">
        <w:rPr>
          <w:rFonts w:ascii="Times New Roman" w:hAnsi="Times New Roman" w:cs="Times New Roman"/>
          <w:sz w:val="28"/>
          <w:szCs w:val="24"/>
        </w:rPr>
        <w:t>[175</w:t>
      </w:r>
      <w:r w:rsidR="00FF4BDB" w:rsidRPr="00D3420D">
        <w:rPr>
          <w:rFonts w:ascii="Times New Roman" w:hAnsi="Times New Roman" w:cs="Times New Roman"/>
          <w:sz w:val="28"/>
          <w:szCs w:val="24"/>
        </w:rPr>
        <w:t>-</w:t>
      </w:r>
      <w:r w:rsidR="00F6152F" w:rsidRPr="000534CE">
        <w:rPr>
          <w:rFonts w:ascii="Times New Roman" w:hAnsi="Times New Roman" w:cs="Times New Roman"/>
          <w:sz w:val="28"/>
          <w:szCs w:val="24"/>
        </w:rPr>
        <w:t>177]</w:t>
      </w:r>
      <w:r w:rsidRPr="000534CE">
        <w:rPr>
          <w:rFonts w:ascii="Times New Roman" w:hAnsi="Times New Roman" w:cs="Times New Roman"/>
          <w:sz w:val="28"/>
          <w:szCs w:val="28"/>
        </w:rPr>
        <w:fldChar w:fldCharType="end"/>
      </w:r>
      <w:r w:rsidRPr="000534CE">
        <w:rPr>
          <w:rFonts w:ascii="Times New Roman" w:hAnsi="Times New Roman" w:cs="Times New Roman"/>
          <w:sz w:val="28"/>
          <w:szCs w:val="28"/>
        </w:rPr>
        <w:t>.</w:t>
      </w:r>
    </w:p>
    <w:p w14:paraId="15BB52AB" w14:textId="4C9AB928" w:rsidR="00FF1D30" w:rsidRPr="00A43B9C" w:rsidRDefault="00FF1D30" w:rsidP="00FF1D30">
      <w:pPr>
        <w:autoSpaceDE w:val="0"/>
        <w:autoSpaceDN w:val="0"/>
        <w:adjustRightInd w:val="0"/>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lastRenderedPageBreak/>
        <w:t xml:space="preserve">В исследованиях авторов последних десятилетий были представлены результаты по таким статистически значимым показателям как чувствительность, специфичность, точность, положительная прогностическая ценность и отрицательная прогностическая ценность с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-FDG ПЭТ/КТ</w:t>
      </w:r>
      <w:r w:rsidR="00940631">
        <w:rPr>
          <w:rFonts w:ascii="Times New Roman" w:hAnsi="Times New Roman" w:cs="Times New Roman"/>
          <w:sz w:val="28"/>
          <w:szCs w:val="28"/>
        </w:rPr>
        <w:t xml:space="preserve"> </w:t>
      </w:r>
      <w:r w:rsidRPr="00A43B9C">
        <w:rPr>
          <w:rFonts w:ascii="Times New Roman" w:hAnsi="Times New Roman" w:cs="Times New Roman"/>
          <w:sz w:val="28"/>
          <w:szCs w:val="28"/>
        </w:rPr>
        <w:t xml:space="preserve">диагностики для обнаружения узловых метастазов при явной ранней стадии </w:t>
      </w:r>
      <w:r w:rsidR="000534CE">
        <w:rPr>
          <w:rFonts w:ascii="Times New Roman" w:hAnsi="Times New Roman" w:cs="Times New Roman"/>
          <w:sz w:val="28"/>
          <w:szCs w:val="28"/>
        </w:rPr>
        <w:t xml:space="preserve">рака яичников </w:t>
      </w:r>
      <w:r w:rsidRPr="00A43B9C">
        <w:rPr>
          <w:rFonts w:ascii="Times New Roman" w:hAnsi="Times New Roman" w:cs="Times New Roman"/>
          <w:sz w:val="28"/>
          <w:szCs w:val="28"/>
        </w:rPr>
        <w:fldChar w:fldCharType="begin"/>
      </w:r>
      <w:r w:rsidR="00F6152F">
        <w:rPr>
          <w:rFonts w:ascii="Times New Roman" w:hAnsi="Times New Roman" w:cs="Times New Roman"/>
          <w:sz w:val="28"/>
          <w:szCs w:val="28"/>
        </w:rPr>
        <w:instrText xml:space="preserve"> ADDIN ZOTERO_ITEM CSL_CITATION {"citationID":"CnZjkabm","properties":{"formattedCitation":"[178]","plainCitation":"[178]","noteIndex":0},"citationItems":[{"id":612,"uris":["http://zotero.org/users/8787459/items/CWFVBIWQ"],"itemData":{"id":612,"type":"article-journal","abstract":"Ovarian cancer represents one of the major form of cancer in women in the western world and its silent nature leads to a late clinical manifestation at advanced stage in many patients. Therefore the role of imaging techniques is very important for the correct management of these patients. In the present review, the role of 18F-FDG-PET/CT in the different clinical settings is presented and a comparison with other imaging modalities and serum biomarker CA-125 are discussed.","container-title":"The quarterly journal of nuclear medicine and molecular imaging: official publication of the Italian Association of Nuclear Medicine (AIMN) [and] the International Association of Radiopharmacology (IAR), [and] Section of the Society of...","ISSN":"1827-1936","issue":"2","journalAbbreviation":"Q J Nucl Med Mol Imaging","language":"eng","note":"PMID: 26859083","page":"93-102","source":"PubMed","title":"Imaging biomarkers in ovarian cancer: the role of ¹⁸F-FDG PET/CT","title-short":"Imaging biomarkers in ovarian cancer","volume":"60","author":[{"family":"Mapelli","given":"Paola"},{"family":"Incerti","given":"Elena"},{"family":"Fallanca","given":"Federico"},{"family":"Gianolli","given":"Luigi"},{"family":"Picchio","given":"Maria"}],"issued":{"date-parts":[["2016",6]]}}}],"schema":"https://github.com/citation-style-language/schema/raw/master/csl-citation.json"} </w:instrText>
      </w:r>
      <w:r w:rsidRPr="00A43B9C">
        <w:rPr>
          <w:rFonts w:ascii="Times New Roman" w:hAnsi="Times New Roman" w:cs="Times New Roman"/>
          <w:sz w:val="28"/>
          <w:szCs w:val="28"/>
        </w:rPr>
        <w:fldChar w:fldCharType="separate"/>
      </w:r>
      <w:r w:rsidR="00F6152F" w:rsidRPr="00F6152F">
        <w:rPr>
          <w:rFonts w:ascii="Times New Roman" w:hAnsi="Times New Roman" w:cs="Times New Roman"/>
          <w:sz w:val="28"/>
        </w:rPr>
        <w:t>[178]</w:t>
      </w:r>
      <w:r w:rsidRPr="00A43B9C">
        <w:rPr>
          <w:rFonts w:ascii="Times New Roman" w:hAnsi="Times New Roman" w:cs="Times New Roman"/>
          <w:sz w:val="28"/>
          <w:szCs w:val="28"/>
        </w:rPr>
        <w:fldChar w:fldCharType="end"/>
      </w:r>
      <w:r w:rsidRPr="00A43B9C">
        <w:rPr>
          <w:rFonts w:ascii="Times New Roman" w:hAnsi="Times New Roman" w:cs="Times New Roman"/>
          <w:sz w:val="28"/>
          <w:szCs w:val="28"/>
        </w:rPr>
        <w:t xml:space="preserve">. Краткое изложение результатов, касающихся точности диагностики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rPr>
        <w:t xml:space="preserve">F-FDG ПЭТ/КТ по авторам, проводившим исследования при </w:t>
      </w:r>
      <w:r w:rsidR="000534CE">
        <w:rPr>
          <w:rFonts w:ascii="Times New Roman" w:hAnsi="Times New Roman" w:cs="Times New Roman"/>
          <w:sz w:val="28"/>
          <w:szCs w:val="28"/>
        </w:rPr>
        <w:t>раке яичников</w:t>
      </w:r>
      <w:r w:rsidRPr="00A43B9C">
        <w:rPr>
          <w:rFonts w:ascii="Times New Roman" w:hAnsi="Times New Roman" w:cs="Times New Roman"/>
          <w:sz w:val="28"/>
          <w:szCs w:val="28"/>
        </w:rPr>
        <w:t>, приведены в таблице 1 с учетом результатов чувствительности, специфичности, положительной прогностической ценности</w:t>
      </w:r>
      <w:r w:rsidR="00940631">
        <w:rPr>
          <w:rFonts w:ascii="Times New Roman" w:hAnsi="Times New Roman" w:cs="Times New Roman"/>
          <w:sz w:val="28"/>
          <w:szCs w:val="28"/>
        </w:rPr>
        <w:t>,</w:t>
      </w:r>
      <w:r w:rsidRPr="00A43B9C">
        <w:rPr>
          <w:rFonts w:ascii="Times New Roman" w:hAnsi="Times New Roman" w:cs="Times New Roman"/>
          <w:sz w:val="28"/>
          <w:szCs w:val="28"/>
        </w:rPr>
        <w:t xml:space="preserve"> отрицательной прогностической ценности</w:t>
      </w:r>
      <w:r w:rsidR="00940631">
        <w:rPr>
          <w:rFonts w:ascii="Times New Roman" w:hAnsi="Times New Roman" w:cs="Times New Roman"/>
          <w:sz w:val="28"/>
          <w:szCs w:val="28"/>
        </w:rPr>
        <w:t xml:space="preserve"> и точности</w:t>
      </w:r>
      <w:r w:rsidRPr="00A43B9C">
        <w:rPr>
          <w:rFonts w:ascii="Times New Roman" w:hAnsi="Times New Roman" w:cs="Times New Roman"/>
          <w:sz w:val="28"/>
          <w:szCs w:val="28"/>
        </w:rPr>
        <w:t>.</w:t>
      </w:r>
    </w:p>
    <w:p w14:paraId="788D2EBB" w14:textId="77777777" w:rsidR="00D12CD6" w:rsidRPr="00A43B9C" w:rsidRDefault="00D12CD6" w:rsidP="00D12CD6">
      <w:pPr>
        <w:autoSpaceDE w:val="0"/>
        <w:autoSpaceDN w:val="0"/>
        <w:adjustRightInd w:val="0"/>
        <w:spacing w:after="0" w:line="240" w:lineRule="auto"/>
        <w:jc w:val="both"/>
        <w:rPr>
          <w:rFonts w:ascii="Times New Roman" w:hAnsi="Times New Roman" w:cs="Times New Roman"/>
          <w:sz w:val="28"/>
          <w:szCs w:val="28"/>
        </w:rPr>
      </w:pPr>
    </w:p>
    <w:p w14:paraId="4E5F2FE1" w14:textId="387B46E5" w:rsidR="00FF1D30" w:rsidRPr="00A43B9C" w:rsidRDefault="00FF1D30" w:rsidP="00D12CD6">
      <w:pPr>
        <w:autoSpaceDE w:val="0"/>
        <w:autoSpaceDN w:val="0"/>
        <w:adjustRightInd w:val="0"/>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1</w:t>
      </w:r>
      <w:r w:rsidR="000A6F86" w:rsidRPr="00A43B9C">
        <w:rPr>
          <w:rFonts w:ascii="Times New Roman" w:hAnsi="Times New Roman" w:cs="Times New Roman"/>
          <w:sz w:val="28"/>
          <w:szCs w:val="28"/>
        </w:rPr>
        <w:t xml:space="preserve"> - </w:t>
      </w:r>
      <w:r w:rsidRPr="00A43B9C">
        <w:rPr>
          <w:rFonts w:ascii="Times New Roman" w:hAnsi="Times New Roman" w:cs="Times New Roman"/>
          <w:sz w:val="28"/>
          <w:szCs w:val="28"/>
        </w:rPr>
        <w:t xml:space="preserve">Сравнительная характеристика результатов диагностической точности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rPr>
        <w:t>F-FDG ПЭТ/КТ при РЯ</w:t>
      </w:r>
    </w:p>
    <w:p w14:paraId="4084AC44" w14:textId="77777777" w:rsidR="00D12CD6" w:rsidRPr="00A43B9C" w:rsidRDefault="00D12CD6" w:rsidP="00D12CD6">
      <w:pPr>
        <w:autoSpaceDE w:val="0"/>
        <w:autoSpaceDN w:val="0"/>
        <w:adjustRightInd w:val="0"/>
        <w:spacing w:after="0" w:line="240" w:lineRule="auto"/>
        <w:jc w:val="both"/>
        <w:rPr>
          <w:rFonts w:ascii="Times New Roman" w:hAnsi="Times New Roman" w:cs="Times New Roman"/>
          <w:sz w:val="28"/>
          <w:szCs w:val="28"/>
        </w:rPr>
      </w:pPr>
    </w:p>
    <w:tbl>
      <w:tblPr>
        <w:tblStyle w:val="ad"/>
        <w:tblW w:w="0" w:type="auto"/>
        <w:tblLook w:val="04A0" w:firstRow="1" w:lastRow="0" w:firstColumn="1" w:lastColumn="0" w:noHBand="0" w:noVBand="1"/>
      </w:tblPr>
      <w:tblGrid>
        <w:gridCol w:w="2356"/>
        <w:gridCol w:w="2666"/>
        <w:gridCol w:w="636"/>
        <w:gridCol w:w="636"/>
        <w:gridCol w:w="800"/>
        <w:gridCol w:w="847"/>
        <w:gridCol w:w="1403"/>
      </w:tblGrid>
      <w:tr w:rsidR="00E43895" w:rsidRPr="00A43B9C" w14:paraId="02918052" w14:textId="77777777" w:rsidTr="00E43895">
        <w:tc>
          <w:tcPr>
            <w:tcW w:w="2356" w:type="dxa"/>
            <w:vAlign w:val="center"/>
          </w:tcPr>
          <w:p w14:paraId="34BCA8B3"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bCs/>
                <w:sz w:val="28"/>
                <w:szCs w:val="28"/>
                <w:lang w:val="kk-KZ"/>
              </w:rPr>
            </w:pPr>
            <w:r w:rsidRPr="00A43B9C">
              <w:rPr>
                <w:rFonts w:ascii="Times New Roman" w:hAnsi="Times New Roman" w:cs="Times New Roman"/>
                <w:bCs/>
                <w:sz w:val="28"/>
                <w:szCs w:val="28"/>
              </w:rPr>
              <w:t>Автор</w:t>
            </w:r>
            <w:r w:rsidRPr="00A43B9C">
              <w:rPr>
                <w:rFonts w:ascii="Times New Roman" w:hAnsi="Times New Roman" w:cs="Times New Roman"/>
                <w:bCs/>
                <w:sz w:val="28"/>
                <w:szCs w:val="28"/>
                <w:lang w:val="kk-KZ"/>
              </w:rPr>
              <w:t>ы</w:t>
            </w:r>
          </w:p>
        </w:tc>
        <w:tc>
          <w:tcPr>
            <w:tcW w:w="2667" w:type="dxa"/>
            <w:vAlign w:val="center"/>
          </w:tcPr>
          <w:p w14:paraId="44A0AC53"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Количество пациентов (</w:t>
            </w:r>
            <w:r w:rsidRPr="00A43B9C">
              <w:rPr>
                <w:rFonts w:ascii="Times New Roman" w:hAnsi="Times New Roman" w:cs="Times New Roman"/>
                <w:bCs/>
                <w:sz w:val="28"/>
                <w:szCs w:val="28"/>
                <w:lang w:val="en-US"/>
              </w:rPr>
              <w:t>n</w:t>
            </w:r>
            <w:r w:rsidRPr="00A43B9C">
              <w:rPr>
                <w:rFonts w:ascii="Times New Roman" w:hAnsi="Times New Roman" w:cs="Times New Roman"/>
                <w:bCs/>
                <w:sz w:val="28"/>
                <w:szCs w:val="28"/>
              </w:rPr>
              <w:t>)</w:t>
            </w:r>
          </w:p>
        </w:tc>
        <w:tc>
          <w:tcPr>
            <w:tcW w:w="0" w:type="auto"/>
            <w:vAlign w:val="center"/>
          </w:tcPr>
          <w:p w14:paraId="62FFC910"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Se</w:t>
            </w:r>
            <w:r w:rsidRPr="00A43B9C">
              <w:rPr>
                <w:rFonts w:ascii="Times New Roman" w:hAnsi="Times New Roman" w:cs="Times New Roman"/>
                <w:bCs/>
                <w:sz w:val="28"/>
                <w:szCs w:val="28"/>
              </w:rPr>
              <w:t>, %</w:t>
            </w:r>
          </w:p>
        </w:tc>
        <w:tc>
          <w:tcPr>
            <w:tcW w:w="0" w:type="auto"/>
            <w:vAlign w:val="center"/>
          </w:tcPr>
          <w:p w14:paraId="09D14DA6"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Sp</w:t>
            </w:r>
            <w:r w:rsidRPr="00A43B9C">
              <w:rPr>
                <w:rFonts w:ascii="Times New Roman" w:hAnsi="Times New Roman" w:cs="Times New Roman"/>
                <w:bCs/>
                <w:sz w:val="28"/>
                <w:szCs w:val="28"/>
              </w:rPr>
              <w:t>, %</w:t>
            </w:r>
          </w:p>
        </w:tc>
        <w:tc>
          <w:tcPr>
            <w:tcW w:w="0" w:type="auto"/>
            <w:vAlign w:val="center"/>
          </w:tcPr>
          <w:p w14:paraId="3D9C7CD2"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PPV</w:t>
            </w:r>
            <w:r w:rsidRPr="00A43B9C">
              <w:rPr>
                <w:rFonts w:ascii="Times New Roman" w:hAnsi="Times New Roman" w:cs="Times New Roman"/>
                <w:bCs/>
                <w:sz w:val="28"/>
                <w:szCs w:val="28"/>
              </w:rPr>
              <w:t>, %</w:t>
            </w:r>
          </w:p>
        </w:tc>
        <w:tc>
          <w:tcPr>
            <w:tcW w:w="0" w:type="auto"/>
            <w:vAlign w:val="center"/>
          </w:tcPr>
          <w:p w14:paraId="376D61E0"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NPV</w:t>
            </w:r>
            <w:r w:rsidRPr="00A43B9C">
              <w:rPr>
                <w:rFonts w:ascii="Times New Roman" w:hAnsi="Times New Roman" w:cs="Times New Roman"/>
                <w:bCs/>
                <w:sz w:val="28"/>
                <w:szCs w:val="28"/>
              </w:rPr>
              <w:t>, %</w:t>
            </w:r>
          </w:p>
        </w:tc>
        <w:tc>
          <w:tcPr>
            <w:tcW w:w="0" w:type="auto"/>
            <w:vAlign w:val="center"/>
          </w:tcPr>
          <w:p w14:paraId="7A50A331" w14:textId="3BEEA84A" w:rsidR="00FF1D30" w:rsidRPr="00A43B9C" w:rsidRDefault="00E43895" w:rsidP="007E4204">
            <w:pPr>
              <w:autoSpaceDE w:val="0"/>
              <w:autoSpaceDN w:val="0"/>
              <w:adjustRightInd w:val="0"/>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Точность</w:t>
            </w:r>
            <w:r w:rsidR="00FF1D30" w:rsidRPr="00A43B9C">
              <w:rPr>
                <w:rFonts w:ascii="Times New Roman" w:hAnsi="Times New Roman" w:cs="Times New Roman"/>
                <w:bCs/>
                <w:sz w:val="28"/>
                <w:szCs w:val="28"/>
              </w:rPr>
              <w:t>, %</w:t>
            </w:r>
          </w:p>
        </w:tc>
      </w:tr>
      <w:tr w:rsidR="00E43895" w:rsidRPr="00A43B9C" w14:paraId="2C7B94D3" w14:textId="77777777" w:rsidTr="00E43895">
        <w:tc>
          <w:tcPr>
            <w:tcW w:w="2356" w:type="dxa"/>
            <w:vAlign w:val="center"/>
          </w:tcPr>
          <w:p w14:paraId="22F48476" w14:textId="0F1B4DCD" w:rsidR="00FF1D30" w:rsidRPr="00A43B9C" w:rsidRDefault="00FF1D30" w:rsidP="007E4204">
            <w:pPr>
              <w:autoSpaceDE w:val="0"/>
              <w:autoSpaceDN w:val="0"/>
              <w:adjustRightInd w:val="0"/>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lang w:val="en-US"/>
              </w:rPr>
              <w:t xml:space="preserve">Fenchel </w:t>
            </w:r>
            <w:r w:rsidR="00F810DF" w:rsidRPr="00A43B9C">
              <w:rPr>
                <w:rFonts w:ascii="Times New Roman" w:hAnsi="Times New Roman" w:cs="Times New Roman"/>
                <w:sz w:val="28"/>
                <w:szCs w:val="28"/>
                <w:lang w:val="en-US"/>
              </w:rPr>
              <w:t>et al.</w:t>
            </w:r>
          </w:p>
        </w:tc>
        <w:tc>
          <w:tcPr>
            <w:tcW w:w="2667" w:type="dxa"/>
            <w:vAlign w:val="center"/>
          </w:tcPr>
          <w:p w14:paraId="198A5EF7"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101</w:t>
            </w:r>
          </w:p>
        </w:tc>
        <w:tc>
          <w:tcPr>
            <w:tcW w:w="0" w:type="auto"/>
            <w:vAlign w:val="center"/>
          </w:tcPr>
          <w:p w14:paraId="6C69E7C5"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58</w:t>
            </w:r>
          </w:p>
        </w:tc>
        <w:tc>
          <w:tcPr>
            <w:tcW w:w="0" w:type="auto"/>
            <w:vAlign w:val="center"/>
          </w:tcPr>
          <w:p w14:paraId="35ED59B1"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76</w:t>
            </w:r>
          </w:p>
        </w:tc>
        <w:tc>
          <w:tcPr>
            <w:tcW w:w="0" w:type="auto"/>
            <w:vAlign w:val="center"/>
          </w:tcPr>
          <w:p w14:paraId="6D96AF25"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c>
          <w:tcPr>
            <w:tcW w:w="0" w:type="auto"/>
            <w:vAlign w:val="center"/>
          </w:tcPr>
          <w:p w14:paraId="48CA0219"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c>
          <w:tcPr>
            <w:tcW w:w="0" w:type="auto"/>
            <w:vAlign w:val="center"/>
          </w:tcPr>
          <w:p w14:paraId="08BF430A"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r>
      <w:tr w:rsidR="00E43895" w:rsidRPr="00A43B9C" w14:paraId="27E49D20" w14:textId="77777777" w:rsidTr="00E43895">
        <w:tc>
          <w:tcPr>
            <w:tcW w:w="2356" w:type="dxa"/>
            <w:vAlign w:val="center"/>
          </w:tcPr>
          <w:p w14:paraId="1C09335A" w14:textId="5F98B9E2" w:rsidR="00FF1D30" w:rsidRPr="00A43B9C" w:rsidRDefault="00FF1D30" w:rsidP="007E4204">
            <w:pPr>
              <w:autoSpaceDE w:val="0"/>
              <w:autoSpaceDN w:val="0"/>
              <w:adjustRightInd w:val="0"/>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lang w:val="en-US"/>
              </w:rPr>
              <w:t xml:space="preserve">Signorelli </w:t>
            </w:r>
            <w:r w:rsidR="00F810DF" w:rsidRPr="00A43B9C">
              <w:rPr>
                <w:rFonts w:ascii="Times New Roman" w:hAnsi="Times New Roman" w:cs="Times New Roman"/>
                <w:sz w:val="28"/>
                <w:szCs w:val="28"/>
                <w:lang w:val="en-US"/>
              </w:rPr>
              <w:t>et al.</w:t>
            </w:r>
          </w:p>
        </w:tc>
        <w:tc>
          <w:tcPr>
            <w:tcW w:w="2667" w:type="dxa"/>
            <w:vAlign w:val="center"/>
          </w:tcPr>
          <w:p w14:paraId="2803CF3A"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68</w:t>
            </w:r>
          </w:p>
        </w:tc>
        <w:tc>
          <w:tcPr>
            <w:tcW w:w="0" w:type="auto"/>
            <w:vAlign w:val="center"/>
          </w:tcPr>
          <w:p w14:paraId="35319B25"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83</w:t>
            </w:r>
          </w:p>
        </w:tc>
        <w:tc>
          <w:tcPr>
            <w:tcW w:w="0" w:type="auto"/>
            <w:vAlign w:val="center"/>
          </w:tcPr>
          <w:p w14:paraId="4B19A153"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98</w:t>
            </w:r>
          </w:p>
        </w:tc>
        <w:tc>
          <w:tcPr>
            <w:tcW w:w="0" w:type="auto"/>
            <w:vAlign w:val="center"/>
          </w:tcPr>
          <w:p w14:paraId="314EC08C"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91</w:t>
            </w:r>
          </w:p>
        </w:tc>
        <w:tc>
          <w:tcPr>
            <w:tcW w:w="0" w:type="auto"/>
            <w:vAlign w:val="center"/>
          </w:tcPr>
          <w:p w14:paraId="353D9B11"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97</w:t>
            </w:r>
          </w:p>
        </w:tc>
        <w:tc>
          <w:tcPr>
            <w:tcW w:w="0" w:type="auto"/>
            <w:vAlign w:val="center"/>
          </w:tcPr>
          <w:p w14:paraId="1772BDB6"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96</w:t>
            </w:r>
          </w:p>
        </w:tc>
      </w:tr>
      <w:tr w:rsidR="00E43895" w:rsidRPr="00A43B9C" w14:paraId="70F85F2E" w14:textId="77777777" w:rsidTr="00E43895">
        <w:tc>
          <w:tcPr>
            <w:tcW w:w="2356" w:type="dxa"/>
            <w:vAlign w:val="center"/>
          </w:tcPr>
          <w:p w14:paraId="086C9C56" w14:textId="42628984" w:rsidR="00FF1D30" w:rsidRPr="00A43B9C" w:rsidRDefault="00FF1D30"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 xml:space="preserve">Yoshida </w:t>
            </w:r>
            <w:r w:rsidR="00F810DF" w:rsidRPr="00A43B9C">
              <w:rPr>
                <w:rFonts w:ascii="Times New Roman" w:hAnsi="Times New Roman" w:cs="Times New Roman"/>
                <w:sz w:val="28"/>
                <w:szCs w:val="28"/>
                <w:lang w:val="en-US"/>
              </w:rPr>
              <w:t>et al.</w:t>
            </w:r>
          </w:p>
        </w:tc>
        <w:tc>
          <w:tcPr>
            <w:tcW w:w="2667" w:type="dxa"/>
            <w:vAlign w:val="center"/>
          </w:tcPr>
          <w:p w14:paraId="49B63C33"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w:t>
            </w:r>
          </w:p>
        </w:tc>
        <w:tc>
          <w:tcPr>
            <w:tcW w:w="0" w:type="auto"/>
            <w:vAlign w:val="center"/>
          </w:tcPr>
          <w:p w14:paraId="6F3049C4"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76</w:t>
            </w:r>
          </w:p>
        </w:tc>
        <w:tc>
          <w:tcPr>
            <w:tcW w:w="0" w:type="auto"/>
            <w:vAlign w:val="center"/>
          </w:tcPr>
          <w:p w14:paraId="2A8ACADB"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82</w:t>
            </w:r>
          </w:p>
        </w:tc>
        <w:tc>
          <w:tcPr>
            <w:tcW w:w="0" w:type="auto"/>
            <w:vAlign w:val="center"/>
          </w:tcPr>
          <w:p w14:paraId="299507B4"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50</w:t>
            </w:r>
          </w:p>
        </w:tc>
        <w:tc>
          <w:tcPr>
            <w:tcW w:w="0" w:type="auto"/>
            <w:vAlign w:val="center"/>
          </w:tcPr>
          <w:p w14:paraId="55555D8E"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94</w:t>
            </w:r>
          </w:p>
        </w:tc>
        <w:tc>
          <w:tcPr>
            <w:tcW w:w="0" w:type="auto"/>
            <w:vAlign w:val="center"/>
          </w:tcPr>
          <w:p w14:paraId="46F2F045"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81</w:t>
            </w:r>
          </w:p>
        </w:tc>
      </w:tr>
      <w:tr w:rsidR="00E43895" w:rsidRPr="00A43B9C" w14:paraId="1F679123" w14:textId="77777777" w:rsidTr="00E43895">
        <w:tc>
          <w:tcPr>
            <w:tcW w:w="2356" w:type="dxa"/>
            <w:vAlign w:val="center"/>
          </w:tcPr>
          <w:p w14:paraId="036858EE" w14:textId="6D0C7D69" w:rsidR="00FF1D30" w:rsidRPr="00A43B9C" w:rsidRDefault="00FF1D30"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 xml:space="preserve">Castellucci </w:t>
            </w:r>
            <w:r w:rsidR="00F810DF" w:rsidRPr="00A43B9C">
              <w:rPr>
                <w:rFonts w:ascii="Times New Roman" w:hAnsi="Times New Roman" w:cs="Times New Roman"/>
                <w:sz w:val="28"/>
                <w:szCs w:val="28"/>
                <w:lang w:val="en-US"/>
              </w:rPr>
              <w:t>et al.</w:t>
            </w:r>
          </w:p>
        </w:tc>
        <w:tc>
          <w:tcPr>
            <w:tcW w:w="2667" w:type="dxa"/>
            <w:vAlign w:val="center"/>
          </w:tcPr>
          <w:p w14:paraId="5528679E"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50</w:t>
            </w:r>
          </w:p>
        </w:tc>
        <w:tc>
          <w:tcPr>
            <w:tcW w:w="0" w:type="auto"/>
            <w:vAlign w:val="center"/>
          </w:tcPr>
          <w:p w14:paraId="0A1C0B58"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87</w:t>
            </w:r>
          </w:p>
        </w:tc>
        <w:tc>
          <w:tcPr>
            <w:tcW w:w="0" w:type="auto"/>
            <w:vAlign w:val="center"/>
          </w:tcPr>
          <w:p w14:paraId="70EBD481"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100</w:t>
            </w:r>
          </w:p>
        </w:tc>
        <w:tc>
          <w:tcPr>
            <w:tcW w:w="0" w:type="auto"/>
            <w:vAlign w:val="center"/>
          </w:tcPr>
          <w:p w14:paraId="22445925"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100</w:t>
            </w:r>
          </w:p>
        </w:tc>
        <w:tc>
          <w:tcPr>
            <w:tcW w:w="0" w:type="auto"/>
            <w:vAlign w:val="center"/>
          </w:tcPr>
          <w:p w14:paraId="331C92B8"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81</w:t>
            </w:r>
          </w:p>
        </w:tc>
        <w:tc>
          <w:tcPr>
            <w:tcW w:w="0" w:type="auto"/>
            <w:vAlign w:val="center"/>
          </w:tcPr>
          <w:p w14:paraId="6A35721C"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92</w:t>
            </w:r>
          </w:p>
        </w:tc>
      </w:tr>
      <w:tr w:rsidR="00E43895" w:rsidRPr="00A43B9C" w14:paraId="5E5825DD" w14:textId="77777777" w:rsidTr="00E43895">
        <w:tc>
          <w:tcPr>
            <w:tcW w:w="2356" w:type="dxa"/>
            <w:vAlign w:val="center"/>
          </w:tcPr>
          <w:p w14:paraId="6337B3F2" w14:textId="11526BFC" w:rsidR="00FF1D30" w:rsidRPr="00A43B9C" w:rsidRDefault="00FF1D30"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 xml:space="preserve">Hynninen </w:t>
            </w:r>
            <w:r w:rsidR="00F810DF" w:rsidRPr="00A43B9C">
              <w:rPr>
                <w:rFonts w:ascii="Times New Roman" w:hAnsi="Times New Roman" w:cs="Times New Roman"/>
                <w:sz w:val="28"/>
                <w:szCs w:val="28"/>
                <w:lang w:val="en-US"/>
              </w:rPr>
              <w:t>et al.</w:t>
            </w:r>
          </w:p>
        </w:tc>
        <w:tc>
          <w:tcPr>
            <w:tcW w:w="2667" w:type="dxa"/>
            <w:vAlign w:val="center"/>
          </w:tcPr>
          <w:p w14:paraId="6AFF28A6"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41</w:t>
            </w:r>
          </w:p>
        </w:tc>
        <w:tc>
          <w:tcPr>
            <w:tcW w:w="0" w:type="auto"/>
            <w:vAlign w:val="center"/>
          </w:tcPr>
          <w:p w14:paraId="59C74B0F"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51</w:t>
            </w:r>
          </w:p>
        </w:tc>
        <w:tc>
          <w:tcPr>
            <w:tcW w:w="0" w:type="auto"/>
            <w:vAlign w:val="center"/>
          </w:tcPr>
          <w:p w14:paraId="4D9767DF"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89</w:t>
            </w:r>
          </w:p>
        </w:tc>
        <w:tc>
          <w:tcPr>
            <w:tcW w:w="0" w:type="auto"/>
            <w:vAlign w:val="center"/>
          </w:tcPr>
          <w:p w14:paraId="4478C5A8"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c>
          <w:tcPr>
            <w:tcW w:w="0" w:type="auto"/>
            <w:vAlign w:val="center"/>
          </w:tcPr>
          <w:p w14:paraId="68438A3B"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c>
          <w:tcPr>
            <w:tcW w:w="0" w:type="auto"/>
            <w:vAlign w:val="center"/>
          </w:tcPr>
          <w:p w14:paraId="021AEF3A"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64</w:t>
            </w:r>
          </w:p>
        </w:tc>
      </w:tr>
      <w:tr w:rsidR="00E43895" w:rsidRPr="00A43B9C" w14:paraId="20E716A0" w14:textId="77777777" w:rsidTr="00E43895">
        <w:tc>
          <w:tcPr>
            <w:tcW w:w="2356" w:type="dxa"/>
            <w:vAlign w:val="center"/>
          </w:tcPr>
          <w:p w14:paraId="76B1660D" w14:textId="732DFE7E" w:rsidR="00FF1D30" w:rsidRPr="00A43B9C" w:rsidRDefault="00FF1D30"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 xml:space="preserve">Yuan </w:t>
            </w:r>
            <w:r w:rsidR="00F810DF" w:rsidRPr="00A43B9C">
              <w:rPr>
                <w:rFonts w:ascii="Times New Roman" w:hAnsi="Times New Roman" w:cs="Times New Roman"/>
                <w:sz w:val="28"/>
                <w:szCs w:val="28"/>
                <w:lang w:val="en-US"/>
              </w:rPr>
              <w:t>et al.</w:t>
            </w:r>
          </w:p>
        </w:tc>
        <w:tc>
          <w:tcPr>
            <w:tcW w:w="2667" w:type="dxa"/>
            <w:vAlign w:val="center"/>
          </w:tcPr>
          <w:p w14:paraId="0EA4FE9B"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882</w:t>
            </w:r>
          </w:p>
        </w:tc>
        <w:tc>
          <w:tcPr>
            <w:tcW w:w="0" w:type="auto"/>
            <w:vAlign w:val="center"/>
          </w:tcPr>
          <w:p w14:paraId="6AC839C7"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73</w:t>
            </w:r>
          </w:p>
        </w:tc>
        <w:tc>
          <w:tcPr>
            <w:tcW w:w="0" w:type="auto"/>
            <w:vAlign w:val="center"/>
          </w:tcPr>
          <w:p w14:paraId="1E5D6D59"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97</w:t>
            </w:r>
          </w:p>
        </w:tc>
        <w:tc>
          <w:tcPr>
            <w:tcW w:w="0" w:type="auto"/>
            <w:vAlign w:val="center"/>
          </w:tcPr>
          <w:p w14:paraId="0138B219"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c>
          <w:tcPr>
            <w:tcW w:w="0" w:type="auto"/>
            <w:vAlign w:val="center"/>
          </w:tcPr>
          <w:p w14:paraId="7715167C"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c>
          <w:tcPr>
            <w:tcW w:w="0" w:type="auto"/>
            <w:vAlign w:val="center"/>
          </w:tcPr>
          <w:p w14:paraId="7F0C9618"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r>
      <w:tr w:rsidR="00E43895" w:rsidRPr="00A43B9C" w14:paraId="66CFC08B" w14:textId="77777777" w:rsidTr="00E43895">
        <w:tc>
          <w:tcPr>
            <w:tcW w:w="2356" w:type="dxa"/>
            <w:vAlign w:val="center"/>
          </w:tcPr>
          <w:p w14:paraId="20CF6408" w14:textId="6D7EB634" w:rsidR="00FF1D30" w:rsidRPr="00A43B9C" w:rsidRDefault="00FF1D30"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 xml:space="preserve">Schmidt </w:t>
            </w:r>
            <w:r w:rsidR="00F810DF" w:rsidRPr="00A43B9C">
              <w:rPr>
                <w:rFonts w:ascii="Times New Roman" w:hAnsi="Times New Roman" w:cs="Times New Roman"/>
                <w:sz w:val="28"/>
                <w:szCs w:val="28"/>
                <w:lang w:val="en-US"/>
              </w:rPr>
              <w:t>et al.</w:t>
            </w:r>
          </w:p>
        </w:tc>
        <w:tc>
          <w:tcPr>
            <w:tcW w:w="2667" w:type="dxa"/>
            <w:vAlign w:val="center"/>
          </w:tcPr>
          <w:p w14:paraId="4F3D4626"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w:t>
            </w:r>
          </w:p>
        </w:tc>
        <w:tc>
          <w:tcPr>
            <w:tcW w:w="0" w:type="auto"/>
            <w:vAlign w:val="center"/>
          </w:tcPr>
          <w:p w14:paraId="7CB8F5F8"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95</w:t>
            </w:r>
          </w:p>
        </w:tc>
        <w:tc>
          <w:tcPr>
            <w:tcW w:w="0" w:type="auto"/>
            <w:vAlign w:val="center"/>
          </w:tcPr>
          <w:p w14:paraId="5EC126F3"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96</w:t>
            </w:r>
          </w:p>
        </w:tc>
        <w:tc>
          <w:tcPr>
            <w:tcW w:w="0" w:type="auto"/>
            <w:vAlign w:val="center"/>
          </w:tcPr>
          <w:p w14:paraId="33001BDC"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c>
          <w:tcPr>
            <w:tcW w:w="0" w:type="auto"/>
            <w:vAlign w:val="center"/>
          </w:tcPr>
          <w:p w14:paraId="263989C3"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c>
          <w:tcPr>
            <w:tcW w:w="0" w:type="auto"/>
            <w:vAlign w:val="center"/>
          </w:tcPr>
          <w:p w14:paraId="0866B238"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r>
      <w:tr w:rsidR="00E43895" w:rsidRPr="00A43B9C" w14:paraId="141396EF" w14:textId="77777777" w:rsidTr="00E43895">
        <w:tc>
          <w:tcPr>
            <w:tcW w:w="2356" w:type="dxa"/>
            <w:vAlign w:val="center"/>
          </w:tcPr>
          <w:p w14:paraId="4B1A8929" w14:textId="10B36C06" w:rsidR="00FF1D30" w:rsidRPr="00A43B9C" w:rsidRDefault="00FF1D30"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 xml:space="preserve">Risum </w:t>
            </w:r>
            <w:r w:rsidR="00F810DF" w:rsidRPr="00A43B9C">
              <w:rPr>
                <w:rFonts w:ascii="Times New Roman" w:hAnsi="Times New Roman" w:cs="Times New Roman"/>
                <w:sz w:val="28"/>
                <w:szCs w:val="28"/>
                <w:lang w:val="en-US"/>
              </w:rPr>
              <w:t>et al.</w:t>
            </w:r>
          </w:p>
        </w:tc>
        <w:tc>
          <w:tcPr>
            <w:tcW w:w="2667" w:type="dxa"/>
            <w:vAlign w:val="center"/>
          </w:tcPr>
          <w:p w14:paraId="540CBC9D"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60</w:t>
            </w:r>
          </w:p>
        </w:tc>
        <w:tc>
          <w:tcPr>
            <w:tcW w:w="0" w:type="auto"/>
            <w:vAlign w:val="center"/>
          </w:tcPr>
          <w:p w14:paraId="07ACC142"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97</w:t>
            </w:r>
          </w:p>
        </w:tc>
        <w:tc>
          <w:tcPr>
            <w:tcW w:w="0" w:type="auto"/>
            <w:vAlign w:val="center"/>
          </w:tcPr>
          <w:p w14:paraId="097EBBE0"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90</w:t>
            </w:r>
          </w:p>
        </w:tc>
        <w:tc>
          <w:tcPr>
            <w:tcW w:w="0" w:type="auto"/>
            <w:vAlign w:val="center"/>
          </w:tcPr>
          <w:p w14:paraId="5DFA2B02"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c>
          <w:tcPr>
            <w:tcW w:w="0" w:type="auto"/>
            <w:vAlign w:val="center"/>
          </w:tcPr>
          <w:p w14:paraId="6150D320"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43</w:t>
            </w:r>
          </w:p>
        </w:tc>
        <w:tc>
          <w:tcPr>
            <w:tcW w:w="0" w:type="auto"/>
            <w:vAlign w:val="center"/>
          </w:tcPr>
          <w:p w14:paraId="74C065F0"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r>
      <w:tr w:rsidR="00E43895" w:rsidRPr="00A43B9C" w14:paraId="34D23E45" w14:textId="77777777" w:rsidTr="00E43895">
        <w:tc>
          <w:tcPr>
            <w:tcW w:w="2356" w:type="dxa"/>
            <w:vAlign w:val="center"/>
          </w:tcPr>
          <w:p w14:paraId="4E921448" w14:textId="390F5875" w:rsidR="00FF1D30" w:rsidRPr="00A43B9C" w:rsidRDefault="00FF1D30"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 xml:space="preserve">Mangili </w:t>
            </w:r>
            <w:r w:rsidR="00F810DF" w:rsidRPr="00A43B9C">
              <w:rPr>
                <w:rFonts w:ascii="Times New Roman" w:hAnsi="Times New Roman" w:cs="Times New Roman"/>
                <w:sz w:val="28"/>
                <w:szCs w:val="28"/>
                <w:lang w:val="en-US"/>
              </w:rPr>
              <w:t>et al.</w:t>
            </w:r>
          </w:p>
        </w:tc>
        <w:tc>
          <w:tcPr>
            <w:tcW w:w="2667" w:type="dxa"/>
            <w:vAlign w:val="center"/>
          </w:tcPr>
          <w:p w14:paraId="5520F69B"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32</w:t>
            </w:r>
          </w:p>
        </w:tc>
        <w:tc>
          <w:tcPr>
            <w:tcW w:w="0" w:type="auto"/>
            <w:vAlign w:val="center"/>
          </w:tcPr>
          <w:p w14:paraId="6CA17A16"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91</w:t>
            </w:r>
          </w:p>
        </w:tc>
        <w:tc>
          <w:tcPr>
            <w:tcW w:w="0" w:type="auto"/>
            <w:vAlign w:val="center"/>
          </w:tcPr>
          <w:p w14:paraId="09D59FC6"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w:t>
            </w:r>
          </w:p>
        </w:tc>
        <w:tc>
          <w:tcPr>
            <w:tcW w:w="0" w:type="auto"/>
            <w:vAlign w:val="center"/>
          </w:tcPr>
          <w:p w14:paraId="635F131E"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c>
          <w:tcPr>
            <w:tcW w:w="0" w:type="auto"/>
            <w:vAlign w:val="center"/>
          </w:tcPr>
          <w:p w14:paraId="516D5BD6"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c>
          <w:tcPr>
            <w:tcW w:w="0" w:type="auto"/>
            <w:vAlign w:val="center"/>
          </w:tcPr>
          <w:p w14:paraId="6B68F6D5"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r>
      <w:tr w:rsidR="00E43895" w:rsidRPr="00A43B9C" w14:paraId="746C2714" w14:textId="77777777" w:rsidTr="00E43895">
        <w:tc>
          <w:tcPr>
            <w:tcW w:w="2356" w:type="dxa"/>
            <w:vAlign w:val="center"/>
          </w:tcPr>
          <w:p w14:paraId="7921DB24" w14:textId="79FD307B" w:rsidR="00FF1D30" w:rsidRPr="00A43B9C" w:rsidRDefault="00FF1D30"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 xml:space="preserve">Pan </w:t>
            </w:r>
            <w:r w:rsidR="00F810DF" w:rsidRPr="00A43B9C">
              <w:rPr>
                <w:rFonts w:ascii="Times New Roman" w:hAnsi="Times New Roman" w:cs="Times New Roman"/>
                <w:sz w:val="28"/>
                <w:szCs w:val="28"/>
                <w:lang w:val="en-US"/>
              </w:rPr>
              <w:t>et al.</w:t>
            </w:r>
          </w:p>
        </w:tc>
        <w:tc>
          <w:tcPr>
            <w:tcW w:w="2667" w:type="dxa"/>
            <w:vAlign w:val="center"/>
          </w:tcPr>
          <w:p w14:paraId="22E0F34F"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37</w:t>
            </w:r>
          </w:p>
        </w:tc>
        <w:tc>
          <w:tcPr>
            <w:tcW w:w="0" w:type="auto"/>
            <w:vAlign w:val="center"/>
          </w:tcPr>
          <w:p w14:paraId="2AE2E1A9"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100</w:t>
            </w:r>
          </w:p>
        </w:tc>
        <w:tc>
          <w:tcPr>
            <w:tcW w:w="0" w:type="auto"/>
            <w:vAlign w:val="center"/>
          </w:tcPr>
          <w:p w14:paraId="5CF7E091"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85</w:t>
            </w:r>
          </w:p>
        </w:tc>
        <w:tc>
          <w:tcPr>
            <w:tcW w:w="0" w:type="auto"/>
            <w:vAlign w:val="center"/>
          </w:tcPr>
          <w:p w14:paraId="2C6F0227"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92</w:t>
            </w:r>
          </w:p>
        </w:tc>
        <w:tc>
          <w:tcPr>
            <w:tcW w:w="0" w:type="auto"/>
            <w:vAlign w:val="center"/>
          </w:tcPr>
          <w:p w14:paraId="39B26617"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100</w:t>
            </w:r>
          </w:p>
        </w:tc>
        <w:tc>
          <w:tcPr>
            <w:tcW w:w="0" w:type="auto"/>
            <w:vAlign w:val="center"/>
          </w:tcPr>
          <w:p w14:paraId="0C03449E"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94</w:t>
            </w:r>
          </w:p>
        </w:tc>
      </w:tr>
      <w:tr w:rsidR="00E43895" w:rsidRPr="00A43B9C" w14:paraId="0B707320" w14:textId="77777777" w:rsidTr="00E43895">
        <w:tc>
          <w:tcPr>
            <w:tcW w:w="2356" w:type="dxa"/>
            <w:vAlign w:val="center"/>
          </w:tcPr>
          <w:p w14:paraId="7424279E" w14:textId="6344D245" w:rsidR="00FF1D30" w:rsidRPr="00A43B9C" w:rsidRDefault="00FF1D30"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 xml:space="preserve">Iagaru </w:t>
            </w:r>
            <w:r w:rsidR="00F810DF" w:rsidRPr="00A43B9C">
              <w:rPr>
                <w:rFonts w:ascii="Times New Roman" w:hAnsi="Times New Roman" w:cs="Times New Roman"/>
                <w:sz w:val="28"/>
                <w:szCs w:val="28"/>
                <w:lang w:val="en-US"/>
              </w:rPr>
              <w:t>et al.</w:t>
            </w:r>
          </w:p>
        </w:tc>
        <w:tc>
          <w:tcPr>
            <w:tcW w:w="2667" w:type="dxa"/>
            <w:vAlign w:val="center"/>
          </w:tcPr>
          <w:p w14:paraId="2A10D442"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43</w:t>
            </w:r>
          </w:p>
        </w:tc>
        <w:tc>
          <w:tcPr>
            <w:tcW w:w="0" w:type="auto"/>
            <w:vAlign w:val="center"/>
          </w:tcPr>
          <w:p w14:paraId="62ABA531"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88</w:t>
            </w:r>
          </w:p>
        </w:tc>
        <w:tc>
          <w:tcPr>
            <w:tcW w:w="0" w:type="auto"/>
            <w:vAlign w:val="center"/>
          </w:tcPr>
          <w:p w14:paraId="6DED31FF"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88</w:t>
            </w:r>
          </w:p>
        </w:tc>
        <w:tc>
          <w:tcPr>
            <w:tcW w:w="0" w:type="auto"/>
            <w:vAlign w:val="center"/>
          </w:tcPr>
          <w:p w14:paraId="3FA404BD"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c>
          <w:tcPr>
            <w:tcW w:w="0" w:type="auto"/>
            <w:vAlign w:val="center"/>
          </w:tcPr>
          <w:p w14:paraId="12569F4E"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c>
          <w:tcPr>
            <w:tcW w:w="0" w:type="auto"/>
            <w:vAlign w:val="center"/>
          </w:tcPr>
          <w:p w14:paraId="202A223E"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r>
      <w:tr w:rsidR="00E43895" w:rsidRPr="00A43B9C" w14:paraId="3DB55225" w14:textId="77777777" w:rsidTr="00E43895">
        <w:tc>
          <w:tcPr>
            <w:tcW w:w="2356" w:type="dxa"/>
            <w:vAlign w:val="center"/>
          </w:tcPr>
          <w:p w14:paraId="73FD5ADA" w14:textId="78490561" w:rsidR="00FF1D30" w:rsidRPr="00A43B9C" w:rsidRDefault="00FF1D30"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 xml:space="preserve">Fagotti </w:t>
            </w:r>
            <w:r w:rsidR="00F810DF" w:rsidRPr="00A43B9C">
              <w:rPr>
                <w:rFonts w:ascii="Times New Roman" w:hAnsi="Times New Roman" w:cs="Times New Roman"/>
                <w:sz w:val="28"/>
                <w:szCs w:val="28"/>
                <w:lang w:val="en-US"/>
              </w:rPr>
              <w:t>et al.</w:t>
            </w:r>
          </w:p>
        </w:tc>
        <w:tc>
          <w:tcPr>
            <w:tcW w:w="2667" w:type="dxa"/>
            <w:vAlign w:val="center"/>
          </w:tcPr>
          <w:p w14:paraId="5993614B"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70</w:t>
            </w:r>
          </w:p>
        </w:tc>
        <w:tc>
          <w:tcPr>
            <w:tcW w:w="0" w:type="auto"/>
            <w:vAlign w:val="center"/>
          </w:tcPr>
          <w:p w14:paraId="06085D15"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93</w:t>
            </w:r>
          </w:p>
        </w:tc>
        <w:tc>
          <w:tcPr>
            <w:tcW w:w="0" w:type="auto"/>
            <w:vAlign w:val="center"/>
          </w:tcPr>
          <w:p w14:paraId="09E79226"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w:t>
            </w:r>
          </w:p>
        </w:tc>
        <w:tc>
          <w:tcPr>
            <w:tcW w:w="0" w:type="auto"/>
            <w:vAlign w:val="center"/>
          </w:tcPr>
          <w:p w14:paraId="13DE7308"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77</w:t>
            </w:r>
          </w:p>
        </w:tc>
        <w:tc>
          <w:tcPr>
            <w:tcW w:w="0" w:type="auto"/>
            <w:vAlign w:val="center"/>
          </w:tcPr>
          <w:p w14:paraId="57EFA85C"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83</w:t>
            </w:r>
          </w:p>
        </w:tc>
        <w:tc>
          <w:tcPr>
            <w:tcW w:w="0" w:type="auto"/>
            <w:vAlign w:val="center"/>
          </w:tcPr>
          <w:p w14:paraId="201AC2F1"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79</w:t>
            </w:r>
          </w:p>
        </w:tc>
      </w:tr>
      <w:tr w:rsidR="00E43895" w:rsidRPr="00A43B9C" w14:paraId="1B8B8C83" w14:textId="77777777" w:rsidTr="00E43895">
        <w:tc>
          <w:tcPr>
            <w:tcW w:w="2356" w:type="dxa"/>
            <w:vAlign w:val="center"/>
          </w:tcPr>
          <w:p w14:paraId="701D30ED" w14:textId="131F12FC" w:rsidR="00FF1D30" w:rsidRPr="00A43B9C" w:rsidRDefault="00FF1D30"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 xml:space="preserve">Evangelista </w:t>
            </w:r>
            <w:r w:rsidR="00F810DF" w:rsidRPr="00A43B9C">
              <w:rPr>
                <w:rFonts w:ascii="Times New Roman" w:hAnsi="Times New Roman" w:cs="Times New Roman"/>
                <w:sz w:val="28"/>
                <w:szCs w:val="28"/>
                <w:lang w:val="en-US"/>
              </w:rPr>
              <w:t>et al.</w:t>
            </w:r>
          </w:p>
        </w:tc>
        <w:tc>
          <w:tcPr>
            <w:tcW w:w="2667" w:type="dxa"/>
            <w:vAlign w:val="center"/>
          </w:tcPr>
          <w:p w14:paraId="2AEAEBFC"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125</w:t>
            </w:r>
          </w:p>
        </w:tc>
        <w:tc>
          <w:tcPr>
            <w:tcW w:w="0" w:type="auto"/>
            <w:vAlign w:val="center"/>
          </w:tcPr>
          <w:p w14:paraId="116BEE01"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99</w:t>
            </w:r>
          </w:p>
        </w:tc>
        <w:tc>
          <w:tcPr>
            <w:tcW w:w="0" w:type="auto"/>
            <w:vAlign w:val="center"/>
          </w:tcPr>
          <w:p w14:paraId="74964C77"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78</w:t>
            </w:r>
          </w:p>
        </w:tc>
        <w:tc>
          <w:tcPr>
            <w:tcW w:w="0" w:type="auto"/>
            <w:vAlign w:val="center"/>
          </w:tcPr>
          <w:p w14:paraId="45006299"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c>
          <w:tcPr>
            <w:tcW w:w="0" w:type="auto"/>
            <w:vAlign w:val="center"/>
          </w:tcPr>
          <w:p w14:paraId="3AD35AAE"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c>
          <w:tcPr>
            <w:tcW w:w="0" w:type="auto"/>
            <w:vAlign w:val="center"/>
          </w:tcPr>
          <w:p w14:paraId="594A898B"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r>
    </w:tbl>
    <w:p w14:paraId="247DFCA8" w14:textId="77777777" w:rsidR="00F810DF" w:rsidRPr="00A43B9C" w:rsidRDefault="00F810DF" w:rsidP="00FF1D30">
      <w:pPr>
        <w:autoSpaceDE w:val="0"/>
        <w:autoSpaceDN w:val="0"/>
        <w:adjustRightInd w:val="0"/>
        <w:spacing w:after="0" w:line="240" w:lineRule="auto"/>
        <w:ind w:firstLine="709"/>
        <w:jc w:val="both"/>
        <w:rPr>
          <w:rFonts w:ascii="Times New Roman" w:hAnsi="Times New Roman" w:cs="Times New Roman"/>
          <w:sz w:val="28"/>
          <w:szCs w:val="28"/>
        </w:rPr>
      </w:pPr>
    </w:p>
    <w:p w14:paraId="29115F8B" w14:textId="54F80736" w:rsidR="00FF1D30" w:rsidRPr="00A43B9C" w:rsidRDefault="00FF1D30" w:rsidP="00FF1D30">
      <w:pPr>
        <w:autoSpaceDE w:val="0"/>
        <w:autoSpaceDN w:val="0"/>
        <w:adjustRightInd w:val="0"/>
        <w:spacing w:after="0" w:line="240" w:lineRule="auto"/>
        <w:ind w:firstLine="709"/>
        <w:jc w:val="both"/>
        <w:rPr>
          <w:rFonts w:ascii="Times New Roman" w:hAnsi="Times New Roman" w:cs="Times New Roman"/>
          <w:bCs/>
          <w:sz w:val="28"/>
          <w:szCs w:val="28"/>
        </w:rPr>
      </w:pPr>
      <w:r w:rsidRPr="00A43B9C">
        <w:rPr>
          <w:rFonts w:ascii="Times New Roman" w:hAnsi="Times New Roman" w:cs="Times New Roman"/>
          <w:sz w:val="28"/>
          <w:szCs w:val="28"/>
        </w:rPr>
        <w:t xml:space="preserve">Мета-анализ </w:t>
      </w:r>
      <w:r w:rsidR="0069259F" w:rsidRPr="00A43B9C">
        <w:rPr>
          <w:rFonts w:ascii="Times New Roman" w:hAnsi="Times New Roman" w:cs="Times New Roman"/>
          <w:sz w:val="28"/>
          <w:szCs w:val="28"/>
        </w:rPr>
        <w:t xml:space="preserve">результатов использования </w:t>
      </w:r>
      <w:r w:rsidRPr="00A43B9C">
        <w:rPr>
          <w:rFonts w:ascii="Times New Roman" w:hAnsi="Times New Roman" w:cs="Times New Roman"/>
          <w:sz w:val="28"/>
          <w:szCs w:val="28"/>
        </w:rPr>
        <w:t xml:space="preserve">КТ, МРТ и ПЭТ или ПЭТ/КТ при обнаружении узловых метастазов показал, что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 xml:space="preserve">-FDG ПЭТ или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 xml:space="preserve">-FDG ПЭТ/КТ являются более точными, чем КТ (чувствительность - 73% против 42%; специфичность - 97% против 95%) или МРТ (чувствительность - 55%; специфичность - 88%) в выявлении метастазов у пациентов с </w:t>
      </w:r>
      <w:r w:rsidR="000534CE">
        <w:rPr>
          <w:rFonts w:ascii="Times New Roman" w:hAnsi="Times New Roman" w:cs="Times New Roman"/>
          <w:sz w:val="28"/>
          <w:szCs w:val="28"/>
        </w:rPr>
        <w:t>раком яичников</w:t>
      </w:r>
      <w:r w:rsidRPr="00A43B9C">
        <w:rPr>
          <w:rFonts w:ascii="Times New Roman" w:hAnsi="Times New Roman" w:cs="Times New Roman"/>
          <w:sz w:val="28"/>
          <w:szCs w:val="28"/>
        </w:rPr>
        <w:t xml:space="preserve">. В настоящее время оценка технологий системы здравоохранения также показала, что недостаточно доказательств того, что либо ПЭТ/КТ, либо интегрированный ПЭТ/КТ с контрастным усилением дают дополнительное преимущество по сравнению с одним только КТ с контрастным усилением с точки зрения результатов лечения пациентов и экономической эффективности для их повседневного клинического применения </w:t>
      </w:r>
      <w:r w:rsidRPr="00A43B9C">
        <w:rPr>
          <w:rFonts w:ascii="Times New Roman" w:hAnsi="Times New Roman" w:cs="Times New Roman"/>
          <w:sz w:val="28"/>
          <w:szCs w:val="28"/>
        </w:rPr>
        <w:fldChar w:fldCharType="begin"/>
      </w:r>
      <w:r w:rsidR="00F6152F">
        <w:rPr>
          <w:rFonts w:ascii="Times New Roman" w:hAnsi="Times New Roman" w:cs="Times New Roman"/>
          <w:sz w:val="28"/>
          <w:szCs w:val="28"/>
        </w:rPr>
        <w:instrText xml:space="preserve"> ADDIN ZOTERO_ITEM CSL_CITATION {"citationID":"czBvf4jM","properties":{"formattedCitation":"[179]","plainCitation":"[179]","noteIndex":0},"citationItems":[{"id":614,"uris":["http://zotero.org/users/8787459/items/M5MYMNI9"],"itemData":{"id":614,"type":"article-journal","abstract":"Objective\nThe aim of this study was to evaluate the diagnostic value of integrated 18F-fluoro-2-deoxyglucose-positron emission tomography/computed tomography (18F-FDG-PET/CT) for suspected recurrence of epithelial ovarian cancer (EOC) with non-disseminated lesions.\n\nMethods\nWe retrospectively reviewed the medical records of recurrent EOC patients who underwent secondary cytoreduction from January 2000 to December 2013. A total of 134 patients underwent secondary cytoreduction after imaging with either 18F-FDG-PET/CT or contrast-enhanced computed tomography (CECT).\n\nResults\nIn a patient-based analysis of 134 patients, 124 (92.5%) were confirmed to be positive for malignancy. Among 72 patients with suspected non-disseminated recurrence on 18F-FDG-PET/CT, 65 (89.0%) were confirmed to have recurrence, giving 98.5% sensitivity, 87.7% accuracy, and 88.9% positive predictive value (PPV). In the 65 patients with recurrence, residual tumor remained in 14 patients, giving an accuracy of patient selection for secondary cytoreduction of 69.4% (50/72) and it is higher than that of CECT (64.0%). In 169 lesions removed from patients who underwent preoperative 18F-FDG-PET/CT, 135 (79.9%) were confirmed to be positive for malignancy and 124 were accurately detected by 18F-FDG-PET/CT, giving 91.9% sensitivity, 81.1% accuracy, and 85.5% PPV. Foreign body granuloma was found in 33.3% of 21 lesions with false-positive 18F-FDG-PET/CT findings (7/21). The mean preoperative cancer antigen 125 (CA-125) level in false-positive patients was 28.8 U/mL.\n\nConclusion\nCompared with CECT, 18F-FDG-PET/CT shows higher sensitivity in lesion-based analysis and better accuracy of patient selection for secondary cytoreduction. However, there is still a need for integration of the results of 18F-FDG-PET/CT, CECT, and CA-125 levels to aid treatment planning.","container-title":"Journal of Gynecologic Oncology","DOI":"10.3802/jgo.2018.29.e36","ISSN":"2005-0380","issue":"3","journalAbbreviation":"J Gynecol Oncol","note":"PMID: 29400023\nPMCID: PMC5920220","page":"e36","source":"PubMed Central","title":"Diagnostic value of integrated 18F-fluoro-2-deoxyglucose positron emission tomography/computed tomography in recurrent epithelial ovarian cancer: accuracy of patient selection for secondary cytoreduction in 134 patients","title-short":"Diagnostic value of integrated 18F-fluoro-2-deoxyglucose positron emission tomography/computed tomography in recurrent epithelial ovarian cancer","volume":"29","author":[{"family":"Lee","given":"Young-Jae"},{"family":"Kim","given":"Yong-Man"},{"family":"Jung","given":"Phill-Seung"},{"family":"Lee","given":"Jong-Jin"},{"family":"Kim","given":"Jeong-Kon"},{"family":"Kim","given":"Young-Tak"},{"family":"Nam","given":"Joo-Hyun"}],"issued":{"date-parts":[["2018",5]]}}}],"schema":"https://github.com/citation-style-language/schema/raw/master/csl-citation.json"} </w:instrText>
      </w:r>
      <w:r w:rsidRPr="00A43B9C">
        <w:rPr>
          <w:rFonts w:ascii="Times New Roman" w:hAnsi="Times New Roman" w:cs="Times New Roman"/>
          <w:sz w:val="28"/>
          <w:szCs w:val="28"/>
        </w:rPr>
        <w:fldChar w:fldCharType="separate"/>
      </w:r>
      <w:r w:rsidR="00F6152F" w:rsidRPr="00F6152F">
        <w:rPr>
          <w:rFonts w:ascii="Times New Roman" w:hAnsi="Times New Roman" w:cs="Times New Roman"/>
          <w:sz w:val="28"/>
        </w:rPr>
        <w:t>[179]</w:t>
      </w:r>
      <w:r w:rsidRPr="00A43B9C">
        <w:rPr>
          <w:rFonts w:ascii="Times New Roman" w:hAnsi="Times New Roman" w:cs="Times New Roman"/>
          <w:sz w:val="28"/>
          <w:szCs w:val="28"/>
        </w:rPr>
        <w:fldChar w:fldCharType="end"/>
      </w:r>
      <w:r w:rsidRPr="00A43B9C">
        <w:rPr>
          <w:rFonts w:ascii="Times New Roman" w:hAnsi="Times New Roman" w:cs="Times New Roman"/>
          <w:sz w:val="28"/>
          <w:szCs w:val="28"/>
        </w:rPr>
        <w:t>.</w:t>
      </w:r>
    </w:p>
    <w:p w14:paraId="1A8B23A0" w14:textId="0BC5A067" w:rsidR="00FF1D30" w:rsidRPr="00A43B9C" w:rsidRDefault="00FF1D30" w:rsidP="00FF1D30">
      <w:pPr>
        <w:autoSpaceDE w:val="0"/>
        <w:autoSpaceDN w:val="0"/>
        <w:adjustRightInd w:val="0"/>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Определение активности накопления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 xml:space="preserve">-FDG при ПЭТ/КТ исследовании у пациентов с первичным </w:t>
      </w:r>
      <w:r w:rsidR="000534CE">
        <w:rPr>
          <w:rFonts w:ascii="Times New Roman" w:hAnsi="Times New Roman" w:cs="Times New Roman"/>
          <w:sz w:val="28"/>
          <w:szCs w:val="28"/>
        </w:rPr>
        <w:t>овариальным раком</w:t>
      </w:r>
      <w:r w:rsidRPr="00A43B9C">
        <w:rPr>
          <w:rFonts w:ascii="Times New Roman" w:hAnsi="Times New Roman" w:cs="Times New Roman"/>
          <w:sz w:val="28"/>
          <w:szCs w:val="28"/>
        </w:rPr>
        <w:t xml:space="preserve"> осуществляется для прогноза наступления метастатического поражения. Так, например, </w:t>
      </w:r>
      <w:r w:rsidRPr="00A43B9C">
        <w:rPr>
          <w:rFonts w:ascii="Times New Roman" w:hAnsi="Times New Roman" w:cs="Times New Roman"/>
          <w:sz w:val="28"/>
          <w:szCs w:val="28"/>
        </w:rPr>
        <w:lastRenderedPageBreak/>
        <w:t xml:space="preserve">используя предоперационную ПЭТ/КТ диагностику, исследователями </w:t>
      </w:r>
      <w:r w:rsidRPr="00A43B9C">
        <w:rPr>
          <w:rFonts w:ascii="Times New Roman" w:hAnsi="Times New Roman" w:cs="Times New Roman"/>
          <w:sz w:val="28"/>
          <w:szCs w:val="28"/>
          <w:lang w:val="en-US"/>
        </w:rPr>
        <w:t>Chung</w:t>
      </w:r>
      <w:r w:rsidRPr="00A43B9C">
        <w:rPr>
          <w:rFonts w:ascii="Times New Roman" w:hAnsi="Times New Roman" w:cs="Times New Roman"/>
          <w:sz w:val="28"/>
          <w:szCs w:val="28"/>
        </w:rPr>
        <w:t xml:space="preserve"> </w:t>
      </w:r>
      <w:r w:rsidR="00B342B7" w:rsidRPr="00A43B9C">
        <w:rPr>
          <w:rFonts w:ascii="Times New Roman" w:eastAsia="TimesNewRomanPSMT" w:hAnsi="Times New Roman" w:cs="Times New Roman"/>
          <w:sz w:val="28"/>
          <w:szCs w:val="28"/>
        </w:rPr>
        <w:t>et al.</w:t>
      </w:r>
      <w:r w:rsidRPr="00A43B9C">
        <w:rPr>
          <w:rFonts w:ascii="Times New Roman" w:hAnsi="Times New Roman" w:cs="Times New Roman"/>
          <w:sz w:val="28"/>
          <w:szCs w:val="28"/>
        </w:rPr>
        <w:t xml:space="preserve"> (2018 </w:t>
      </w:r>
      <w:r w:rsidRPr="00A43B9C">
        <w:rPr>
          <w:rFonts w:ascii="Times New Roman" w:hAnsi="Times New Roman" w:cs="Times New Roman"/>
          <w:sz w:val="28"/>
          <w:szCs w:val="28"/>
          <w:lang w:val="kk-KZ"/>
        </w:rPr>
        <w:t>г</w:t>
      </w:r>
      <w:r w:rsidRPr="00A43B9C">
        <w:rPr>
          <w:rFonts w:ascii="Times New Roman" w:hAnsi="Times New Roman" w:cs="Times New Roman"/>
          <w:sz w:val="28"/>
          <w:szCs w:val="28"/>
        </w:rPr>
        <w:t xml:space="preserve">.) оценивалась прогностическая ценность накопления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-FDG между различными метастатическими поражениями и первичной опухолью у пациентов с</w:t>
      </w:r>
      <w:r w:rsidR="0020110A">
        <w:rPr>
          <w:rFonts w:ascii="Times New Roman" w:hAnsi="Times New Roman" w:cs="Times New Roman"/>
          <w:sz w:val="28"/>
          <w:szCs w:val="28"/>
        </w:rPr>
        <w:t xml:space="preserve"> </w:t>
      </w:r>
      <w:r w:rsidR="000534CE">
        <w:rPr>
          <w:rFonts w:ascii="Times New Roman" w:hAnsi="Times New Roman" w:cs="Times New Roman"/>
          <w:sz w:val="28"/>
          <w:szCs w:val="28"/>
        </w:rPr>
        <w:t>эпителиальным раком яичников</w:t>
      </w:r>
      <w:r w:rsidRPr="00A43B9C">
        <w:rPr>
          <w:rFonts w:ascii="Times New Roman" w:hAnsi="Times New Roman" w:cs="Times New Roman"/>
          <w:sz w:val="28"/>
          <w:szCs w:val="28"/>
        </w:rPr>
        <w:t xml:space="preserve">. Ретроспективно обследованы 97 пациентов, которым провели предоперационное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 xml:space="preserve">-FDG ПЭТ/КТ обследование, критерии включения - </w:t>
      </w:r>
      <w:r w:rsidRPr="00A43B9C">
        <w:rPr>
          <w:rFonts w:ascii="Times New Roman" w:hAnsi="Times New Roman" w:cs="Times New Roman"/>
          <w:sz w:val="28"/>
          <w:szCs w:val="28"/>
          <w:shd w:val="clear" w:color="auto" w:fill="FCFCFC"/>
          <w:lang w:val="en-US"/>
        </w:rPr>
        <w:t>III</w:t>
      </w:r>
      <w:r w:rsidRPr="00A43B9C">
        <w:rPr>
          <w:rFonts w:ascii="Times New Roman" w:hAnsi="Times New Roman" w:cs="Times New Roman"/>
          <w:sz w:val="28"/>
          <w:szCs w:val="28"/>
          <w:shd w:val="clear" w:color="auto" w:fill="FCFCFC"/>
        </w:rPr>
        <w:t xml:space="preserve">, </w:t>
      </w:r>
      <w:r w:rsidRPr="00A43B9C">
        <w:rPr>
          <w:rFonts w:ascii="Times New Roman" w:hAnsi="Times New Roman" w:cs="Times New Roman"/>
          <w:sz w:val="28"/>
          <w:szCs w:val="28"/>
          <w:shd w:val="clear" w:color="auto" w:fill="FCFCFC"/>
          <w:lang w:val="en-US"/>
        </w:rPr>
        <w:t>IV</w:t>
      </w:r>
      <w:r w:rsidRPr="00A43B9C">
        <w:rPr>
          <w:rFonts w:ascii="Times New Roman" w:hAnsi="Times New Roman" w:cs="Times New Roman"/>
          <w:sz w:val="28"/>
          <w:szCs w:val="28"/>
        </w:rPr>
        <w:t xml:space="preserve"> стадия </w:t>
      </w:r>
      <w:r w:rsidR="000534CE">
        <w:rPr>
          <w:rFonts w:ascii="Times New Roman" w:hAnsi="Times New Roman" w:cs="Times New Roman"/>
          <w:sz w:val="28"/>
          <w:szCs w:val="28"/>
        </w:rPr>
        <w:t>эпителиального рака яичников</w:t>
      </w:r>
      <w:r w:rsidRPr="00A43B9C">
        <w:rPr>
          <w:rFonts w:ascii="Times New Roman" w:hAnsi="Times New Roman" w:cs="Times New Roman"/>
          <w:sz w:val="28"/>
          <w:szCs w:val="28"/>
        </w:rPr>
        <w:t xml:space="preserve"> по классификации Международной федерации акушерства и гинекологии (</w:t>
      </w:r>
      <w:r w:rsidRPr="00A43B9C">
        <w:rPr>
          <w:rFonts w:ascii="Times New Roman" w:hAnsi="Times New Roman" w:cs="Times New Roman"/>
          <w:sz w:val="28"/>
          <w:szCs w:val="28"/>
          <w:lang w:val="en-US"/>
        </w:rPr>
        <w:t>FIGO</w:t>
      </w:r>
      <w:r w:rsidRPr="00A43B9C">
        <w:rPr>
          <w:rFonts w:ascii="Times New Roman" w:hAnsi="Times New Roman" w:cs="Times New Roman"/>
          <w:sz w:val="28"/>
          <w:szCs w:val="28"/>
        </w:rPr>
        <w:t xml:space="preserve">). Оценены следующие показатели: максимальное стандартизированное значение поглощения </w:t>
      </w:r>
      <w:r w:rsidR="000534CE">
        <w:rPr>
          <w:rFonts w:ascii="Times New Roman" w:hAnsi="Times New Roman" w:cs="Times New Roman"/>
          <w:sz w:val="28"/>
          <w:szCs w:val="28"/>
        </w:rPr>
        <w:t>яичников</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ovary</w:t>
      </w:r>
      <w:r w:rsidRPr="00A43B9C">
        <w:rPr>
          <w:rFonts w:ascii="Times New Roman" w:hAnsi="Times New Roman" w:cs="Times New Roman"/>
          <w:sz w:val="28"/>
          <w:szCs w:val="28"/>
        </w:rPr>
        <w:t xml:space="preserve">), тазового или парааортального </w:t>
      </w:r>
      <w:r w:rsidR="000534CE">
        <w:rPr>
          <w:rFonts w:ascii="Times New Roman" w:hAnsi="Times New Roman" w:cs="Times New Roman"/>
          <w:sz w:val="28"/>
          <w:szCs w:val="28"/>
        </w:rPr>
        <w:t>лимфоузлов</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LN</w:t>
      </w:r>
      <w:r w:rsidRPr="00A43B9C">
        <w:rPr>
          <w:rFonts w:ascii="Times New Roman" w:hAnsi="Times New Roman" w:cs="Times New Roman"/>
          <w:sz w:val="28"/>
          <w:szCs w:val="28"/>
        </w:rPr>
        <w:t>), перитонеального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perit</w:t>
      </w:r>
      <w:r w:rsidRPr="00A43B9C">
        <w:rPr>
          <w:rFonts w:ascii="Times New Roman" w:hAnsi="Times New Roman" w:cs="Times New Roman"/>
          <w:sz w:val="28"/>
          <w:szCs w:val="28"/>
        </w:rPr>
        <w:t>) и отдаленного экстаперитонеального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dist</w:t>
      </w:r>
      <w:r w:rsidRPr="00A43B9C">
        <w:rPr>
          <w:rFonts w:ascii="Times New Roman" w:hAnsi="Times New Roman" w:cs="Times New Roman"/>
          <w:sz w:val="28"/>
          <w:szCs w:val="28"/>
        </w:rPr>
        <w:t xml:space="preserve">) метастатического поражения к стандартизированному соотношению метастатического поражения к </w:t>
      </w:r>
      <w:r w:rsidR="000534CE">
        <w:rPr>
          <w:rFonts w:ascii="Times New Roman" w:hAnsi="Times New Roman" w:cs="Times New Roman"/>
          <w:sz w:val="28"/>
          <w:szCs w:val="28"/>
        </w:rPr>
        <w:t>раку яичников</w:t>
      </w:r>
      <w:r w:rsidRPr="00A43B9C">
        <w:rPr>
          <w:rFonts w:ascii="Times New Roman" w:hAnsi="Times New Roman" w:cs="Times New Roman"/>
          <w:sz w:val="28"/>
          <w:szCs w:val="28"/>
        </w:rPr>
        <w:t>. Статистический анализ показал следующие результаты: медиана выживаемости без прогрессирования заболевания составила 18 месяцев (диапазон 6-90 месяцев), а у 59 (60,8%) пациентов наблюдался рецидив. В многомерном регрессионном анализе старший возраст (</w:t>
      </w:r>
      <w:r w:rsidRPr="00A43B9C">
        <w:rPr>
          <w:rFonts w:ascii="Times New Roman" w:hAnsi="Times New Roman" w:cs="Times New Roman"/>
          <w:sz w:val="28"/>
          <w:szCs w:val="28"/>
          <w:lang w:val="en-US"/>
        </w:rPr>
        <w:t>p</w:t>
      </w:r>
      <w:r w:rsidRPr="00A43B9C">
        <w:rPr>
          <w:rFonts w:ascii="Times New Roman" w:hAnsi="Times New Roman" w:cs="Times New Roman"/>
          <w:sz w:val="28"/>
          <w:szCs w:val="28"/>
        </w:rPr>
        <w:t xml:space="preserve"> = 0,035, </w:t>
      </w:r>
      <w:r w:rsidR="00171191" w:rsidRPr="00A43B9C">
        <w:rPr>
          <w:rFonts w:ascii="Times New Roman" w:hAnsi="Times New Roman" w:cs="Times New Roman"/>
          <w:sz w:val="28"/>
          <w:szCs w:val="28"/>
        </w:rPr>
        <w:t>ОШ</w:t>
      </w:r>
      <w:r w:rsidRPr="00A43B9C">
        <w:rPr>
          <w:rFonts w:ascii="Times New Roman" w:hAnsi="Times New Roman" w:cs="Times New Roman"/>
          <w:sz w:val="28"/>
          <w:szCs w:val="28"/>
        </w:rPr>
        <w:t xml:space="preserve"> 1,032, 95% </w:t>
      </w:r>
      <w:r w:rsidR="00AC7DC6" w:rsidRPr="00A43B9C">
        <w:rPr>
          <w:rFonts w:ascii="Times New Roman" w:hAnsi="Times New Roman" w:cs="Times New Roman"/>
          <w:sz w:val="28"/>
          <w:szCs w:val="28"/>
        </w:rPr>
        <w:t xml:space="preserve">ДИ </w:t>
      </w:r>
      <w:r w:rsidRPr="00A43B9C">
        <w:rPr>
          <w:rFonts w:ascii="Times New Roman" w:hAnsi="Times New Roman" w:cs="Times New Roman"/>
          <w:sz w:val="28"/>
          <w:szCs w:val="28"/>
        </w:rPr>
        <w:t xml:space="preserve">1,002-1,062) и высокий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perit</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ovary</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p</w:t>
      </w:r>
      <w:r w:rsidRPr="00A43B9C">
        <w:rPr>
          <w:rFonts w:ascii="Times New Roman" w:hAnsi="Times New Roman" w:cs="Times New Roman"/>
          <w:sz w:val="28"/>
          <w:szCs w:val="28"/>
        </w:rPr>
        <w:t xml:space="preserve"> = 0,046, </w:t>
      </w:r>
      <w:r w:rsidR="00940631">
        <w:rPr>
          <w:rFonts w:ascii="Times New Roman" w:hAnsi="Times New Roman" w:cs="Times New Roman"/>
          <w:sz w:val="28"/>
          <w:szCs w:val="28"/>
        </w:rPr>
        <w:t>ОР</w:t>
      </w:r>
      <w:r w:rsidRPr="00A43B9C">
        <w:rPr>
          <w:rFonts w:ascii="Times New Roman" w:hAnsi="Times New Roman" w:cs="Times New Roman"/>
          <w:sz w:val="28"/>
          <w:szCs w:val="28"/>
        </w:rPr>
        <w:t xml:space="preserve"> 1,755, 95% </w:t>
      </w:r>
      <w:r w:rsidR="00AC7DC6" w:rsidRPr="00A43B9C">
        <w:rPr>
          <w:rFonts w:ascii="Times New Roman" w:hAnsi="Times New Roman" w:cs="Times New Roman"/>
          <w:sz w:val="28"/>
          <w:szCs w:val="28"/>
        </w:rPr>
        <w:t xml:space="preserve">ДИ </w:t>
      </w:r>
      <w:r w:rsidRPr="00A43B9C">
        <w:rPr>
          <w:rFonts w:ascii="Times New Roman" w:hAnsi="Times New Roman" w:cs="Times New Roman"/>
          <w:sz w:val="28"/>
          <w:szCs w:val="28"/>
        </w:rPr>
        <w:t xml:space="preserve">1,011-3,047) были независимым фактором рецидива. Группа пациентов, классифицированная по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perit</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ovary</w:t>
      </w:r>
      <w:r w:rsidRPr="00A43B9C">
        <w:rPr>
          <w:rFonts w:ascii="Times New Roman" w:hAnsi="Times New Roman" w:cs="Times New Roman"/>
          <w:sz w:val="28"/>
          <w:szCs w:val="28"/>
        </w:rPr>
        <w:t xml:space="preserve">, показала значительную разницу в медиане (логарифмический критерий, </w:t>
      </w:r>
      <w:r w:rsidRPr="00A43B9C">
        <w:rPr>
          <w:rFonts w:ascii="Times New Roman" w:hAnsi="Times New Roman" w:cs="Times New Roman"/>
          <w:sz w:val="28"/>
          <w:szCs w:val="28"/>
          <w:lang w:val="en-US"/>
        </w:rPr>
        <w:t>p</w:t>
      </w:r>
      <w:r w:rsidRPr="00A43B9C">
        <w:rPr>
          <w:rFonts w:ascii="Times New Roman" w:hAnsi="Times New Roman" w:cs="Times New Roman"/>
          <w:sz w:val="28"/>
          <w:szCs w:val="28"/>
        </w:rPr>
        <w:t xml:space="preserve"> = 0,001). Результаты данного исследования показали, что у пациентов с </w:t>
      </w:r>
      <w:r w:rsidR="000534CE">
        <w:rPr>
          <w:rFonts w:ascii="Times New Roman" w:hAnsi="Times New Roman" w:cs="Times New Roman"/>
          <w:sz w:val="28"/>
          <w:szCs w:val="28"/>
        </w:rPr>
        <w:t xml:space="preserve">эпителиальным раком яичников </w:t>
      </w:r>
      <w:r w:rsidRPr="00A43B9C">
        <w:rPr>
          <w:rFonts w:ascii="Times New Roman" w:hAnsi="Times New Roman" w:cs="Times New Roman"/>
          <w:sz w:val="28"/>
          <w:szCs w:val="28"/>
        </w:rPr>
        <w:t xml:space="preserve">уровень предоперационного соотношения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perit</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ovary</w:t>
      </w:r>
      <w:r w:rsidRPr="00A43B9C">
        <w:rPr>
          <w:rFonts w:ascii="Times New Roman" w:hAnsi="Times New Roman" w:cs="Times New Roman"/>
          <w:sz w:val="28"/>
          <w:szCs w:val="28"/>
        </w:rPr>
        <w:t xml:space="preserve">, измеренный с помощью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 xml:space="preserve">-FDG ПЭТ/КТ, обеспечивает значительный прирост производительности для прогнозирования рецидива </w:t>
      </w:r>
      <w:r w:rsidR="000534CE">
        <w:rPr>
          <w:rFonts w:ascii="Times New Roman" w:hAnsi="Times New Roman" w:cs="Times New Roman"/>
          <w:sz w:val="28"/>
          <w:szCs w:val="28"/>
        </w:rPr>
        <w:t>рака яичников</w:t>
      </w:r>
      <w:r w:rsidRPr="00A43B9C">
        <w:rPr>
          <w:rFonts w:ascii="Times New Roman" w:hAnsi="Times New Roman" w:cs="Times New Roman"/>
          <w:sz w:val="28"/>
          <w:szCs w:val="28"/>
        </w:rPr>
        <w:t xml:space="preserve"> </w:t>
      </w:r>
      <w:r w:rsidRPr="00A43B9C">
        <w:rPr>
          <w:rFonts w:ascii="Times New Roman" w:hAnsi="Times New Roman" w:cs="Times New Roman"/>
          <w:sz w:val="28"/>
          <w:szCs w:val="28"/>
        </w:rPr>
        <w:fldChar w:fldCharType="begin"/>
      </w:r>
      <w:r w:rsidR="00F6152F">
        <w:rPr>
          <w:rFonts w:ascii="Times New Roman" w:hAnsi="Times New Roman" w:cs="Times New Roman"/>
          <w:sz w:val="28"/>
          <w:szCs w:val="28"/>
        </w:rPr>
        <w:instrText xml:space="preserve"> ADDIN ZOTERO_ITEM CSL_CITATION {"citationID":"SiQRnyfj","properties":{"formattedCitation":"[180, 181]","plainCitation":"[180, 181]","noteIndex":0},"citationItems":[{"id":619,"uris":["http://zotero.org/users/8787459/items/U2GCTBL3"],"itemData":{"id":619,"type":"article-journal","abstract":"PURPOSE: Metabolic tumor volume (MTV) and total lesion glycolysis (TLG) are measures of metabolic activity of tumors determined by fluorine-18 fluorodeoxyglucose ([(18)F]FDG) uptake on PET/CT images. The purpose of this study was to investigate the relationship between functional tumor parameters (MTV and TLG) and clinical outcomes in patients with epithelial ovarian cancer (EOC).\nMETHODS: Fifty-five patients with EOC who had undergone [(18)F]FDG PET/CT before surgical staging were included in this retrospectively study. For each patient, we determined the highest (SUV(max) and SUV(avg)), the cumulative TLG, and the sum of all MTV, and compared their predictive value of recurrence and the effects of pretreatment functional tumor activity on progression-free interval (PFI).\nRESULTS: The median duration of PFI was 11 (range 3-43) months, and 20 patients (36.4%) experienced recurrence. Poor outcome was associated with higher values for both the MTV (P = 0.022, hazard ratio 5.571, 95% confidence interval 1.279-24.272) and the TLG (P = 0.037, hazard ratio 2.967, 95% confidence interval 1.065-8.265). The Kaplan-Meier survival graphs showed a significant difference in PFI between the groups categorized by MTV and TLG, respectively (P = 0.01 for MTV, P = 0.0287 for TLG, log rank test).\nCONCLUSIONS: Pretreatment metabolic parameters such as MTV and TLG showed statistically significant association with recurrence in patients with EOC. These values can be useful quantitative criteria for disease prognostication in patients with EOC before treatment.","container-title":"Annals of Surgical Oncology","DOI":"10.1245/s10434-011-2153-x","ISSN":"1534-4681","issue":"6","journalAbbreviation":"Ann Surg Oncol","language":"eng","note":"PMID: 22124757","page":"1966-1972","source":"PubMed","title":"Prognostic value of preoperative metabolic tumor volume and total lesion glycolysis in patients with epithelial ovarian cancer","volume":"19","author":[{"family":"Chung","given":"Hyun Hoon"},{"family":"Kwon","given":"Hyun Woo"},{"family":"Kang","given":"Keon Wook"},{"family":"Park","given":"Noh-Hyun"},{"family":"Song","given":"Yong-Sang"},{"family":"Chung","given":"June-Key"},{"family":"Kang","given":"Soon-Beom"},{"family":"Kim","given":"Jae Weon"}],"issued":{"date-parts":[["2012",6]]}},"label":"page"},{"id":617,"uris":["http://zotero.org/users/8787459/items/LTL267JM"],"itemData":{"id":617,"type":"article-journal","abstract":"OBJECTIVES: Using preoperative PET/CT, we evaluated the prognostic value of preoperative [18F]FDG uptake ratio between various metastatic lesions and primary tumour in patients with advanced serous epithelial ovarian cancer (EOC).\nMETHODS: We retrospectively reviewed patients with International Federation of Gynecology and Obstetrics (FIGO) stage III, IV serous EOC who underwent preoperative [18F]FDG PET/CT scans. Clinico-pathological variables and PET/CT parameters such as maximum standardized uptake value of the ovarian cancer (SUVovary), pelvic or para-aortic LN (SUVLN), peritoneal (SUVperit) and distant extra-peritoneal (SUVdist) metastatic lesions, and the metastatic lesion-to-ovarian cancer standardized uptake value ratio were assessed.\nRESULTS: Clinico-pathological data were retrospectively reviewed for 97 eligible patients. The median progression-free survival (PFS) was 18 months (range, 6-90 months) and 59 (60.8 %) patients experienced recurrence. In multivariate regression analysis, older age (p = 0.035, hazard ratio (HR) 1.032, 95 % CI 1.002-1.062), and high SUVperit/SUVovary (p = 0.046, HR 1.755, 95 % CI 1.011-3.047) were independent risk factors of recurrence. Patient group categorized by SUVperit/SUVovary showed significant difference in PFS (Log-Rank test, p = 0.001).\nCONCLUSIONS: In patients with advanced serous EOC, preoperative SUVperit/SUVovary measured by [18F]FDG PET/CT provides significant incremental performance for prediction of recurrence.\nKEY POINTS: • PET/CT data from advanced serous epithelial ovarian cancer patients were analysed. • Prognostic value of SUV ratio between metastatic and primary tumour was investigated. • SUV perit /SUV ovary provides incremental performance for prediction of recurrence.","container-title":"European Radiology","DOI":"10.1007/s00330-017-5194-0","ISSN":"1432-1084","issue":"5","journalAbbreviation":"Eur Radiol","language":"eng","note":"PMID: 29260365","page":"2107-2114","source":"PubMed","title":"Prognostic importance of peritoneal lesion-to-primary tumour standardized uptake value ratio in advanced serous epithelial ovarian cancer","volume":"28","author":[{"family":"Chung","given":"Hyun Hoon"},{"family":"Kim","given":"Jae-Weon"},{"family":"Park","given":"Noh-Hyun"},{"family":"Song","given":"Yong Sang"},{"family":"Cheon","given":"Gi Jeong"}],"issued":{"date-parts":[["2018",5]]}},"label":"page"}],"schema":"https://github.com/citation-style-language/schema/raw/master/csl-citation.json"} </w:instrText>
      </w:r>
      <w:r w:rsidRPr="00A43B9C">
        <w:rPr>
          <w:rFonts w:ascii="Times New Roman" w:hAnsi="Times New Roman" w:cs="Times New Roman"/>
          <w:sz w:val="28"/>
          <w:szCs w:val="28"/>
        </w:rPr>
        <w:fldChar w:fldCharType="separate"/>
      </w:r>
      <w:r w:rsidR="00F6152F" w:rsidRPr="00F6152F">
        <w:rPr>
          <w:rFonts w:ascii="Times New Roman" w:hAnsi="Times New Roman" w:cs="Times New Roman"/>
          <w:sz w:val="28"/>
        </w:rPr>
        <w:t>[180, 181]</w:t>
      </w:r>
      <w:r w:rsidRPr="00A43B9C">
        <w:rPr>
          <w:rFonts w:ascii="Times New Roman" w:hAnsi="Times New Roman" w:cs="Times New Roman"/>
          <w:sz w:val="28"/>
          <w:szCs w:val="28"/>
        </w:rPr>
        <w:fldChar w:fldCharType="end"/>
      </w:r>
      <w:r w:rsidRPr="00A43B9C">
        <w:rPr>
          <w:rFonts w:ascii="Times New Roman" w:hAnsi="Times New Roman" w:cs="Times New Roman"/>
          <w:sz w:val="28"/>
          <w:szCs w:val="28"/>
        </w:rPr>
        <w:t>.</w:t>
      </w:r>
    </w:p>
    <w:p w14:paraId="66E27994" w14:textId="4F9B215D" w:rsidR="00FF1D30" w:rsidRPr="00A43B9C" w:rsidRDefault="00FF1D30" w:rsidP="00FF1D30">
      <w:pPr>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r w:rsidRPr="00A43B9C">
        <w:rPr>
          <w:rFonts w:ascii="Times New Roman" w:hAnsi="Times New Roman" w:cs="Times New Roman"/>
          <w:sz w:val="28"/>
          <w:szCs w:val="28"/>
        </w:rPr>
        <w:t xml:space="preserve">Также ранее </w:t>
      </w:r>
      <w:r w:rsidRPr="00A43B9C">
        <w:rPr>
          <w:rFonts w:ascii="Times New Roman" w:hAnsi="Times New Roman" w:cs="Times New Roman"/>
          <w:sz w:val="28"/>
          <w:szCs w:val="28"/>
          <w:lang w:val="en-US"/>
        </w:rPr>
        <w:t>Chung</w:t>
      </w:r>
      <w:r w:rsidRPr="00A43B9C">
        <w:rPr>
          <w:rFonts w:ascii="Times New Roman" w:hAnsi="Times New Roman" w:cs="Times New Roman"/>
          <w:sz w:val="28"/>
          <w:szCs w:val="28"/>
        </w:rPr>
        <w:t xml:space="preserve"> </w:t>
      </w:r>
      <w:r w:rsidR="00B342B7" w:rsidRPr="00A43B9C">
        <w:rPr>
          <w:rFonts w:ascii="Times New Roman" w:eastAsia="TimesNewRomanPSMT" w:hAnsi="Times New Roman" w:cs="Times New Roman"/>
          <w:sz w:val="28"/>
          <w:szCs w:val="28"/>
        </w:rPr>
        <w:t>et al.</w:t>
      </w:r>
      <w:r w:rsidRPr="00A43B9C">
        <w:rPr>
          <w:rFonts w:ascii="Times New Roman" w:hAnsi="Times New Roman" w:cs="Times New Roman"/>
          <w:sz w:val="28"/>
          <w:szCs w:val="28"/>
        </w:rPr>
        <w:t xml:space="preserve"> ретроспективно обследовали 55 пациентов с </w:t>
      </w:r>
      <w:r w:rsidR="000534CE">
        <w:rPr>
          <w:rFonts w:ascii="Times New Roman" w:hAnsi="Times New Roman" w:cs="Times New Roman"/>
          <w:sz w:val="28"/>
          <w:szCs w:val="28"/>
        </w:rPr>
        <w:t>эпителиальным раком яичников</w:t>
      </w:r>
      <w:r w:rsidRPr="00A43B9C">
        <w:rPr>
          <w:rFonts w:ascii="Times New Roman" w:hAnsi="Times New Roman" w:cs="Times New Roman"/>
          <w:sz w:val="28"/>
          <w:szCs w:val="28"/>
        </w:rPr>
        <w:t xml:space="preserve">, которым провели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 xml:space="preserve">-FDG ПЭТ/КТ перед хирургическим вмешательством, и оценили метаболические параметры, включая параметр </w:t>
      </w:r>
      <w:r w:rsidRPr="00A43B9C">
        <w:rPr>
          <w:rFonts w:ascii="Times New Roman" w:hAnsi="Times New Roman" w:cs="Times New Roman"/>
          <w:sz w:val="28"/>
          <w:szCs w:val="28"/>
          <w:lang w:val="en-US"/>
        </w:rPr>
        <w:t>SUV</w:t>
      </w:r>
      <w:r w:rsidRPr="00A43B9C">
        <w:rPr>
          <w:rFonts w:ascii="Times New Roman" w:hAnsi="Times New Roman" w:cs="Times New Roman"/>
          <w:sz w:val="28"/>
          <w:szCs w:val="28"/>
        </w:rPr>
        <w:t>, общий гликолиз опухоли (</w:t>
      </w:r>
      <w:r w:rsidRPr="00A43B9C">
        <w:rPr>
          <w:rFonts w:ascii="Times New Roman" w:hAnsi="Times New Roman" w:cs="Times New Roman"/>
          <w:sz w:val="28"/>
          <w:szCs w:val="28"/>
          <w:lang w:val="en-US"/>
        </w:rPr>
        <w:t>TLG</w:t>
      </w:r>
      <w:r w:rsidRPr="00A43B9C">
        <w:rPr>
          <w:rFonts w:ascii="Times New Roman" w:hAnsi="Times New Roman" w:cs="Times New Roman"/>
          <w:sz w:val="28"/>
          <w:szCs w:val="28"/>
        </w:rPr>
        <w:t>) и общий метаболический объем опухоли (</w:t>
      </w:r>
      <w:r w:rsidRPr="00A43B9C">
        <w:rPr>
          <w:rFonts w:ascii="Times New Roman" w:hAnsi="Times New Roman" w:cs="Times New Roman"/>
          <w:sz w:val="28"/>
          <w:szCs w:val="28"/>
          <w:lang w:val="en-US"/>
        </w:rPr>
        <w:t>MTV</w:t>
      </w:r>
      <w:r w:rsidRPr="00A43B9C">
        <w:rPr>
          <w:rFonts w:ascii="Times New Roman" w:hAnsi="Times New Roman" w:cs="Times New Roman"/>
          <w:sz w:val="28"/>
          <w:szCs w:val="28"/>
        </w:rPr>
        <w:t xml:space="preserve">), и сравнили их прогностическую ценность с точки зрения рецидива и эффектов функциональной активности опухоли перед лечением в интервале без прогрессирования. Статистический анализ показал следующие результаты: </w:t>
      </w:r>
      <w:r w:rsidRPr="00A43B9C">
        <w:rPr>
          <w:rFonts w:ascii="Times New Roman" w:hAnsi="Times New Roman" w:cs="Times New Roman"/>
          <w:sz w:val="28"/>
          <w:szCs w:val="28"/>
          <w:lang w:val="en-US"/>
        </w:rPr>
        <w:t>MTV</w:t>
      </w:r>
      <w:r w:rsidRPr="00A43B9C">
        <w:rPr>
          <w:rFonts w:ascii="Times New Roman" w:hAnsi="Times New Roman" w:cs="Times New Roman"/>
          <w:sz w:val="28"/>
          <w:szCs w:val="28"/>
        </w:rPr>
        <w:t xml:space="preserve"> и </w:t>
      </w:r>
      <w:r w:rsidRPr="00A43B9C">
        <w:rPr>
          <w:rFonts w:ascii="Times New Roman" w:hAnsi="Times New Roman" w:cs="Times New Roman"/>
          <w:sz w:val="28"/>
          <w:szCs w:val="28"/>
          <w:lang w:val="en-US"/>
        </w:rPr>
        <w:t>TLG</w:t>
      </w:r>
      <w:r w:rsidRPr="00A43B9C">
        <w:rPr>
          <w:rFonts w:ascii="Times New Roman" w:hAnsi="Times New Roman" w:cs="Times New Roman"/>
          <w:sz w:val="28"/>
          <w:szCs w:val="28"/>
        </w:rPr>
        <w:t xml:space="preserve"> показали статистически значимую </w:t>
      </w:r>
      <w:r w:rsidR="00AC7DC6" w:rsidRPr="00A43B9C">
        <w:rPr>
          <w:rFonts w:ascii="Times New Roman" w:hAnsi="Times New Roman" w:cs="Times New Roman"/>
          <w:sz w:val="28"/>
          <w:szCs w:val="28"/>
        </w:rPr>
        <w:t xml:space="preserve">ассоциацию </w:t>
      </w:r>
      <w:r w:rsidRPr="00A43B9C">
        <w:rPr>
          <w:rFonts w:ascii="Times New Roman" w:hAnsi="Times New Roman" w:cs="Times New Roman"/>
          <w:sz w:val="28"/>
          <w:szCs w:val="28"/>
        </w:rPr>
        <w:t xml:space="preserve">с рецидивом; в частности, низкий результат был связан с более высокими значениями как </w:t>
      </w:r>
      <w:r w:rsidRPr="00A43B9C">
        <w:rPr>
          <w:rFonts w:ascii="Times New Roman" w:hAnsi="Times New Roman" w:cs="Times New Roman"/>
          <w:sz w:val="28"/>
          <w:szCs w:val="28"/>
          <w:lang w:val="en-US"/>
        </w:rPr>
        <w:t>MTV</w:t>
      </w:r>
      <w:r w:rsidRPr="00A43B9C">
        <w:rPr>
          <w:rFonts w:ascii="Times New Roman" w:hAnsi="Times New Roman" w:cs="Times New Roman"/>
          <w:sz w:val="28"/>
          <w:szCs w:val="28"/>
        </w:rPr>
        <w:t xml:space="preserve"> (</w:t>
      </w:r>
      <w:r w:rsidR="00613689" w:rsidRPr="00A43B9C">
        <w:rPr>
          <w:rFonts w:ascii="Times New Roman" w:hAnsi="Times New Roman" w:cs="Times New Roman"/>
          <w:sz w:val="28"/>
          <w:szCs w:val="28"/>
          <w:lang w:val="en-US"/>
        </w:rPr>
        <w:t>p</w:t>
      </w:r>
      <w:r w:rsidRPr="00A43B9C">
        <w:rPr>
          <w:rFonts w:ascii="Times New Roman" w:hAnsi="Times New Roman" w:cs="Times New Roman"/>
          <w:sz w:val="28"/>
          <w:szCs w:val="28"/>
        </w:rPr>
        <w:t xml:space="preserve"> = 0,022, </w:t>
      </w:r>
      <w:r w:rsidR="00171191" w:rsidRPr="00A43B9C">
        <w:rPr>
          <w:rFonts w:ascii="Times New Roman" w:hAnsi="Times New Roman" w:cs="Times New Roman"/>
          <w:sz w:val="28"/>
          <w:szCs w:val="28"/>
        </w:rPr>
        <w:t>ОР</w:t>
      </w:r>
      <w:r w:rsidRPr="00A43B9C">
        <w:rPr>
          <w:rFonts w:ascii="Times New Roman" w:hAnsi="Times New Roman" w:cs="Times New Roman"/>
          <w:sz w:val="28"/>
          <w:szCs w:val="28"/>
        </w:rPr>
        <w:t xml:space="preserve"> 5,571, 95% </w:t>
      </w:r>
      <w:r w:rsidR="00AC7DC6" w:rsidRPr="00A43B9C">
        <w:rPr>
          <w:rFonts w:ascii="Times New Roman" w:hAnsi="Times New Roman" w:cs="Times New Roman"/>
          <w:sz w:val="28"/>
          <w:szCs w:val="28"/>
        </w:rPr>
        <w:t>ДИ</w:t>
      </w:r>
      <w:r w:rsidRPr="00A43B9C">
        <w:rPr>
          <w:rFonts w:ascii="Times New Roman" w:hAnsi="Times New Roman" w:cs="Times New Roman"/>
          <w:sz w:val="28"/>
          <w:szCs w:val="28"/>
        </w:rPr>
        <w:t xml:space="preserve"> 1,279), так и </w:t>
      </w:r>
      <w:r w:rsidRPr="00A43B9C">
        <w:rPr>
          <w:rFonts w:ascii="Times New Roman" w:hAnsi="Times New Roman" w:cs="Times New Roman"/>
          <w:sz w:val="28"/>
          <w:szCs w:val="28"/>
          <w:lang w:val="en-US"/>
        </w:rPr>
        <w:t>TLG</w:t>
      </w:r>
      <w:r w:rsidRPr="00A43B9C">
        <w:rPr>
          <w:rFonts w:ascii="Times New Roman" w:hAnsi="Times New Roman" w:cs="Times New Roman"/>
          <w:sz w:val="28"/>
          <w:szCs w:val="28"/>
        </w:rPr>
        <w:t xml:space="preserve"> (</w:t>
      </w:r>
      <w:r w:rsidR="00171191" w:rsidRPr="00A43B9C">
        <w:rPr>
          <w:rFonts w:ascii="Times New Roman" w:hAnsi="Times New Roman" w:cs="Times New Roman"/>
          <w:sz w:val="28"/>
          <w:szCs w:val="28"/>
          <w:lang w:val="en-US"/>
        </w:rPr>
        <w:t>p</w:t>
      </w:r>
      <w:r w:rsidRPr="00A43B9C">
        <w:rPr>
          <w:rFonts w:ascii="Times New Roman" w:hAnsi="Times New Roman" w:cs="Times New Roman"/>
          <w:sz w:val="28"/>
          <w:szCs w:val="28"/>
        </w:rPr>
        <w:t xml:space="preserve"> = 0,037, </w:t>
      </w:r>
      <w:r w:rsidR="00171191" w:rsidRPr="00A43B9C">
        <w:rPr>
          <w:rFonts w:ascii="Times New Roman" w:hAnsi="Times New Roman" w:cs="Times New Roman"/>
          <w:sz w:val="28"/>
          <w:szCs w:val="28"/>
        </w:rPr>
        <w:t>ОР</w:t>
      </w:r>
      <w:r w:rsidRPr="00A43B9C">
        <w:rPr>
          <w:rFonts w:ascii="Times New Roman" w:hAnsi="Times New Roman" w:cs="Times New Roman"/>
          <w:sz w:val="28"/>
          <w:szCs w:val="28"/>
        </w:rPr>
        <w:t xml:space="preserve"> 2,967, 95% </w:t>
      </w:r>
      <w:r w:rsidR="00AC7DC6" w:rsidRPr="00A43B9C">
        <w:rPr>
          <w:rFonts w:ascii="Times New Roman" w:hAnsi="Times New Roman" w:cs="Times New Roman"/>
          <w:sz w:val="28"/>
          <w:szCs w:val="28"/>
        </w:rPr>
        <w:t>ДИ</w:t>
      </w:r>
      <w:r w:rsidRPr="00A43B9C">
        <w:rPr>
          <w:rFonts w:ascii="Times New Roman" w:hAnsi="Times New Roman" w:cs="Times New Roman"/>
          <w:sz w:val="28"/>
          <w:szCs w:val="28"/>
        </w:rPr>
        <w:t xml:space="preserve"> 1,065). Кроме того, значительная разница в </w:t>
      </w:r>
      <w:r w:rsidR="00171191" w:rsidRPr="00A43B9C">
        <w:rPr>
          <w:rFonts w:ascii="Times New Roman" w:hAnsi="Times New Roman" w:cs="Times New Roman"/>
          <w:sz w:val="28"/>
          <w:szCs w:val="28"/>
        </w:rPr>
        <w:t xml:space="preserve">интервале без прогрессирования </w:t>
      </w:r>
      <w:r w:rsidRPr="00A43B9C">
        <w:rPr>
          <w:rFonts w:ascii="Times New Roman" w:hAnsi="Times New Roman" w:cs="Times New Roman"/>
          <w:sz w:val="28"/>
          <w:szCs w:val="28"/>
        </w:rPr>
        <w:t xml:space="preserve">наблюдалась между группами, классифицированными по </w:t>
      </w:r>
      <w:r w:rsidRPr="00A43B9C">
        <w:rPr>
          <w:rFonts w:ascii="Times New Roman" w:hAnsi="Times New Roman" w:cs="Times New Roman"/>
          <w:sz w:val="28"/>
          <w:szCs w:val="28"/>
          <w:lang w:val="en-US"/>
        </w:rPr>
        <w:t>MTV</w:t>
      </w:r>
      <w:r w:rsidRPr="00A43B9C">
        <w:rPr>
          <w:rFonts w:ascii="Times New Roman" w:hAnsi="Times New Roman" w:cs="Times New Roman"/>
          <w:sz w:val="28"/>
          <w:szCs w:val="28"/>
        </w:rPr>
        <w:t xml:space="preserve"> и </w:t>
      </w:r>
      <w:r w:rsidRPr="00A43B9C">
        <w:rPr>
          <w:rFonts w:ascii="Times New Roman" w:hAnsi="Times New Roman" w:cs="Times New Roman"/>
          <w:sz w:val="28"/>
          <w:szCs w:val="28"/>
          <w:lang w:val="en-US"/>
        </w:rPr>
        <w:t>TLG</w:t>
      </w:r>
      <w:r w:rsidRPr="00A43B9C">
        <w:rPr>
          <w:rFonts w:ascii="Times New Roman" w:hAnsi="Times New Roman" w:cs="Times New Roman"/>
          <w:sz w:val="28"/>
          <w:szCs w:val="28"/>
        </w:rPr>
        <w:t xml:space="preserve"> соответственно (</w:t>
      </w:r>
      <w:r w:rsidR="00171191" w:rsidRPr="00A43B9C">
        <w:rPr>
          <w:rFonts w:ascii="Times New Roman" w:hAnsi="Times New Roman" w:cs="Times New Roman"/>
          <w:sz w:val="28"/>
          <w:szCs w:val="28"/>
          <w:lang w:val="en-US"/>
        </w:rPr>
        <w:t>p</w:t>
      </w:r>
      <w:r w:rsidRPr="00A43B9C">
        <w:rPr>
          <w:rFonts w:ascii="Times New Roman" w:hAnsi="Times New Roman" w:cs="Times New Roman"/>
          <w:sz w:val="28"/>
          <w:szCs w:val="28"/>
        </w:rPr>
        <w:t xml:space="preserve"> = 0,01 для </w:t>
      </w:r>
      <w:r w:rsidRPr="00A43B9C">
        <w:rPr>
          <w:rFonts w:ascii="Times New Roman" w:hAnsi="Times New Roman" w:cs="Times New Roman"/>
          <w:sz w:val="28"/>
          <w:szCs w:val="28"/>
          <w:lang w:val="en-US"/>
        </w:rPr>
        <w:t>MTV</w:t>
      </w:r>
      <w:r w:rsidRPr="00A43B9C">
        <w:rPr>
          <w:rFonts w:ascii="Times New Roman" w:hAnsi="Times New Roman" w:cs="Times New Roman"/>
          <w:sz w:val="28"/>
          <w:szCs w:val="28"/>
        </w:rPr>
        <w:t xml:space="preserve">, </w:t>
      </w:r>
      <w:r w:rsidR="00171191" w:rsidRPr="00A43B9C">
        <w:rPr>
          <w:rFonts w:ascii="Times New Roman" w:hAnsi="Times New Roman" w:cs="Times New Roman"/>
          <w:sz w:val="28"/>
          <w:szCs w:val="28"/>
          <w:lang w:val="en-US"/>
        </w:rPr>
        <w:t>p</w:t>
      </w:r>
      <w:r w:rsidRPr="00A43B9C">
        <w:rPr>
          <w:rFonts w:ascii="Times New Roman" w:hAnsi="Times New Roman" w:cs="Times New Roman"/>
          <w:sz w:val="28"/>
          <w:szCs w:val="28"/>
        </w:rPr>
        <w:t xml:space="preserve"> = 0,028 для </w:t>
      </w:r>
      <w:r w:rsidRPr="00A43B9C">
        <w:rPr>
          <w:rFonts w:ascii="Times New Roman" w:hAnsi="Times New Roman" w:cs="Times New Roman"/>
          <w:sz w:val="28"/>
          <w:szCs w:val="28"/>
          <w:lang w:val="en-US"/>
        </w:rPr>
        <w:t>TLG</w:t>
      </w:r>
      <w:r w:rsidRPr="00A43B9C">
        <w:rPr>
          <w:rFonts w:ascii="Times New Roman" w:hAnsi="Times New Roman" w:cs="Times New Roman"/>
          <w:sz w:val="28"/>
          <w:szCs w:val="28"/>
        </w:rPr>
        <w:t xml:space="preserve">, логарифмический ранговый критерий). Результаты исследования данного исследования показали, что </w:t>
      </w:r>
      <w:r w:rsidRPr="00A43B9C">
        <w:rPr>
          <w:rFonts w:ascii="Times New Roman" w:hAnsi="Times New Roman" w:cs="Times New Roman"/>
          <w:sz w:val="28"/>
          <w:szCs w:val="28"/>
          <w:shd w:val="clear" w:color="auto" w:fill="FFFFFF"/>
        </w:rPr>
        <w:t>метаболические параметры (</w:t>
      </w:r>
      <w:r w:rsidRPr="00A43B9C">
        <w:rPr>
          <w:rFonts w:ascii="Times New Roman" w:hAnsi="Times New Roman" w:cs="Times New Roman"/>
          <w:sz w:val="28"/>
          <w:szCs w:val="28"/>
          <w:shd w:val="clear" w:color="auto" w:fill="FFFFFF"/>
          <w:lang w:val="en-US"/>
        </w:rPr>
        <w:t>MTV</w:t>
      </w:r>
      <w:r w:rsidRPr="00A43B9C">
        <w:rPr>
          <w:rFonts w:ascii="Times New Roman" w:hAnsi="Times New Roman" w:cs="Times New Roman"/>
          <w:sz w:val="28"/>
          <w:szCs w:val="28"/>
          <w:shd w:val="clear" w:color="auto" w:fill="FFFFFF"/>
        </w:rPr>
        <w:t xml:space="preserve"> </w:t>
      </w:r>
      <w:r w:rsidR="00940631">
        <w:rPr>
          <w:rFonts w:ascii="Times New Roman" w:hAnsi="Times New Roman" w:cs="Times New Roman"/>
          <w:sz w:val="28"/>
          <w:szCs w:val="28"/>
          <w:shd w:val="clear" w:color="auto" w:fill="FFFFFF"/>
        </w:rPr>
        <w:t>и</w:t>
      </w:r>
      <w:r w:rsidRPr="00A43B9C">
        <w:rPr>
          <w:rFonts w:ascii="Times New Roman" w:hAnsi="Times New Roman" w:cs="Times New Roman"/>
          <w:sz w:val="28"/>
          <w:szCs w:val="28"/>
          <w:shd w:val="clear" w:color="auto" w:fill="FFFFFF"/>
        </w:rPr>
        <w:t xml:space="preserve"> </w:t>
      </w:r>
      <w:r w:rsidRPr="00A43B9C">
        <w:rPr>
          <w:rFonts w:ascii="Times New Roman" w:hAnsi="Times New Roman" w:cs="Times New Roman"/>
          <w:sz w:val="28"/>
          <w:szCs w:val="28"/>
          <w:shd w:val="clear" w:color="auto" w:fill="FFFFFF"/>
          <w:lang w:val="en-US"/>
        </w:rPr>
        <w:t>TLG</w:t>
      </w:r>
      <w:r w:rsidRPr="00A43B9C">
        <w:rPr>
          <w:rFonts w:ascii="Times New Roman" w:hAnsi="Times New Roman" w:cs="Times New Roman"/>
          <w:sz w:val="28"/>
          <w:szCs w:val="28"/>
          <w:shd w:val="clear" w:color="auto" w:fill="FFFFFF"/>
        </w:rPr>
        <w:t xml:space="preserve">) перед лечением показали статистически значимую </w:t>
      </w:r>
      <w:r w:rsidR="00AC7DC6" w:rsidRPr="00A43B9C">
        <w:rPr>
          <w:rFonts w:ascii="Times New Roman" w:hAnsi="Times New Roman" w:cs="Times New Roman"/>
          <w:sz w:val="28"/>
          <w:szCs w:val="28"/>
          <w:shd w:val="clear" w:color="auto" w:fill="FFFFFF"/>
        </w:rPr>
        <w:t xml:space="preserve">ассоциацию </w:t>
      </w:r>
      <w:r w:rsidRPr="00A43B9C">
        <w:rPr>
          <w:rFonts w:ascii="Times New Roman" w:hAnsi="Times New Roman" w:cs="Times New Roman"/>
          <w:sz w:val="28"/>
          <w:szCs w:val="28"/>
          <w:shd w:val="clear" w:color="auto" w:fill="FFFFFF"/>
        </w:rPr>
        <w:t xml:space="preserve">с рецидивом у пациентов с </w:t>
      </w:r>
      <w:r w:rsidR="000534CE">
        <w:rPr>
          <w:rFonts w:ascii="Times New Roman" w:hAnsi="Times New Roman" w:cs="Times New Roman"/>
          <w:sz w:val="28"/>
          <w:szCs w:val="28"/>
        </w:rPr>
        <w:t>эпителиальным раком яичников</w:t>
      </w:r>
      <w:r w:rsidRPr="00A43B9C">
        <w:rPr>
          <w:rFonts w:ascii="Times New Roman" w:hAnsi="Times New Roman" w:cs="Times New Roman"/>
          <w:sz w:val="28"/>
          <w:szCs w:val="28"/>
          <w:shd w:val="clear" w:color="auto" w:fill="FFFFFF"/>
        </w:rPr>
        <w:t xml:space="preserve">, которые могут быть полезными количественными критериями для прогнозирования заболевания перед лечением </w:t>
      </w:r>
      <w:r w:rsidRPr="00A43B9C">
        <w:rPr>
          <w:rFonts w:ascii="Times New Roman" w:hAnsi="Times New Roman" w:cs="Times New Roman"/>
          <w:sz w:val="28"/>
          <w:szCs w:val="28"/>
          <w:shd w:val="clear" w:color="auto" w:fill="FFFFFF"/>
        </w:rPr>
        <w:fldChar w:fldCharType="begin"/>
      </w:r>
      <w:r w:rsidR="00F6152F">
        <w:rPr>
          <w:rFonts w:ascii="Times New Roman" w:hAnsi="Times New Roman" w:cs="Times New Roman"/>
          <w:sz w:val="28"/>
          <w:szCs w:val="28"/>
          <w:shd w:val="clear" w:color="auto" w:fill="FFFFFF"/>
        </w:rPr>
        <w:instrText xml:space="preserve"> ADDIN ZOTERO_ITEM CSL_CITATION {"citationID":"T1LafFeh","properties":{"formattedCitation":"[180\\uc0\\u8211{}183]","plainCitation":"[180–183]","noteIndex":0},"citationItems":[{"id":619,"uris":["http://zotero.org/users/8787459/items/U2GCTBL3"],"itemData":{"id":619,"type":"article-journal","abstract":"PURPOSE: Metabolic tumor volume (MTV) and total lesion glycolysis (TLG) are measures of metabolic activity of tumors determined by fluorine-18 fluorodeoxyglucose ([(18)F]FDG) uptake on PET/CT images. The purpose of this study was to investigate the relationship between functional tumor parameters (MTV and TLG) and clinical outcomes in patients with epithelial ovarian cancer (EOC).\nMETHODS: Fifty-five patients with EOC who had undergone [(18)F]FDG PET/CT before surgical staging were included in this retrospectively study. For each patient, we determined the highest (SUV(max) and SUV(avg)), the cumulative TLG, and the sum of all MTV, and compared their predictive value of recurrence and the effects of pretreatment functional tumor activity on progression-free interval (PFI).\nRESULTS: The median duration of PFI was 11 (range 3-43) months, and 20 patients (36.4%) experienced recurrence. Poor outcome was associated with higher values for both the MTV (P = 0.022, hazard ratio 5.571, 95% confidence interval 1.279-24.272) and the TLG (P = 0.037, hazard ratio 2.967, 95% confidence interval 1.065-8.265). The Kaplan-Meier survival graphs showed a significant difference in PFI between the groups categorized by MTV and TLG, respectively (P = 0.01 for MTV, P = 0.0287 for TLG, log rank test).\nCONCLUSIONS: Pretreatment metabolic parameters such as MTV and TLG showed statistically significant association with recurrence in patients with EOC. These values can be useful quantitative criteria for disease prognostication in patients with EOC before treatment.","container-title":"Annals of Surgical Oncology","DOI":"10.1245/s10434-011-2153-x","ISSN":"1534-4681","issue":"6","journalAbbreviation":"Ann Surg Oncol","language":"eng","note":"PMID: 22124757","page":"1966-1972","source":"PubMed","title":"Prognostic value of preoperative metabolic tumor volume and total lesion glycolysis in patients with epithelial ovarian cancer","volume":"19","author":[{"family":"Chung","given":"Hyun Hoon"},{"family":"Kwon","given":"Hyun Woo"},{"family":"Kang","given":"Keon Wook"},{"family":"Park","given":"Noh-Hyun"},{"family":"Song","given":"Yong-Sang"},{"family":"Chung","given":"June-Key"},{"family":"Kang","given":"Soon-Beom"},{"family":"Kim","given":"Jae Weon"}],"issued":{"date-parts":[["2012",6]]}},"label":"page"},{"id":617,"uris":["http://zotero.org/users/8787459/items/LTL267JM"],"itemData":{"id":617,"type":"article-journal","abstract":"OBJECTIVES: Using preoperative PET/CT, we evaluated the prognostic value of preoperative [18F]FDG uptake ratio between various metastatic lesions and primary tumour in patients with advanced serous epithelial ovarian cancer (EOC).\nMETHODS: We retrospectively reviewed patients with International Federation of Gynecology and Obstetrics (FIGO) stage III, IV serous EOC who underwent preoperative [18F]FDG PET/CT scans. Clinico-pathological variables and PET/CT parameters such as maximum standardized uptake value of the ovarian cancer (SUVovary), pelvic or para-aortic LN (SUVLN), peritoneal (SUVperit) and distant extra-peritoneal (SUVdist) metastatic lesions, and the metastatic lesion-to-ovarian cancer standardized uptake value ratio were assessed.\nRESULTS: Clinico-pathological data were retrospectively reviewed for 97 eligible patients. The median progression-free survival (PFS) was 18 months (range, 6-90 months) and 59 (60.8 %) patients experienced recurrence. In multivariate regression analysis, older age (p = 0.035, hazard ratio (HR) 1.032, 95 % CI 1.002-1.062), and high SUVperit/SUVovary (p = 0.046, HR 1.755, 95 % CI 1.011-3.047) were independent risk factors of recurrence. Patient group categorized by SUVperit/SUVovary showed significant difference in PFS (Log-Rank test, p = 0.001).\nCONCLUSIONS: In patients with advanced serous EOC, preoperative SUVperit/SUVovary measured by [18F]FDG PET/CT provides significant incremental performance for prediction of recurrence.\nKEY POINTS: • PET/CT data from advanced serous epithelial ovarian cancer patients were analysed. • Prognostic value of SUV ratio between metastatic and primary tumour was investigated. • SUV perit /SUV ovary provides incremental performance for prediction of recurrence.","container-title":"European Radiology","DOI":"10.1007/s00330-017-5194-0","ISSN":"1432-1084","issue":"5","journalAbbreviation":"Eur Radiol","language":"eng","note":"PMID: 29260365","page":"2107-2114","source":"PubMed","title":"Prognostic importance of peritoneal lesion-to-primary tumour standardized uptake value ratio in advanced serous epithelial ovarian cancer","volume":"28","author":[{"family":"Chung","given":"Hyun Hoon"},{"family":"Kim","given":"Jae-Weon"},{"family":"Park","given":"Noh-Hyun"},{"family":"Song","given":"Yong Sang"},{"family":"Cheon","given":"Gi Jeong"}],"issued":{"date-parts":[["2018",5]]}},"label":"page"},{"id":621,"uris":["http://zotero.org/users/8787459/items/9KX2LMC7"],"itemData":{"id":621,"type":"article-journal","abstract":"Epithelial ovarian cancer is the deadliest gynecologic cancer, due in large part to recurrent tumors. Recurrences tend to have metastasized, mainly in the peritoneal cavity and developed resistance to the first line chemotherapy. Key to the progression and ultimate lethality of ovarian cancer is the existence of extensive intra-tumoral heterogeneity (ITH). In this review, we describe the genetic and epigenetic changes that have been reported to give rise to different cell populations in ovarian cancer. We also describe at length the contributions made to heterogeneity by both linear and parallel models of clonal evolution and the existence of cancer stem cells. We dissect the key biological signals from the tumor microenvironment, both directly from other cell types in the vicinity and soluble or circulating factors. Finally, we discuss the impact of tumor heterogeneity on the choice of therapeutic approaches in the clinic. Variability in ovarian tumors remains a major barrier to effective therapy, but by leveraging future research into tumor heterogeneity, we may be able to overcome this barrier and provide more effective, personalized therapy to patients.","container-title":"Cancers","DOI":"10.3390/cancers11081083","ISSN":"2072-6694","issue":"8","journalAbbreviation":"Cancers (Basel)","note":"PMID: 31366178\nPMCID: PMC6721439","page":"1083","source":"PubMed Central","title":"The Role of Intra-Tumoral Heterogeneity and Its Clinical Relevance in Epithelial Ovarian Cancer Recurrence and Metastasis","volume":"11","author":[{"family":"Roberts","given":"Cai M."},{"family":"Cardenas","given":"Carlos"},{"family":"Tedja","given":"Roslyn"}],"issued":{"date-parts":[["2019",7,30]]}},"label":"page"},{"id":624,"uris":["http://zotero.org/users/8787459/items/CEZFJ5NA"],"itemData":{"id":624,"type":"article-journal","abstract":"Background: Population-based data on the prognosis of brain metastases at initial diagnosis of ovary cancer (OCBM) are currently lacking. Besides, the effective treatment for OCBM patients is still controversial now. The study aimed to explore the prognostic factors among OCBM. Methods: We retrospectively reviewed the OCBM patients from the Surveillance, Epidemiology, and End Result (SEER) database of the National Cancer Institute to investigate predictors of the presence of OCBM and its' prognostic factors related to all-cause mortality. We employed multivariable logistic and Cox regression analysis. Furthermore, to minimize the impact of potential confounding factors, we conducted a 1:1 propensity score matching (PSM) analysis. Results: A total of 29,512 cases of OC patients entered into the study, including 89 patients with brain metastases of ovarian cancer, which accounted for 0.30% of the entire cohort and 12.02% of the metastatic disease subset. We identified eight factors, including laterality, histology, surgery, radiotherapy, chemotherapy, and extracranial metastatic sites to bone, liver, and lung, as predictors of OCBM based on multivariable logistic regression among the entire cohort. The median survival time of OCBM was 2.0 months, and the interquartile range was 2.0-10.0 mo. The patients who received comprehensive treatment had better prognosis. Based on the multivariable Cox model, marital status, surgery, chemotherapy, and extensive therapy (including RSC, SC, and RC) were identified as predictors of OS. Besides, a new factor (brain metastasis) was identified by 1:1 PSM -based multiple Cox regression, apart from the above prognostic factors for OS. Conclusions: This study provided a population-based estimate of the proportion and prognosis for newly diagnosed ovary cancer with brain metastases. These findings may add materials to guidelines for preliminary screening and optimal treatment of OCBM patients.","container-title":"Journal of Cancer","DOI":"10.7150/jca.44494","ISSN":"1837-9664","issue":"15","journalAbbreviation":"J Cancer","language":"eng","note":"PMID: 32489480\nPMCID: PMC7255353","page":"4625-4640","source":"PubMed","title":"Prognostic Factors among Brain Metastases in Newly Diagnosed Ovary Cancer: A Large Real-world Study","title-short":"Prognostic Factors among Brain Metastases in Newly Diagnosed Ovary Cancer","volume":"11","author":[{"family":"Xi","given":"Sujuan"},{"family":"Li","given":"Zaiyi"},{"family":"Guo","given":"Quan"},{"family":"Lin","given":"Wenjing"},{"family":"Liang","given":"Xiaokun"},{"family":"Ma","given":"Lin"}],"issued":{"date-parts":[["2020"]]}},"label":"page"}],"schema":"https://github.com/citation-style-language/schema/raw/master/csl-citation.json"} </w:instrText>
      </w:r>
      <w:r w:rsidRPr="00A43B9C">
        <w:rPr>
          <w:rFonts w:ascii="Times New Roman" w:hAnsi="Times New Roman" w:cs="Times New Roman"/>
          <w:sz w:val="28"/>
          <w:szCs w:val="28"/>
          <w:shd w:val="clear" w:color="auto" w:fill="FFFFFF"/>
        </w:rPr>
        <w:fldChar w:fldCharType="separate"/>
      </w:r>
      <w:r w:rsidR="00F6152F" w:rsidRPr="00F6152F">
        <w:rPr>
          <w:rFonts w:ascii="Times New Roman" w:hAnsi="Times New Roman" w:cs="Times New Roman"/>
          <w:sz w:val="28"/>
          <w:szCs w:val="24"/>
        </w:rPr>
        <w:t>[18</w:t>
      </w:r>
      <w:r w:rsidR="00045B12" w:rsidRPr="00252597">
        <w:rPr>
          <w:rFonts w:ascii="Times New Roman" w:hAnsi="Times New Roman" w:cs="Times New Roman"/>
          <w:sz w:val="28"/>
          <w:szCs w:val="24"/>
        </w:rPr>
        <w:t xml:space="preserve">2, </w:t>
      </w:r>
      <w:r w:rsidR="00F6152F" w:rsidRPr="00F6152F">
        <w:rPr>
          <w:rFonts w:ascii="Times New Roman" w:hAnsi="Times New Roman" w:cs="Times New Roman"/>
          <w:sz w:val="28"/>
          <w:szCs w:val="24"/>
        </w:rPr>
        <w:t>183]</w:t>
      </w:r>
      <w:r w:rsidRPr="00A43B9C">
        <w:rPr>
          <w:rFonts w:ascii="Times New Roman" w:hAnsi="Times New Roman" w:cs="Times New Roman"/>
          <w:sz w:val="28"/>
          <w:szCs w:val="28"/>
          <w:shd w:val="clear" w:color="auto" w:fill="FFFFFF"/>
        </w:rPr>
        <w:fldChar w:fldCharType="end"/>
      </w:r>
      <w:r w:rsidRPr="00A43B9C">
        <w:rPr>
          <w:rFonts w:ascii="Times New Roman" w:hAnsi="Times New Roman" w:cs="Times New Roman"/>
          <w:sz w:val="28"/>
          <w:szCs w:val="28"/>
          <w:shd w:val="clear" w:color="auto" w:fill="FFFFFF"/>
        </w:rPr>
        <w:t>.</w:t>
      </w:r>
    </w:p>
    <w:p w14:paraId="6FC50D2C" w14:textId="0F40DF6E" w:rsidR="00FF1D30" w:rsidRPr="00A43B9C" w:rsidRDefault="00FF1D30" w:rsidP="00613689">
      <w:pPr>
        <w:pStyle w:val="Default"/>
        <w:ind w:firstLine="709"/>
        <w:jc w:val="both"/>
        <w:rPr>
          <w:rFonts w:ascii="Times New Roman" w:hAnsi="Times New Roman" w:cs="Times New Roman"/>
          <w:sz w:val="28"/>
          <w:szCs w:val="28"/>
        </w:rPr>
      </w:pPr>
      <w:r w:rsidRPr="00A43B9C">
        <w:rPr>
          <w:rFonts w:ascii="Times New Roman" w:eastAsia="NewtonC" w:hAnsi="Times New Roman" w:cs="Times New Roman"/>
          <w:sz w:val="28"/>
          <w:szCs w:val="28"/>
        </w:rPr>
        <w:t xml:space="preserve">Прогностическая ценность </w:t>
      </w:r>
      <w:r w:rsidRPr="00A43B9C">
        <w:rPr>
          <w:rFonts w:ascii="Times New Roman" w:hAnsi="Times New Roman" w:cs="Times New Roman"/>
          <w:bCs/>
          <w:sz w:val="28"/>
          <w:szCs w:val="28"/>
          <w:vertAlign w:val="superscript"/>
        </w:rPr>
        <w:t>18</w:t>
      </w:r>
      <w:r w:rsidRPr="00A43B9C">
        <w:rPr>
          <w:rFonts w:ascii="Times New Roman" w:hAnsi="Times New Roman" w:cs="Times New Roman"/>
          <w:bCs/>
          <w:sz w:val="28"/>
          <w:szCs w:val="28"/>
          <w:lang w:val="en-US"/>
        </w:rPr>
        <w:t>F</w:t>
      </w:r>
      <w:r w:rsidRPr="00A43B9C">
        <w:rPr>
          <w:rFonts w:ascii="Times New Roman" w:hAnsi="Times New Roman" w:cs="Times New Roman"/>
          <w:bCs/>
          <w:sz w:val="28"/>
          <w:szCs w:val="28"/>
        </w:rPr>
        <w:t>-FDG ПЭТ/КТ</w:t>
      </w:r>
      <w:r w:rsidR="00051345">
        <w:rPr>
          <w:rFonts w:ascii="Times New Roman" w:hAnsi="Times New Roman" w:cs="Times New Roman"/>
          <w:bCs/>
          <w:sz w:val="28"/>
          <w:szCs w:val="28"/>
        </w:rPr>
        <w:t xml:space="preserve"> </w:t>
      </w:r>
      <w:r w:rsidRPr="00A43B9C">
        <w:rPr>
          <w:rFonts w:ascii="Times New Roman" w:hAnsi="Times New Roman" w:cs="Times New Roman"/>
          <w:bCs/>
          <w:sz w:val="28"/>
          <w:szCs w:val="28"/>
        </w:rPr>
        <w:t xml:space="preserve">исследования </w:t>
      </w:r>
      <w:r w:rsidRPr="00A43B9C">
        <w:rPr>
          <w:rFonts w:ascii="Times New Roman" w:eastAsia="NewtonC" w:hAnsi="Times New Roman" w:cs="Times New Roman"/>
          <w:sz w:val="28"/>
          <w:szCs w:val="28"/>
        </w:rPr>
        <w:t xml:space="preserve">при рецидивирующем </w:t>
      </w:r>
      <w:r w:rsidR="000534CE">
        <w:rPr>
          <w:rFonts w:ascii="Times New Roman" w:hAnsi="Times New Roman" w:cs="Times New Roman"/>
          <w:sz w:val="28"/>
          <w:szCs w:val="28"/>
        </w:rPr>
        <w:t>эпителиальном раке яичников</w:t>
      </w:r>
      <w:r w:rsidRPr="00A43B9C">
        <w:rPr>
          <w:rFonts w:ascii="Times New Roman" w:eastAsia="NewtonC" w:hAnsi="Times New Roman" w:cs="Times New Roman"/>
          <w:sz w:val="28"/>
          <w:szCs w:val="28"/>
        </w:rPr>
        <w:t xml:space="preserve"> была показана также в </w:t>
      </w:r>
      <w:r w:rsidRPr="00A43B9C">
        <w:rPr>
          <w:rFonts w:ascii="Times New Roman" w:eastAsia="NewtonC" w:hAnsi="Times New Roman" w:cs="Times New Roman"/>
          <w:sz w:val="28"/>
          <w:szCs w:val="28"/>
        </w:rPr>
        <w:lastRenderedPageBreak/>
        <w:t xml:space="preserve">ретроспективном исследовании </w:t>
      </w:r>
      <w:r w:rsidRPr="00A43B9C">
        <w:rPr>
          <w:rFonts w:ascii="Times New Roman" w:hAnsi="Times New Roman" w:cs="Times New Roman"/>
          <w:bCs/>
          <w:sz w:val="28"/>
          <w:szCs w:val="28"/>
        </w:rPr>
        <w:t xml:space="preserve">Young-Jae Lee </w:t>
      </w:r>
      <w:r w:rsidR="00B342B7" w:rsidRPr="00A43B9C">
        <w:rPr>
          <w:rFonts w:ascii="Times New Roman" w:eastAsia="TimesNewRomanPSMT" w:hAnsi="Times New Roman" w:cs="Times New Roman"/>
          <w:sz w:val="28"/>
          <w:szCs w:val="28"/>
        </w:rPr>
        <w:t>et al.</w:t>
      </w:r>
      <w:r w:rsidRPr="00A43B9C">
        <w:rPr>
          <w:rFonts w:ascii="Times New Roman" w:hAnsi="Times New Roman" w:cs="Times New Roman"/>
          <w:bCs/>
          <w:sz w:val="28"/>
          <w:szCs w:val="28"/>
        </w:rPr>
        <w:t xml:space="preserve"> </w:t>
      </w:r>
      <w:r w:rsidRPr="00A43B9C">
        <w:rPr>
          <w:rFonts w:ascii="Times New Roman" w:hAnsi="Times New Roman" w:cs="Times New Roman"/>
          <w:sz w:val="28"/>
          <w:szCs w:val="28"/>
        </w:rPr>
        <w:t xml:space="preserve">В данном исследовании 134 пациентам была проведена вторичная циторедукция после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rPr>
        <w:t>F-FDG-ПЭТ/КТ</w:t>
      </w:r>
      <w:r w:rsidR="00940631">
        <w:rPr>
          <w:rFonts w:ascii="Times New Roman" w:hAnsi="Times New Roman" w:cs="Times New Roman"/>
          <w:sz w:val="28"/>
          <w:szCs w:val="28"/>
        </w:rPr>
        <w:t xml:space="preserve"> </w:t>
      </w:r>
      <w:r w:rsidRPr="00A43B9C">
        <w:rPr>
          <w:rFonts w:ascii="Times New Roman" w:hAnsi="Times New Roman" w:cs="Times New Roman"/>
          <w:sz w:val="28"/>
          <w:szCs w:val="28"/>
        </w:rPr>
        <w:t xml:space="preserve">исследования, а группу сравнения составили пациенты, которым проводилась </w:t>
      </w:r>
      <w:r w:rsidR="00940631">
        <w:rPr>
          <w:rFonts w:ascii="Times New Roman" w:hAnsi="Times New Roman" w:cs="Times New Roman"/>
          <w:sz w:val="28"/>
          <w:szCs w:val="28"/>
        </w:rPr>
        <w:t>КТ</w:t>
      </w:r>
      <w:r w:rsidRPr="00A43B9C">
        <w:rPr>
          <w:rFonts w:ascii="Times New Roman" w:hAnsi="Times New Roman" w:cs="Times New Roman"/>
          <w:sz w:val="28"/>
          <w:szCs w:val="28"/>
        </w:rPr>
        <w:t xml:space="preserve"> с контрастным усилением. Результаты данного исследования оказались следующими: из 134 пациентов у 124 (92,5%) подтвердили положительный результат на злокачественный процесс. Среди 72 пациентов с подозрением на нераспространенный рецидив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rPr>
        <w:t xml:space="preserve">F-FDG ПЭТ/КТ у 65 (89,0%) подтвердили наличие рецидива, что дало 98,5% чувствительности, 87,7% точности и 88,9% положительной прогностической ценности. Из 65 пациентов с рецидивом остаточная опухоль осталась у 14 пациентов, что дало точность отбора пациентов для вторичной циторедукции 69,4% (50/72), и это выше, чем при КТ с контрастным усилением (64,0%). Из 169 поражений, перенесших предоперационную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rPr>
        <w:t xml:space="preserve">F-FDG ПЭТ/КТ, 135 (79,9%) были подтверждены как положительные на злокачественную опухоль, а 124 были обнаружены с помощью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rPr>
        <w:t xml:space="preserve">F-FDG ПЭТ/КТ, что дало чувствительность 91,9%, 81,1% точность и 85,5% положительной прогностической ценности. Гранулема инородного тела была обнаружена в 33,3% из 21 поражения с ложноположительными результатами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rPr>
        <w:t>F-FDG ПЭТ/КТ (7</w:t>
      </w:r>
      <w:r w:rsidR="00801030" w:rsidRPr="00A43B9C">
        <w:rPr>
          <w:rFonts w:ascii="Times New Roman" w:hAnsi="Times New Roman" w:cs="Times New Roman"/>
          <w:sz w:val="28"/>
          <w:szCs w:val="28"/>
        </w:rPr>
        <w:t xml:space="preserve"> из </w:t>
      </w:r>
      <w:r w:rsidRPr="00A43B9C">
        <w:rPr>
          <w:rFonts w:ascii="Times New Roman" w:hAnsi="Times New Roman" w:cs="Times New Roman"/>
          <w:sz w:val="28"/>
          <w:szCs w:val="28"/>
        </w:rPr>
        <w:t>21). Средний уровень предоперационного ракового антигена 125 (</w:t>
      </w:r>
      <w:r w:rsidRPr="00A43B9C">
        <w:rPr>
          <w:rFonts w:ascii="Times New Roman" w:hAnsi="Times New Roman" w:cs="Times New Roman"/>
          <w:sz w:val="28"/>
          <w:szCs w:val="28"/>
          <w:lang w:val="en-US"/>
        </w:rPr>
        <w:t>CA</w:t>
      </w:r>
      <w:r w:rsidRPr="00A43B9C">
        <w:rPr>
          <w:rFonts w:ascii="Times New Roman" w:hAnsi="Times New Roman" w:cs="Times New Roman"/>
          <w:sz w:val="28"/>
          <w:szCs w:val="28"/>
        </w:rPr>
        <w:t>-125) у ложноположительных пациентов составил 28,8 Ед/мл.</w:t>
      </w:r>
    </w:p>
    <w:p w14:paraId="09595D75" w14:textId="45B0CFD7" w:rsidR="00FF1D30" w:rsidRPr="00A43B9C" w:rsidRDefault="00FF1D30" w:rsidP="00FF1D30">
      <w:pPr>
        <w:autoSpaceDE w:val="0"/>
        <w:autoSpaceDN w:val="0"/>
        <w:adjustRightInd w:val="0"/>
        <w:spacing w:after="0" w:line="240" w:lineRule="auto"/>
        <w:ind w:firstLine="709"/>
        <w:jc w:val="both"/>
        <w:rPr>
          <w:rFonts w:ascii="Times New Roman" w:eastAsia="NewtonC" w:hAnsi="Times New Roman" w:cs="Times New Roman"/>
          <w:sz w:val="28"/>
          <w:szCs w:val="28"/>
        </w:rPr>
      </w:pPr>
      <w:r w:rsidRPr="00A43B9C">
        <w:rPr>
          <w:rFonts w:ascii="Times New Roman" w:hAnsi="Times New Roman" w:cs="Times New Roman"/>
          <w:sz w:val="28"/>
          <w:szCs w:val="28"/>
        </w:rPr>
        <w:t xml:space="preserve">В отношении </w:t>
      </w:r>
      <w:r w:rsidR="000534CE">
        <w:rPr>
          <w:rFonts w:ascii="Times New Roman" w:hAnsi="Times New Roman" w:cs="Times New Roman"/>
          <w:sz w:val="28"/>
          <w:szCs w:val="28"/>
        </w:rPr>
        <w:t>колоректального рака</w:t>
      </w:r>
      <w:r w:rsidRPr="00A43B9C">
        <w:rPr>
          <w:rFonts w:ascii="Times New Roman" w:hAnsi="Times New Roman" w:cs="Times New Roman"/>
          <w:sz w:val="28"/>
          <w:szCs w:val="28"/>
        </w:rPr>
        <w:t xml:space="preserve"> в некоторых исследованиях было высказано предположение о прогностической роли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FDG</w:t>
      </w:r>
      <w:r w:rsidRPr="00A43B9C">
        <w:rPr>
          <w:rFonts w:ascii="Times New Roman" w:hAnsi="Times New Roman" w:cs="Times New Roman"/>
          <w:sz w:val="28"/>
          <w:szCs w:val="28"/>
        </w:rPr>
        <w:t xml:space="preserve"> ПЭТ/КТ через его метаболические параметры и методы визуализации ПЭТ, которые могут быть использованы для прогнозирования наступления метастатического поражения сальника и </w:t>
      </w:r>
      <w:r w:rsidR="000534CE">
        <w:rPr>
          <w:rFonts w:ascii="Times New Roman" w:hAnsi="Times New Roman" w:cs="Times New Roman"/>
          <w:sz w:val="28"/>
          <w:szCs w:val="28"/>
        </w:rPr>
        <w:t>лимфоузлов</w:t>
      </w:r>
      <w:r w:rsidRPr="00A43B9C">
        <w:rPr>
          <w:rFonts w:ascii="Times New Roman" w:hAnsi="Times New Roman" w:cs="Times New Roman"/>
          <w:sz w:val="28"/>
          <w:szCs w:val="28"/>
        </w:rPr>
        <w:t xml:space="preserve"> (региональных или отдаленных групп), а также изучения биологического поведения опухолей во время терапии.</w:t>
      </w:r>
    </w:p>
    <w:p w14:paraId="6EFC58B3" w14:textId="7FFCDE6A" w:rsidR="00FF1D30" w:rsidRPr="00A43B9C" w:rsidRDefault="00FF1D30" w:rsidP="00FF1D30">
      <w:pPr>
        <w:autoSpaceDE w:val="0"/>
        <w:autoSpaceDN w:val="0"/>
        <w:adjustRightInd w:val="0"/>
        <w:spacing w:after="0" w:line="240" w:lineRule="auto"/>
        <w:ind w:firstLine="709"/>
        <w:jc w:val="both"/>
        <w:rPr>
          <w:rFonts w:ascii="Times New Roman" w:eastAsia="NewtonC" w:hAnsi="Times New Roman" w:cs="Times New Roman"/>
          <w:sz w:val="28"/>
          <w:szCs w:val="28"/>
        </w:rPr>
      </w:pPr>
      <w:r w:rsidRPr="00A43B9C">
        <w:rPr>
          <w:rFonts w:ascii="Times New Roman" w:eastAsia="NewtonC" w:hAnsi="Times New Roman" w:cs="Times New Roman"/>
          <w:sz w:val="28"/>
          <w:szCs w:val="28"/>
        </w:rPr>
        <w:t xml:space="preserve">Специфичность ПЭТ/КТ может быть снижена за счет физиологического накопления </w:t>
      </w:r>
      <w:r w:rsidRPr="00A43B9C">
        <w:rPr>
          <w:rFonts w:ascii="Times New Roman" w:eastAsia="NewtonC" w:hAnsi="Times New Roman" w:cs="Times New Roman"/>
          <w:sz w:val="28"/>
          <w:szCs w:val="28"/>
          <w:vertAlign w:val="superscript"/>
        </w:rPr>
        <w:t>18</w:t>
      </w:r>
      <w:r w:rsidRPr="00A43B9C">
        <w:rPr>
          <w:rFonts w:ascii="Times New Roman" w:eastAsia="NewtonC" w:hAnsi="Times New Roman" w:cs="Times New Roman"/>
          <w:sz w:val="28"/>
          <w:szCs w:val="28"/>
        </w:rPr>
        <w:t>F-</w:t>
      </w:r>
      <w:r w:rsidRPr="00A43B9C">
        <w:rPr>
          <w:rFonts w:ascii="Times New Roman" w:eastAsia="NewtonC" w:hAnsi="Times New Roman" w:cs="Times New Roman"/>
          <w:sz w:val="28"/>
          <w:szCs w:val="28"/>
          <w:lang w:val="en-US"/>
        </w:rPr>
        <w:t>FDG</w:t>
      </w:r>
      <w:r w:rsidRPr="00A43B9C">
        <w:rPr>
          <w:rFonts w:ascii="Times New Roman" w:eastAsia="NewtonC" w:hAnsi="Times New Roman" w:cs="Times New Roman"/>
          <w:sz w:val="28"/>
          <w:szCs w:val="28"/>
        </w:rPr>
        <w:t xml:space="preserve"> в стенках неизмененного кишечника, некапсулированной лимфоидной ткани слепой кишки, доброкачественных полипах толстой кишки и при воспалительных изменениях в кишечнике.</w:t>
      </w:r>
      <w:r w:rsidR="00613689" w:rsidRPr="00A43B9C">
        <w:rPr>
          <w:rFonts w:ascii="Times New Roman" w:eastAsia="NewtonC" w:hAnsi="Times New Roman" w:cs="Times New Roman"/>
          <w:sz w:val="28"/>
          <w:szCs w:val="28"/>
        </w:rPr>
        <w:t xml:space="preserve"> </w:t>
      </w:r>
      <w:r w:rsidRPr="00A43B9C">
        <w:rPr>
          <w:rFonts w:ascii="Times New Roman" w:eastAsia="NewtonC" w:hAnsi="Times New Roman" w:cs="Times New Roman"/>
          <w:sz w:val="28"/>
          <w:szCs w:val="28"/>
        </w:rPr>
        <w:t xml:space="preserve">Основная область применения ПЭТ/КТ в диагностике </w:t>
      </w:r>
      <w:r w:rsidR="000534CE">
        <w:rPr>
          <w:rFonts w:ascii="Times New Roman" w:eastAsia="NewtonC" w:hAnsi="Times New Roman" w:cs="Times New Roman"/>
          <w:sz w:val="28"/>
          <w:szCs w:val="28"/>
        </w:rPr>
        <w:t>колоректального рака</w:t>
      </w:r>
      <w:r w:rsidRPr="00A43B9C">
        <w:rPr>
          <w:rFonts w:ascii="Times New Roman" w:eastAsia="NewtonC" w:hAnsi="Times New Roman" w:cs="Times New Roman"/>
          <w:sz w:val="28"/>
          <w:szCs w:val="28"/>
        </w:rPr>
        <w:t xml:space="preserve"> – оценка распространенности заболевания при подозрении или установленном наличии потенциально резектабельных отдаленных метастазов. ПЭТ/КТ с </w:t>
      </w:r>
      <w:r w:rsidRPr="00A43B9C">
        <w:rPr>
          <w:rFonts w:ascii="Times New Roman" w:eastAsia="NewtonC" w:hAnsi="Times New Roman" w:cs="Times New Roman"/>
          <w:sz w:val="28"/>
          <w:szCs w:val="28"/>
          <w:vertAlign w:val="superscript"/>
        </w:rPr>
        <w:t>18</w:t>
      </w:r>
      <w:r w:rsidRPr="00A43B9C">
        <w:rPr>
          <w:rFonts w:ascii="Times New Roman" w:eastAsia="NewtonC" w:hAnsi="Times New Roman" w:cs="Times New Roman"/>
          <w:sz w:val="28"/>
          <w:szCs w:val="28"/>
        </w:rPr>
        <w:t>F-</w:t>
      </w:r>
      <w:r w:rsidRPr="00A43B9C">
        <w:rPr>
          <w:rFonts w:ascii="Times New Roman" w:eastAsia="NewtonC" w:hAnsi="Times New Roman" w:cs="Times New Roman"/>
          <w:sz w:val="28"/>
          <w:szCs w:val="28"/>
          <w:lang w:val="en-US"/>
        </w:rPr>
        <w:t>FDG</w:t>
      </w:r>
      <w:r w:rsidRPr="00A43B9C">
        <w:rPr>
          <w:rFonts w:ascii="Times New Roman" w:eastAsia="NewtonC" w:hAnsi="Times New Roman" w:cs="Times New Roman"/>
          <w:sz w:val="28"/>
          <w:szCs w:val="28"/>
        </w:rPr>
        <w:t xml:space="preserve"> позволяет выявлять рецидив после комплексного лечения </w:t>
      </w:r>
      <w:r w:rsidR="000534CE">
        <w:rPr>
          <w:rFonts w:ascii="Times New Roman" w:eastAsia="NewtonC" w:hAnsi="Times New Roman" w:cs="Times New Roman"/>
          <w:sz w:val="28"/>
          <w:szCs w:val="28"/>
        </w:rPr>
        <w:t>колоректального рака</w:t>
      </w:r>
      <w:r w:rsidRPr="00A43B9C">
        <w:rPr>
          <w:rFonts w:ascii="Times New Roman" w:eastAsia="NewtonC" w:hAnsi="Times New Roman" w:cs="Times New Roman"/>
          <w:sz w:val="28"/>
          <w:szCs w:val="28"/>
        </w:rPr>
        <w:t xml:space="preserve"> и часто приводит к изменениям в тактике лечения </w:t>
      </w:r>
      <w:r w:rsidRPr="00A43B9C">
        <w:rPr>
          <w:rFonts w:ascii="Times New Roman" w:eastAsia="NewtonC" w:hAnsi="Times New Roman" w:cs="Times New Roman"/>
          <w:sz w:val="28"/>
          <w:szCs w:val="28"/>
        </w:rPr>
        <w:fldChar w:fldCharType="begin"/>
      </w:r>
      <w:r w:rsidR="00F6152F">
        <w:rPr>
          <w:rFonts w:ascii="Times New Roman" w:eastAsia="NewtonC" w:hAnsi="Times New Roman" w:cs="Times New Roman"/>
          <w:sz w:val="28"/>
          <w:szCs w:val="28"/>
        </w:rPr>
        <w:instrText xml:space="preserve"> ADDIN ZOTERO_ITEM CSL_CITATION {"citationID":"5PXKic7x","properties":{"formattedCitation":"[184\\uc0\\u8211{}187]","plainCitation":"[184–187]","noteIndex":0},"citationItems":[{"id":637,"uris":["http://zotero.org/users/8787459/items/Y5SQ7GTH"],"itemData":{"id":637,"type":"article-journal","abstract":"The NCCN Guidelines for Colon Cancer provide recommendations regarding diagnosis, pathologic staging, surgical management, perioperative treatment, surveillance, management of recurrent and metastatic disease, and survivorship. These NCCN Guidelines Insights summarize the NCCN Colon Cancer Panel discussions for the 2018 update of the guidelines regarding risk stratification and adjuvant treatment for patients with stage III colon cancer, and treatment of BRAF V600E mutation-positive metastatic colorectal cancer with regimens containing vemurafenib.","container-title":"Journal of the National Comprehensive Cancer Network: JNCCN","DOI":"10.6004/jnccn.2018.0021","ISSN":"1540-1413","issue":"4","journalAbbreviation":"J Natl Compr Canc Netw","language":"eng","note":"PMID: 29632055","page":"359-369","source":"PubMed","title":"NCCN Guidelines Insights: Colon Cancer, Version 2.2018","title-short":"NCCN Guidelines Insights","volume":"16","author":[{"family":"Benson","given":"Al B."},{"family":"Venook","given":"Alan P."},{"family":"Al-Hawary","given":"Mahmoud M."},{"family":"Cederquist","given":"Lynette"},{"family":"Chen","given":"Yi-Jen"},{"family":"Ciombor","given":"Kristen K."},{"family":"Cohen","given":"Stacey"},{"family":"Cooper","given":"Harry S."},{"family":"Deming","given":"Dustin"},{"family":"Engstrom","given":"Paul F."},{"family":"Garrido-Laguna","given":"Ignacio"},{"family":"Grem","given":"Jean L."},{"family":"Grothey","given":"Axel"},{"family":"Hochster","given":"Howard S."},{"family":"Hoffe","given":"Sarah"},{"family":"Hunt","given":"Steven"},{"family":"Kamel","given":"Ahmed"},{"family":"Kirilcuk","given":"Natalie"},{"family":"Krishnamurthi","given":"Smitha"},{"family":"Messersmith","given":"Wells A."},{"family":"Meyerhardt","given":"Jeffrey"},{"family":"Miller","given":"Eric D."},{"family":"Mulcahy","given":"Mary F."},{"family":"Murphy","given":"James D."},{"family":"Nurkin","given":"Steven"},{"family":"Saltz","given":"Leonard"},{"family":"Sharma","given":"Sunil"},{"family":"Shibata","given":"David"},{"family":"Skibber","given":"John M."},{"family":"Sofocleous","given":"Constantinos T."},{"family":"Stoffel","given":"Elena M."},{"family":"Stotsky-Himelfarb","given":"Eden"},{"family":"Willett","given":"Christopher G."},{"family":"Wuthrick","given":"Evan"},{"family":"Gregory","given":"Kristina M."},{"family":"Freedman-Cass","given":"Deborah A."}],"issued":{"date-parts":[["2018",4]]}},"label":"page"},{"id":645,"uris":["http://zotero.org/users/8787459/items/MQXM6T4V"],"itemData":{"id":645,"type":"article-journal","abstract":"The NCCN Guidelines for Anal Carcinoma provide recommendations for the management of patients with squamous cell carcinoma of the anal canal or perianal region. Primary treatment of anal cancer usually includes chemoradiation, although certain lesions can be treated with margin-negative local excision alone. Disease surveillance is recommended for all patients with anal carcinoma because additional curative-intent treatment is possible. A multidisciplinary approach including physicians from gastroenterology, medical oncology, surgical oncology, radiation oncology, and radiology is essential for optimal patient care.","container-title":"Journal of the National Comprehensive Cancer Network: JNCCN","DOI":"10.6004/jnccn.2018.0060","ISSN":"1540-1413","issue":"7","journalAbbreviation":"J Natl Compr Canc Netw","language":"eng","note":"PMID: 30006428","page":"852-871","source":"PubMed","title":"Anal Carcinoma, Version 2.2018, NCCN Clinical Practice Guidelines in Oncology","volume":"16","author":[{"family":"Benson","given":"Al B."},{"family":"Venook","given":"Alan P."},{"family":"Al-Hawary","given":"Mahmoud M."},{"family":"Cederquist","given":"Lynette"},{"family":"Chen","given":"Yi-Jen"},{"family":"Ciombor","given":"Kristen K."},{"family":"Cohen","given":"Stacey"},{"family":"Cooper","given":"Harry S."},{"family":"Deming","given":"Dustin"},{"family":"Engstrom","given":"Paul F."},{"family":"Grem","given":"Jean L."},{"family":"Grothey","given":"Axel"},{"family":"Hochster","given":"Howard S."},{"family":"Hoffe","given":"Sarah"},{"family":"Hunt","given":"Steven"},{"family":"Kamel","given":"Ahmed"},{"family":"Kirilcuk","given":"Natalie"},{"family":"Krishnamurthi","given":"Smitha"},{"family":"Messersmith","given":"Wells A."},{"family":"Meyerhardt","given":"Jeffrey"},{"family":"Mulcahy","given":"Mary F."},{"family":"Murphy","given":"James D."},{"family":"Nurkin","given":"Steven"},{"family":"Saltz","given":"Leonard"},{"family":"Sharma","given":"Sunil"},{"family":"Shibata","given":"David"},{"family":"Skibber","given":"John M."},{"family":"Sofocleous","given":"Constantinos T."},{"family":"Stoffel","given":"Elena M."},{"family":"Stotsky-Himelfarb","given":"Eden"},{"family":"Willett","given":"Christopher G."},{"family":"Wuthrick","given":"Evan"},{"family":"Gregory","given":"Kristina M."},{"family":"Freedman-Cass","given":"Deborah A."}],"issued":{"date-parts":[["2018",7]]}},"label":"page"},{"id":643,"uris":["http://zotero.org/users/8787459/items/HL6W7S4B"],"itemData":{"id":643,"type":"article-journal","abstract":"The NCCN Clinical Practice Guidelines in Oncology (NCCN Guidelines) for Rectal Cancer address diagnosis, staging, surgical management, perioperative treatment, management of recurrent and metastatic disease, disease surveillance, and survivorship in patients with rectal cancer. This portion of the guidelines focuses on the management of localized disease, which involves careful patient selection for curative-intent treatment options that sequence multimodality therapy usually comprised of chemotherapy, radiation, and surgical resection.","container-title":"Journal of the National Comprehensive Cancer Network: JNCCN","DOI":"10.6004/jnccn.2018.0061","ISSN":"1540-1413","issue":"7","journalAbbreviation":"J Natl Compr Canc Netw","language":"eng","note":"PMID: 30006429","page":"874-901","source":"PubMed","title":"Rectal Cancer, Version 2.2018, NCCN Clinical Practice Guidelines in Oncology","volume":"16","author":[{"family":"Benson","given":"Al B."},{"family":"Venook","given":"Alan P."},{"family":"Al-Hawary","given":"Mahmoud M."},{"family":"Cederquist","given":"Lynette"},{"family":"Chen","given":"Yi-Jen"},{"family":"Ciombor","given":"Kristen K."},{"family":"Cohen","given":"Stacey"},{"family":"Cooper","given":"Harry S."},{"family":"Deming","given":"Dustin"},{"family":"Engstrom","given":"Paul F."},{"family":"Grem","given":"Jean L."},{"family":"Grothey","given":"Axel"},{"family":"Hochster","given":"Howard S."},{"family":"Hoffe","given":"Sarah"},{"family":"Hunt","given":"Steven"},{"family":"Kamel","given":"Ahmed"},{"family":"Kirilcuk","given":"Natalie"},{"family":"Krishnamurthi","given":"Smitha"},{"family":"Messersmith","given":"Wells A."},{"family":"Meyerhardt","given":"Jeffrey"},{"family":"Mulcahy","given":"Mary F."},{"family":"Murphy","given":"James D."},{"family":"Nurkin","given":"Steven"},{"family":"Saltz","given":"Leonard"},{"family":"Sharma","given":"Sunil"},{"family":"Shibata","given":"David"},{"family":"Skibber","given":"John M."},{"family":"Sofocleous","given":"Constantinos T."},{"family":"Stoffel","given":"Elena M."},{"family":"Stotsky-Himelfarb","given":"Eden"},{"family":"Willett","given":"Christopher G."},{"family":"Wuthrick","given":"Evan"},{"family":"Gregory","given":"Kristina M."},{"family":"Gurski","given":"Lisa"},{"family":"Freedman-Cass","given":"Deborah A."}],"issued":{"date-parts":[["2018",7]]}},"label":"page"},{"id":640,"uris":["http://zotero.org/users/8787459/items/3229K6VF"],"itemData":{"id":640,"type":"article-journal","abstract":"The NCCN Guidelines for Colorectal Cancer (CRC) Screening describe various colorectal screening modalities as well as recommended screening schedules for patients at average or increased risk of developing sporadic CRC. They are intended to aid physicians with clinical decision-making regarding CRC screening for patients without defined genetic syndromes. These NCCN Guidelines Insights focus on select recent updates to the NCCN Guidelines, including a section on primary and secondary CRC prevention, and provide context for the panel's recommendations regarding the age to initiate screening in average risk individuals and follow-up for low-risk adenomas.","container-title":"Journal of the National Comprehensive Cancer Network: JNCCN","DOI":"10.6004/jnccn.2020.0048","ISSN":"1540-1413","issue":"10","journalAbbreviation":"J Natl Compr Canc Netw","language":"eng","note":"PMID: 33022639\nPMCID: PMC8311627","page":"1312-1320","source":"PubMed","title":"NCCN Guidelines Insights: Colorectal Cancer Screening, Version 2.2020","title-short":"NCCN Guidelines Insights","volume":"18","author":[{"family":"Provenzale","given":"Dawn"},{"family":"Ness","given":"Reid M."},{"family":"Llor","given":"Xavier"},{"family":"Weiss","given":"Jennifer M."},{"family":"Abbadessa","given":"Benjamin"},{"family":"Cooper","given":"Gregory"},{"family":"Early","given":"Dayna S."},{"family":"Friedman","given":"Mark"},{"family":"Giardiello","given":"Francis M."},{"family":"Glaser","given":"Kathryn"},{"family":"Gurudu","given":"Suryakanth"},{"family":"Halverson","given":"Amy L."},{"family":"Issaka","given":"Rachel"},{"family":"Jain","given":"Rishi"},{"family":"Kanth","given":"Priyanka"},{"family":"Kidambi","given":"Trilokesh"},{"family":"Lazenby","given":"Audrey J."},{"family":"Maguire","given":"Lillias"},{"family":"Markowitz","given":"Arnold J."},{"family":"May","given":"Folasade P."},{"family":"Mayer","given":"Robert J."},{"family":"Mehta","given":"Shivan"},{"family":"Patel","given":"Swati"},{"family":"Peter","given":"Shajan"},{"family":"Stanich","given":"Peter P."},{"family":"Terdiman","given":"Jonathan"},{"family":"Keller","given":"Jennifer"},{"family":"Dwyer","given":"Mary A."},{"family":"Ogba","given":"Ndiya"}],"issued":{"date-parts":[["2020",10,1]]}},"label":"page"}],"schema":"https://github.com/citation-style-language/schema/raw/master/csl-citation.json"} </w:instrText>
      </w:r>
      <w:r w:rsidRPr="00A43B9C">
        <w:rPr>
          <w:rFonts w:ascii="Times New Roman" w:eastAsia="NewtonC" w:hAnsi="Times New Roman" w:cs="Times New Roman"/>
          <w:sz w:val="28"/>
          <w:szCs w:val="28"/>
        </w:rPr>
        <w:fldChar w:fldCharType="separate"/>
      </w:r>
      <w:r w:rsidR="00F6152F" w:rsidRPr="00F6152F">
        <w:rPr>
          <w:rFonts w:ascii="Times New Roman" w:hAnsi="Times New Roman" w:cs="Times New Roman"/>
          <w:sz w:val="28"/>
          <w:szCs w:val="24"/>
        </w:rPr>
        <w:t>[184</w:t>
      </w:r>
      <w:r w:rsidR="00FF4BDB" w:rsidRPr="00D3420D">
        <w:rPr>
          <w:rFonts w:ascii="Times New Roman" w:hAnsi="Times New Roman" w:cs="Times New Roman"/>
          <w:sz w:val="28"/>
          <w:szCs w:val="24"/>
        </w:rPr>
        <w:t>-</w:t>
      </w:r>
      <w:r w:rsidR="00F6152F" w:rsidRPr="00F6152F">
        <w:rPr>
          <w:rFonts w:ascii="Times New Roman" w:hAnsi="Times New Roman" w:cs="Times New Roman"/>
          <w:sz w:val="28"/>
          <w:szCs w:val="24"/>
        </w:rPr>
        <w:t>187]</w:t>
      </w:r>
      <w:r w:rsidRPr="00A43B9C">
        <w:rPr>
          <w:rFonts w:ascii="Times New Roman" w:eastAsia="NewtonC" w:hAnsi="Times New Roman" w:cs="Times New Roman"/>
          <w:sz w:val="28"/>
          <w:szCs w:val="28"/>
        </w:rPr>
        <w:fldChar w:fldCharType="end"/>
      </w:r>
      <w:r w:rsidRPr="00A43B9C">
        <w:rPr>
          <w:rFonts w:ascii="Times New Roman" w:eastAsia="NewtonC" w:hAnsi="Times New Roman" w:cs="Times New Roman"/>
          <w:sz w:val="28"/>
          <w:szCs w:val="28"/>
        </w:rPr>
        <w:t>. ПЭТ/КТ также отведена роль альтернативной методики в случаях наличия противопоказаний к проведению КТ с контрастным усилением для контроля аномалий, выявленных при КТ.</w:t>
      </w:r>
      <w:r w:rsidR="00613689" w:rsidRPr="00A43B9C">
        <w:rPr>
          <w:rFonts w:ascii="Times New Roman" w:eastAsia="NewtonC" w:hAnsi="Times New Roman" w:cs="Times New Roman"/>
          <w:sz w:val="28"/>
          <w:szCs w:val="28"/>
        </w:rPr>
        <w:t xml:space="preserve"> </w:t>
      </w:r>
      <w:r w:rsidRPr="00A43B9C">
        <w:rPr>
          <w:rFonts w:ascii="Times New Roman" w:eastAsia="NewtonC" w:hAnsi="Times New Roman" w:cs="Times New Roman"/>
          <w:sz w:val="28"/>
          <w:szCs w:val="28"/>
        </w:rPr>
        <w:t xml:space="preserve">При первичном стадировании </w:t>
      </w:r>
      <w:r w:rsidR="000534CE">
        <w:rPr>
          <w:rFonts w:ascii="Times New Roman" w:eastAsia="NewtonC" w:hAnsi="Times New Roman" w:cs="Times New Roman"/>
          <w:sz w:val="28"/>
          <w:szCs w:val="28"/>
        </w:rPr>
        <w:t>колоректального рака</w:t>
      </w:r>
      <w:r w:rsidRPr="00A43B9C">
        <w:rPr>
          <w:rFonts w:ascii="Times New Roman" w:eastAsia="NewtonC" w:hAnsi="Times New Roman" w:cs="Times New Roman"/>
          <w:sz w:val="28"/>
          <w:szCs w:val="28"/>
        </w:rPr>
        <w:t xml:space="preserve"> чувствительность, специфичность и диагностическая точность </w:t>
      </w:r>
      <w:r w:rsidRPr="00A43B9C">
        <w:rPr>
          <w:rFonts w:ascii="Times New Roman" w:eastAsia="NewtonC" w:hAnsi="Times New Roman" w:cs="Times New Roman"/>
          <w:sz w:val="28"/>
          <w:szCs w:val="28"/>
          <w:vertAlign w:val="superscript"/>
        </w:rPr>
        <w:t>18</w:t>
      </w:r>
      <w:r w:rsidRPr="00A43B9C">
        <w:rPr>
          <w:rFonts w:ascii="Times New Roman" w:eastAsia="NewtonC" w:hAnsi="Times New Roman" w:cs="Times New Roman"/>
          <w:sz w:val="28"/>
          <w:szCs w:val="28"/>
        </w:rPr>
        <w:t>F-</w:t>
      </w:r>
      <w:r w:rsidRPr="00A43B9C">
        <w:rPr>
          <w:rFonts w:ascii="Times New Roman" w:eastAsia="NewtonC" w:hAnsi="Times New Roman" w:cs="Times New Roman"/>
          <w:sz w:val="28"/>
          <w:szCs w:val="28"/>
          <w:lang w:val="en-US"/>
        </w:rPr>
        <w:t>FDG</w:t>
      </w:r>
      <w:r w:rsidRPr="00A43B9C">
        <w:rPr>
          <w:rFonts w:ascii="Times New Roman" w:eastAsia="NewtonC" w:hAnsi="Times New Roman" w:cs="Times New Roman"/>
          <w:sz w:val="28"/>
          <w:szCs w:val="28"/>
        </w:rPr>
        <w:t xml:space="preserve"> ПЭТ/КТ составляет 80, 69 и 75% соответственно, а при рецидивах – 89, 92 и 90% соответственно </w:t>
      </w:r>
      <w:r w:rsidRPr="00A43B9C">
        <w:rPr>
          <w:rFonts w:ascii="Times New Roman" w:eastAsia="NewtonC" w:hAnsi="Times New Roman" w:cs="Times New Roman"/>
          <w:sz w:val="28"/>
          <w:szCs w:val="28"/>
        </w:rPr>
        <w:fldChar w:fldCharType="begin"/>
      </w:r>
      <w:r w:rsidR="00F6152F">
        <w:rPr>
          <w:rFonts w:ascii="Times New Roman" w:eastAsia="NewtonC" w:hAnsi="Times New Roman" w:cs="Times New Roman"/>
          <w:sz w:val="28"/>
          <w:szCs w:val="28"/>
        </w:rPr>
        <w:instrText xml:space="preserve"> ADDIN ZOTERO_ITEM CSL_CITATION {"citationID":"T9KxZePs","properties":{"formattedCitation":"[188]","plainCitation":"[188]","noteIndex":0},"citationItems":[{"id":648,"uris":["http://zotero.org/users/8787459/items/DR6XSSNH"],"itemData":{"id":648,"type":"article-journal","abstract":"Current evidence suggests improved rates of curative secondary treatment following identification of recurrence among patients who participate in a surveillance program after initial curative resection of colon or rectal cancer. The newer data show that surveillance CEA, chest and liver imaging,and colonoscopy can also improve survival through early diagnosis of recurrence; thus, these modalities are now included in the current guideline. Although the optimum strategy of surveillance for office visits, CEA, chest and liver imaging, and colonoscopy is not yet defined, routine surveillance does improve the detection of recurrence that can be resected with curative intent. Recommended surveillance schedules are shown in Table 4. However, the factors to be considered when recommending surveillance include underlying risk for recurrence, patient comorbidity, and the ability to tolerate major surgery to resect recurrent disease or palliative chemotherapy, performance status, physiologic age, preference, and compliance. The success of surveillance for early detection of curable recurrence will depend on patient and provider involvement to adhere to the surveillance schedule and avoid unnecessary examination. It should be noted that, after curative resection of colorectal cancer, patients are still at risk for other common malignancies(lung, breast, cervix, prostate) for which standard screening recommendations should be observed and measures to maintain general health (risk reduction for cardiovascular disease, eg, cessation of smoking, control of blood pressure and diabetes mellitus, balanced diet, regular exercise and sleep, and flu vaccines) should be recommended.","container-title":"Diseases of the Colon and Rectum","DOI":"10.1097/DCR.0000000000000410","ISSN":"1530-0358","issue":"8","journalAbbreviation":"Dis Colon Rectum","language":"eng","note":"PMID: 26163950","page":"713-725","source":"PubMed","title":"Practice Guideline for the Surveillance of Patients After Curative Treatment of Colon and Rectal Cancer","volume":"58","author":[{"family":"Steele","given":"Scott R."},{"family":"Chang","given":"George J."},{"family":"Hendren","given":"Samantha"},{"family":"Weiser","given":"Marty"},{"family":"Irani","given":"Jennifer"},{"family":"Buie","given":"W. Donald"},{"family":"Rafferty","given":"Janice F."},{"literal":"Clinical Practice Guidelines Committee of the American Society of Colon and Rectal Surgeons"}],"issued":{"date-parts":[["2015",8]]}}}],"schema":"https://github.com/citation-style-language/schema/raw/master/csl-citation.json"} </w:instrText>
      </w:r>
      <w:r w:rsidRPr="00A43B9C">
        <w:rPr>
          <w:rFonts w:ascii="Times New Roman" w:eastAsia="NewtonC" w:hAnsi="Times New Roman" w:cs="Times New Roman"/>
          <w:sz w:val="28"/>
          <w:szCs w:val="28"/>
        </w:rPr>
        <w:fldChar w:fldCharType="separate"/>
      </w:r>
      <w:r w:rsidR="00F6152F" w:rsidRPr="00F6152F">
        <w:rPr>
          <w:rFonts w:ascii="Times New Roman" w:hAnsi="Times New Roman" w:cs="Times New Roman"/>
          <w:sz w:val="28"/>
        </w:rPr>
        <w:t>[188]</w:t>
      </w:r>
      <w:r w:rsidRPr="00A43B9C">
        <w:rPr>
          <w:rFonts w:ascii="Times New Roman" w:eastAsia="NewtonC" w:hAnsi="Times New Roman" w:cs="Times New Roman"/>
          <w:sz w:val="28"/>
          <w:szCs w:val="28"/>
        </w:rPr>
        <w:fldChar w:fldCharType="end"/>
      </w:r>
      <w:r w:rsidRPr="00A43B9C">
        <w:rPr>
          <w:rFonts w:ascii="Times New Roman" w:eastAsia="NewtonC" w:hAnsi="Times New Roman" w:cs="Times New Roman"/>
          <w:sz w:val="28"/>
          <w:szCs w:val="28"/>
        </w:rPr>
        <w:t xml:space="preserve">. Также </w:t>
      </w:r>
      <w:r w:rsidRPr="00A43B9C">
        <w:rPr>
          <w:rFonts w:ascii="Times New Roman" w:eastAsia="NewtonC" w:hAnsi="Times New Roman" w:cs="Times New Roman"/>
          <w:sz w:val="28"/>
          <w:szCs w:val="28"/>
          <w:vertAlign w:val="superscript"/>
        </w:rPr>
        <w:t>18</w:t>
      </w:r>
      <w:r w:rsidRPr="00A43B9C">
        <w:rPr>
          <w:rFonts w:ascii="Times New Roman" w:eastAsia="NewtonC" w:hAnsi="Times New Roman" w:cs="Times New Roman"/>
          <w:sz w:val="28"/>
          <w:szCs w:val="28"/>
        </w:rPr>
        <w:t>F-</w:t>
      </w:r>
      <w:r w:rsidRPr="00A43B9C">
        <w:rPr>
          <w:rFonts w:ascii="Times New Roman" w:eastAsia="NewtonC" w:hAnsi="Times New Roman" w:cs="Times New Roman"/>
          <w:sz w:val="28"/>
          <w:szCs w:val="28"/>
          <w:lang w:val="en-US"/>
        </w:rPr>
        <w:t>FDG</w:t>
      </w:r>
      <w:r w:rsidRPr="00A43B9C">
        <w:rPr>
          <w:rFonts w:ascii="Times New Roman" w:eastAsia="NewtonC" w:hAnsi="Times New Roman" w:cs="Times New Roman"/>
          <w:sz w:val="28"/>
          <w:szCs w:val="28"/>
        </w:rPr>
        <w:t xml:space="preserve"> ПЭТ/КТ используется для оценки эффекта химиотерапии, лучевого лечения и прогнозирования эффекта терапии, в процессе которой метаболическая активность в метастатических очагах снижается. Кроме того, </w:t>
      </w:r>
      <w:r w:rsidRPr="00A43B9C">
        <w:rPr>
          <w:rFonts w:ascii="Times New Roman" w:eastAsia="NewtonC" w:hAnsi="Times New Roman" w:cs="Times New Roman"/>
          <w:sz w:val="28"/>
          <w:szCs w:val="28"/>
          <w:vertAlign w:val="superscript"/>
        </w:rPr>
        <w:t>18</w:t>
      </w:r>
      <w:r w:rsidRPr="00A43B9C">
        <w:rPr>
          <w:rFonts w:ascii="Times New Roman" w:eastAsia="NewtonC" w:hAnsi="Times New Roman" w:cs="Times New Roman"/>
          <w:sz w:val="28"/>
          <w:szCs w:val="28"/>
        </w:rPr>
        <w:t>F-</w:t>
      </w:r>
      <w:r w:rsidRPr="00A43B9C">
        <w:rPr>
          <w:rFonts w:ascii="Times New Roman" w:eastAsia="NewtonC" w:hAnsi="Times New Roman" w:cs="Times New Roman"/>
          <w:sz w:val="28"/>
          <w:szCs w:val="28"/>
          <w:lang w:val="en-US"/>
        </w:rPr>
        <w:t>FDG</w:t>
      </w:r>
      <w:r w:rsidRPr="00A43B9C">
        <w:rPr>
          <w:rFonts w:ascii="Times New Roman" w:eastAsia="NewtonC" w:hAnsi="Times New Roman" w:cs="Times New Roman"/>
          <w:sz w:val="28"/>
          <w:szCs w:val="28"/>
        </w:rPr>
        <w:t xml:space="preserve"> ПЭТ/КТ успешно используется в диагностике рецидивов и продолженного роста </w:t>
      </w:r>
      <w:r w:rsidRPr="00A43B9C">
        <w:rPr>
          <w:rFonts w:ascii="Times New Roman" w:eastAsia="NewtonC" w:hAnsi="Times New Roman" w:cs="Times New Roman"/>
          <w:sz w:val="28"/>
          <w:szCs w:val="28"/>
        </w:rPr>
        <w:lastRenderedPageBreak/>
        <w:t xml:space="preserve">опухоли после резекций печени, </w:t>
      </w:r>
      <w:r w:rsidR="00E569A4" w:rsidRPr="00A43B9C">
        <w:rPr>
          <w:rFonts w:ascii="Times New Roman" w:eastAsia="NewtonC" w:hAnsi="Times New Roman" w:cs="Times New Roman"/>
          <w:sz w:val="28"/>
          <w:szCs w:val="28"/>
        </w:rPr>
        <w:t>абляций</w:t>
      </w:r>
      <w:r w:rsidRPr="00A43B9C">
        <w:rPr>
          <w:rFonts w:ascii="Times New Roman" w:eastAsia="NewtonC" w:hAnsi="Times New Roman" w:cs="Times New Roman"/>
          <w:sz w:val="28"/>
          <w:szCs w:val="28"/>
        </w:rPr>
        <w:t>, эмболизации метастазов.</w:t>
      </w:r>
      <w:r w:rsidR="00613689" w:rsidRPr="00A43B9C">
        <w:rPr>
          <w:rFonts w:ascii="Times New Roman" w:eastAsia="NewtonC" w:hAnsi="Times New Roman" w:cs="Times New Roman"/>
          <w:sz w:val="28"/>
          <w:szCs w:val="28"/>
        </w:rPr>
        <w:t xml:space="preserve"> </w:t>
      </w:r>
      <w:r w:rsidRPr="00A43B9C">
        <w:rPr>
          <w:rFonts w:ascii="Times New Roman" w:eastAsia="NewtonC" w:hAnsi="Times New Roman" w:cs="Times New Roman"/>
          <w:sz w:val="28"/>
          <w:szCs w:val="28"/>
        </w:rPr>
        <w:t xml:space="preserve">Отмечается значительное влияние </w:t>
      </w:r>
      <w:r w:rsidRPr="00A43B9C">
        <w:rPr>
          <w:rFonts w:ascii="Times New Roman" w:eastAsia="NewtonC" w:hAnsi="Times New Roman" w:cs="Times New Roman"/>
          <w:sz w:val="28"/>
          <w:szCs w:val="28"/>
          <w:vertAlign w:val="superscript"/>
        </w:rPr>
        <w:t>18</w:t>
      </w:r>
      <w:r w:rsidRPr="00A43B9C">
        <w:rPr>
          <w:rFonts w:ascii="Times New Roman" w:eastAsia="NewtonC" w:hAnsi="Times New Roman" w:cs="Times New Roman"/>
          <w:sz w:val="28"/>
          <w:szCs w:val="28"/>
        </w:rPr>
        <w:t>F-</w:t>
      </w:r>
      <w:r w:rsidRPr="00A43B9C">
        <w:rPr>
          <w:rFonts w:ascii="Times New Roman" w:eastAsia="NewtonC" w:hAnsi="Times New Roman" w:cs="Times New Roman"/>
          <w:sz w:val="28"/>
          <w:szCs w:val="28"/>
          <w:lang w:val="en-US"/>
        </w:rPr>
        <w:t>FDG</w:t>
      </w:r>
      <w:r w:rsidRPr="00A43B9C">
        <w:rPr>
          <w:rFonts w:ascii="Times New Roman" w:eastAsia="NewtonC" w:hAnsi="Times New Roman" w:cs="Times New Roman"/>
          <w:sz w:val="28"/>
          <w:szCs w:val="28"/>
        </w:rPr>
        <w:t xml:space="preserve"> ПЭТ/КТ на смену тактики лечения (до 30% случаев) при прогрессировании </w:t>
      </w:r>
      <w:r w:rsidR="000534CE">
        <w:rPr>
          <w:rFonts w:ascii="Times New Roman" w:eastAsia="NewtonC" w:hAnsi="Times New Roman" w:cs="Times New Roman"/>
          <w:sz w:val="28"/>
          <w:szCs w:val="28"/>
        </w:rPr>
        <w:t>колоректального рака</w:t>
      </w:r>
      <w:r w:rsidRPr="00A43B9C">
        <w:rPr>
          <w:rFonts w:ascii="Times New Roman" w:eastAsia="NewtonC" w:hAnsi="Times New Roman" w:cs="Times New Roman"/>
          <w:sz w:val="28"/>
          <w:szCs w:val="28"/>
        </w:rPr>
        <w:t>.</w:t>
      </w:r>
    </w:p>
    <w:p w14:paraId="61E3BC78" w14:textId="5D39ECA1" w:rsidR="00FF1D30" w:rsidRPr="00A43B9C" w:rsidRDefault="00FF1D30" w:rsidP="00FF1D30">
      <w:pPr>
        <w:spacing w:after="0" w:line="240" w:lineRule="auto"/>
        <w:ind w:firstLine="709"/>
        <w:jc w:val="both"/>
        <w:rPr>
          <w:rFonts w:ascii="Times New Roman" w:eastAsia="TimesNewRomanPSMT" w:hAnsi="Times New Roman" w:cs="Times New Roman"/>
          <w:sz w:val="28"/>
          <w:szCs w:val="28"/>
        </w:rPr>
      </w:pPr>
      <w:r w:rsidRPr="00A43B9C">
        <w:rPr>
          <w:rFonts w:ascii="Times New Roman" w:hAnsi="Times New Roman" w:cs="Times New Roman"/>
          <w:sz w:val="28"/>
        </w:rPr>
        <w:t xml:space="preserve">На данный момент нет единого мнения о целесообразности применения </w:t>
      </w:r>
      <w:r w:rsidRPr="00A43B9C">
        <w:rPr>
          <w:rFonts w:ascii="Times New Roman" w:eastAsia="NewtonC" w:hAnsi="Times New Roman" w:cs="Times New Roman"/>
          <w:sz w:val="28"/>
          <w:szCs w:val="28"/>
          <w:vertAlign w:val="superscript"/>
        </w:rPr>
        <w:t>18</w:t>
      </w:r>
      <w:r w:rsidRPr="00A43B9C">
        <w:rPr>
          <w:rFonts w:ascii="Times New Roman" w:eastAsia="NewtonC" w:hAnsi="Times New Roman" w:cs="Times New Roman"/>
          <w:sz w:val="28"/>
          <w:szCs w:val="28"/>
        </w:rPr>
        <w:t>F-</w:t>
      </w:r>
      <w:r w:rsidRPr="00A43B9C">
        <w:rPr>
          <w:rFonts w:ascii="Times New Roman" w:eastAsia="NewtonC" w:hAnsi="Times New Roman" w:cs="Times New Roman"/>
          <w:sz w:val="28"/>
          <w:szCs w:val="28"/>
          <w:lang w:val="en-US"/>
        </w:rPr>
        <w:t>FDG</w:t>
      </w:r>
      <w:r w:rsidRPr="00A43B9C">
        <w:rPr>
          <w:rFonts w:ascii="Times New Roman" w:hAnsi="Times New Roman" w:cs="Times New Roman"/>
          <w:sz w:val="28"/>
        </w:rPr>
        <w:t xml:space="preserve"> ПЭТ/КТ для первичной диагностики </w:t>
      </w:r>
      <w:r w:rsidR="000534CE">
        <w:rPr>
          <w:rFonts w:ascii="Times New Roman" w:hAnsi="Times New Roman" w:cs="Times New Roman"/>
          <w:sz w:val="28"/>
        </w:rPr>
        <w:t>колоректального рака</w:t>
      </w:r>
      <w:r w:rsidRPr="00A43B9C">
        <w:rPr>
          <w:rFonts w:ascii="Times New Roman" w:hAnsi="Times New Roman" w:cs="Times New Roman"/>
          <w:sz w:val="28"/>
        </w:rPr>
        <w:t>.</w:t>
      </w:r>
      <w:r w:rsidRPr="00A43B9C">
        <w:rPr>
          <w:rFonts w:ascii="Times New Roman" w:eastAsia="TimesNewRomanPSMT" w:hAnsi="Times New Roman" w:cs="Times New Roman"/>
          <w:sz w:val="28"/>
          <w:szCs w:val="28"/>
        </w:rPr>
        <w:t xml:space="preserve"> Дело в том, что диффузное физиологическое накопление </w:t>
      </w:r>
      <w:r w:rsidR="005D17A4" w:rsidRPr="00A43B9C">
        <w:rPr>
          <w:rFonts w:ascii="Times New Roman" w:eastAsia="NewtonC" w:hAnsi="Times New Roman" w:cs="Times New Roman"/>
          <w:sz w:val="28"/>
          <w:szCs w:val="28"/>
          <w:vertAlign w:val="superscript"/>
        </w:rPr>
        <w:t>18</w:t>
      </w:r>
      <w:r w:rsidR="005D17A4" w:rsidRPr="00A43B9C">
        <w:rPr>
          <w:rFonts w:ascii="Times New Roman" w:eastAsia="NewtonC" w:hAnsi="Times New Roman" w:cs="Times New Roman"/>
          <w:sz w:val="28"/>
          <w:szCs w:val="28"/>
        </w:rPr>
        <w:t>F-</w:t>
      </w:r>
      <w:r w:rsidR="005D17A4" w:rsidRPr="00A43B9C">
        <w:rPr>
          <w:rFonts w:ascii="Times New Roman" w:eastAsia="NewtonC" w:hAnsi="Times New Roman" w:cs="Times New Roman"/>
          <w:sz w:val="28"/>
          <w:szCs w:val="28"/>
          <w:lang w:val="en-US"/>
        </w:rPr>
        <w:t>FDG</w:t>
      </w:r>
      <w:r w:rsidRPr="00A43B9C">
        <w:rPr>
          <w:rFonts w:ascii="Times New Roman" w:eastAsia="TimesNewRomanPSMT" w:hAnsi="Times New Roman" w:cs="Times New Roman"/>
          <w:sz w:val="28"/>
          <w:szCs w:val="28"/>
        </w:rPr>
        <w:t xml:space="preserve"> в ЖКТ наблюдается довольно часто. Кроме того, причиной повышенной аккумуляции </w:t>
      </w:r>
      <w:r w:rsidRPr="00A43B9C">
        <w:rPr>
          <w:rFonts w:ascii="Times New Roman" w:eastAsia="NewtonC" w:hAnsi="Times New Roman" w:cs="Times New Roman"/>
          <w:sz w:val="28"/>
          <w:szCs w:val="28"/>
          <w:vertAlign w:val="superscript"/>
        </w:rPr>
        <w:t>18</w:t>
      </w:r>
      <w:r w:rsidRPr="00A43B9C">
        <w:rPr>
          <w:rFonts w:ascii="Times New Roman" w:eastAsia="NewtonC" w:hAnsi="Times New Roman" w:cs="Times New Roman"/>
          <w:sz w:val="28"/>
          <w:szCs w:val="28"/>
        </w:rPr>
        <w:t>F-</w:t>
      </w:r>
      <w:r w:rsidRPr="00A43B9C">
        <w:rPr>
          <w:rFonts w:ascii="Times New Roman" w:eastAsia="NewtonC" w:hAnsi="Times New Roman" w:cs="Times New Roman"/>
          <w:sz w:val="28"/>
          <w:szCs w:val="28"/>
          <w:lang w:val="en-US"/>
        </w:rPr>
        <w:t>FDG</w:t>
      </w:r>
      <w:r w:rsidRPr="00A43B9C">
        <w:rPr>
          <w:rFonts w:ascii="Times New Roman" w:eastAsia="TimesNewRomanPSMT" w:hAnsi="Times New Roman" w:cs="Times New Roman"/>
          <w:sz w:val="28"/>
          <w:szCs w:val="28"/>
        </w:rPr>
        <w:t xml:space="preserve"> могут стать воспалительные процессы, а также прием некоторых лекарственных средств, например метформина, который значительно усиливает поглощение </w:t>
      </w:r>
      <w:r w:rsidR="005D17A4" w:rsidRPr="00A43B9C">
        <w:rPr>
          <w:rFonts w:ascii="Times New Roman" w:eastAsia="NewtonC" w:hAnsi="Times New Roman" w:cs="Times New Roman"/>
          <w:sz w:val="28"/>
          <w:szCs w:val="28"/>
          <w:vertAlign w:val="superscript"/>
        </w:rPr>
        <w:t>18</w:t>
      </w:r>
      <w:r w:rsidR="005D17A4" w:rsidRPr="00A43B9C">
        <w:rPr>
          <w:rFonts w:ascii="Times New Roman" w:eastAsia="NewtonC" w:hAnsi="Times New Roman" w:cs="Times New Roman"/>
          <w:sz w:val="28"/>
          <w:szCs w:val="28"/>
        </w:rPr>
        <w:t>F-</w:t>
      </w:r>
      <w:r w:rsidR="005D17A4" w:rsidRPr="00A43B9C">
        <w:rPr>
          <w:rFonts w:ascii="Times New Roman" w:eastAsia="NewtonC" w:hAnsi="Times New Roman" w:cs="Times New Roman"/>
          <w:sz w:val="28"/>
          <w:szCs w:val="28"/>
          <w:lang w:val="en-US"/>
        </w:rPr>
        <w:t>FDG</w:t>
      </w:r>
      <w:r w:rsidRPr="00A43B9C">
        <w:rPr>
          <w:rFonts w:ascii="Times New Roman" w:eastAsia="TimesNewRomanPSMT" w:hAnsi="Times New Roman" w:cs="Times New Roman"/>
          <w:sz w:val="28"/>
          <w:szCs w:val="28"/>
        </w:rPr>
        <w:t xml:space="preserve"> толстой и в меньшей мере тонкой кишкой. Вместе с тем визуализация очаговых образований является показанием для более тщательного обследования, поскольку с большей долей вероятности свидетельствует о наличии онкологического процесса. В 75–88% случаев фокальные накопления </w:t>
      </w:r>
      <w:r w:rsidR="005D17A4" w:rsidRPr="00A43B9C">
        <w:rPr>
          <w:rFonts w:ascii="Times New Roman" w:eastAsia="NewtonC" w:hAnsi="Times New Roman" w:cs="Times New Roman"/>
          <w:sz w:val="28"/>
          <w:szCs w:val="28"/>
          <w:vertAlign w:val="superscript"/>
        </w:rPr>
        <w:t>18</w:t>
      </w:r>
      <w:r w:rsidR="005D17A4" w:rsidRPr="00A43B9C">
        <w:rPr>
          <w:rFonts w:ascii="Times New Roman" w:eastAsia="NewtonC" w:hAnsi="Times New Roman" w:cs="Times New Roman"/>
          <w:sz w:val="28"/>
          <w:szCs w:val="28"/>
        </w:rPr>
        <w:t>F-</w:t>
      </w:r>
      <w:r w:rsidR="005D17A4" w:rsidRPr="00A43B9C">
        <w:rPr>
          <w:rFonts w:ascii="Times New Roman" w:eastAsia="NewtonC" w:hAnsi="Times New Roman" w:cs="Times New Roman"/>
          <w:sz w:val="28"/>
          <w:szCs w:val="28"/>
          <w:lang w:val="en-US"/>
        </w:rPr>
        <w:t>FDG</w:t>
      </w:r>
      <w:r w:rsidRPr="00A43B9C">
        <w:rPr>
          <w:rFonts w:ascii="Times New Roman" w:eastAsia="TimesNewRomanPSMT" w:hAnsi="Times New Roman" w:cs="Times New Roman"/>
          <w:sz w:val="28"/>
          <w:szCs w:val="28"/>
        </w:rPr>
        <w:t xml:space="preserve"> в ободочной кишке связаны со злокачественными или предраковыми образованиями, подтверждёнными эндоскопическим исследованием, из которых 28–67% являются предраковыми процессами, 20–46% составляют аденокарциномы и 13–30% – доброкачественные опухоли.</w:t>
      </w:r>
    </w:p>
    <w:p w14:paraId="78C221BB" w14:textId="1237B1AF" w:rsidR="00FF1D30" w:rsidRPr="005D17A4" w:rsidRDefault="00FF1D30" w:rsidP="00FF1D30">
      <w:pPr>
        <w:spacing w:after="0" w:line="240" w:lineRule="auto"/>
        <w:ind w:firstLine="709"/>
        <w:jc w:val="both"/>
        <w:rPr>
          <w:rFonts w:ascii="Times New Roman" w:hAnsi="Times New Roman" w:cs="Times New Roman"/>
          <w:bCs/>
          <w:sz w:val="28"/>
        </w:rPr>
      </w:pPr>
      <w:r w:rsidRPr="00A43B9C">
        <w:rPr>
          <w:rFonts w:ascii="Times New Roman" w:eastAsia="TimesNewRomanPSMT" w:hAnsi="Times New Roman" w:cs="Times New Roman"/>
          <w:sz w:val="28"/>
          <w:szCs w:val="28"/>
        </w:rPr>
        <w:t xml:space="preserve">Метастазы в печени встречаются приблизительно у 50–60% пациентов с </w:t>
      </w:r>
      <w:r w:rsidR="005D17A4">
        <w:rPr>
          <w:rFonts w:ascii="Times New Roman" w:eastAsia="TimesNewRomanPSMT" w:hAnsi="Times New Roman" w:cs="Times New Roman"/>
          <w:sz w:val="28"/>
          <w:szCs w:val="28"/>
        </w:rPr>
        <w:t>колоректальным раком</w:t>
      </w:r>
      <w:r w:rsidRPr="00A43B9C">
        <w:rPr>
          <w:rFonts w:ascii="Times New Roman" w:eastAsia="TimesNewRomanPSMT" w:hAnsi="Times New Roman" w:cs="Times New Roman"/>
          <w:sz w:val="28"/>
          <w:szCs w:val="28"/>
        </w:rPr>
        <w:t>, при этом примерно у трети из них они выявляются уже при постановке первичного диагноза. В мета</w:t>
      </w:r>
      <w:r w:rsidR="00FF0ACA" w:rsidRPr="0014310F">
        <w:rPr>
          <w:rFonts w:ascii="Times New Roman" w:eastAsia="TimesNewRomanPSMT" w:hAnsi="Times New Roman" w:cs="Times New Roman"/>
          <w:sz w:val="28"/>
          <w:szCs w:val="28"/>
        </w:rPr>
        <w:t>-</w:t>
      </w:r>
      <w:r w:rsidRPr="00A43B9C">
        <w:rPr>
          <w:rFonts w:ascii="Times New Roman" w:eastAsia="TimesNewRomanPSMT" w:hAnsi="Times New Roman" w:cs="Times New Roman"/>
          <w:sz w:val="28"/>
          <w:szCs w:val="28"/>
        </w:rPr>
        <w:t xml:space="preserve">анализе 18 статей, подготовленных на основе обследования 1059 пациентов с </w:t>
      </w:r>
      <w:r w:rsidR="005D17A4">
        <w:rPr>
          <w:rFonts w:ascii="Times New Roman" w:eastAsia="TimesNewRomanPSMT" w:hAnsi="Times New Roman" w:cs="Times New Roman"/>
          <w:sz w:val="28"/>
          <w:szCs w:val="28"/>
        </w:rPr>
        <w:t>колоректальным раком</w:t>
      </w:r>
      <w:r w:rsidRPr="00A43B9C">
        <w:rPr>
          <w:rFonts w:ascii="Times New Roman" w:eastAsia="TimesNewRomanPSMT" w:hAnsi="Times New Roman" w:cs="Times New Roman"/>
          <w:sz w:val="28"/>
          <w:szCs w:val="28"/>
        </w:rPr>
        <w:t xml:space="preserve">, были исследованы диагностические возможности применения </w:t>
      </w:r>
      <w:r w:rsidRPr="00A43B9C">
        <w:rPr>
          <w:rFonts w:ascii="Times New Roman" w:eastAsia="TimesNewRomanPSMT" w:hAnsi="Times New Roman" w:cs="Times New Roman"/>
          <w:sz w:val="28"/>
          <w:szCs w:val="28"/>
          <w:vertAlign w:val="superscript"/>
        </w:rPr>
        <w:t>18</w:t>
      </w:r>
      <w:r w:rsidRPr="00A43B9C">
        <w:rPr>
          <w:rFonts w:ascii="Times New Roman" w:eastAsia="TimesNewRomanPSMT" w:hAnsi="Times New Roman" w:cs="Times New Roman"/>
          <w:sz w:val="28"/>
          <w:szCs w:val="28"/>
        </w:rPr>
        <w:t>F-</w:t>
      </w:r>
      <w:r w:rsidRPr="00A43B9C">
        <w:rPr>
          <w:rFonts w:ascii="Times New Roman" w:eastAsia="TimesNewRomanPSMT" w:hAnsi="Times New Roman" w:cs="Times New Roman"/>
          <w:sz w:val="28"/>
          <w:szCs w:val="28"/>
          <w:lang w:val="en-US"/>
        </w:rPr>
        <w:t>FDG</w:t>
      </w:r>
      <w:r w:rsidRPr="00A43B9C">
        <w:rPr>
          <w:rFonts w:ascii="Times New Roman" w:eastAsia="TimesNewRomanPSMT" w:hAnsi="Times New Roman" w:cs="Times New Roman"/>
          <w:sz w:val="28"/>
          <w:szCs w:val="28"/>
        </w:rPr>
        <w:t xml:space="preserve"> ПЭТ/КТ для визуализации метастазов в печени в сравнении с другими модальностями (КТ и МРТ) и влияние </w:t>
      </w:r>
      <w:r w:rsidRPr="00A43B9C">
        <w:rPr>
          <w:rFonts w:ascii="Times New Roman" w:eastAsia="TimesNewRomanPSMT" w:hAnsi="Times New Roman" w:cs="Times New Roman"/>
          <w:sz w:val="28"/>
          <w:szCs w:val="28"/>
          <w:vertAlign w:val="superscript"/>
        </w:rPr>
        <w:t>18</w:t>
      </w:r>
      <w:r w:rsidRPr="00A43B9C">
        <w:rPr>
          <w:rFonts w:ascii="Times New Roman" w:eastAsia="TimesNewRomanPSMT" w:hAnsi="Times New Roman" w:cs="Times New Roman"/>
          <w:sz w:val="28"/>
          <w:szCs w:val="28"/>
        </w:rPr>
        <w:t>F-</w:t>
      </w:r>
      <w:r w:rsidRPr="00A43B9C">
        <w:rPr>
          <w:rFonts w:ascii="Times New Roman" w:eastAsia="TimesNewRomanPSMT" w:hAnsi="Times New Roman" w:cs="Times New Roman"/>
          <w:sz w:val="28"/>
          <w:szCs w:val="28"/>
          <w:lang w:val="en-US"/>
        </w:rPr>
        <w:t>FDG</w:t>
      </w:r>
      <w:r w:rsidRPr="00A43B9C">
        <w:rPr>
          <w:rFonts w:ascii="Times New Roman" w:eastAsia="TimesNewRomanPSMT" w:hAnsi="Times New Roman" w:cs="Times New Roman"/>
          <w:sz w:val="28"/>
          <w:szCs w:val="28"/>
        </w:rPr>
        <w:t xml:space="preserve"> ПЭТ на тактику лечения таких больных. В работе использовались статистические методы, основанные на анализе количества пациентов и пораженных участков печени. Чувствительность и специфичность </w:t>
      </w:r>
      <w:r w:rsidRPr="00A43B9C">
        <w:rPr>
          <w:rFonts w:ascii="Times New Roman" w:eastAsia="TimesNewRomanPSMT" w:hAnsi="Times New Roman" w:cs="Times New Roman"/>
          <w:sz w:val="28"/>
          <w:szCs w:val="28"/>
          <w:vertAlign w:val="superscript"/>
        </w:rPr>
        <w:t>18</w:t>
      </w:r>
      <w:r w:rsidRPr="00A43B9C">
        <w:rPr>
          <w:rFonts w:ascii="Times New Roman" w:eastAsia="TimesNewRomanPSMT" w:hAnsi="Times New Roman" w:cs="Times New Roman"/>
          <w:sz w:val="28"/>
          <w:szCs w:val="28"/>
        </w:rPr>
        <w:t>F-</w:t>
      </w:r>
      <w:r w:rsidRPr="00A43B9C">
        <w:rPr>
          <w:rFonts w:ascii="Times New Roman" w:eastAsia="TimesNewRomanPSMT" w:hAnsi="Times New Roman" w:cs="Times New Roman"/>
          <w:sz w:val="28"/>
          <w:szCs w:val="28"/>
          <w:lang w:val="en-US"/>
        </w:rPr>
        <w:t>FDG</w:t>
      </w:r>
      <w:r w:rsidRPr="00A43B9C">
        <w:rPr>
          <w:rFonts w:ascii="Times New Roman" w:eastAsia="TimesNewRomanPSMT" w:hAnsi="Times New Roman" w:cs="Times New Roman"/>
          <w:sz w:val="28"/>
          <w:szCs w:val="28"/>
        </w:rPr>
        <w:t xml:space="preserve"> ПЭТ/КТ в выявлении печеночных метастазов оказались равными – 93%. Для </w:t>
      </w:r>
      <w:r w:rsidR="00251916" w:rsidRPr="00A43B9C">
        <w:rPr>
          <w:rFonts w:ascii="Times New Roman" w:eastAsia="TimesNewRomanPSMT" w:hAnsi="Times New Roman" w:cs="Times New Roman"/>
          <w:sz w:val="28"/>
          <w:szCs w:val="28"/>
        </w:rPr>
        <w:t>пораженных участков печени</w:t>
      </w:r>
      <w:r w:rsidRPr="00A43B9C">
        <w:rPr>
          <w:rFonts w:ascii="Times New Roman" w:eastAsia="TimesNewRomanPSMT" w:hAnsi="Times New Roman" w:cs="Times New Roman"/>
          <w:sz w:val="28"/>
          <w:szCs w:val="28"/>
        </w:rPr>
        <w:t xml:space="preserve"> эти величины составили 60 и 79% соответственно. </w:t>
      </w:r>
      <w:r w:rsidR="00AC7DC6" w:rsidRPr="00A43B9C">
        <w:rPr>
          <w:rFonts w:ascii="Times New Roman" w:eastAsia="TimesNewRomanPSMT" w:hAnsi="Times New Roman" w:cs="Times New Roman"/>
          <w:sz w:val="28"/>
          <w:szCs w:val="28"/>
        </w:rPr>
        <w:t xml:space="preserve">По </w:t>
      </w:r>
      <w:r w:rsidR="00613689" w:rsidRPr="00A43B9C">
        <w:rPr>
          <w:rFonts w:ascii="Times New Roman" w:eastAsia="TimesNewRomanPSMT" w:hAnsi="Times New Roman" w:cs="Times New Roman"/>
          <w:sz w:val="28"/>
          <w:szCs w:val="28"/>
        </w:rPr>
        <w:t>результатам</w:t>
      </w:r>
      <w:r w:rsidRPr="00A43B9C">
        <w:rPr>
          <w:rFonts w:ascii="Times New Roman" w:eastAsia="TimesNewRomanPSMT" w:hAnsi="Times New Roman" w:cs="Times New Roman"/>
          <w:sz w:val="28"/>
          <w:szCs w:val="28"/>
        </w:rPr>
        <w:t xml:space="preserve"> ROC-анализа площадь под кривой достигала 0,97, для </w:t>
      </w:r>
      <w:r w:rsidR="00251916" w:rsidRPr="00A43B9C">
        <w:rPr>
          <w:rFonts w:ascii="Times New Roman" w:eastAsia="TimesNewRomanPSMT" w:hAnsi="Times New Roman" w:cs="Times New Roman"/>
          <w:sz w:val="28"/>
          <w:szCs w:val="28"/>
        </w:rPr>
        <w:t>пораженных участков печени</w:t>
      </w:r>
      <w:r w:rsidRPr="00A43B9C">
        <w:rPr>
          <w:rFonts w:ascii="Times New Roman" w:eastAsia="TimesNewRomanPSMT" w:hAnsi="Times New Roman" w:cs="Times New Roman"/>
          <w:sz w:val="28"/>
          <w:szCs w:val="28"/>
        </w:rPr>
        <w:t xml:space="preserve"> – 0,67. Согласно </w:t>
      </w:r>
      <w:r w:rsidR="00251916" w:rsidRPr="00A43B9C">
        <w:rPr>
          <w:rFonts w:ascii="Times New Roman" w:eastAsia="TimesNewRomanPSMT" w:hAnsi="Times New Roman" w:cs="Times New Roman"/>
          <w:sz w:val="28"/>
          <w:szCs w:val="28"/>
        </w:rPr>
        <w:t xml:space="preserve">анализу количества пациентов </w:t>
      </w:r>
      <w:r w:rsidRPr="00A43B9C">
        <w:rPr>
          <w:rFonts w:ascii="Times New Roman" w:eastAsia="TimesNewRomanPSMT" w:hAnsi="Times New Roman" w:cs="Times New Roman"/>
          <w:sz w:val="28"/>
          <w:szCs w:val="28"/>
        </w:rPr>
        <w:t xml:space="preserve">чувствительность </w:t>
      </w:r>
      <w:r w:rsidRPr="00A43B9C">
        <w:rPr>
          <w:rFonts w:ascii="Times New Roman" w:eastAsia="TimesNewRomanPSMT" w:hAnsi="Times New Roman" w:cs="Times New Roman"/>
          <w:sz w:val="28"/>
          <w:szCs w:val="28"/>
          <w:vertAlign w:val="superscript"/>
        </w:rPr>
        <w:t>18</w:t>
      </w:r>
      <w:r w:rsidRPr="00A43B9C">
        <w:rPr>
          <w:rFonts w:ascii="Times New Roman" w:eastAsia="TimesNewRomanPSMT" w:hAnsi="Times New Roman" w:cs="Times New Roman"/>
          <w:sz w:val="28"/>
          <w:szCs w:val="28"/>
        </w:rPr>
        <w:t>F-</w:t>
      </w:r>
      <w:r w:rsidRPr="00A43B9C">
        <w:rPr>
          <w:rFonts w:ascii="Times New Roman" w:eastAsia="TimesNewRomanPSMT" w:hAnsi="Times New Roman" w:cs="Times New Roman"/>
          <w:sz w:val="28"/>
          <w:szCs w:val="28"/>
          <w:lang w:val="en-US"/>
        </w:rPr>
        <w:t>FDG</w:t>
      </w:r>
      <w:r w:rsidRPr="00A43B9C">
        <w:rPr>
          <w:rFonts w:ascii="Times New Roman" w:eastAsia="TimesNewRomanPSMT" w:hAnsi="Times New Roman" w:cs="Times New Roman"/>
          <w:sz w:val="28"/>
          <w:szCs w:val="28"/>
        </w:rPr>
        <w:t xml:space="preserve"> ПЭТ уступала МРТ и КТ – 93, 100 и 98%, а по данным </w:t>
      </w:r>
      <w:r w:rsidR="00251916" w:rsidRPr="00A43B9C">
        <w:rPr>
          <w:rFonts w:ascii="Times New Roman" w:eastAsia="TimesNewRomanPSMT" w:hAnsi="Times New Roman" w:cs="Times New Roman"/>
          <w:sz w:val="28"/>
          <w:szCs w:val="28"/>
        </w:rPr>
        <w:t>пораженных участков печени</w:t>
      </w:r>
      <w:r w:rsidRPr="00A43B9C">
        <w:rPr>
          <w:rFonts w:ascii="Times New Roman" w:eastAsia="TimesNewRomanPSMT" w:hAnsi="Times New Roman" w:cs="Times New Roman"/>
          <w:sz w:val="28"/>
          <w:szCs w:val="28"/>
        </w:rPr>
        <w:t xml:space="preserve"> – 66, 89 и 79% соответственно. При этом преимуществом </w:t>
      </w:r>
      <w:r w:rsidRPr="00A43B9C">
        <w:rPr>
          <w:rFonts w:ascii="Times New Roman" w:eastAsia="TimesNewRomanPSMT" w:hAnsi="Times New Roman" w:cs="Times New Roman"/>
          <w:sz w:val="28"/>
          <w:szCs w:val="28"/>
          <w:vertAlign w:val="superscript"/>
        </w:rPr>
        <w:t>18</w:t>
      </w:r>
      <w:r w:rsidRPr="00A43B9C">
        <w:rPr>
          <w:rFonts w:ascii="Times New Roman" w:eastAsia="TimesNewRomanPSMT" w:hAnsi="Times New Roman" w:cs="Times New Roman"/>
          <w:sz w:val="28"/>
          <w:szCs w:val="28"/>
        </w:rPr>
        <w:t>F-</w:t>
      </w:r>
      <w:r w:rsidRPr="00A43B9C">
        <w:rPr>
          <w:rFonts w:ascii="Times New Roman" w:eastAsia="TimesNewRomanPSMT" w:hAnsi="Times New Roman" w:cs="Times New Roman"/>
          <w:sz w:val="28"/>
          <w:szCs w:val="28"/>
          <w:lang w:val="en-US"/>
        </w:rPr>
        <w:t>FDG</w:t>
      </w:r>
      <w:r w:rsidRPr="00A43B9C">
        <w:rPr>
          <w:rFonts w:ascii="Times New Roman" w:eastAsia="TimesNewRomanPSMT" w:hAnsi="Times New Roman" w:cs="Times New Roman"/>
          <w:sz w:val="28"/>
          <w:szCs w:val="28"/>
        </w:rPr>
        <w:t xml:space="preserve"> ПЭТ оказалась более высокая по сравнению с МРТ и КТ специфичность как по данным </w:t>
      </w:r>
      <w:r w:rsidR="00251916" w:rsidRPr="00A43B9C">
        <w:rPr>
          <w:rFonts w:ascii="Times New Roman" w:eastAsia="TimesNewRomanPSMT" w:hAnsi="Times New Roman" w:cs="Times New Roman"/>
          <w:sz w:val="28"/>
          <w:szCs w:val="28"/>
        </w:rPr>
        <w:t>анализа количества пациентов</w:t>
      </w:r>
      <w:r w:rsidRPr="00A43B9C">
        <w:rPr>
          <w:rFonts w:ascii="Times New Roman" w:eastAsia="TimesNewRomanPSMT" w:hAnsi="Times New Roman" w:cs="Times New Roman"/>
          <w:sz w:val="28"/>
          <w:szCs w:val="28"/>
        </w:rPr>
        <w:t xml:space="preserve"> (81, 70 и 70% соответственно), так и по результатам </w:t>
      </w:r>
      <w:r w:rsidR="00251916" w:rsidRPr="00A43B9C">
        <w:rPr>
          <w:rFonts w:ascii="Times New Roman" w:eastAsia="TimesNewRomanPSMT" w:hAnsi="Times New Roman" w:cs="Times New Roman"/>
          <w:sz w:val="28"/>
          <w:szCs w:val="28"/>
        </w:rPr>
        <w:t>пораженных участков печени</w:t>
      </w:r>
      <w:r w:rsidRPr="00A43B9C">
        <w:rPr>
          <w:rFonts w:ascii="Times New Roman" w:eastAsia="TimesNewRomanPSMT" w:hAnsi="Times New Roman" w:cs="Times New Roman"/>
          <w:sz w:val="28"/>
          <w:szCs w:val="28"/>
        </w:rPr>
        <w:t xml:space="preserve"> (86, 81 и 67% соответственно). Следует отметить, что результаты </w:t>
      </w:r>
      <w:r w:rsidRPr="00A43B9C">
        <w:rPr>
          <w:rFonts w:ascii="Times New Roman" w:eastAsia="TimesNewRomanPSMT" w:hAnsi="Times New Roman" w:cs="Times New Roman"/>
          <w:sz w:val="28"/>
          <w:szCs w:val="28"/>
          <w:vertAlign w:val="superscript"/>
        </w:rPr>
        <w:t>18</w:t>
      </w:r>
      <w:r w:rsidRPr="00A43B9C">
        <w:rPr>
          <w:rFonts w:ascii="Times New Roman" w:eastAsia="TimesNewRomanPSMT" w:hAnsi="Times New Roman" w:cs="Times New Roman"/>
          <w:sz w:val="28"/>
          <w:szCs w:val="28"/>
        </w:rPr>
        <w:t>F-</w:t>
      </w:r>
      <w:r w:rsidRPr="00A43B9C">
        <w:rPr>
          <w:rFonts w:ascii="Times New Roman" w:eastAsia="TimesNewRomanPSMT" w:hAnsi="Times New Roman" w:cs="Times New Roman"/>
          <w:sz w:val="28"/>
          <w:szCs w:val="28"/>
          <w:lang w:val="en-US"/>
        </w:rPr>
        <w:t>FDG</w:t>
      </w:r>
      <w:r w:rsidRPr="00A43B9C">
        <w:rPr>
          <w:rFonts w:ascii="Times New Roman" w:eastAsia="TimesNewRomanPSMT" w:hAnsi="Times New Roman" w:cs="Times New Roman"/>
          <w:sz w:val="28"/>
          <w:szCs w:val="28"/>
        </w:rPr>
        <w:t xml:space="preserve"> ПЭТ позволили предложить более эффективную тактику лечения у 24% пациентов. С помощью </w:t>
      </w:r>
      <w:r w:rsidRPr="00A43B9C">
        <w:rPr>
          <w:rFonts w:ascii="Times New Roman" w:eastAsia="TimesNewRomanPSMT" w:hAnsi="Times New Roman" w:cs="Times New Roman"/>
          <w:sz w:val="28"/>
          <w:szCs w:val="28"/>
          <w:vertAlign w:val="superscript"/>
        </w:rPr>
        <w:t>18</w:t>
      </w:r>
      <w:r w:rsidRPr="00A43B9C">
        <w:rPr>
          <w:rFonts w:ascii="Times New Roman" w:eastAsia="TimesNewRomanPSMT" w:hAnsi="Times New Roman" w:cs="Times New Roman"/>
          <w:sz w:val="28"/>
          <w:szCs w:val="28"/>
        </w:rPr>
        <w:t>F-</w:t>
      </w:r>
      <w:r w:rsidRPr="00A43B9C">
        <w:rPr>
          <w:rFonts w:ascii="Times New Roman" w:eastAsia="TimesNewRomanPSMT" w:hAnsi="Times New Roman" w:cs="Times New Roman"/>
          <w:sz w:val="28"/>
          <w:szCs w:val="28"/>
          <w:lang w:val="en-US"/>
        </w:rPr>
        <w:t>FDG</w:t>
      </w:r>
      <w:r w:rsidRPr="00A43B9C">
        <w:rPr>
          <w:rFonts w:ascii="Times New Roman" w:eastAsia="TimesNewRomanPSMT" w:hAnsi="Times New Roman" w:cs="Times New Roman"/>
          <w:sz w:val="28"/>
          <w:szCs w:val="28"/>
        </w:rPr>
        <w:t xml:space="preserve"> ПЭТ у 32% указанных пациентов удалось визуализировать внепеченочные метастазы. Средняя частота ложноположительных и ложноотрицательных результатов составила 3,1% и 1,3% соответственно.</w:t>
      </w:r>
    </w:p>
    <w:p w14:paraId="4A94F07A" w14:textId="2275FEBF" w:rsidR="00FF1D30" w:rsidRPr="00A43B9C" w:rsidRDefault="00FF1D30" w:rsidP="00FF1D30">
      <w:pPr>
        <w:autoSpaceDE w:val="0"/>
        <w:autoSpaceDN w:val="0"/>
        <w:adjustRightInd w:val="0"/>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В исследованиях авторов последних десятилетий были представлены результаты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FDG</w:t>
      </w:r>
      <w:r w:rsidRPr="00A43B9C">
        <w:rPr>
          <w:rFonts w:ascii="Times New Roman" w:hAnsi="Times New Roman" w:cs="Times New Roman"/>
          <w:sz w:val="28"/>
          <w:szCs w:val="28"/>
        </w:rPr>
        <w:t xml:space="preserve"> ПЭТ/КТ</w:t>
      </w:r>
      <w:r w:rsidR="00FF0ACA" w:rsidRPr="00A50E37">
        <w:rPr>
          <w:rFonts w:ascii="Times New Roman" w:hAnsi="Times New Roman" w:cs="Times New Roman"/>
          <w:sz w:val="28"/>
          <w:szCs w:val="28"/>
        </w:rPr>
        <w:t xml:space="preserve"> </w:t>
      </w:r>
      <w:r w:rsidRPr="00A43B9C">
        <w:rPr>
          <w:rFonts w:ascii="Times New Roman" w:hAnsi="Times New Roman" w:cs="Times New Roman"/>
          <w:sz w:val="28"/>
          <w:szCs w:val="28"/>
        </w:rPr>
        <w:t xml:space="preserve">диагностики для обнаружения узловых метастазов при явной ранней стадии </w:t>
      </w:r>
      <w:r w:rsidR="005D17A4">
        <w:rPr>
          <w:rFonts w:ascii="Times New Roman" w:hAnsi="Times New Roman" w:cs="Times New Roman"/>
          <w:sz w:val="28"/>
          <w:szCs w:val="28"/>
        </w:rPr>
        <w:t>колоректального рака</w:t>
      </w:r>
      <w:r w:rsidRPr="00A43B9C">
        <w:rPr>
          <w:rFonts w:ascii="Times New Roman" w:hAnsi="Times New Roman" w:cs="Times New Roman"/>
          <w:sz w:val="28"/>
          <w:szCs w:val="28"/>
        </w:rPr>
        <w:t xml:space="preserve"> </w:t>
      </w:r>
      <w:r w:rsidRPr="00A43B9C">
        <w:rPr>
          <w:rFonts w:ascii="Times New Roman" w:hAnsi="Times New Roman" w:cs="Times New Roman"/>
          <w:sz w:val="28"/>
          <w:szCs w:val="28"/>
        </w:rPr>
        <w:fldChar w:fldCharType="begin"/>
      </w:r>
      <w:r w:rsidR="00F6152F">
        <w:rPr>
          <w:rFonts w:ascii="Times New Roman" w:hAnsi="Times New Roman" w:cs="Times New Roman"/>
          <w:sz w:val="28"/>
          <w:szCs w:val="28"/>
        </w:rPr>
        <w:instrText xml:space="preserve"> ADDIN ZOTERO_ITEM CSL_CITATION {"citationID":"Oo8DpWkR","properties":{"formattedCitation":"[189, 190]","plainCitation":"[189, 190]","noteIndex":0},"citationItems":[{"id":655,"uris":["http://zotero.org/users/8787459/items/CVR6A378"],"itemData":{"id":655,"type":"article-journal","abstract":"Introduction\nThe introduction of targeted drugs has had a significant impact on the approach to assessing tumour response. These drugs often induce a rapid cytostatic effect associated with a less pronounced and slower tumoural volume reduction, thereby impairing the correlation between the absence of tumour shrinkage and the patient’s unlikelihood of benefit. The aim of the study was to assess the predictive value of early metabolic response (mR) evaluation after one cycle, and its interlesional heterogeneity to a later metabolic and morphological response assessment performed after three cycles in metastatic colorectal cancer (mCRC) patients treated with combined sorafenib and capecitabine.\n\nMethods\nThis substudy was performed within the framework of a wider prospective multicenter study on the predictive value of early FDG PET-CT response assessment (SoMore study). A lesion-based response analysis was performed, including all measurable lesions identified on the baseline PET. On a per-patient basis, a descriptive 4-class response categorization was applied based upon the presence and proportion of non-responding lesions. For dichotomic response comparison, all patients with at least one resistant lesion were classified as non-responding.\n\nResults\nOn baseline FDG PET-CT, 124 measurable “target” lesions were identified in 38 patients. Early mR assessments showed 18 patients (47 %) without treatment resistant lesions and 12 patients (32 %) with interlesional response heterogeneity. The NPV and PPV of early mR were 85 % (35/41) and 84 % (70/83), respectively, on a per-lesion basis and 95 % (19/20) and 72 % (13/18), respectively, on a dichotomized per-patient basis.\n\nConclusions\nEarly mR assessment performed after one cycle of sorafenib-capecitabine in mCRC is highly predictive of non-response at a standard response assessment time. The high NPV (95 %) of early mR could be useful as the basis for early treatment discontinuation or adaptation to spare patients from exposure to non-effective drugs.","container-title":"European Journal of Nuclear Medicine and Molecular Imaging","DOI":"10.1007/s00259-016-3365-x","ISSN":"1619-7070","journalAbbreviation":"Eur J Nucl Med Mol Imaging","note":"PMID: 27072811\nPMCID: PMC4969337","page":"1792-1801","source":"PubMed Central","title":"Monitoring metabolic response using FDG PET-CT during targeted therapy for metastatic colorectal cancer","volume":"43","author":[{"family":"Woff","given":"Erwin"},{"family":"Hendlisz","given":"Alain"},{"family":"Garcia","given":"Camilo"},{"family":"Deleporte","given":"Amelie"},{"family":"Delaunoit","given":"Thierry"},{"family":"Maréchal","given":"Raphaël"},{"family":"Holbrechts","given":"Stéphane"},{"family":"Van den Eynde","given":"Marc"},{"family":"Demolin","given":"Gauthier"},{"family":"Vierasu","given":"Irina"},{"family":"Lhommel","given":"Renaud"},{"family":"Gauthier","given":"Namur"},{"family":"Guiot","given":"Thomas"},{"family":"Ameye","given":"Lieveke"},{"family":"Flamen","given":"Patrick"}],"issued":{"date-parts":[["2016"]]}},"label":"page"},{"id":652,"uris":["http://zotero.org/users/8787459/items/V6YVQJ5U"],"itemData":{"id":652,"type":"article-journal","abstract":"Baseline whole-body metabolically active tumor volume (WB-MATV) measured by 18F-FDG PET/CT and circulating cell-free DNA (cfDNA) have been separately validated as predictors of overall and progression-free survival (OS/PFS) in chemorefractory metastatic colorectal cancer (mCRC) patients. This study assessed the correlation between WB-MATV and cfDNA, evaluating the added prognostic value of these in combination, along with clinical parameters. Methods: Of 141 mCRC patients included in a prospective multicenter trial, 132 were evaluable for OS/PFS. cfDNA was extracted from 3 mL of plasma and quantified using a fluorometer. All target lesions were delineated on 18F-FDG PET/CT, and their metabolic volumes were summed to obtain the WB-MATV. Results: Baseline WB-MATV and cfDNA were strongly correlated (r = 0.70; P &lt; 0.001) but showed discordance in 23 of 132 (17%) patients. A multivariate analysis identified 3 independent negative predictors of PFS (high cfDNA, short time since diagnosis, and body mass index &lt; 30) and 5 of OS (high cfDNA, high WB-MATV, body mass index &lt; 30, poor performance status, and short time since diagnosis). Combining WB-MATV and cfDNA increased the overall prognostic value and allowed identification of a subgroup of patients with low cfDNA and high WB-MATV who were associated with intermediate survival (median OS of 8.1 for low-cfDNA/high-MATV patients vs. 12.7 mo for low-cfDNA/low-MATV patients; hazard ratio, 2.04; P = 0.02). Conclusion: This study confirms the added prognostic value of combined circulating cfDNA and PET-based WB-MATV in chemorefractory mCRC patients. The combination of these two biomarkers should provide a firm basis for risk stratification, both in clinical practice and in research trials.","container-title":"Journal of Nuclear Medicine: Official Publication, Society of Nuclear Medicine","DOI":"10.2967/jnumed.118.222919","ISSN":"1535-5667","issue":"10","journalAbbreviation":"J Nucl Med","language":"eng","note":"PMID: 30850494","page":"1366-1372","source":"PubMed","title":"Combining 18F-FDG PET/CT-Based Metabolically Active Tumor Volume and Circulating Cell-Free DNA Significantly Improves Outcome Prediction in Chemorefractory Metastatic Colorectal Cancer","volume":"60","author":[{"family":"Woff","given":"Erwin"},{"family":"Kehagias","given":"Pashalina"},{"family":"Vandeputte","given":"Caroline"},{"family":"Ameye","given":"Lieveke"},{"family":"Guiot","given":"Thomas"},{"family":"Paesmans","given":"Marianne"},{"family":"Hendlisz","given":"Alain"},{"family":"Flamen","given":"Patrick"}],"issued":{"date-parts":[["2019",10]]}},"label":"page"}],"schema":"https://github.com/citation-style-language/schema/raw/master/csl-citation.json"} </w:instrText>
      </w:r>
      <w:r w:rsidRPr="00A43B9C">
        <w:rPr>
          <w:rFonts w:ascii="Times New Roman" w:hAnsi="Times New Roman" w:cs="Times New Roman"/>
          <w:sz w:val="28"/>
          <w:szCs w:val="28"/>
        </w:rPr>
        <w:fldChar w:fldCharType="separate"/>
      </w:r>
      <w:r w:rsidR="00F6152F" w:rsidRPr="00F6152F">
        <w:rPr>
          <w:rFonts w:ascii="Times New Roman" w:hAnsi="Times New Roman" w:cs="Times New Roman"/>
          <w:sz w:val="28"/>
        </w:rPr>
        <w:t>[189, 190]</w:t>
      </w:r>
      <w:r w:rsidRPr="00A43B9C">
        <w:rPr>
          <w:rFonts w:ascii="Times New Roman" w:hAnsi="Times New Roman" w:cs="Times New Roman"/>
          <w:sz w:val="28"/>
          <w:szCs w:val="28"/>
        </w:rPr>
        <w:fldChar w:fldCharType="end"/>
      </w:r>
      <w:r w:rsidRPr="00A43B9C">
        <w:rPr>
          <w:rFonts w:ascii="Times New Roman" w:hAnsi="Times New Roman" w:cs="Times New Roman"/>
          <w:sz w:val="28"/>
          <w:szCs w:val="28"/>
        </w:rPr>
        <w:t xml:space="preserve">. Краткое </w:t>
      </w:r>
      <w:r w:rsidRPr="00A43B9C">
        <w:rPr>
          <w:rFonts w:ascii="Times New Roman" w:hAnsi="Times New Roman" w:cs="Times New Roman"/>
          <w:sz w:val="28"/>
          <w:szCs w:val="28"/>
        </w:rPr>
        <w:lastRenderedPageBreak/>
        <w:t xml:space="preserve">изложение результатов, касающихся точности диагностики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rPr>
        <w:t>F-</w:t>
      </w:r>
      <w:r w:rsidRPr="00A43B9C">
        <w:rPr>
          <w:rFonts w:ascii="Times New Roman" w:hAnsi="Times New Roman" w:cs="Times New Roman"/>
          <w:sz w:val="28"/>
          <w:szCs w:val="28"/>
          <w:lang w:val="en-US"/>
        </w:rPr>
        <w:t>FDG</w:t>
      </w:r>
      <w:r w:rsidRPr="00A43B9C">
        <w:rPr>
          <w:rFonts w:ascii="Times New Roman" w:hAnsi="Times New Roman" w:cs="Times New Roman"/>
          <w:sz w:val="28"/>
          <w:szCs w:val="28"/>
        </w:rPr>
        <w:t xml:space="preserve"> ПЭТ/КТ по авторам, проводившим исследования при </w:t>
      </w:r>
      <w:r w:rsidR="005D17A4">
        <w:rPr>
          <w:rFonts w:ascii="Times New Roman" w:hAnsi="Times New Roman" w:cs="Times New Roman"/>
          <w:sz w:val="28"/>
          <w:szCs w:val="28"/>
        </w:rPr>
        <w:t>колоректальном раке</w:t>
      </w:r>
      <w:r w:rsidRPr="00A43B9C">
        <w:rPr>
          <w:rFonts w:ascii="Times New Roman" w:hAnsi="Times New Roman" w:cs="Times New Roman"/>
          <w:sz w:val="28"/>
          <w:szCs w:val="28"/>
        </w:rPr>
        <w:t xml:space="preserve">, приведены в таблице </w:t>
      </w:r>
      <w:r w:rsidR="00676870" w:rsidRPr="00A43B9C">
        <w:rPr>
          <w:rFonts w:ascii="Times New Roman" w:hAnsi="Times New Roman" w:cs="Times New Roman"/>
          <w:sz w:val="28"/>
          <w:szCs w:val="28"/>
        </w:rPr>
        <w:t>2</w:t>
      </w:r>
      <w:r w:rsidRPr="00A43B9C">
        <w:rPr>
          <w:rFonts w:ascii="Times New Roman" w:hAnsi="Times New Roman" w:cs="Times New Roman"/>
          <w:sz w:val="28"/>
          <w:szCs w:val="28"/>
        </w:rPr>
        <w:t xml:space="preserve"> с учетом </w:t>
      </w:r>
      <w:r w:rsidR="005D17A4">
        <w:rPr>
          <w:rFonts w:ascii="Times New Roman" w:hAnsi="Times New Roman" w:cs="Times New Roman"/>
          <w:sz w:val="28"/>
          <w:szCs w:val="28"/>
        </w:rPr>
        <w:t xml:space="preserve">соответствующих </w:t>
      </w:r>
      <w:r w:rsidRPr="00A43B9C">
        <w:rPr>
          <w:rFonts w:ascii="Times New Roman" w:hAnsi="Times New Roman" w:cs="Times New Roman"/>
          <w:sz w:val="28"/>
          <w:szCs w:val="28"/>
        </w:rPr>
        <w:t xml:space="preserve">результатов </w:t>
      </w:r>
      <w:r w:rsidRPr="00A43B9C">
        <w:rPr>
          <w:rFonts w:ascii="Times New Roman" w:hAnsi="Times New Roman" w:cs="Times New Roman"/>
          <w:sz w:val="28"/>
          <w:szCs w:val="28"/>
        </w:rPr>
        <w:fldChar w:fldCharType="begin"/>
      </w:r>
      <w:r w:rsidR="00F6152F">
        <w:rPr>
          <w:rFonts w:ascii="Times New Roman" w:hAnsi="Times New Roman" w:cs="Times New Roman"/>
          <w:sz w:val="28"/>
          <w:szCs w:val="28"/>
        </w:rPr>
        <w:instrText xml:space="preserve"> ADDIN ZOTERO_ITEM CSL_CITATION {"citationID":"qFGlvqO9","properties":{"formattedCitation":"[7, 191]","plainCitation":"[7, 191]","noteIndex":0},"citationItems":[{"id":660,"uris":["http://zotero.org/users/8787459/items/9CV4ZM8G"],"itemData":{"id":660,"type":"article-journal","abstract":"Purpose\nA comprehensive systematic review of the literature was conducted on parameters from 18 F-FDG PET and a meta-analysis of the prognostic value of the maximal standard uptake value (SUVmax), metabolic tumor volume (MTV) and total lesional glycolysis (TLG) in patients with breast cancer (BC).\n\nPatients and methods\nRelevant English articles from PubMed, EMBASE, and the Cochrane Library were retrieved. Pooled hazard ratios (HRs) were used to assess the prognostic value of SUVmax, MTV, and TLG.\n\nResults\nA total of 20 primary studies with 3115 patients with BC were included. The combined HRs (95% confidence interval [CI] of higher SUVmax and higher TLG for event-free survival (EFS) were 1.53 (95% CI, 1.25–1.89, P = 0.0006) and 5.94 (95% CI, 2.57–13.71, P = 0.97), respectively. Regarding the overall survival (OS), the combined HRs were 1.22 (95%CI, 1.02–1.45, P = 0.0006) with higher SUVmax, and 2.91(95% CI, 1.75–4.85, P = 0.44) with higher MTV. Higher MTV showed no correlation with EFS [1.31(95% CI, 0.65–2.65, P = 0.18)] and similarly higher TLG showed no correlation with OS [1.20(95% CI, 0.65–2.23, P = 0.45)]. Subgroup analysis showed that SUVmax, with a median value of 5.55 was considered as a significant risk factor for both EFS and OS in BC patients.\n\nConclusion\nDespite clinically heterogeneous BC patients and adoption of various methods between studies, the present meta-analysis results confirmed that patients with high SUVmax are at high risk of adverse events or death in BC patients, high MTV predicted a high risk of death and high TLG predicted a high risk of adverse events.","container-title":"PLoS ONE","DOI":"10.1371/journal.pone.0225959","ISSN":"1932-6203","issue":"12","journalAbbreviation":"PLoS One","note":"PMID: 31826010\nPMCID: PMC6905566","page":"e0225959","source":"PubMed Central","title":"Prognostic value of maximum standard uptake value, metabolic tumor volume, and total lesion glycolysis of positron emission tomography/computed tomography in patients with breast cancer: A systematic review and meta-analysis","title-short":"Prognostic value of maximum standard uptake value, metabolic tumor volume, and total lesion glycolysis of positron emission tomography/computed tomography in patients with breast cancer","volume":"14","author":[{"family":"Wen","given":"Weibo"},{"family":"Xuan","given":"Dongchun"},{"family":"Hu","given":"Yulai"},{"family":"Li","given":"Xiangdan"},{"family":"Liu","given":"Lan"},{"family":"Xu","given":"Dongyuan"}],"issued":{"date-parts":[["2019",12,11]]}},"label":"page"},{"id":658,"uris":["http://zotero.org/users/8787459/items/WBV5YHW8"],"itemData":{"id":658,"type":"article-journal","abstract":"The role of 18-fluorodeoxyglucose positron emission tomography CT (18FDG PET/CT), as a prognostic factor for survival in colorectal cancer patients with liver metastases, is still controversial. We sought to perform a meta-analysis of the literature to address this issue.","container-title":"Cancer Imaging","DOI":"10.1186/s40644-015-0055-z","ISSN":"1470-7330","issue":"1","journalAbbreviation":"Cancer Imaging","page":"19","source":"BioMed Central","title":"Prognostic significance of 18FDG PET/CT in colorectal cancer patients with liver metastases: a meta-analysis","title-short":"Prognostic significance of 18FDG PET/CT in colorectal cancer patients with liver metastases","volume":"15","author":[{"family":"Xia","given":"Qian"},{"family":"Liu","given":"Jianjun"},{"family":"Wu","given":"Cheng"},{"family":"Song","given":"Shaoli"},{"family":"Tong","given":"Linjun"},{"family":"Huang","given":"Gang"},{"family":"Feng","given":"Yuanbo"},{"family":"Jiang","given":"Yansheng"},{"family":"Liu","given":"Yewei"},{"family":"Yin","given":"Ting"},{"family":"Ni","given":"Yicheng"}],"issued":{"date-parts":[["2015",11,20]]}},"label":"page"}],"schema":"https://github.com/citation-style-language/schema/raw/master/csl-citation.json"} </w:instrText>
      </w:r>
      <w:r w:rsidRPr="00A43B9C">
        <w:rPr>
          <w:rFonts w:ascii="Times New Roman" w:hAnsi="Times New Roman" w:cs="Times New Roman"/>
          <w:sz w:val="28"/>
          <w:szCs w:val="28"/>
        </w:rPr>
        <w:fldChar w:fldCharType="separate"/>
      </w:r>
      <w:r w:rsidR="00F6152F" w:rsidRPr="00F6152F">
        <w:rPr>
          <w:rFonts w:ascii="Times New Roman" w:hAnsi="Times New Roman" w:cs="Times New Roman"/>
          <w:sz w:val="28"/>
        </w:rPr>
        <w:t>[191]</w:t>
      </w:r>
      <w:r w:rsidRPr="00A43B9C">
        <w:rPr>
          <w:rFonts w:ascii="Times New Roman" w:hAnsi="Times New Roman" w:cs="Times New Roman"/>
          <w:sz w:val="28"/>
          <w:szCs w:val="28"/>
        </w:rPr>
        <w:fldChar w:fldCharType="end"/>
      </w:r>
      <w:r w:rsidRPr="00A43B9C">
        <w:rPr>
          <w:rFonts w:ascii="Times New Roman" w:hAnsi="Times New Roman" w:cs="Times New Roman"/>
          <w:sz w:val="28"/>
          <w:szCs w:val="28"/>
        </w:rPr>
        <w:t>.</w:t>
      </w:r>
    </w:p>
    <w:p w14:paraId="07E32C58" w14:textId="77777777" w:rsidR="0014310F" w:rsidRDefault="0014310F" w:rsidP="0014310F">
      <w:pPr>
        <w:autoSpaceDE w:val="0"/>
        <w:autoSpaceDN w:val="0"/>
        <w:adjustRightInd w:val="0"/>
        <w:spacing w:after="0" w:line="240" w:lineRule="auto"/>
        <w:rPr>
          <w:rFonts w:ascii="Times New Roman" w:hAnsi="Times New Roman" w:cs="Times New Roman"/>
          <w:sz w:val="28"/>
          <w:szCs w:val="28"/>
        </w:rPr>
      </w:pPr>
    </w:p>
    <w:p w14:paraId="3128F1BA" w14:textId="77777777" w:rsidR="0014310F" w:rsidRPr="00A43B9C" w:rsidRDefault="0014310F" w:rsidP="0014310F">
      <w:pPr>
        <w:autoSpaceDE w:val="0"/>
        <w:autoSpaceDN w:val="0"/>
        <w:adjustRightInd w:val="0"/>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2 - Мета-анализ данных чувствительности и специфичности</w:t>
      </w:r>
    </w:p>
    <w:p w14:paraId="0ACE4A89" w14:textId="77777777" w:rsidR="0014310F" w:rsidRPr="00A43B9C" w:rsidRDefault="0014310F" w:rsidP="0014310F">
      <w:pPr>
        <w:autoSpaceDE w:val="0"/>
        <w:autoSpaceDN w:val="0"/>
        <w:adjustRightInd w:val="0"/>
        <w:spacing w:after="0" w:line="240" w:lineRule="auto"/>
        <w:rPr>
          <w:rFonts w:ascii="Times New Roman" w:hAnsi="Times New Roman" w:cs="Times New Roman"/>
          <w:sz w:val="28"/>
          <w:szCs w:val="28"/>
        </w:rPr>
      </w:pPr>
    </w:p>
    <w:tbl>
      <w:tblPr>
        <w:tblStyle w:val="ad"/>
        <w:tblW w:w="5000" w:type="pct"/>
        <w:tblLook w:val="04A0" w:firstRow="1" w:lastRow="0" w:firstColumn="1" w:lastColumn="0" w:noHBand="0" w:noVBand="1"/>
      </w:tblPr>
      <w:tblGrid>
        <w:gridCol w:w="1709"/>
        <w:gridCol w:w="2275"/>
        <w:gridCol w:w="636"/>
        <w:gridCol w:w="636"/>
        <w:gridCol w:w="598"/>
        <w:gridCol w:w="660"/>
        <w:gridCol w:w="644"/>
        <w:gridCol w:w="1064"/>
        <w:gridCol w:w="1122"/>
      </w:tblGrid>
      <w:tr w:rsidR="0014310F" w:rsidRPr="00A43B9C" w14:paraId="6173F63D" w14:textId="77777777" w:rsidTr="0014310F">
        <w:tc>
          <w:tcPr>
            <w:tcW w:w="914" w:type="pct"/>
            <w:vAlign w:val="center"/>
          </w:tcPr>
          <w:p w14:paraId="270E14B5"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Тип / локализация</w:t>
            </w:r>
          </w:p>
        </w:tc>
        <w:tc>
          <w:tcPr>
            <w:tcW w:w="1217" w:type="pct"/>
            <w:vAlign w:val="center"/>
          </w:tcPr>
          <w:p w14:paraId="623D1A4D"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Метод калькуляции</w:t>
            </w:r>
          </w:p>
        </w:tc>
        <w:tc>
          <w:tcPr>
            <w:tcW w:w="340" w:type="pct"/>
            <w:vAlign w:val="center"/>
          </w:tcPr>
          <w:p w14:paraId="5D26DECD"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n</w:t>
            </w:r>
          </w:p>
        </w:tc>
        <w:tc>
          <w:tcPr>
            <w:tcW w:w="340" w:type="pct"/>
            <w:vAlign w:val="center"/>
          </w:tcPr>
          <w:p w14:paraId="373E4EB7"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TP</w:t>
            </w:r>
            <w:r>
              <w:rPr>
                <w:rFonts w:ascii="Times New Roman" w:hAnsi="Times New Roman" w:cs="Times New Roman"/>
                <w:bCs/>
                <w:sz w:val="28"/>
                <w:szCs w:val="28"/>
                <w:lang w:val="en-US"/>
              </w:rPr>
              <w:t>, n</w:t>
            </w:r>
          </w:p>
        </w:tc>
        <w:tc>
          <w:tcPr>
            <w:tcW w:w="320" w:type="pct"/>
            <w:vAlign w:val="center"/>
          </w:tcPr>
          <w:p w14:paraId="6C5EA010"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FP</w:t>
            </w:r>
            <w:r>
              <w:rPr>
                <w:rFonts w:ascii="Times New Roman" w:hAnsi="Times New Roman" w:cs="Times New Roman"/>
                <w:bCs/>
                <w:sz w:val="28"/>
                <w:szCs w:val="28"/>
                <w:lang w:val="en-US"/>
              </w:rPr>
              <w:t>, n</w:t>
            </w:r>
          </w:p>
        </w:tc>
        <w:tc>
          <w:tcPr>
            <w:tcW w:w="353" w:type="pct"/>
            <w:vAlign w:val="center"/>
          </w:tcPr>
          <w:p w14:paraId="052F8100"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TN</w:t>
            </w:r>
            <w:r>
              <w:rPr>
                <w:rFonts w:ascii="Times New Roman" w:hAnsi="Times New Roman" w:cs="Times New Roman"/>
                <w:bCs/>
                <w:sz w:val="28"/>
                <w:szCs w:val="28"/>
                <w:lang w:val="en-US"/>
              </w:rPr>
              <w:t>, %</w:t>
            </w:r>
          </w:p>
        </w:tc>
        <w:tc>
          <w:tcPr>
            <w:tcW w:w="345" w:type="pct"/>
            <w:vAlign w:val="center"/>
          </w:tcPr>
          <w:p w14:paraId="0A7481CB"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lang w:val="en-US"/>
              </w:rPr>
              <w:t>F</w:t>
            </w:r>
            <w:r w:rsidRPr="00A43B9C">
              <w:rPr>
                <w:rFonts w:ascii="Times New Roman" w:hAnsi="Times New Roman" w:cs="Times New Roman"/>
                <w:bCs/>
                <w:sz w:val="28"/>
                <w:szCs w:val="28"/>
                <w:lang w:val="en-US"/>
              </w:rPr>
              <w:t>N</w:t>
            </w:r>
            <w:r>
              <w:rPr>
                <w:rFonts w:ascii="Times New Roman" w:hAnsi="Times New Roman" w:cs="Times New Roman"/>
                <w:bCs/>
                <w:sz w:val="28"/>
                <w:szCs w:val="28"/>
                <w:lang w:val="en-US"/>
              </w:rPr>
              <w:t>, %</w:t>
            </w:r>
          </w:p>
        </w:tc>
        <w:tc>
          <w:tcPr>
            <w:tcW w:w="570" w:type="pct"/>
            <w:vAlign w:val="center"/>
          </w:tcPr>
          <w:p w14:paraId="32A40357"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Se</w:t>
            </w:r>
            <w:r>
              <w:rPr>
                <w:rFonts w:ascii="Times New Roman" w:hAnsi="Times New Roman" w:cs="Times New Roman"/>
                <w:bCs/>
                <w:sz w:val="28"/>
                <w:szCs w:val="28"/>
                <w:lang w:val="en-US"/>
              </w:rPr>
              <w:t>,</w:t>
            </w:r>
            <w:r w:rsidRPr="00A43B9C">
              <w:rPr>
                <w:rFonts w:ascii="Times New Roman" w:hAnsi="Times New Roman" w:cs="Times New Roman"/>
                <w:bCs/>
                <w:sz w:val="28"/>
                <w:szCs w:val="28"/>
                <w:lang w:val="en-US"/>
              </w:rPr>
              <w:t xml:space="preserve"> %</w:t>
            </w:r>
          </w:p>
        </w:tc>
        <w:tc>
          <w:tcPr>
            <w:tcW w:w="600" w:type="pct"/>
            <w:vAlign w:val="center"/>
          </w:tcPr>
          <w:p w14:paraId="5920FC17"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Sp</w:t>
            </w:r>
            <w:r>
              <w:rPr>
                <w:rFonts w:ascii="Times New Roman" w:hAnsi="Times New Roman" w:cs="Times New Roman"/>
                <w:bCs/>
                <w:sz w:val="28"/>
                <w:szCs w:val="28"/>
                <w:lang w:val="en-US"/>
              </w:rPr>
              <w:t>,</w:t>
            </w:r>
            <w:r w:rsidRPr="00A43B9C">
              <w:rPr>
                <w:rFonts w:ascii="Times New Roman" w:hAnsi="Times New Roman" w:cs="Times New Roman"/>
                <w:bCs/>
                <w:sz w:val="28"/>
                <w:szCs w:val="28"/>
                <w:lang w:val="en-US"/>
              </w:rPr>
              <w:t xml:space="preserve"> %</w:t>
            </w:r>
          </w:p>
        </w:tc>
      </w:tr>
      <w:tr w:rsidR="0014310F" w:rsidRPr="00A43B9C" w14:paraId="551DB02D" w14:textId="77777777" w:rsidTr="0014310F">
        <w:tc>
          <w:tcPr>
            <w:tcW w:w="914" w:type="pct"/>
            <w:vMerge w:val="restart"/>
            <w:vAlign w:val="center"/>
          </w:tcPr>
          <w:p w14:paraId="38BA73FA" w14:textId="77777777" w:rsidR="0014310F" w:rsidRPr="00A43B9C" w:rsidRDefault="0014310F" w:rsidP="0079247B">
            <w:pPr>
              <w:autoSpaceDE w:val="0"/>
              <w:autoSpaceDN w:val="0"/>
              <w:adjustRightInd w:val="0"/>
              <w:spacing w:after="0" w:line="240" w:lineRule="auto"/>
              <w:rPr>
                <w:rFonts w:ascii="Times New Roman" w:hAnsi="Times New Roman" w:cs="Times New Roman"/>
                <w:sz w:val="28"/>
                <w:szCs w:val="28"/>
              </w:rPr>
            </w:pPr>
            <w:r w:rsidRPr="00A43B9C">
              <w:rPr>
                <w:rFonts w:ascii="Times New Roman" w:hAnsi="Times New Roman" w:cs="Times New Roman"/>
                <w:sz w:val="28"/>
                <w:szCs w:val="28"/>
              </w:rPr>
              <w:t>Все тело</w:t>
            </w:r>
          </w:p>
        </w:tc>
        <w:tc>
          <w:tcPr>
            <w:tcW w:w="1217" w:type="pct"/>
            <w:vAlign w:val="center"/>
          </w:tcPr>
          <w:p w14:paraId="64001449" w14:textId="77777777" w:rsidR="0014310F" w:rsidRPr="00A43B9C" w:rsidRDefault="0014310F" w:rsidP="0079247B">
            <w:pPr>
              <w:autoSpaceDE w:val="0"/>
              <w:autoSpaceDN w:val="0"/>
              <w:adjustRightInd w:val="0"/>
              <w:spacing w:after="0" w:line="240" w:lineRule="auto"/>
              <w:rPr>
                <w:rFonts w:ascii="Times New Roman" w:hAnsi="Times New Roman" w:cs="Times New Roman"/>
                <w:sz w:val="28"/>
                <w:szCs w:val="28"/>
              </w:rPr>
            </w:pPr>
            <w:r w:rsidRPr="00A43B9C">
              <w:rPr>
                <w:rFonts w:ascii="Times New Roman" w:hAnsi="Times New Roman" w:cs="Times New Roman"/>
                <w:sz w:val="28"/>
                <w:szCs w:val="28"/>
              </w:rPr>
              <w:t>Объединенные данные</w:t>
            </w:r>
          </w:p>
        </w:tc>
        <w:tc>
          <w:tcPr>
            <w:tcW w:w="340" w:type="pct"/>
            <w:vMerge w:val="restart"/>
            <w:vAlign w:val="center"/>
          </w:tcPr>
          <w:p w14:paraId="721725E2"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281</w:t>
            </w:r>
          </w:p>
        </w:tc>
        <w:tc>
          <w:tcPr>
            <w:tcW w:w="340" w:type="pct"/>
            <w:vMerge w:val="restart"/>
            <w:vAlign w:val="center"/>
          </w:tcPr>
          <w:p w14:paraId="7D15487B"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229</w:t>
            </w:r>
          </w:p>
        </w:tc>
        <w:tc>
          <w:tcPr>
            <w:tcW w:w="320" w:type="pct"/>
            <w:vMerge w:val="restart"/>
            <w:vAlign w:val="center"/>
          </w:tcPr>
          <w:p w14:paraId="348AA0C7"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11</w:t>
            </w:r>
          </w:p>
        </w:tc>
        <w:tc>
          <w:tcPr>
            <w:tcW w:w="353" w:type="pct"/>
            <w:vMerge w:val="restart"/>
            <w:vAlign w:val="center"/>
          </w:tcPr>
          <w:p w14:paraId="4546C324"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34</w:t>
            </w:r>
          </w:p>
        </w:tc>
        <w:tc>
          <w:tcPr>
            <w:tcW w:w="345" w:type="pct"/>
            <w:vMerge w:val="restart"/>
            <w:vAlign w:val="center"/>
          </w:tcPr>
          <w:p w14:paraId="46B9158B"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7</w:t>
            </w:r>
          </w:p>
        </w:tc>
        <w:tc>
          <w:tcPr>
            <w:tcW w:w="570" w:type="pct"/>
            <w:vAlign w:val="center"/>
          </w:tcPr>
          <w:p w14:paraId="457C4AB1"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97</w:t>
            </w:r>
            <w:r>
              <w:rPr>
                <w:rFonts w:ascii="Times New Roman" w:hAnsi="Times New Roman" w:cs="Times New Roman"/>
                <w:sz w:val="28"/>
                <w:szCs w:val="28"/>
                <w:lang w:val="en-US"/>
              </w:rPr>
              <w:t>,</w:t>
            </w:r>
            <w:r w:rsidRPr="00A43B9C">
              <w:rPr>
                <w:rFonts w:ascii="Times New Roman" w:hAnsi="Times New Roman" w:cs="Times New Roman"/>
                <w:sz w:val="28"/>
                <w:szCs w:val="28"/>
                <w:lang w:val="en-US"/>
              </w:rPr>
              <w:t>03</w:t>
            </w:r>
          </w:p>
        </w:tc>
        <w:tc>
          <w:tcPr>
            <w:tcW w:w="600" w:type="pct"/>
            <w:vAlign w:val="center"/>
          </w:tcPr>
          <w:p w14:paraId="4C4A2FEF"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75</w:t>
            </w:r>
            <w:r>
              <w:rPr>
                <w:rFonts w:ascii="Times New Roman" w:hAnsi="Times New Roman" w:cs="Times New Roman"/>
                <w:sz w:val="28"/>
                <w:szCs w:val="28"/>
                <w:lang w:val="en-US"/>
              </w:rPr>
              <w:t>,</w:t>
            </w:r>
            <w:r w:rsidRPr="00A43B9C">
              <w:rPr>
                <w:rFonts w:ascii="Times New Roman" w:hAnsi="Times New Roman" w:cs="Times New Roman"/>
                <w:sz w:val="28"/>
                <w:szCs w:val="28"/>
                <w:lang w:val="en-US"/>
              </w:rPr>
              <w:t>56</w:t>
            </w:r>
          </w:p>
        </w:tc>
      </w:tr>
      <w:tr w:rsidR="0014310F" w:rsidRPr="00A43B9C" w14:paraId="5EC38B61" w14:textId="77777777" w:rsidTr="0014310F">
        <w:tc>
          <w:tcPr>
            <w:tcW w:w="914" w:type="pct"/>
            <w:vMerge/>
            <w:vAlign w:val="center"/>
          </w:tcPr>
          <w:p w14:paraId="6EFC8BB5" w14:textId="77777777" w:rsidR="0014310F" w:rsidRPr="00A43B9C" w:rsidRDefault="0014310F" w:rsidP="0079247B">
            <w:pPr>
              <w:autoSpaceDE w:val="0"/>
              <w:autoSpaceDN w:val="0"/>
              <w:adjustRightInd w:val="0"/>
              <w:spacing w:after="0" w:line="240" w:lineRule="auto"/>
              <w:rPr>
                <w:rFonts w:ascii="Times New Roman" w:hAnsi="Times New Roman" w:cs="Times New Roman"/>
                <w:sz w:val="28"/>
                <w:szCs w:val="28"/>
              </w:rPr>
            </w:pPr>
          </w:p>
        </w:tc>
        <w:tc>
          <w:tcPr>
            <w:tcW w:w="1217" w:type="pct"/>
            <w:vAlign w:val="center"/>
          </w:tcPr>
          <w:p w14:paraId="69888507" w14:textId="77777777" w:rsidR="0014310F" w:rsidRPr="00A43B9C" w:rsidRDefault="0014310F" w:rsidP="0079247B">
            <w:pPr>
              <w:autoSpaceDE w:val="0"/>
              <w:autoSpaceDN w:val="0"/>
              <w:adjustRightInd w:val="0"/>
              <w:spacing w:after="0" w:line="240" w:lineRule="auto"/>
              <w:rPr>
                <w:rFonts w:ascii="Times New Roman" w:hAnsi="Times New Roman" w:cs="Times New Roman"/>
                <w:sz w:val="28"/>
                <w:szCs w:val="28"/>
              </w:rPr>
            </w:pPr>
            <w:r w:rsidRPr="00A43B9C">
              <w:rPr>
                <w:rFonts w:ascii="Times New Roman" w:hAnsi="Times New Roman" w:cs="Times New Roman"/>
                <w:sz w:val="28"/>
                <w:szCs w:val="28"/>
              </w:rPr>
              <w:t>Средняя величина</w:t>
            </w:r>
          </w:p>
        </w:tc>
        <w:tc>
          <w:tcPr>
            <w:tcW w:w="340" w:type="pct"/>
            <w:vMerge/>
            <w:vAlign w:val="center"/>
          </w:tcPr>
          <w:p w14:paraId="35645B80"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40" w:type="pct"/>
            <w:vMerge/>
            <w:vAlign w:val="center"/>
          </w:tcPr>
          <w:p w14:paraId="6616FDF0"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20" w:type="pct"/>
            <w:vMerge/>
            <w:vAlign w:val="center"/>
          </w:tcPr>
          <w:p w14:paraId="1B18C21F"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53" w:type="pct"/>
            <w:vMerge/>
            <w:vAlign w:val="center"/>
          </w:tcPr>
          <w:p w14:paraId="1FDBE240"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45" w:type="pct"/>
            <w:vMerge/>
            <w:vAlign w:val="center"/>
          </w:tcPr>
          <w:p w14:paraId="51837390"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570" w:type="pct"/>
            <w:vAlign w:val="center"/>
          </w:tcPr>
          <w:p w14:paraId="3AF52BA3"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97</w:t>
            </w:r>
            <w:r>
              <w:rPr>
                <w:rFonts w:ascii="Times New Roman" w:hAnsi="Times New Roman" w:cs="Times New Roman"/>
                <w:sz w:val="28"/>
                <w:szCs w:val="28"/>
                <w:lang w:val="en-US"/>
              </w:rPr>
              <w:t>,</w:t>
            </w:r>
            <w:r w:rsidRPr="00A43B9C">
              <w:rPr>
                <w:rFonts w:ascii="Times New Roman" w:hAnsi="Times New Roman" w:cs="Times New Roman"/>
                <w:sz w:val="28"/>
                <w:szCs w:val="28"/>
                <w:lang w:val="en-US"/>
              </w:rPr>
              <w:t>13</w:t>
            </w:r>
          </w:p>
        </w:tc>
        <w:tc>
          <w:tcPr>
            <w:tcW w:w="600" w:type="pct"/>
            <w:vAlign w:val="center"/>
          </w:tcPr>
          <w:p w14:paraId="6A97DB43"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77</w:t>
            </w:r>
            <w:r>
              <w:rPr>
                <w:rFonts w:ascii="Times New Roman" w:hAnsi="Times New Roman" w:cs="Times New Roman"/>
                <w:sz w:val="28"/>
                <w:szCs w:val="28"/>
                <w:lang w:val="en-US"/>
              </w:rPr>
              <w:t>,</w:t>
            </w:r>
            <w:r w:rsidRPr="00A43B9C">
              <w:rPr>
                <w:rFonts w:ascii="Times New Roman" w:hAnsi="Times New Roman" w:cs="Times New Roman"/>
                <w:sz w:val="28"/>
                <w:szCs w:val="28"/>
                <w:lang w:val="en-US"/>
              </w:rPr>
              <w:t>12</w:t>
            </w:r>
          </w:p>
        </w:tc>
      </w:tr>
      <w:tr w:rsidR="0014310F" w:rsidRPr="00A43B9C" w14:paraId="68DD0982" w14:textId="77777777" w:rsidTr="0014310F">
        <w:tc>
          <w:tcPr>
            <w:tcW w:w="914" w:type="pct"/>
            <w:vMerge/>
            <w:vAlign w:val="center"/>
          </w:tcPr>
          <w:p w14:paraId="0EC6F39D" w14:textId="77777777" w:rsidR="0014310F" w:rsidRPr="00A43B9C" w:rsidRDefault="0014310F" w:rsidP="0079247B">
            <w:pPr>
              <w:autoSpaceDE w:val="0"/>
              <w:autoSpaceDN w:val="0"/>
              <w:adjustRightInd w:val="0"/>
              <w:spacing w:after="0" w:line="240" w:lineRule="auto"/>
              <w:rPr>
                <w:rFonts w:ascii="Times New Roman" w:hAnsi="Times New Roman" w:cs="Times New Roman"/>
                <w:sz w:val="28"/>
                <w:szCs w:val="28"/>
              </w:rPr>
            </w:pPr>
          </w:p>
        </w:tc>
        <w:tc>
          <w:tcPr>
            <w:tcW w:w="1217" w:type="pct"/>
            <w:vAlign w:val="center"/>
          </w:tcPr>
          <w:p w14:paraId="017C8CAE" w14:textId="77777777" w:rsidR="0014310F" w:rsidRPr="00A43B9C" w:rsidRDefault="0014310F" w:rsidP="0079247B">
            <w:pPr>
              <w:autoSpaceDE w:val="0"/>
              <w:autoSpaceDN w:val="0"/>
              <w:adjustRightInd w:val="0"/>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rPr>
              <w:t xml:space="preserve">Неприменимость кривой </w:t>
            </w:r>
            <w:r w:rsidRPr="00A43B9C">
              <w:rPr>
                <w:rFonts w:ascii="Times New Roman" w:hAnsi="Times New Roman" w:cs="Times New Roman"/>
                <w:sz w:val="28"/>
                <w:szCs w:val="28"/>
                <w:lang w:val="en-US"/>
              </w:rPr>
              <w:t>ROC</w:t>
            </w:r>
          </w:p>
        </w:tc>
        <w:tc>
          <w:tcPr>
            <w:tcW w:w="340" w:type="pct"/>
            <w:vMerge/>
            <w:vAlign w:val="center"/>
          </w:tcPr>
          <w:p w14:paraId="222D9CFF"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40" w:type="pct"/>
            <w:vMerge/>
            <w:vAlign w:val="center"/>
          </w:tcPr>
          <w:p w14:paraId="4AEC9570"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20" w:type="pct"/>
            <w:vMerge/>
            <w:vAlign w:val="center"/>
          </w:tcPr>
          <w:p w14:paraId="712DD4DF"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53" w:type="pct"/>
            <w:vMerge/>
            <w:vAlign w:val="center"/>
          </w:tcPr>
          <w:p w14:paraId="064C55D1"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45" w:type="pct"/>
            <w:vMerge/>
            <w:vAlign w:val="center"/>
          </w:tcPr>
          <w:p w14:paraId="3984EE7F"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570" w:type="pct"/>
            <w:vAlign w:val="center"/>
          </w:tcPr>
          <w:p w14:paraId="3BBE4120"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c>
          <w:tcPr>
            <w:tcW w:w="600" w:type="pct"/>
            <w:vAlign w:val="center"/>
          </w:tcPr>
          <w:p w14:paraId="0CD52AF1"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r>
      <w:tr w:rsidR="0014310F" w:rsidRPr="00A43B9C" w14:paraId="56B686F0" w14:textId="77777777" w:rsidTr="0014310F">
        <w:tc>
          <w:tcPr>
            <w:tcW w:w="914" w:type="pct"/>
            <w:vMerge w:val="restart"/>
            <w:vAlign w:val="center"/>
          </w:tcPr>
          <w:p w14:paraId="02C2B5A5" w14:textId="77777777" w:rsidR="0014310F" w:rsidRPr="00A43B9C" w:rsidRDefault="0014310F" w:rsidP="0079247B">
            <w:pPr>
              <w:autoSpaceDE w:val="0"/>
              <w:autoSpaceDN w:val="0"/>
              <w:adjustRightInd w:val="0"/>
              <w:spacing w:after="0" w:line="240" w:lineRule="auto"/>
              <w:rPr>
                <w:rFonts w:ascii="Times New Roman" w:hAnsi="Times New Roman" w:cs="Times New Roman"/>
                <w:sz w:val="28"/>
                <w:szCs w:val="28"/>
              </w:rPr>
            </w:pPr>
            <w:r w:rsidRPr="00A43B9C">
              <w:rPr>
                <w:rFonts w:ascii="Times New Roman" w:hAnsi="Times New Roman" w:cs="Times New Roman"/>
                <w:sz w:val="28"/>
                <w:szCs w:val="28"/>
              </w:rPr>
              <w:t>Поражение печени</w:t>
            </w:r>
          </w:p>
        </w:tc>
        <w:tc>
          <w:tcPr>
            <w:tcW w:w="1217" w:type="pct"/>
            <w:vAlign w:val="center"/>
          </w:tcPr>
          <w:p w14:paraId="02BF2043" w14:textId="77777777" w:rsidR="0014310F" w:rsidRPr="00A43B9C" w:rsidRDefault="0014310F" w:rsidP="0079247B">
            <w:pPr>
              <w:autoSpaceDE w:val="0"/>
              <w:autoSpaceDN w:val="0"/>
              <w:adjustRightInd w:val="0"/>
              <w:spacing w:after="0" w:line="240" w:lineRule="auto"/>
              <w:rPr>
                <w:rFonts w:ascii="Times New Roman" w:hAnsi="Times New Roman" w:cs="Times New Roman"/>
                <w:sz w:val="28"/>
                <w:szCs w:val="28"/>
              </w:rPr>
            </w:pPr>
            <w:r w:rsidRPr="00A43B9C">
              <w:rPr>
                <w:rFonts w:ascii="Times New Roman" w:hAnsi="Times New Roman" w:cs="Times New Roman"/>
                <w:sz w:val="28"/>
                <w:szCs w:val="28"/>
              </w:rPr>
              <w:t>Объединенные данные</w:t>
            </w:r>
          </w:p>
        </w:tc>
        <w:tc>
          <w:tcPr>
            <w:tcW w:w="340" w:type="pct"/>
            <w:vMerge w:val="restart"/>
            <w:vAlign w:val="center"/>
          </w:tcPr>
          <w:p w14:paraId="794548FC"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393</w:t>
            </w:r>
          </w:p>
        </w:tc>
        <w:tc>
          <w:tcPr>
            <w:tcW w:w="340" w:type="pct"/>
            <w:vMerge w:val="restart"/>
            <w:vAlign w:val="center"/>
          </w:tcPr>
          <w:p w14:paraId="720DE78C"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182</w:t>
            </w:r>
          </w:p>
        </w:tc>
        <w:tc>
          <w:tcPr>
            <w:tcW w:w="320" w:type="pct"/>
            <w:vMerge w:val="restart"/>
            <w:vAlign w:val="center"/>
          </w:tcPr>
          <w:p w14:paraId="1A78CFBC"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2</w:t>
            </w:r>
          </w:p>
        </w:tc>
        <w:tc>
          <w:tcPr>
            <w:tcW w:w="353" w:type="pct"/>
            <w:vMerge w:val="restart"/>
            <w:vAlign w:val="center"/>
          </w:tcPr>
          <w:p w14:paraId="27C62C1A"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202</w:t>
            </w:r>
          </w:p>
        </w:tc>
        <w:tc>
          <w:tcPr>
            <w:tcW w:w="345" w:type="pct"/>
            <w:vMerge w:val="restart"/>
            <w:vAlign w:val="center"/>
          </w:tcPr>
          <w:p w14:paraId="78969BE3"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7</w:t>
            </w:r>
          </w:p>
        </w:tc>
        <w:tc>
          <w:tcPr>
            <w:tcW w:w="570" w:type="pct"/>
            <w:vAlign w:val="center"/>
          </w:tcPr>
          <w:p w14:paraId="44E74761"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96</w:t>
            </w:r>
            <w:r>
              <w:rPr>
                <w:rFonts w:ascii="Times New Roman" w:hAnsi="Times New Roman" w:cs="Times New Roman"/>
                <w:sz w:val="28"/>
                <w:szCs w:val="28"/>
                <w:lang w:val="en-US"/>
              </w:rPr>
              <w:t>,</w:t>
            </w:r>
            <w:r w:rsidRPr="00A43B9C">
              <w:rPr>
                <w:rFonts w:ascii="Times New Roman" w:hAnsi="Times New Roman" w:cs="Times New Roman"/>
                <w:sz w:val="28"/>
                <w:szCs w:val="28"/>
                <w:lang w:val="en-US"/>
              </w:rPr>
              <w:t>3</w:t>
            </w:r>
          </w:p>
        </w:tc>
        <w:tc>
          <w:tcPr>
            <w:tcW w:w="600" w:type="pct"/>
            <w:vAlign w:val="center"/>
          </w:tcPr>
          <w:p w14:paraId="77AA2E13"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99</w:t>
            </w:r>
            <w:r>
              <w:rPr>
                <w:rFonts w:ascii="Times New Roman" w:hAnsi="Times New Roman" w:cs="Times New Roman"/>
                <w:sz w:val="28"/>
                <w:szCs w:val="28"/>
                <w:lang w:val="en-US"/>
              </w:rPr>
              <w:t>,</w:t>
            </w:r>
            <w:r w:rsidRPr="00A43B9C">
              <w:rPr>
                <w:rFonts w:ascii="Times New Roman" w:hAnsi="Times New Roman" w:cs="Times New Roman"/>
                <w:sz w:val="28"/>
                <w:szCs w:val="28"/>
                <w:lang w:val="en-US"/>
              </w:rPr>
              <w:t>02</w:t>
            </w:r>
          </w:p>
        </w:tc>
      </w:tr>
      <w:tr w:rsidR="0014310F" w:rsidRPr="00A43B9C" w14:paraId="0183BB16" w14:textId="77777777" w:rsidTr="0014310F">
        <w:tc>
          <w:tcPr>
            <w:tcW w:w="914" w:type="pct"/>
            <w:vMerge/>
            <w:vAlign w:val="center"/>
          </w:tcPr>
          <w:p w14:paraId="33637EBA" w14:textId="77777777" w:rsidR="0014310F" w:rsidRPr="00A43B9C" w:rsidRDefault="0014310F" w:rsidP="0079247B">
            <w:pPr>
              <w:autoSpaceDE w:val="0"/>
              <w:autoSpaceDN w:val="0"/>
              <w:adjustRightInd w:val="0"/>
              <w:spacing w:after="0" w:line="240" w:lineRule="auto"/>
              <w:rPr>
                <w:rFonts w:ascii="Times New Roman" w:hAnsi="Times New Roman" w:cs="Times New Roman"/>
                <w:sz w:val="28"/>
                <w:szCs w:val="28"/>
              </w:rPr>
            </w:pPr>
          </w:p>
        </w:tc>
        <w:tc>
          <w:tcPr>
            <w:tcW w:w="1217" w:type="pct"/>
            <w:vAlign w:val="center"/>
          </w:tcPr>
          <w:p w14:paraId="0B0181BC" w14:textId="77777777" w:rsidR="0014310F" w:rsidRPr="00A43B9C" w:rsidRDefault="0014310F" w:rsidP="0079247B">
            <w:pPr>
              <w:autoSpaceDE w:val="0"/>
              <w:autoSpaceDN w:val="0"/>
              <w:adjustRightInd w:val="0"/>
              <w:spacing w:after="0" w:line="240" w:lineRule="auto"/>
              <w:rPr>
                <w:rFonts w:ascii="Times New Roman" w:hAnsi="Times New Roman" w:cs="Times New Roman"/>
                <w:sz w:val="28"/>
                <w:szCs w:val="28"/>
              </w:rPr>
            </w:pPr>
            <w:r w:rsidRPr="00A43B9C">
              <w:rPr>
                <w:rFonts w:ascii="Times New Roman" w:hAnsi="Times New Roman" w:cs="Times New Roman"/>
                <w:sz w:val="28"/>
                <w:szCs w:val="28"/>
              </w:rPr>
              <w:t>Средняя величина</w:t>
            </w:r>
          </w:p>
        </w:tc>
        <w:tc>
          <w:tcPr>
            <w:tcW w:w="340" w:type="pct"/>
            <w:vMerge/>
            <w:vAlign w:val="center"/>
          </w:tcPr>
          <w:p w14:paraId="53DACCCE"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40" w:type="pct"/>
            <w:vMerge/>
            <w:vAlign w:val="center"/>
          </w:tcPr>
          <w:p w14:paraId="0BEFEDEE"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20" w:type="pct"/>
            <w:vMerge/>
            <w:vAlign w:val="center"/>
          </w:tcPr>
          <w:p w14:paraId="0E8776F1"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53" w:type="pct"/>
            <w:vMerge/>
            <w:vAlign w:val="center"/>
          </w:tcPr>
          <w:p w14:paraId="7DEAA6DB"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45" w:type="pct"/>
            <w:vMerge/>
            <w:vAlign w:val="center"/>
          </w:tcPr>
          <w:p w14:paraId="2E101F50"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570" w:type="pct"/>
            <w:vAlign w:val="center"/>
          </w:tcPr>
          <w:p w14:paraId="3B8E0E5D"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96</w:t>
            </w:r>
            <w:r>
              <w:rPr>
                <w:rFonts w:ascii="Times New Roman" w:hAnsi="Times New Roman" w:cs="Times New Roman"/>
                <w:sz w:val="28"/>
                <w:szCs w:val="28"/>
                <w:lang w:val="en-US"/>
              </w:rPr>
              <w:t>,</w:t>
            </w:r>
            <w:r w:rsidRPr="00A43B9C">
              <w:rPr>
                <w:rFonts w:ascii="Times New Roman" w:hAnsi="Times New Roman" w:cs="Times New Roman"/>
                <w:sz w:val="28"/>
                <w:szCs w:val="28"/>
                <w:lang w:val="en-US"/>
              </w:rPr>
              <w:t>04</w:t>
            </w:r>
          </w:p>
        </w:tc>
        <w:tc>
          <w:tcPr>
            <w:tcW w:w="600" w:type="pct"/>
            <w:vAlign w:val="center"/>
          </w:tcPr>
          <w:p w14:paraId="53C9D881"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97</w:t>
            </w:r>
            <w:r>
              <w:rPr>
                <w:rFonts w:ascii="Times New Roman" w:hAnsi="Times New Roman" w:cs="Times New Roman"/>
                <w:sz w:val="28"/>
                <w:szCs w:val="28"/>
                <w:lang w:val="en-US"/>
              </w:rPr>
              <w:t>,</w:t>
            </w:r>
            <w:r w:rsidRPr="00A43B9C">
              <w:rPr>
                <w:rFonts w:ascii="Times New Roman" w:hAnsi="Times New Roman" w:cs="Times New Roman"/>
                <w:sz w:val="28"/>
                <w:szCs w:val="28"/>
                <w:lang w:val="en-US"/>
              </w:rPr>
              <w:t>12</w:t>
            </w:r>
          </w:p>
        </w:tc>
      </w:tr>
      <w:tr w:rsidR="0014310F" w:rsidRPr="00A43B9C" w14:paraId="235028D0" w14:textId="77777777" w:rsidTr="0014310F">
        <w:tc>
          <w:tcPr>
            <w:tcW w:w="914" w:type="pct"/>
            <w:vMerge/>
            <w:vAlign w:val="center"/>
          </w:tcPr>
          <w:p w14:paraId="35ACF5E3" w14:textId="77777777" w:rsidR="0014310F" w:rsidRPr="00A43B9C" w:rsidRDefault="0014310F" w:rsidP="0079247B">
            <w:pPr>
              <w:autoSpaceDE w:val="0"/>
              <w:autoSpaceDN w:val="0"/>
              <w:adjustRightInd w:val="0"/>
              <w:spacing w:after="0" w:line="240" w:lineRule="auto"/>
              <w:rPr>
                <w:rFonts w:ascii="Times New Roman" w:hAnsi="Times New Roman" w:cs="Times New Roman"/>
                <w:sz w:val="28"/>
                <w:szCs w:val="28"/>
              </w:rPr>
            </w:pPr>
          </w:p>
        </w:tc>
        <w:tc>
          <w:tcPr>
            <w:tcW w:w="1217" w:type="pct"/>
            <w:vAlign w:val="center"/>
          </w:tcPr>
          <w:p w14:paraId="4761D677" w14:textId="77777777" w:rsidR="0014310F" w:rsidRPr="00A43B9C" w:rsidRDefault="0014310F" w:rsidP="0079247B">
            <w:pPr>
              <w:autoSpaceDE w:val="0"/>
              <w:autoSpaceDN w:val="0"/>
              <w:adjustRightInd w:val="0"/>
              <w:spacing w:after="0" w:line="240" w:lineRule="auto"/>
              <w:rPr>
                <w:rFonts w:ascii="Times New Roman" w:hAnsi="Times New Roman" w:cs="Times New Roman"/>
                <w:sz w:val="28"/>
                <w:szCs w:val="28"/>
              </w:rPr>
            </w:pPr>
            <w:r w:rsidRPr="00A43B9C">
              <w:rPr>
                <w:rFonts w:ascii="Times New Roman" w:hAnsi="Times New Roman" w:cs="Times New Roman"/>
                <w:sz w:val="28"/>
                <w:szCs w:val="28"/>
              </w:rPr>
              <w:t xml:space="preserve">Неприменимость кривой </w:t>
            </w:r>
            <w:r w:rsidRPr="00A43B9C">
              <w:rPr>
                <w:rFonts w:ascii="Times New Roman" w:hAnsi="Times New Roman" w:cs="Times New Roman"/>
                <w:sz w:val="28"/>
                <w:szCs w:val="28"/>
                <w:lang w:val="en-US"/>
              </w:rPr>
              <w:t>ROC</w:t>
            </w:r>
          </w:p>
        </w:tc>
        <w:tc>
          <w:tcPr>
            <w:tcW w:w="340" w:type="pct"/>
            <w:vMerge/>
            <w:vAlign w:val="center"/>
          </w:tcPr>
          <w:p w14:paraId="0F6D5FBC"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40" w:type="pct"/>
            <w:vMerge/>
            <w:vAlign w:val="center"/>
          </w:tcPr>
          <w:p w14:paraId="71FE743A"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20" w:type="pct"/>
            <w:vMerge/>
            <w:vAlign w:val="center"/>
          </w:tcPr>
          <w:p w14:paraId="49BDD978"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53" w:type="pct"/>
            <w:vMerge/>
            <w:vAlign w:val="center"/>
          </w:tcPr>
          <w:p w14:paraId="134CA8F0"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45" w:type="pct"/>
            <w:vMerge/>
            <w:vAlign w:val="center"/>
          </w:tcPr>
          <w:p w14:paraId="7EF9B894"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570" w:type="pct"/>
            <w:vAlign w:val="center"/>
          </w:tcPr>
          <w:p w14:paraId="4D2B0B36"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c>
          <w:tcPr>
            <w:tcW w:w="600" w:type="pct"/>
            <w:vAlign w:val="center"/>
          </w:tcPr>
          <w:p w14:paraId="075A03CB"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r>
      <w:tr w:rsidR="0014310F" w:rsidRPr="00A43B9C" w14:paraId="63786FA0" w14:textId="77777777" w:rsidTr="0014310F">
        <w:tc>
          <w:tcPr>
            <w:tcW w:w="914" w:type="pct"/>
            <w:vMerge w:val="restart"/>
            <w:vAlign w:val="center"/>
          </w:tcPr>
          <w:p w14:paraId="1AE30B85" w14:textId="77777777" w:rsidR="0014310F" w:rsidRPr="00A43B9C" w:rsidRDefault="0014310F" w:rsidP="0079247B">
            <w:pPr>
              <w:autoSpaceDE w:val="0"/>
              <w:autoSpaceDN w:val="0"/>
              <w:adjustRightInd w:val="0"/>
              <w:spacing w:after="0" w:line="240" w:lineRule="auto"/>
              <w:rPr>
                <w:rFonts w:ascii="Times New Roman" w:hAnsi="Times New Roman" w:cs="Times New Roman"/>
                <w:sz w:val="28"/>
                <w:szCs w:val="28"/>
              </w:rPr>
            </w:pPr>
            <w:r w:rsidRPr="00A43B9C">
              <w:rPr>
                <w:rFonts w:ascii="Times New Roman" w:hAnsi="Times New Roman" w:cs="Times New Roman"/>
                <w:sz w:val="28"/>
                <w:szCs w:val="28"/>
              </w:rPr>
              <w:t>Локально / тазовая область</w:t>
            </w:r>
          </w:p>
        </w:tc>
        <w:tc>
          <w:tcPr>
            <w:tcW w:w="1217" w:type="pct"/>
            <w:vAlign w:val="center"/>
          </w:tcPr>
          <w:p w14:paraId="133DBE9E" w14:textId="77777777" w:rsidR="0014310F" w:rsidRPr="00A43B9C" w:rsidRDefault="0014310F" w:rsidP="0079247B">
            <w:pPr>
              <w:autoSpaceDE w:val="0"/>
              <w:autoSpaceDN w:val="0"/>
              <w:adjustRightInd w:val="0"/>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rPr>
              <w:t>Объединенные данные</w:t>
            </w:r>
          </w:p>
        </w:tc>
        <w:tc>
          <w:tcPr>
            <w:tcW w:w="340" w:type="pct"/>
            <w:vMerge w:val="restart"/>
            <w:vAlign w:val="center"/>
          </w:tcPr>
          <w:p w14:paraId="42C669F2"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366</w:t>
            </w:r>
          </w:p>
        </w:tc>
        <w:tc>
          <w:tcPr>
            <w:tcW w:w="340" w:type="pct"/>
            <w:vMerge w:val="restart"/>
            <w:vAlign w:val="center"/>
          </w:tcPr>
          <w:p w14:paraId="50DB4BBE"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137</w:t>
            </w:r>
          </w:p>
        </w:tc>
        <w:tc>
          <w:tcPr>
            <w:tcW w:w="320" w:type="pct"/>
            <w:vMerge w:val="restart"/>
            <w:vAlign w:val="center"/>
          </w:tcPr>
          <w:p w14:paraId="07F5A845"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5</w:t>
            </w:r>
          </w:p>
        </w:tc>
        <w:tc>
          <w:tcPr>
            <w:tcW w:w="353" w:type="pct"/>
            <w:vMerge w:val="restart"/>
            <w:vAlign w:val="center"/>
          </w:tcPr>
          <w:p w14:paraId="76451649"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214</w:t>
            </w:r>
          </w:p>
        </w:tc>
        <w:tc>
          <w:tcPr>
            <w:tcW w:w="345" w:type="pct"/>
            <w:vMerge w:val="restart"/>
            <w:vAlign w:val="center"/>
          </w:tcPr>
          <w:p w14:paraId="5374E9B3"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8</w:t>
            </w:r>
          </w:p>
        </w:tc>
        <w:tc>
          <w:tcPr>
            <w:tcW w:w="570" w:type="pct"/>
            <w:vAlign w:val="center"/>
          </w:tcPr>
          <w:p w14:paraId="4736698B"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94</w:t>
            </w:r>
            <w:r>
              <w:rPr>
                <w:rFonts w:ascii="Times New Roman" w:hAnsi="Times New Roman" w:cs="Times New Roman"/>
                <w:sz w:val="28"/>
                <w:szCs w:val="28"/>
                <w:lang w:val="en-US"/>
              </w:rPr>
              <w:t>,</w:t>
            </w:r>
            <w:r w:rsidRPr="00A43B9C">
              <w:rPr>
                <w:rFonts w:ascii="Times New Roman" w:hAnsi="Times New Roman" w:cs="Times New Roman"/>
                <w:sz w:val="28"/>
                <w:szCs w:val="28"/>
                <w:lang w:val="en-US"/>
              </w:rPr>
              <w:t>48</w:t>
            </w:r>
          </w:p>
        </w:tc>
        <w:tc>
          <w:tcPr>
            <w:tcW w:w="600" w:type="pct"/>
            <w:vAlign w:val="center"/>
          </w:tcPr>
          <w:p w14:paraId="0D7BDA75"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97</w:t>
            </w:r>
            <w:r>
              <w:rPr>
                <w:rFonts w:ascii="Times New Roman" w:hAnsi="Times New Roman" w:cs="Times New Roman"/>
                <w:sz w:val="28"/>
                <w:szCs w:val="28"/>
                <w:lang w:val="en-US"/>
              </w:rPr>
              <w:t>,</w:t>
            </w:r>
            <w:r w:rsidRPr="00A43B9C">
              <w:rPr>
                <w:rFonts w:ascii="Times New Roman" w:hAnsi="Times New Roman" w:cs="Times New Roman"/>
                <w:sz w:val="28"/>
                <w:szCs w:val="28"/>
                <w:lang w:val="en-US"/>
              </w:rPr>
              <w:t>72</w:t>
            </w:r>
          </w:p>
        </w:tc>
      </w:tr>
      <w:tr w:rsidR="0014310F" w:rsidRPr="00A43B9C" w14:paraId="6E6C21B3" w14:textId="77777777" w:rsidTr="0014310F">
        <w:tc>
          <w:tcPr>
            <w:tcW w:w="914" w:type="pct"/>
            <w:vMerge/>
            <w:vAlign w:val="center"/>
          </w:tcPr>
          <w:p w14:paraId="1E5F4503" w14:textId="77777777" w:rsidR="0014310F" w:rsidRPr="00A43B9C" w:rsidRDefault="0014310F" w:rsidP="0079247B">
            <w:pPr>
              <w:autoSpaceDE w:val="0"/>
              <w:autoSpaceDN w:val="0"/>
              <w:adjustRightInd w:val="0"/>
              <w:spacing w:after="0" w:line="240" w:lineRule="auto"/>
              <w:rPr>
                <w:rFonts w:ascii="Times New Roman" w:hAnsi="Times New Roman" w:cs="Times New Roman"/>
                <w:sz w:val="28"/>
                <w:szCs w:val="28"/>
                <w:lang w:val="en-US"/>
              </w:rPr>
            </w:pPr>
          </w:p>
        </w:tc>
        <w:tc>
          <w:tcPr>
            <w:tcW w:w="1217" w:type="pct"/>
            <w:vAlign w:val="center"/>
          </w:tcPr>
          <w:p w14:paraId="47E74F8B" w14:textId="77777777" w:rsidR="0014310F" w:rsidRPr="00A43B9C" w:rsidRDefault="0014310F" w:rsidP="0079247B">
            <w:pPr>
              <w:autoSpaceDE w:val="0"/>
              <w:autoSpaceDN w:val="0"/>
              <w:adjustRightInd w:val="0"/>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rPr>
              <w:t>Средняя величина</w:t>
            </w:r>
          </w:p>
        </w:tc>
        <w:tc>
          <w:tcPr>
            <w:tcW w:w="340" w:type="pct"/>
            <w:vMerge/>
            <w:vAlign w:val="center"/>
          </w:tcPr>
          <w:p w14:paraId="0FE35DF7"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40" w:type="pct"/>
            <w:vMerge/>
            <w:vAlign w:val="center"/>
          </w:tcPr>
          <w:p w14:paraId="209897BC"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20" w:type="pct"/>
            <w:vMerge/>
            <w:vAlign w:val="center"/>
          </w:tcPr>
          <w:p w14:paraId="1901DA52"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53" w:type="pct"/>
            <w:vMerge/>
            <w:vAlign w:val="center"/>
          </w:tcPr>
          <w:p w14:paraId="77213927"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45" w:type="pct"/>
            <w:vMerge/>
            <w:vAlign w:val="center"/>
          </w:tcPr>
          <w:p w14:paraId="509A844E"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570" w:type="pct"/>
            <w:vAlign w:val="center"/>
          </w:tcPr>
          <w:p w14:paraId="52D276FB"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94</w:t>
            </w:r>
            <w:r>
              <w:rPr>
                <w:rFonts w:ascii="Times New Roman" w:hAnsi="Times New Roman" w:cs="Times New Roman"/>
                <w:sz w:val="28"/>
                <w:szCs w:val="28"/>
                <w:lang w:val="en-US"/>
              </w:rPr>
              <w:t>,</w:t>
            </w:r>
            <w:r w:rsidRPr="00A43B9C">
              <w:rPr>
                <w:rFonts w:ascii="Times New Roman" w:hAnsi="Times New Roman" w:cs="Times New Roman"/>
                <w:sz w:val="28"/>
                <w:szCs w:val="28"/>
                <w:lang w:val="en-US"/>
              </w:rPr>
              <w:t>71</w:t>
            </w:r>
          </w:p>
        </w:tc>
        <w:tc>
          <w:tcPr>
            <w:tcW w:w="600" w:type="pct"/>
            <w:vAlign w:val="center"/>
          </w:tcPr>
          <w:p w14:paraId="6F2B626F"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97</w:t>
            </w:r>
            <w:r>
              <w:rPr>
                <w:rFonts w:ascii="Times New Roman" w:hAnsi="Times New Roman" w:cs="Times New Roman"/>
                <w:sz w:val="28"/>
                <w:szCs w:val="28"/>
                <w:lang w:val="en-US"/>
              </w:rPr>
              <w:t>,</w:t>
            </w:r>
            <w:r w:rsidRPr="00A43B9C">
              <w:rPr>
                <w:rFonts w:ascii="Times New Roman" w:hAnsi="Times New Roman" w:cs="Times New Roman"/>
                <w:sz w:val="28"/>
                <w:szCs w:val="28"/>
                <w:lang w:val="en-US"/>
              </w:rPr>
              <w:t>25</w:t>
            </w:r>
          </w:p>
        </w:tc>
      </w:tr>
      <w:tr w:rsidR="0014310F" w:rsidRPr="00A43B9C" w14:paraId="4D530BE4" w14:textId="77777777" w:rsidTr="0014310F">
        <w:tc>
          <w:tcPr>
            <w:tcW w:w="914" w:type="pct"/>
            <w:vMerge/>
            <w:vAlign w:val="center"/>
          </w:tcPr>
          <w:p w14:paraId="4555C717" w14:textId="77777777" w:rsidR="0014310F" w:rsidRPr="00A43B9C" w:rsidRDefault="0014310F" w:rsidP="0079247B">
            <w:pPr>
              <w:autoSpaceDE w:val="0"/>
              <w:autoSpaceDN w:val="0"/>
              <w:adjustRightInd w:val="0"/>
              <w:spacing w:after="0" w:line="240" w:lineRule="auto"/>
              <w:rPr>
                <w:rFonts w:ascii="Times New Roman" w:hAnsi="Times New Roman" w:cs="Times New Roman"/>
                <w:sz w:val="28"/>
                <w:szCs w:val="28"/>
                <w:lang w:val="en-US"/>
              </w:rPr>
            </w:pPr>
          </w:p>
        </w:tc>
        <w:tc>
          <w:tcPr>
            <w:tcW w:w="1217" w:type="pct"/>
            <w:vAlign w:val="center"/>
          </w:tcPr>
          <w:p w14:paraId="06C388F6" w14:textId="77777777" w:rsidR="0014310F" w:rsidRPr="00A43B9C" w:rsidRDefault="0014310F" w:rsidP="0079247B">
            <w:pPr>
              <w:autoSpaceDE w:val="0"/>
              <w:autoSpaceDN w:val="0"/>
              <w:adjustRightInd w:val="0"/>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rPr>
              <w:t xml:space="preserve">Неприменимость кривой </w:t>
            </w:r>
            <w:r w:rsidRPr="00A43B9C">
              <w:rPr>
                <w:rFonts w:ascii="Times New Roman" w:hAnsi="Times New Roman" w:cs="Times New Roman"/>
                <w:sz w:val="28"/>
                <w:szCs w:val="28"/>
                <w:lang w:val="en-US"/>
              </w:rPr>
              <w:t>ROC</w:t>
            </w:r>
          </w:p>
        </w:tc>
        <w:tc>
          <w:tcPr>
            <w:tcW w:w="340" w:type="pct"/>
            <w:vMerge/>
            <w:vAlign w:val="center"/>
          </w:tcPr>
          <w:p w14:paraId="166A0369"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40" w:type="pct"/>
            <w:vMerge/>
            <w:vAlign w:val="center"/>
          </w:tcPr>
          <w:p w14:paraId="7C1195E7"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20" w:type="pct"/>
            <w:vMerge/>
            <w:vAlign w:val="center"/>
          </w:tcPr>
          <w:p w14:paraId="49B0B90D"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53" w:type="pct"/>
            <w:vMerge/>
            <w:vAlign w:val="center"/>
          </w:tcPr>
          <w:p w14:paraId="1BB80490"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45" w:type="pct"/>
            <w:vMerge/>
            <w:vAlign w:val="center"/>
          </w:tcPr>
          <w:p w14:paraId="7D93BDCF"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570" w:type="pct"/>
            <w:vAlign w:val="center"/>
          </w:tcPr>
          <w:p w14:paraId="27E5A291"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c>
          <w:tcPr>
            <w:tcW w:w="600" w:type="pct"/>
            <w:vAlign w:val="center"/>
          </w:tcPr>
          <w:p w14:paraId="2F9A4B99"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r>
      <w:tr w:rsidR="0014310F" w:rsidRPr="00A43B9C" w14:paraId="306A85B1" w14:textId="77777777" w:rsidTr="0079247B">
        <w:tc>
          <w:tcPr>
            <w:tcW w:w="5000" w:type="pct"/>
            <w:gridSpan w:val="9"/>
            <w:vAlign w:val="center"/>
          </w:tcPr>
          <w:p w14:paraId="05FC0578" w14:textId="047E10DE" w:rsidR="0014310F" w:rsidRPr="00A43B9C" w:rsidRDefault="0014310F" w:rsidP="000D2780">
            <w:pPr>
              <w:autoSpaceDE w:val="0"/>
              <w:autoSpaceDN w:val="0"/>
              <w:adjustRightInd w:val="0"/>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4"/>
                <w:szCs w:val="24"/>
              </w:rPr>
              <w:t xml:space="preserve">Примечания: </w:t>
            </w:r>
            <w:r w:rsidRPr="00A43B9C">
              <w:rPr>
                <w:rFonts w:ascii="Times New Roman" w:hAnsi="Times New Roman" w:cs="Times New Roman"/>
                <w:sz w:val="24"/>
                <w:szCs w:val="24"/>
                <w:lang w:val="en-US"/>
              </w:rPr>
              <w:t>TP</w:t>
            </w:r>
            <w:r w:rsidRPr="00A43B9C">
              <w:rPr>
                <w:rFonts w:ascii="Times New Roman" w:hAnsi="Times New Roman" w:cs="Times New Roman"/>
                <w:sz w:val="24"/>
                <w:szCs w:val="24"/>
              </w:rPr>
              <w:t xml:space="preserve"> - истинно-положительный; </w:t>
            </w:r>
            <w:r w:rsidRPr="00A43B9C">
              <w:rPr>
                <w:rFonts w:ascii="Times New Roman" w:hAnsi="Times New Roman" w:cs="Times New Roman"/>
                <w:sz w:val="24"/>
                <w:szCs w:val="24"/>
                <w:lang w:val="en-US"/>
              </w:rPr>
              <w:t>FP</w:t>
            </w:r>
            <w:r w:rsidRPr="00A43B9C">
              <w:rPr>
                <w:rFonts w:ascii="Times New Roman" w:hAnsi="Times New Roman" w:cs="Times New Roman"/>
                <w:sz w:val="24"/>
                <w:szCs w:val="24"/>
              </w:rPr>
              <w:t xml:space="preserve"> </w:t>
            </w:r>
            <w:r>
              <w:rPr>
                <w:rFonts w:ascii="Times New Roman" w:hAnsi="Times New Roman" w:cs="Times New Roman"/>
                <w:sz w:val="24"/>
                <w:szCs w:val="24"/>
              </w:rPr>
              <w:t>–</w:t>
            </w:r>
            <w:r w:rsidRPr="00A43B9C">
              <w:rPr>
                <w:rFonts w:ascii="Times New Roman" w:hAnsi="Times New Roman" w:cs="Times New Roman"/>
                <w:sz w:val="24"/>
                <w:szCs w:val="24"/>
              </w:rPr>
              <w:t xml:space="preserve"> </w:t>
            </w:r>
            <w:r w:rsidR="00CF5FD1" w:rsidRPr="00A43B9C">
              <w:rPr>
                <w:rFonts w:ascii="Times New Roman" w:hAnsi="Times New Roman" w:cs="Times New Roman"/>
                <w:sz w:val="24"/>
                <w:szCs w:val="24"/>
              </w:rPr>
              <w:t>ложно</w:t>
            </w:r>
            <w:r w:rsidR="00CF5FD1" w:rsidRPr="0014310F">
              <w:rPr>
                <w:rFonts w:ascii="Times New Roman" w:hAnsi="Times New Roman" w:cs="Times New Roman"/>
                <w:sz w:val="24"/>
                <w:szCs w:val="24"/>
              </w:rPr>
              <w:t>положительный</w:t>
            </w:r>
            <w:r w:rsidRPr="00A43B9C">
              <w:rPr>
                <w:rFonts w:ascii="Times New Roman" w:hAnsi="Times New Roman" w:cs="Times New Roman"/>
                <w:sz w:val="24"/>
                <w:szCs w:val="24"/>
              </w:rPr>
              <w:t xml:space="preserve">; </w:t>
            </w:r>
            <w:r w:rsidRPr="00A43B9C">
              <w:rPr>
                <w:rFonts w:ascii="Times New Roman" w:hAnsi="Times New Roman" w:cs="Times New Roman"/>
                <w:sz w:val="24"/>
                <w:szCs w:val="24"/>
                <w:lang w:val="en-US"/>
              </w:rPr>
              <w:t>TN</w:t>
            </w:r>
            <w:r w:rsidRPr="00A43B9C">
              <w:rPr>
                <w:rFonts w:ascii="Times New Roman" w:hAnsi="Times New Roman" w:cs="Times New Roman"/>
                <w:sz w:val="24"/>
                <w:szCs w:val="24"/>
              </w:rPr>
              <w:t xml:space="preserve"> - истинно-ложный; </w:t>
            </w:r>
            <w:r w:rsidRPr="00A43B9C">
              <w:rPr>
                <w:rFonts w:ascii="Times New Roman" w:hAnsi="Times New Roman" w:cs="Times New Roman"/>
                <w:sz w:val="24"/>
                <w:szCs w:val="24"/>
                <w:lang w:val="en-US"/>
              </w:rPr>
              <w:t>FN</w:t>
            </w:r>
            <w:r w:rsidRPr="00A43B9C">
              <w:rPr>
                <w:rFonts w:ascii="Times New Roman" w:hAnsi="Times New Roman" w:cs="Times New Roman"/>
                <w:sz w:val="24"/>
                <w:szCs w:val="24"/>
              </w:rPr>
              <w:t xml:space="preserve"> </w:t>
            </w:r>
            <w:r>
              <w:rPr>
                <w:rFonts w:ascii="Times New Roman" w:hAnsi="Times New Roman" w:cs="Times New Roman"/>
                <w:sz w:val="24"/>
                <w:szCs w:val="24"/>
              </w:rPr>
              <w:t>–</w:t>
            </w:r>
            <w:r w:rsidRPr="00A43B9C">
              <w:rPr>
                <w:rFonts w:ascii="Times New Roman" w:hAnsi="Times New Roman" w:cs="Times New Roman"/>
                <w:sz w:val="24"/>
                <w:szCs w:val="24"/>
              </w:rPr>
              <w:t xml:space="preserve"> ложноотрицательный.</w:t>
            </w:r>
          </w:p>
        </w:tc>
      </w:tr>
    </w:tbl>
    <w:p w14:paraId="01979A84" w14:textId="77777777" w:rsidR="0014310F" w:rsidRDefault="0014310F" w:rsidP="0014310F">
      <w:pPr>
        <w:spacing w:after="0" w:line="240" w:lineRule="auto"/>
        <w:ind w:firstLine="709"/>
        <w:jc w:val="both"/>
        <w:rPr>
          <w:rFonts w:ascii="Times New Roman" w:eastAsia="TimesNewRomanPS-BoldMT" w:hAnsi="Times New Roman" w:cs="Times New Roman"/>
          <w:sz w:val="28"/>
          <w:szCs w:val="28"/>
        </w:rPr>
      </w:pPr>
    </w:p>
    <w:p w14:paraId="1B687EF9" w14:textId="3C09765F" w:rsidR="00A27B02" w:rsidRPr="00A43B9C" w:rsidRDefault="00A27B02" w:rsidP="00A27B02">
      <w:pPr>
        <w:spacing w:after="0" w:line="240" w:lineRule="auto"/>
        <w:ind w:firstLine="709"/>
        <w:jc w:val="both"/>
        <w:rPr>
          <w:rFonts w:ascii="Times New Roman" w:eastAsia="TimesNewRomanPSMT" w:hAnsi="Times New Roman" w:cs="Times New Roman"/>
          <w:sz w:val="28"/>
          <w:szCs w:val="28"/>
        </w:rPr>
      </w:pPr>
      <w:r w:rsidRPr="0014310F">
        <w:rPr>
          <w:rFonts w:ascii="Times New Roman" w:eastAsia="TimesNewRomanPSMT" w:hAnsi="Times New Roman" w:cs="Times New Roman"/>
          <w:sz w:val="28"/>
          <w:szCs w:val="28"/>
        </w:rPr>
        <w:t xml:space="preserve">Согласно мета-анализу R.H. Huebner et al., </w:t>
      </w:r>
      <w:r w:rsidRPr="0014310F">
        <w:rPr>
          <w:rFonts w:ascii="Times New Roman" w:eastAsia="TimesNewRomanPSMT" w:hAnsi="Times New Roman" w:cs="Times New Roman"/>
          <w:sz w:val="28"/>
          <w:szCs w:val="28"/>
          <w:vertAlign w:val="superscript"/>
        </w:rPr>
        <w:t>18</w:t>
      </w:r>
      <w:r w:rsidRPr="0014310F">
        <w:rPr>
          <w:rFonts w:ascii="Times New Roman" w:eastAsia="TimesNewRomanPSMT" w:hAnsi="Times New Roman" w:cs="Times New Roman"/>
          <w:sz w:val="28"/>
          <w:szCs w:val="28"/>
        </w:rPr>
        <w:t>F-</w:t>
      </w:r>
      <w:r w:rsidRPr="0014310F">
        <w:rPr>
          <w:rFonts w:ascii="Times New Roman" w:eastAsia="TimesNewRomanPSMT" w:hAnsi="Times New Roman" w:cs="Times New Roman"/>
          <w:sz w:val="28"/>
          <w:szCs w:val="28"/>
          <w:lang w:val="en-US"/>
        </w:rPr>
        <w:t>FDG</w:t>
      </w:r>
      <w:r w:rsidRPr="0014310F">
        <w:rPr>
          <w:rFonts w:ascii="Times New Roman" w:eastAsia="TimesNewRomanPSMT" w:hAnsi="Times New Roman" w:cs="Times New Roman"/>
          <w:sz w:val="28"/>
          <w:szCs w:val="28"/>
        </w:rPr>
        <w:t xml:space="preserve"> ПЭТ оказывало влияние на тактику диагностики и лечения </w:t>
      </w:r>
      <w:r w:rsidR="005D17A4">
        <w:rPr>
          <w:rFonts w:ascii="Times New Roman" w:eastAsia="TimesNewRomanPSMT" w:hAnsi="Times New Roman" w:cs="Times New Roman"/>
          <w:sz w:val="28"/>
          <w:szCs w:val="28"/>
        </w:rPr>
        <w:t>колоректального рака</w:t>
      </w:r>
      <w:r w:rsidRPr="0014310F">
        <w:rPr>
          <w:rFonts w:ascii="Times New Roman" w:eastAsia="TimesNewRomanPSMT" w:hAnsi="Times New Roman" w:cs="Times New Roman"/>
          <w:sz w:val="28"/>
          <w:szCs w:val="28"/>
        </w:rPr>
        <w:t xml:space="preserve"> у 29% (102/349) пациентов. Еще чаще результаты </w:t>
      </w:r>
      <w:r w:rsidRPr="0014310F">
        <w:rPr>
          <w:rFonts w:ascii="Times New Roman" w:eastAsia="TimesNewRomanPSMT" w:hAnsi="Times New Roman" w:cs="Times New Roman"/>
          <w:sz w:val="28"/>
          <w:szCs w:val="28"/>
          <w:vertAlign w:val="superscript"/>
        </w:rPr>
        <w:t>18</w:t>
      </w:r>
      <w:r w:rsidRPr="0014310F">
        <w:rPr>
          <w:rFonts w:ascii="Times New Roman" w:eastAsia="TimesNewRomanPSMT" w:hAnsi="Times New Roman" w:cs="Times New Roman"/>
          <w:sz w:val="28"/>
          <w:szCs w:val="28"/>
        </w:rPr>
        <w:t>F-</w:t>
      </w:r>
      <w:r w:rsidRPr="0014310F">
        <w:rPr>
          <w:rFonts w:ascii="Times New Roman" w:eastAsia="TimesNewRomanPSMT" w:hAnsi="Times New Roman" w:cs="Times New Roman"/>
          <w:sz w:val="28"/>
          <w:szCs w:val="28"/>
          <w:lang w:val="en-US"/>
        </w:rPr>
        <w:t>FDG</w:t>
      </w:r>
      <w:r w:rsidRPr="0014310F">
        <w:rPr>
          <w:rFonts w:ascii="Times New Roman" w:eastAsia="TimesNewRomanPSMT" w:hAnsi="Times New Roman" w:cs="Times New Roman"/>
          <w:sz w:val="28"/>
          <w:szCs w:val="28"/>
        </w:rPr>
        <w:t xml:space="preserve"> ПЭТ влияли на тактику ведения пациентов в работе J. Meta et al., так, стадия заболевания изменилась у 42% больных </w:t>
      </w:r>
      <w:r w:rsidR="005D17A4">
        <w:rPr>
          <w:rFonts w:ascii="Times New Roman" w:eastAsia="TimesNewRomanPSMT" w:hAnsi="Times New Roman" w:cs="Times New Roman"/>
          <w:sz w:val="28"/>
          <w:szCs w:val="28"/>
        </w:rPr>
        <w:t>колоректальным раком</w:t>
      </w:r>
      <w:r w:rsidRPr="0014310F">
        <w:rPr>
          <w:rFonts w:ascii="Times New Roman" w:eastAsia="TimesNewRomanPSMT" w:hAnsi="Times New Roman" w:cs="Times New Roman"/>
          <w:sz w:val="28"/>
          <w:szCs w:val="28"/>
        </w:rPr>
        <w:t xml:space="preserve"> (в 80% была повышена, в 20% снижена), кроме того, в 60% случаев было скорректировано лечение. В целом удалось избежать крупных хирургических вмешательств у 41% больных, которым резекция метастазов печени была противопоказана.</w:t>
      </w:r>
    </w:p>
    <w:p w14:paraId="12DBD0FB" w14:textId="1738FEBE" w:rsidR="00A27B02" w:rsidRPr="00A43B9C" w:rsidRDefault="00A27B02" w:rsidP="00A27B02">
      <w:pPr>
        <w:spacing w:after="0" w:line="240" w:lineRule="auto"/>
        <w:ind w:firstLine="709"/>
        <w:jc w:val="both"/>
        <w:rPr>
          <w:rFonts w:ascii="Times New Roman" w:eastAsia="TimesNewRomanPSMT" w:hAnsi="Times New Roman" w:cs="Times New Roman"/>
          <w:sz w:val="28"/>
          <w:szCs w:val="28"/>
        </w:rPr>
      </w:pPr>
      <w:r w:rsidRPr="00A43B9C">
        <w:rPr>
          <w:rFonts w:ascii="Times New Roman" w:eastAsia="TimesNewRomanPSMT" w:hAnsi="Times New Roman" w:cs="Times New Roman"/>
          <w:sz w:val="28"/>
          <w:szCs w:val="28"/>
        </w:rPr>
        <w:t xml:space="preserve">В исследовании T.J. Ruers et al. на основании анализа 51 пациента с </w:t>
      </w:r>
      <w:r w:rsidR="005D17A4">
        <w:rPr>
          <w:rFonts w:ascii="Times New Roman" w:eastAsia="TimesNewRomanPSMT" w:hAnsi="Times New Roman" w:cs="Times New Roman"/>
          <w:sz w:val="28"/>
          <w:szCs w:val="28"/>
        </w:rPr>
        <w:t>колоректальным раком</w:t>
      </w:r>
      <w:r w:rsidRPr="00A43B9C">
        <w:rPr>
          <w:rFonts w:ascii="Times New Roman" w:eastAsia="TimesNewRomanPSMT" w:hAnsi="Times New Roman" w:cs="Times New Roman"/>
          <w:sz w:val="28"/>
          <w:szCs w:val="28"/>
        </w:rPr>
        <w:t xml:space="preserve">, отобранных с помощью традиционных методов диагностики для оперативного лечения печеночных метастазов, было установлено, что выполнение </w:t>
      </w:r>
      <w:r w:rsidRPr="00A43B9C">
        <w:rPr>
          <w:rFonts w:ascii="Times New Roman" w:eastAsia="TimesNewRomanPSMT" w:hAnsi="Times New Roman" w:cs="Times New Roman"/>
          <w:sz w:val="28"/>
          <w:szCs w:val="28"/>
          <w:vertAlign w:val="superscript"/>
        </w:rPr>
        <w:t>18</w:t>
      </w:r>
      <w:r w:rsidRPr="00A43B9C">
        <w:rPr>
          <w:rFonts w:ascii="Times New Roman" w:eastAsia="TimesNewRomanPSMT" w:hAnsi="Times New Roman" w:cs="Times New Roman"/>
          <w:sz w:val="28"/>
          <w:szCs w:val="28"/>
          <w:lang w:val="en-US"/>
        </w:rPr>
        <w:t>F</w:t>
      </w:r>
      <w:r w:rsidRPr="00A43B9C">
        <w:rPr>
          <w:rFonts w:ascii="Times New Roman" w:eastAsia="TimesNewRomanPSMT" w:hAnsi="Times New Roman" w:cs="Times New Roman"/>
          <w:sz w:val="28"/>
          <w:szCs w:val="28"/>
        </w:rPr>
        <w:t>-</w:t>
      </w:r>
      <w:r w:rsidRPr="00A43B9C">
        <w:rPr>
          <w:rFonts w:ascii="Times New Roman" w:eastAsia="TimesNewRomanPSMT" w:hAnsi="Times New Roman" w:cs="Times New Roman"/>
          <w:sz w:val="28"/>
          <w:szCs w:val="28"/>
          <w:lang w:val="en-US"/>
        </w:rPr>
        <w:t>FDG</w:t>
      </w:r>
      <w:r w:rsidRPr="00A43B9C">
        <w:rPr>
          <w:rFonts w:ascii="Times New Roman" w:eastAsia="TimesNewRomanPSMT" w:hAnsi="Times New Roman" w:cs="Times New Roman"/>
          <w:sz w:val="28"/>
          <w:szCs w:val="28"/>
        </w:rPr>
        <w:t xml:space="preserve"> ПЭТ влияет на решение о целесообразности хирургического вмешательства в 20% случаев, как правило, в связи с визуализацией дополнительных внепеченочных очагов. B. Wiering et al. также было доказано преимущество </w:t>
      </w:r>
      <w:r w:rsidRPr="00A43B9C">
        <w:rPr>
          <w:rFonts w:ascii="Times New Roman" w:eastAsia="TimesNewRomanPSMT" w:hAnsi="Times New Roman" w:cs="Times New Roman"/>
          <w:sz w:val="28"/>
          <w:szCs w:val="28"/>
          <w:vertAlign w:val="superscript"/>
        </w:rPr>
        <w:t>18</w:t>
      </w:r>
      <w:r w:rsidRPr="00A43B9C">
        <w:rPr>
          <w:rFonts w:ascii="Times New Roman" w:eastAsia="TimesNewRomanPSMT" w:hAnsi="Times New Roman" w:cs="Times New Roman"/>
          <w:sz w:val="28"/>
          <w:szCs w:val="28"/>
          <w:lang w:val="en-US"/>
        </w:rPr>
        <w:t>F</w:t>
      </w:r>
      <w:r w:rsidRPr="00A43B9C">
        <w:rPr>
          <w:rFonts w:ascii="Times New Roman" w:eastAsia="TimesNewRomanPSMT" w:hAnsi="Times New Roman" w:cs="Times New Roman"/>
          <w:sz w:val="28"/>
          <w:szCs w:val="28"/>
        </w:rPr>
        <w:t>-</w:t>
      </w:r>
      <w:r w:rsidRPr="00A43B9C">
        <w:rPr>
          <w:rFonts w:ascii="Times New Roman" w:eastAsia="TimesNewRomanPSMT" w:hAnsi="Times New Roman" w:cs="Times New Roman"/>
          <w:sz w:val="28"/>
          <w:szCs w:val="28"/>
          <w:lang w:val="en-US"/>
        </w:rPr>
        <w:t>FDG</w:t>
      </w:r>
      <w:r w:rsidRPr="00A43B9C">
        <w:rPr>
          <w:rFonts w:ascii="Times New Roman" w:eastAsia="TimesNewRomanPSMT" w:hAnsi="Times New Roman" w:cs="Times New Roman"/>
          <w:sz w:val="28"/>
          <w:szCs w:val="28"/>
        </w:rPr>
        <w:t xml:space="preserve"> ПЭТ по сравнению с КТ в связи с более высокой специфичностью диагностики печеночных (96 и 84%) и </w:t>
      </w:r>
      <w:r w:rsidRPr="00A43B9C">
        <w:rPr>
          <w:rFonts w:ascii="Times New Roman" w:eastAsia="TimesNewRomanPSMT" w:hAnsi="Times New Roman" w:cs="Times New Roman"/>
          <w:sz w:val="28"/>
          <w:szCs w:val="28"/>
        </w:rPr>
        <w:lastRenderedPageBreak/>
        <w:t xml:space="preserve">внепеченочных (91 и 61% соответственно) метастазов. При этом </w:t>
      </w:r>
      <w:r w:rsidRPr="00A43B9C">
        <w:rPr>
          <w:rFonts w:ascii="Times New Roman" w:eastAsia="TimesNewRomanPSMT" w:hAnsi="Times New Roman" w:cs="Times New Roman"/>
          <w:sz w:val="28"/>
          <w:szCs w:val="28"/>
          <w:vertAlign w:val="superscript"/>
        </w:rPr>
        <w:t>18</w:t>
      </w:r>
      <w:r w:rsidRPr="00A43B9C">
        <w:rPr>
          <w:rFonts w:ascii="Times New Roman" w:eastAsia="TimesNewRomanPSMT" w:hAnsi="Times New Roman" w:cs="Times New Roman"/>
          <w:sz w:val="28"/>
          <w:szCs w:val="28"/>
          <w:lang w:val="en-US"/>
        </w:rPr>
        <w:t>F</w:t>
      </w:r>
      <w:r w:rsidRPr="00A43B9C">
        <w:rPr>
          <w:rFonts w:ascii="Times New Roman" w:eastAsia="TimesNewRomanPSMT" w:hAnsi="Times New Roman" w:cs="Times New Roman"/>
          <w:sz w:val="28"/>
          <w:szCs w:val="28"/>
        </w:rPr>
        <w:t>-</w:t>
      </w:r>
      <w:r w:rsidRPr="00A43B9C">
        <w:rPr>
          <w:rFonts w:ascii="Times New Roman" w:eastAsia="TimesNewRomanPSMT" w:hAnsi="Times New Roman" w:cs="Times New Roman"/>
          <w:sz w:val="28"/>
          <w:szCs w:val="28"/>
          <w:lang w:val="en-US"/>
        </w:rPr>
        <w:t>FDG</w:t>
      </w:r>
      <w:r w:rsidRPr="00A43B9C">
        <w:rPr>
          <w:rFonts w:ascii="Times New Roman" w:eastAsia="TimesNewRomanPSMT" w:hAnsi="Times New Roman" w:cs="Times New Roman"/>
          <w:sz w:val="28"/>
          <w:szCs w:val="28"/>
        </w:rPr>
        <w:t xml:space="preserve"> ПЭТ позволила скорректировать лечение у 31% больных.</w:t>
      </w:r>
    </w:p>
    <w:p w14:paraId="4A837F33" w14:textId="6A2F8426" w:rsidR="00FF1D30" w:rsidRPr="00A43B9C" w:rsidRDefault="00FF1D30" w:rsidP="00FF1D30">
      <w:pPr>
        <w:spacing w:after="0" w:line="240" w:lineRule="auto"/>
        <w:ind w:firstLine="709"/>
        <w:jc w:val="both"/>
        <w:rPr>
          <w:rFonts w:ascii="Times New Roman" w:eastAsia="TimesNewRomanPSMT" w:hAnsi="Times New Roman" w:cs="Times New Roman"/>
          <w:sz w:val="28"/>
          <w:szCs w:val="28"/>
        </w:rPr>
      </w:pPr>
      <w:r w:rsidRPr="00A43B9C">
        <w:rPr>
          <w:rFonts w:ascii="Times New Roman" w:eastAsia="TimesNewRomanPSMT" w:hAnsi="Times New Roman" w:cs="Times New Roman"/>
          <w:sz w:val="28"/>
          <w:szCs w:val="28"/>
        </w:rPr>
        <w:t xml:space="preserve">В работе Strasberg et al. была проанализирована выживаемость пациентов, отобранных на резекцию печеночных метастазов с использованием ПЭТ c </w:t>
      </w:r>
      <w:r w:rsidRPr="00A43B9C">
        <w:rPr>
          <w:rFonts w:ascii="Times New Roman" w:eastAsia="TimesNewRomanPSMT" w:hAnsi="Times New Roman" w:cs="Times New Roman"/>
          <w:sz w:val="28"/>
          <w:szCs w:val="28"/>
          <w:vertAlign w:val="superscript"/>
        </w:rPr>
        <w:t>18</w:t>
      </w:r>
      <w:r w:rsidRPr="00A43B9C">
        <w:rPr>
          <w:rFonts w:ascii="Times New Roman" w:eastAsia="TimesNewRomanPSMT" w:hAnsi="Times New Roman" w:cs="Times New Roman"/>
          <w:sz w:val="28"/>
          <w:szCs w:val="28"/>
        </w:rPr>
        <w:t>F-</w:t>
      </w:r>
      <w:r w:rsidRPr="00A43B9C">
        <w:rPr>
          <w:rFonts w:ascii="Times New Roman" w:eastAsia="TimesNewRomanPSMT" w:hAnsi="Times New Roman" w:cs="Times New Roman"/>
          <w:sz w:val="28"/>
          <w:szCs w:val="28"/>
          <w:lang w:val="en-US"/>
        </w:rPr>
        <w:t>FDG</w:t>
      </w:r>
      <w:r w:rsidRPr="00A43B9C">
        <w:rPr>
          <w:rFonts w:ascii="Times New Roman" w:eastAsia="TimesNewRomanPSMT" w:hAnsi="Times New Roman" w:cs="Times New Roman"/>
          <w:sz w:val="28"/>
          <w:szCs w:val="28"/>
        </w:rPr>
        <w:t xml:space="preserve">. </w:t>
      </w:r>
      <w:r w:rsidR="00E83B8B">
        <w:rPr>
          <w:rFonts w:ascii="Times New Roman" w:eastAsia="TimesNewRomanPSMT" w:hAnsi="Times New Roman" w:cs="Times New Roman"/>
          <w:sz w:val="28"/>
          <w:szCs w:val="28"/>
        </w:rPr>
        <w:t>А</w:t>
      </w:r>
      <w:r w:rsidR="00E83B8B" w:rsidRPr="00A43B9C">
        <w:rPr>
          <w:rFonts w:ascii="Times New Roman" w:eastAsia="TimesNewRomanPSMT" w:hAnsi="Times New Roman" w:cs="Times New Roman"/>
          <w:sz w:val="28"/>
          <w:szCs w:val="28"/>
        </w:rPr>
        <w:t>втор</w:t>
      </w:r>
      <w:r w:rsidR="00E83B8B">
        <w:rPr>
          <w:rFonts w:ascii="Times New Roman" w:eastAsia="TimesNewRomanPSMT" w:hAnsi="Times New Roman" w:cs="Times New Roman"/>
          <w:sz w:val="28"/>
          <w:szCs w:val="28"/>
        </w:rPr>
        <w:t>ами</w:t>
      </w:r>
      <w:r w:rsidR="00E83B8B" w:rsidRPr="00A43B9C">
        <w:rPr>
          <w:rFonts w:ascii="Times New Roman" w:eastAsia="TimesNewRomanPSMT" w:hAnsi="Times New Roman" w:cs="Times New Roman"/>
          <w:sz w:val="28"/>
          <w:szCs w:val="28"/>
        </w:rPr>
        <w:t xml:space="preserve"> </w:t>
      </w:r>
      <w:r w:rsidRPr="00A43B9C">
        <w:rPr>
          <w:rFonts w:ascii="Times New Roman" w:eastAsia="TimesNewRomanPSMT" w:hAnsi="Times New Roman" w:cs="Times New Roman"/>
          <w:sz w:val="28"/>
          <w:szCs w:val="28"/>
        </w:rPr>
        <w:t xml:space="preserve">показано, что использование </w:t>
      </w:r>
      <w:r w:rsidRPr="00A43B9C">
        <w:rPr>
          <w:rFonts w:ascii="Times New Roman" w:eastAsia="TimesNewRomanPSMT" w:hAnsi="Times New Roman" w:cs="Times New Roman"/>
          <w:sz w:val="28"/>
          <w:szCs w:val="28"/>
          <w:vertAlign w:val="superscript"/>
        </w:rPr>
        <w:t>18</w:t>
      </w:r>
      <w:r w:rsidRPr="00A43B9C">
        <w:rPr>
          <w:rFonts w:ascii="Times New Roman" w:eastAsia="TimesNewRomanPSMT" w:hAnsi="Times New Roman" w:cs="Times New Roman"/>
          <w:sz w:val="28"/>
          <w:szCs w:val="28"/>
          <w:lang w:val="en-US"/>
        </w:rPr>
        <w:t>F</w:t>
      </w:r>
      <w:r w:rsidRPr="00A43B9C">
        <w:rPr>
          <w:rFonts w:ascii="Times New Roman" w:eastAsia="TimesNewRomanPSMT" w:hAnsi="Times New Roman" w:cs="Times New Roman"/>
          <w:sz w:val="28"/>
          <w:szCs w:val="28"/>
        </w:rPr>
        <w:t>-</w:t>
      </w:r>
      <w:r w:rsidRPr="00A43B9C">
        <w:rPr>
          <w:rFonts w:ascii="Times New Roman" w:eastAsia="TimesNewRomanPSMT" w:hAnsi="Times New Roman" w:cs="Times New Roman"/>
          <w:sz w:val="28"/>
          <w:szCs w:val="28"/>
          <w:lang w:val="en-US"/>
        </w:rPr>
        <w:t>FDG</w:t>
      </w:r>
      <w:r w:rsidRPr="00A43B9C">
        <w:rPr>
          <w:rFonts w:ascii="Times New Roman" w:eastAsia="TimesNewRomanPSMT" w:hAnsi="Times New Roman" w:cs="Times New Roman"/>
          <w:sz w:val="28"/>
          <w:szCs w:val="28"/>
        </w:rPr>
        <w:t xml:space="preserve"> ПЭТ при определении показаний к оперативному вмешательству по поводу печеночных метастазов позволяет повысить общую пятилетнюю выживаемость с 30% (при использовании традиционных методов) до 58%. Столь значимый результат авторы объясняют высокой диагностической эффективностью ПЭТ, позволяющей выявить скрытую патологию, которая является противопоказанием к проведению операции.</w:t>
      </w:r>
    </w:p>
    <w:p w14:paraId="31B39381" w14:textId="104144A3" w:rsidR="00FF1D30" w:rsidRPr="00A43B9C" w:rsidRDefault="00FF1D30" w:rsidP="00FF1D30">
      <w:pPr>
        <w:spacing w:after="0" w:line="240" w:lineRule="auto"/>
        <w:ind w:firstLine="709"/>
        <w:jc w:val="both"/>
        <w:rPr>
          <w:rFonts w:ascii="Times New Roman" w:eastAsia="TimesNewRomanPSMT" w:hAnsi="Times New Roman" w:cs="Times New Roman"/>
          <w:sz w:val="28"/>
        </w:rPr>
      </w:pPr>
      <w:r w:rsidRPr="00A43B9C">
        <w:rPr>
          <w:rFonts w:ascii="Times New Roman" w:eastAsia="TimesNewRomanPSMT" w:hAnsi="Times New Roman" w:cs="Times New Roman"/>
          <w:sz w:val="28"/>
        </w:rPr>
        <w:t xml:space="preserve">Еще в одном исследовании значения методов ядерной медицины для отбора больных на резекцию метастазов </w:t>
      </w:r>
      <w:r w:rsidR="005D17A4">
        <w:rPr>
          <w:rFonts w:ascii="Times New Roman" w:eastAsia="TimesNewRomanPSMT" w:hAnsi="Times New Roman" w:cs="Times New Roman"/>
          <w:sz w:val="28"/>
          <w:szCs w:val="28"/>
        </w:rPr>
        <w:t>колоректального рака</w:t>
      </w:r>
      <w:r w:rsidRPr="00A43B9C">
        <w:rPr>
          <w:rFonts w:ascii="Times New Roman" w:eastAsia="TimesNewRomanPSMT" w:hAnsi="Times New Roman" w:cs="Times New Roman"/>
          <w:sz w:val="28"/>
        </w:rPr>
        <w:t xml:space="preserve"> было установлено, что </w:t>
      </w:r>
      <w:r w:rsidR="005D17A4">
        <w:rPr>
          <w:rFonts w:ascii="Times New Roman" w:eastAsia="TimesNewRomanPSMT" w:hAnsi="Times New Roman" w:cs="Times New Roman"/>
          <w:sz w:val="28"/>
        </w:rPr>
        <w:t>в</w:t>
      </w:r>
      <w:r w:rsidRPr="00A43B9C">
        <w:rPr>
          <w:rFonts w:ascii="Times New Roman" w:eastAsia="TimesNewRomanPSMT" w:hAnsi="Times New Roman" w:cs="Times New Roman"/>
          <w:sz w:val="28"/>
        </w:rPr>
        <w:t xml:space="preserve"> сравнени</w:t>
      </w:r>
      <w:r w:rsidR="005D17A4">
        <w:rPr>
          <w:rFonts w:ascii="Times New Roman" w:eastAsia="TimesNewRomanPSMT" w:hAnsi="Times New Roman" w:cs="Times New Roman"/>
          <w:sz w:val="28"/>
        </w:rPr>
        <w:t>и</w:t>
      </w:r>
      <w:r w:rsidRPr="00A43B9C">
        <w:rPr>
          <w:rFonts w:ascii="Times New Roman" w:eastAsia="TimesNewRomanPSMT" w:hAnsi="Times New Roman" w:cs="Times New Roman"/>
          <w:sz w:val="28"/>
        </w:rPr>
        <w:t xml:space="preserve"> со стандартным подходом (I группа) </w:t>
      </w:r>
      <w:r w:rsidR="004B180E" w:rsidRPr="00A43B9C">
        <w:rPr>
          <w:rFonts w:ascii="Times New Roman" w:eastAsia="TimesNewRomanPSMT" w:hAnsi="Times New Roman" w:cs="Times New Roman"/>
          <w:sz w:val="28"/>
        </w:rPr>
        <w:t>дополни</w:t>
      </w:r>
      <w:r w:rsidR="004B180E">
        <w:rPr>
          <w:rFonts w:ascii="Times New Roman" w:eastAsia="TimesNewRomanPSMT" w:hAnsi="Times New Roman" w:cs="Times New Roman"/>
          <w:sz w:val="28"/>
        </w:rPr>
        <w:t>тельное</w:t>
      </w:r>
      <w:r w:rsidRPr="00A43B9C">
        <w:rPr>
          <w:rFonts w:ascii="Times New Roman" w:eastAsia="TimesNewRomanPSMT" w:hAnsi="Times New Roman" w:cs="Times New Roman"/>
          <w:sz w:val="28"/>
        </w:rPr>
        <w:t xml:space="preserve"> применение ПЭТ (II группа) снижало количество лиц с показанием к такому вмешательству с 28 до 19%. Тем не менее авторы не обнаружили значимых различий между I и II группами по показателям общей (57 и 60%) и безрецидивной (23 и 31% соответственно) выживаемости </w:t>
      </w:r>
      <w:r w:rsidRPr="00A43B9C">
        <w:rPr>
          <w:rFonts w:ascii="Times New Roman" w:eastAsia="TimesNewRomanPSMT" w:hAnsi="Times New Roman" w:cs="Times New Roman"/>
          <w:sz w:val="28"/>
        </w:rPr>
        <w:fldChar w:fldCharType="begin"/>
      </w:r>
      <w:r w:rsidR="00F6152F">
        <w:rPr>
          <w:rFonts w:ascii="Times New Roman" w:eastAsia="TimesNewRomanPSMT" w:hAnsi="Times New Roman" w:cs="Times New Roman"/>
          <w:sz w:val="28"/>
        </w:rPr>
        <w:instrText xml:space="preserve"> ADDIN ZOTERO_ITEM CSL_CITATION {"citationID":"deNi3JjL","properties":{"formattedCitation":"[84, 192]","plainCitation":"[84, 192]","noteIndex":0},"citationItems":[{"id":664,"uris":["http://zotero.org/users/8787459/items/KJ5BMEUJ"],"itemData":{"id":664,"type":"article-journal","abstract":"BACKGROUND: To assess the predictive value of early metabolic response (ΔSUV) after short-term treatment with first-line cetuximab in patients (pts) with RAS-wt metastatic colorectal cancer (mCRC).\nMETHODS: In this prospective phase II study, RAS-wt mCRC pts received a single-agent cetuximab run-in therapy of 2 weeks. ΔSUV was assessed with FDG-PET/CT on days 0 and 14. Early clinical response (ECR) was evaluated with CT on day 56 after treatment with FOLFIRI-cetuximab. Primary endpoint was the predictive significance of ΔSUV for ECR. Secondary endpoints were PFS (progression free survival), OS and the influence of ΔSUV on survival.\nRESULTS: Forty pts were enroled and 33 pts were evaluable for the primary endpoint. The CT response rate was 57.6%. For responders, ΔSUV was significantly higher (p = 0.0092). A significant association of ΔSUV with ECR was found (p = 0.02). Median PFS was 11.7 months and median OS was 33.5 months with a 1-year survival rate of 87.9%. ΔSUV was found to significantly impact the hazard for OS (p = 0.045).\nCONCLUSIONS: We demonstrate that cetuximab induces metabolic responses in mCRC pts. The study endpoint was met with the ΔSUV discriminating between responders and non-responders. However, these data should be validated in larger patient cohorts.","container-title":"British Journal of Cancer","DOI":"10.1038/s41416-018-0152-4","ISSN":"1532-1827","issue":"2","journalAbbreviation":"Br J Cancer","language":"eng","note":"PMID: 29961759\nPMCID: PMC6048023","page":"170-175","source":"PubMed","title":"Early metabolic response in sequential FDG-PET/CT under cetuximab is a predictive marker for clinical response in first-line metastatic colorectal cancer patients: results of the phase II REMOTUX trial","title-short":"Early metabolic response in sequential FDG-PET/CT under cetuximab is a predictive marker for clinical response in first-line metastatic colorectal cancer patients","volume":"119","author":[{"family":"Berger","given":"Anne Katrin"},{"family":"Lücke","given":"Stephan"},{"family":"Abel","given":"Ulrich"},{"family":"Haag","given":"Georg Martin"},{"family":"Grüllich","given":"Carsten"},{"family":"Stange","given":"Annika"},{"family":"Dietrich","given":"Mareike"},{"family":"Apostolidis","given":"Leonidas"},{"family":"Freitag","given":"Angelika"},{"family":"Trierweiler","given":"Claudia"},{"family":"Gall","given":"Carl","non-dropping-particle":"von"},{"family":"Ose","given":"Jennifer"},{"family":"Giesel","given":"Frederik"},{"family":"Weber","given":"Tim Frederik"},{"family":"Lordick","given":"Florian"},{"family":"Haberkorn","given":"Uwe"},{"family":"Jäger","given":"Dirk"}],"issued":{"date-parts":[["2018",7]]}},"label":"page"},{"id":344,"uris":["http://zotero.org/users/8787459/items/EZE5DHEJ"],"itemData":{"id":344,"type":"article-journal","abstract":"OBJECTIVE: Our goal was to assess the sensitivity of positron emission tomography (PET) with 18F-fluorodeoxyglucose (FDG) for the detection of mucinous carcinoma and to determine the histologic features of these tumors that may affect lesion detectability.\nMATERIALS AND METHODS: A retrospective review of all patients with mucinous carcinoma who had undergone FDG PET at our institution from 1995 through 1998 identified 25 patients with new or recurrent mucinous carcinoma at the time of PET. In 22 of these patients, tissue specimens available from either core biopsy or surgical resection allowed detailed histologic analysis.\nRESULTS: FDG PET revealed mucinous carcinoma in only 13 (59%) of 22 patients, resulting in an unusually high percentage (41%) of false-negative results. Two histologic features were found to be predictive of FDG PET results: tumor cellularity (p = 0.011) and the amount of mucin within the tumor mass (p = 0.009). There was a positive correlation between tumor FDG uptake and cellularity but a negative correlation with the amount of mucin.\nCONCLUSION: FDG PET is limited in the evaluation of mucinous tumors, particularly in hypocellular lesions with abundant mucin.","container-title":"AJR. American journal of roentgenology","DOI":"10.2214/ajr.174.4.1741005","ISSN":"0361-803X","issue":"4","journalAbbreviation":"AJR Am J Roentgenol","language":"eng","note":"PMID: 10749239","page":"1005-1008","source":"PubMed","title":"FDG PET evaluation of mucinous neoplasms: correlation of FDG uptake with histopathologic features","title-short":"FDG PET evaluation of mucinous neoplasms","volume":"174","author":[{"family":"Berger","given":"K. L."},{"family":"Nicholson","given":"S. A."},{"family":"Dehdashti","given":"F."},{"family":"Siegel","given":"B. A."}],"issued":{"date-parts":[["2000",4]]}},"label":"page"}],"schema":"https://github.com/citation-style-language/schema/raw/master/csl-citation.json"} </w:instrText>
      </w:r>
      <w:r w:rsidRPr="00A43B9C">
        <w:rPr>
          <w:rFonts w:ascii="Times New Roman" w:eastAsia="TimesNewRomanPSMT" w:hAnsi="Times New Roman" w:cs="Times New Roman"/>
          <w:sz w:val="28"/>
        </w:rPr>
        <w:fldChar w:fldCharType="separate"/>
      </w:r>
      <w:r w:rsidR="00F6152F" w:rsidRPr="00F6152F">
        <w:rPr>
          <w:rFonts w:ascii="Times New Roman" w:hAnsi="Times New Roman" w:cs="Times New Roman"/>
          <w:sz w:val="28"/>
        </w:rPr>
        <w:t>[192]</w:t>
      </w:r>
      <w:r w:rsidRPr="00A43B9C">
        <w:rPr>
          <w:rFonts w:ascii="Times New Roman" w:eastAsia="TimesNewRomanPSMT" w:hAnsi="Times New Roman" w:cs="Times New Roman"/>
          <w:sz w:val="28"/>
        </w:rPr>
        <w:fldChar w:fldCharType="end"/>
      </w:r>
      <w:r w:rsidRPr="00A43B9C">
        <w:rPr>
          <w:rFonts w:ascii="Times New Roman" w:eastAsia="TimesNewRomanPSMT" w:hAnsi="Times New Roman" w:cs="Times New Roman"/>
          <w:sz w:val="28"/>
        </w:rPr>
        <w:t>.</w:t>
      </w:r>
    </w:p>
    <w:p w14:paraId="04401FE9" w14:textId="50A144A8" w:rsidR="00FF1D30" w:rsidRPr="00A43B9C" w:rsidRDefault="007950EB" w:rsidP="00FF1D30">
      <w:pPr>
        <w:autoSpaceDE w:val="0"/>
        <w:autoSpaceDN w:val="0"/>
        <w:adjustRightInd w:val="0"/>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Д</w:t>
      </w:r>
      <w:r w:rsidR="00AC7DC6" w:rsidRPr="00A43B9C">
        <w:rPr>
          <w:rFonts w:ascii="Times New Roman" w:hAnsi="Times New Roman" w:cs="Times New Roman"/>
          <w:sz w:val="28"/>
          <w:szCs w:val="28"/>
        </w:rPr>
        <w:t>анны</w:t>
      </w:r>
      <w:r>
        <w:rPr>
          <w:rFonts w:ascii="Times New Roman" w:hAnsi="Times New Roman" w:cs="Times New Roman"/>
          <w:sz w:val="28"/>
          <w:szCs w:val="28"/>
        </w:rPr>
        <w:t>е</w:t>
      </w:r>
      <w:r w:rsidR="00AC7DC6" w:rsidRPr="00A43B9C">
        <w:rPr>
          <w:rFonts w:ascii="Times New Roman" w:hAnsi="Times New Roman" w:cs="Times New Roman"/>
          <w:sz w:val="28"/>
          <w:szCs w:val="28"/>
        </w:rPr>
        <w:t xml:space="preserve"> </w:t>
      </w:r>
      <w:r w:rsidR="00FF1D30" w:rsidRPr="00A43B9C">
        <w:rPr>
          <w:rFonts w:ascii="Times New Roman" w:hAnsi="Times New Roman" w:cs="Times New Roman"/>
          <w:sz w:val="28"/>
          <w:szCs w:val="28"/>
        </w:rPr>
        <w:t>исследовани</w:t>
      </w:r>
      <w:r>
        <w:rPr>
          <w:rFonts w:ascii="Times New Roman" w:hAnsi="Times New Roman" w:cs="Times New Roman"/>
          <w:sz w:val="28"/>
          <w:szCs w:val="28"/>
        </w:rPr>
        <w:t>я подчеркивают</w:t>
      </w:r>
      <w:r w:rsidR="00FF1D30" w:rsidRPr="00A43B9C">
        <w:rPr>
          <w:rFonts w:ascii="Times New Roman" w:hAnsi="Times New Roman" w:cs="Times New Roman"/>
          <w:sz w:val="28"/>
          <w:szCs w:val="28"/>
        </w:rPr>
        <w:t xml:space="preserve">, что </w:t>
      </w:r>
      <w:r w:rsidR="00FF1D30" w:rsidRPr="00A43B9C">
        <w:rPr>
          <w:rFonts w:ascii="Times New Roman" w:hAnsi="Times New Roman" w:cs="Times New Roman"/>
          <w:sz w:val="28"/>
          <w:szCs w:val="28"/>
          <w:vertAlign w:val="superscript"/>
        </w:rPr>
        <w:t>18</w:t>
      </w:r>
      <w:r w:rsidR="00FF1D30" w:rsidRPr="00A43B9C">
        <w:rPr>
          <w:rFonts w:ascii="Times New Roman" w:hAnsi="Times New Roman" w:cs="Times New Roman"/>
          <w:sz w:val="28"/>
          <w:szCs w:val="28"/>
          <w:lang w:val="en-US"/>
        </w:rPr>
        <w:t>F</w:t>
      </w:r>
      <w:r w:rsidR="00FF1D30" w:rsidRPr="00A43B9C">
        <w:rPr>
          <w:rFonts w:ascii="Times New Roman" w:hAnsi="Times New Roman" w:cs="Times New Roman"/>
          <w:sz w:val="28"/>
          <w:szCs w:val="28"/>
        </w:rPr>
        <w:t xml:space="preserve">-FDG ПЭТ/КТ является диагностическим методом, который сочетает в себе анатомическую визуализацию с молекулярной структурой опухолевых клеток. Поглощение </w:t>
      </w:r>
      <w:r w:rsidR="00FF1D30" w:rsidRPr="00A43B9C">
        <w:rPr>
          <w:rFonts w:ascii="Times New Roman" w:hAnsi="Times New Roman" w:cs="Times New Roman"/>
          <w:sz w:val="28"/>
          <w:szCs w:val="28"/>
          <w:vertAlign w:val="superscript"/>
        </w:rPr>
        <w:t>18</w:t>
      </w:r>
      <w:r w:rsidR="00FF1D30" w:rsidRPr="00A43B9C">
        <w:rPr>
          <w:rFonts w:ascii="Times New Roman" w:hAnsi="Times New Roman" w:cs="Times New Roman"/>
          <w:sz w:val="28"/>
          <w:szCs w:val="28"/>
          <w:lang w:val="en-US"/>
        </w:rPr>
        <w:t>F</w:t>
      </w:r>
      <w:r w:rsidR="00FF1D30" w:rsidRPr="00A43B9C">
        <w:rPr>
          <w:rFonts w:ascii="Times New Roman" w:hAnsi="Times New Roman" w:cs="Times New Roman"/>
          <w:sz w:val="28"/>
          <w:szCs w:val="28"/>
        </w:rPr>
        <w:t>-FDG при ПЭТ/КТ выявляет гетерогенность опухолей и может способствовать разработке терапевтического выбора, адаптированного для каждого пациента, если связано с клиническими, хирургическими и патологическими параметрами.</w:t>
      </w:r>
    </w:p>
    <w:p w14:paraId="0F811958" w14:textId="77777777" w:rsidR="007950EB" w:rsidRDefault="007950EB" w:rsidP="00F4733A">
      <w:pPr>
        <w:autoSpaceDE w:val="0"/>
        <w:autoSpaceDN w:val="0"/>
        <w:adjustRightInd w:val="0"/>
        <w:spacing w:after="0" w:line="240" w:lineRule="auto"/>
        <w:ind w:firstLine="709"/>
        <w:jc w:val="both"/>
        <w:rPr>
          <w:rFonts w:ascii="Times New Roman" w:hAnsi="Times New Roman" w:cs="Times New Roman"/>
          <w:sz w:val="28"/>
          <w:szCs w:val="28"/>
        </w:rPr>
      </w:pPr>
    </w:p>
    <w:p w14:paraId="78F707E4" w14:textId="3476C62F" w:rsidR="007950EB" w:rsidRPr="00AF0775" w:rsidRDefault="007950EB" w:rsidP="007950EB">
      <w:pPr>
        <w:pStyle w:val="31"/>
        <w:spacing w:before="0" w:line="240" w:lineRule="auto"/>
        <w:ind w:firstLine="709"/>
        <w:jc w:val="both"/>
        <w:rPr>
          <w:rFonts w:ascii="Times New Roman" w:eastAsia="Times New Roman" w:hAnsi="Times New Roman" w:cs="Times New Roman"/>
          <w:b/>
          <w:bCs/>
          <w:color w:val="auto"/>
          <w:sz w:val="28"/>
          <w:szCs w:val="28"/>
          <w:lang w:val="kk-KZ" w:eastAsia="ru-RU"/>
        </w:rPr>
      </w:pPr>
      <w:r w:rsidRPr="00AF0775">
        <w:rPr>
          <w:rFonts w:ascii="Times New Roman" w:eastAsia="Times New Roman" w:hAnsi="Times New Roman" w:cs="Times New Roman"/>
          <w:b/>
          <w:bCs/>
          <w:color w:val="auto"/>
          <w:sz w:val="28"/>
          <w:szCs w:val="28"/>
          <w:lang w:eastAsia="ru-RU"/>
        </w:rPr>
        <w:t xml:space="preserve">1.5 </w:t>
      </w:r>
      <w:r w:rsidRPr="00AF0775">
        <w:rPr>
          <w:rFonts w:ascii="Times New Roman" w:hAnsi="Times New Roman" w:cs="Times New Roman"/>
          <w:b/>
          <w:bCs/>
          <w:color w:val="auto"/>
          <w:sz w:val="28"/>
          <w:szCs w:val="28"/>
          <w:lang w:eastAsia="ru-RU"/>
        </w:rPr>
        <w:t>Выводы по разделу</w:t>
      </w:r>
    </w:p>
    <w:p w14:paraId="47EB3367" w14:textId="77777777" w:rsidR="00DD2154" w:rsidRPr="000621DD" w:rsidRDefault="00DD2154" w:rsidP="00F4733A">
      <w:pPr>
        <w:autoSpaceDE w:val="0"/>
        <w:autoSpaceDN w:val="0"/>
        <w:adjustRightInd w:val="0"/>
        <w:spacing w:after="0" w:line="240" w:lineRule="auto"/>
        <w:ind w:firstLine="709"/>
        <w:jc w:val="both"/>
        <w:rPr>
          <w:rFonts w:ascii="Times New Roman" w:hAnsi="Times New Roman" w:cs="Times New Roman"/>
          <w:sz w:val="28"/>
          <w:szCs w:val="28"/>
        </w:rPr>
      </w:pPr>
      <w:r w:rsidRPr="000621DD">
        <w:rPr>
          <w:rFonts w:ascii="Times New Roman" w:hAnsi="Times New Roman" w:cs="Times New Roman"/>
          <w:sz w:val="28"/>
          <w:szCs w:val="28"/>
        </w:rPr>
        <w:t>Актуальность тематики проводимого нами исследования подтверждается результатами исследований, опубликованных в зарубежных и отечественных источниках литературы.</w:t>
      </w:r>
    </w:p>
    <w:p w14:paraId="4351085F" w14:textId="5777EB44" w:rsidR="00EF7DDA" w:rsidRPr="000621DD" w:rsidRDefault="00EF7DDA" w:rsidP="00F4733A">
      <w:pPr>
        <w:autoSpaceDE w:val="0"/>
        <w:autoSpaceDN w:val="0"/>
        <w:adjustRightInd w:val="0"/>
        <w:spacing w:after="0" w:line="240" w:lineRule="auto"/>
        <w:ind w:firstLine="709"/>
        <w:jc w:val="both"/>
        <w:rPr>
          <w:rFonts w:ascii="Times New Roman" w:hAnsi="Times New Roman" w:cs="Times New Roman"/>
          <w:sz w:val="28"/>
          <w:szCs w:val="28"/>
        </w:rPr>
      </w:pPr>
      <w:r w:rsidRPr="000621DD">
        <w:rPr>
          <w:rFonts w:ascii="Times New Roman" w:hAnsi="Times New Roman" w:cs="Times New Roman"/>
          <w:sz w:val="28"/>
          <w:szCs w:val="28"/>
        </w:rPr>
        <w:t>Во-первых, эпидемиологические аспекты, высокие данные статистических и аналитических материалов онкологической службы показывают об актуальности и распространённости рака яичников и колоректального рака, учитывая неблагоприятное летальное течение с диагностикой на поздних стадиях.</w:t>
      </w:r>
    </w:p>
    <w:p w14:paraId="413DE306" w14:textId="094F43D8" w:rsidR="00FA6AF1" w:rsidRPr="000621DD" w:rsidRDefault="00EF7DDA" w:rsidP="00FA6AF1">
      <w:pPr>
        <w:autoSpaceDE w:val="0"/>
        <w:autoSpaceDN w:val="0"/>
        <w:adjustRightInd w:val="0"/>
        <w:spacing w:after="0" w:line="240" w:lineRule="auto"/>
        <w:ind w:firstLine="709"/>
        <w:jc w:val="both"/>
        <w:rPr>
          <w:rFonts w:ascii="Times New Roman" w:hAnsi="Times New Roman" w:cs="Times New Roman"/>
          <w:sz w:val="28"/>
          <w:szCs w:val="28"/>
        </w:rPr>
      </w:pPr>
      <w:r w:rsidRPr="000621DD">
        <w:rPr>
          <w:rFonts w:ascii="Times New Roman" w:hAnsi="Times New Roman" w:cs="Times New Roman"/>
          <w:sz w:val="28"/>
          <w:szCs w:val="28"/>
        </w:rPr>
        <w:t>Во-вторых, диагностическ</w:t>
      </w:r>
      <w:r w:rsidR="00CD22A4" w:rsidRPr="000621DD">
        <w:rPr>
          <w:rFonts w:ascii="Times New Roman" w:hAnsi="Times New Roman" w:cs="Times New Roman"/>
          <w:sz w:val="28"/>
          <w:szCs w:val="28"/>
        </w:rPr>
        <w:t>им</w:t>
      </w:r>
      <w:r w:rsidR="00FA6AF1" w:rsidRPr="000621DD">
        <w:rPr>
          <w:rFonts w:ascii="Times New Roman" w:hAnsi="Times New Roman" w:cs="Times New Roman"/>
          <w:sz w:val="28"/>
          <w:szCs w:val="28"/>
        </w:rPr>
        <w:t xml:space="preserve"> преимущество</w:t>
      </w:r>
      <w:r w:rsidR="00CD22A4" w:rsidRPr="000621DD">
        <w:rPr>
          <w:rFonts w:ascii="Times New Roman" w:hAnsi="Times New Roman" w:cs="Times New Roman"/>
          <w:sz w:val="28"/>
          <w:szCs w:val="28"/>
        </w:rPr>
        <w:t>м</w:t>
      </w:r>
      <w:r w:rsidR="00FA6AF1" w:rsidRPr="000621DD">
        <w:rPr>
          <w:rFonts w:ascii="Times New Roman" w:hAnsi="Times New Roman" w:cs="Times New Roman"/>
          <w:sz w:val="28"/>
          <w:szCs w:val="28"/>
        </w:rPr>
        <w:t xml:space="preserve"> преобладает проведение </w:t>
      </w:r>
      <w:r w:rsidR="00FA6AF1" w:rsidRPr="000621DD">
        <w:rPr>
          <w:rFonts w:ascii="Times New Roman" w:hAnsi="Times New Roman" w:cs="Times New Roman"/>
          <w:sz w:val="28"/>
          <w:szCs w:val="28"/>
          <w:shd w:val="clear" w:color="auto" w:fill="FFFFFF"/>
        </w:rPr>
        <w:t>ПЭТ/КТ</w:t>
      </w:r>
      <w:r w:rsidR="00051345">
        <w:rPr>
          <w:rFonts w:ascii="Times New Roman" w:hAnsi="Times New Roman" w:cs="Times New Roman"/>
          <w:sz w:val="28"/>
          <w:szCs w:val="28"/>
          <w:shd w:val="clear" w:color="auto" w:fill="FFFFFF"/>
        </w:rPr>
        <w:t xml:space="preserve"> </w:t>
      </w:r>
      <w:r w:rsidR="00FA6AF1" w:rsidRPr="000621DD">
        <w:rPr>
          <w:rFonts w:ascii="Times New Roman" w:hAnsi="Times New Roman" w:cs="Times New Roman"/>
          <w:sz w:val="28"/>
          <w:szCs w:val="28"/>
          <w:shd w:val="clear" w:color="auto" w:fill="FFFFFF"/>
        </w:rPr>
        <w:t xml:space="preserve">исследований </w:t>
      </w:r>
      <w:r w:rsidR="002C0068">
        <w:rPr>
          <w:rFonts w:ascii="Times New Roman" w:hAnsi="Times New Roman" w:cs="Times New Roman"/>
          <w:sz w:val="28"/>
          <w:szCs w:val="28"/>
          <w:shd w:val="clear" w:color="auto" w:fill="FFFFFF"/>
        </w:rPr>
        <w:t xml:space="preserve">с </w:t>
      </w:r>
      <w:r w:rsidR="002C0068" w:rsidRPr="000621DD">
        <w:rPr>
          <w:rFonts w:ascii="Times New Roman" w:hAnsi="Times New Roman" w:cs="Times New Roman"/>
          <w:sz w:val="28"/>
          <w:szCs w:val="28"/>
          <w:shd w:val="clear" w:color="auto" w:fill="FFFFFF"/>
          <w:vertAlign w:val="superscript"/>
        </w:rPr>
        <w:t>18</w:t>
      </w:r>
      <w:r w:rsidR="002C0068" w:rsidRPr="000621DD">
        <w:rPr>
          <w:rFonts w:ascii="Times New Roman" w:hAnsi="Times New Roman" w:cs="Times New Roman"/>
          <w:sz w:val="28"/>
          <w:szCs w:val="28"/>
          <w:shd w:val="clear" w:color="auto" w:fill="FFFFFF"/>
        </w:rPr>
        <w:t>F-FDG</w:t>
      </w:r>
      <w:r w:rsidR="002C0068" w:rsidRPr="000621DD">
        <w:rPr>
          <w:rFonts w:ascii="Times New Roman" w:hAnsi="Times New Roman" w:cs="Times New Roman"/>
          <w:sz w:val="28"/>
          <w:szCs w:val="28"/>
        </w:rPr>
        <w:t xml:space="preserve"> </w:t>
      </w:r>
      <w:r w:rsidR="00FA6AF1" w:rsidRPr="000621DD">
        <w:rPr>
          <w:rFonts w:ascii="Times New Roman" w:hAnsi="Times New Roman" w:cs="Times New Roman"/>
          <w:sz w:val="28"/>
          <w:szCs w:val="28"/>
        </w:rPr>
        <w:t>ввиду ее универсальности</w:t>
      </w:r>
      <w:r w:rsidR="00BA0EC4" w:rsidRPr="000621DD">
        <w:rPr>
          <w:rFonts w:ascii="Times New Roman" w:hAnsi="Times New Roman" w:cs="Times New Roman"/>
          <w:sz w:val="28"/>
          <w:szCs w:val="28"/>
        </w:rPr>
        <w:t xml:space="preserve"> по </w:t>
      </w:r>
      <w:r w:rsidR="00FA6AF1" w:rsidRPr="000621DD">
        <w:rPr>
          <w:rFonts w:ascii="Times New Roman" w:hAnsi="Times New Roman" w:cs="Times New Roman"/>
          <w:sz w:val="28"/>
          <w:szCs w:val="28"/>
        </w:rPr>
        <w:t>определе</w:t>
      </w:r>
      <w:r w:rsidR="00BA0EC4" w:rsidRPr="000621DD">
        <w:rPr>
          <w:rFonts w:ascii="Times New Roman" w:hAnsi="Times New Roman" w:cs="Times New Roman"/>
          <w:sz w:val="28"/>
          <w:szCs w:val="28"/>
        </w:rPr>
        <w:t>нию</w:t>
      </w:r>
      <w:r w:rsidR="00FA6AF1" w:rsidRPr="000621DD">
        <w:rPr>
          <w:rFonts w:ascii="Times New Roman" w:hAnsi="Times New Roman" w:cs="Times New Roman"/>
          <w:sz w:val="28"/>
          <w:szCs w:val="28"/>
        </w:rPr>
        <w:t xml:space="preserve"> морфологи</w:t>
      </w:r>
      <w:r w:rsidR="00575F5E">
        <w:rPr>
          <w:rFonts w:ascii="Times New Roman" w:hAnsi="Times New Roman" w:cs="Times New Roman"/>
          <w:sz w:val="28"/>
          <w:szCs w:val="28"/>
        </w:rPr>
        <w:t>и</w:t>
      </w:r>
      <w:r w:rsidR="00FA6AF1" w:rsidRPr="000621DD">
        <w:rPr>
          <w:rFonts w:ascii="Times New Roman" w:hAnsi="Times New Roman" w:cs="Times New Roman"/>
          <w:sz w:val="28"/>
          <w:szCs w:val="28"/>
        </w:rPr>
        <w:t xml:space="preserve"> опухоли и </w:t>
      </w:r>
      <w:r w:rsidR="00FA6AF1" w:rsidRPr="000621DD">
        <w:rPr>
          <w:rFonts w:ascii="Times New Roman" w:hAnsi="Times New Roman" w:cs="Times New Roman"/>
          <w:sz w:val="28"/>
          <w:szCs w:val="28"/>
          <w:shd w:val="clear" w:color="auto" w:fill="FFFFFF"/>
        </w:rPr>
        <w:t>биохимически</w:t>
      </w:r>
      <w:r w:rsidR="00CD22A4" w:rsidRPr="000621DD">
        <w:rPr>
          <w:rFonts w:ascii="Times New Roman" w:hAnsi="Times New Roman" w:cs="Times New Roman"/>
          <w:sz w:val="28"/>
          <w:szCs w:val="28"/>
          <w:shd w:val="clear" w:color="auto" w:fill="FFFFFF"/>
        </w:rPr>
        <w:t>х</w:t>
      </w:r>
      <w:r w:rsidR="00FA6AF1" w:rsidRPr="000621DD">
        <w:rPr>
          <w:rFonts w:ascii="Times New Roman" w:hAnsi="Times New Roman" w:cs="Times New Roman"/>
          <w:sz w:val="28"/>
          <w:szCs w:val="28"/>
          <w:shd w:val="clear" w:color="auto" w:fill="FFFFFF"/>
        </w:rPr>
        <w:t xml:space="preserve"> изменени</w:t>
      </w:r>
      <w:r w:rsidR="00CD22A4" w:rsidRPr="000621DD">
        <w:rPr>
          <w:rFonts w:ascii="Times New Roman" w:hAnsi="Times New Roman" w:cs="Times New Roman"/>
          <w:sz w:val="28"/>
          <w:szCs w:val="28"/>
          <w:shd w:val="clear" w:color="auto" w:fill="FFFFFF"/>
        </w:rPr>
        <w:t>й</w:t>
      </w:r>
      <w:r w:rsidR="00FA6AF1" w:rsidRPr="000621DD">
        <w:rPr>
          <w:rFonts w:ascii="Times New Roman" w:hAnsi="Times New Roman" w:cs="Times New Roman"/>
          <w:sz w:val="28"/>
          <w:szCs w:val="28"/>
          <w:shd w:val="clear" w:color="auto" w:fill="FFFFFF"/>
        </w:rPr>
        <w:t xml:space="preserve"> в организме человека, в т.ч. оценка функциональной активности мезент</w:t>
      </w:r>
      <w:r w:rsidR="00CC502D" w:rsidRPr="000621DD">
        <w:rPr>
          <w:rFonts w:ascii="Times New Roman" w:hAnsi="Times New Roman" w:cs="Times New Roman"/>
          <w:sz w:val="28"/>
          <w:szCs w:val="28"/>
          <w:shd w:val="clear" w:color="auto" w:fill="FFFFFF"/>
        </w:rPr>
        <w:t>е</w:t>
      </w:r>
      <w:r w:rsidR="00FA6AF1" w:rsidRPr="000621DD">
        <w:rPr>
          <w:rFonts w:ascii="Times New Roman" w:hAnsi="Times New Roman" w:cs="Times New Roman"/>
          <w:sz w:val="28"/>
          <w:szCs w:val="28"/>
          <w:shd w:val="clear" w:color="auto" w:fill="FFFFFF"/>
        </w:rPr>
        <w:t xml:space="preserve">риального жира при первичном онкологическом процессе. Данный аспект диктует необходимость оценки прогноза накопления метаболического </w:t>
      </w:r>
      <w:r w:rsidR="00FA6AF1" w:rsidRPr="000621DD">
        <w:rPr>
          <w:rFonts w:ascii="Times New Roman" w:hAnsi="Times New Roman" w:cs="Times New Roman"/>
          <w:sz w:val="28"/>
          <w:szCs w:val="28"/>
          <w:shd w:val="clear" w:color="auto" w:fill="FFFFFF"/>
          <w:vertAlign w:val="superscript"/>
        </w:rPr>
        <w:t>18</w:t>
      </w:r>
      <w:r w:rsidR="00FA6AF1" w:rsidRPr="000621DD">
        <w:rPr>
          <w:rFonts w:ascii="Times New Roman" w:hAnsi="Times New Roman" w:cs="Times New Roman"/>
          <w:sz w:val="28"/>
          <w:szCs w:val="28"/>
          <w:shd w:val="clear" w:color="auto" w:fill="FFFFFF"/>
        </w:rPr>
        <w:t xml:space="preserve">F-FDG в висцеральной жировой ткани при первичном онкологическом процессе у пациентов с эпителиальным </w:t>
      </w:r>
      <w:r w:rsidR="00FA6AF1" w:rsidRPr="000621DD">
        <w:rPr>
          <w:rFonts w:ascii="Times New Roman" w:hAnsi="Times New Roman" w:cs="Times New Roman"/>
          <w:sz w:val="28"/>
          <w:szCs w:val="28"/>
        </w:rPr>
        <w:t>раком яичников и колоректальным раком.</w:t>
      </w:r>
    </w:p>
    <w:p w14:paraId="2659EA4F" w14:textId="74FFB64B" w:rsidR="00682298" w:rsidRPr="000621DD" w:rsidRDefault="00682298" w:rsidP="00682298">
      <w:pPr>
        <w:autoSpaceDE w:val="0"/>
        <w:autoSpaceDN w:val="0"/>
        <w:adjustRightInd w:val="0"/>
        <w:spacing w:after="0" w:line="240" w:lineRule="auto"/>
        <w:ind w:firstLine="709"/>
        <w:jc w:val="both"/>
        <w:rPr>
          <w:rFonts w:ascii="Times New Roman" w:hAnsi="Times New Roman" w:cs="Times New Roman"/>
          <w:sz w:val="28"/>
          <w:szCs w:val="28"/>
        </w:rPr>
      </w:pPr>
      <w:r w:rsidRPr="000621DD">
        <w:rPr>
          <w:rFonts w:ascii="Times New Roman" w:hAnsi="Times New Roman" w:cs="Times New Roman"/>
          <w:sz w:val="28"/>
          <w:szCs w:val="28"/>
          <w:lang w:val="kk-KZ"/>
        </w:rPr>
        <w:t>В-третьих</w:t>
      </w:r>
      <w:r w:rsidRPr="000621DD">
        <w:rPr>
          <w:rFonts w:ascii="Times New Roman" w:hAnsi="Times New Roman" w:cs="Times New Roman"/>
          <w:sz w:val="28"/>
          <w:szCs w:val="28"/>
        </w:rPr>
        <w:t xml:space="preserve">, мы видим об отсутствии в приведенных исследованиях уровня индекса </w:t>
      </w:r>
      <w:r w:rsidRPr="000621DD">
        <w:rPr>
          <w:rFonts w:ascii="Times New Roman" w:hAnsi="Times New Roman" w:cs="Times New Roman"/>
          <w:sz w:val="28"/>
          <w:szCs w:val="28"/>
          <w:lang w:val="en-US"/>
        </w:rPr>
        <w:t>SUV</w:t>
      </w:r>
      <w:r w:rsidRPr="000621DD">
        <w:rPr>
          <w:rFonts w:ascii="Times New Roman" w:hAnsi="Times New Roman" w:cs="Times New Roman"/>
          <w:sz w:val="28"/>
          <w:szCs w:val="28"/>
          <w:vertAlign w:val="subscript"/>
          <w:lang w:val="en-US"/>
        </w:rPr>
        <w:t>max</w:t>
      </w:r>
      <w:r w:rsidRPr="000621DD">
        <w:rPr>
          <w:rFonts w:ascii="Times New Roman" w:hAnsi="Times New Roman" w:cs="Times New Roman"/>
          <w:sz w:val="28"/>
          <w:szCs w:val="28"/>
        </w:rPr>
        <w:t xml:space="preserve"> с определением метаболической активности </w:t>
      </w:r>
      <w:r w:rsidRPr="000621DD">
        <w:rPr>
          <w:rFonts w:ascii="Times New Roman" w:hAnsi="Times New Roman" w:cs="Times New Roman"/>
          <w:sz w:val="28"/>
          <w:szCs w:val="28"/>
        </w:rPr>
        <w:lastRenderedPageBreak/>
        <w:t xml:space="preserve">накопления </w:t>
      </w:r>
      <w:r w:rsidRPr="000621DD">
        <w:rPr>
          <w:rFonts w:ascii="Times New Roman" w:hAnsi="Times New Roman" w:cs="Times New Roman"/>
          <w:sz w:val="28"/>
          <w:szCs w:val="28"/>
          <w:vertAlign w:val="superscript"/>
        </w:rPr>
        <w:t>18</w:t>
      </w:r>
      <w:r w:rsidRPr="000621DD">
        <w:rPr>
          <w:rFonts w:ascii="Times New Roman" w:hAnsi="Times New Roman" w:cs="Times New Roman"/>
          <w:sz w:val="28"/>
          <w:szCs w:val="28"/>
          <w:lang w:val="en-US"/>
        </w:rPr>
        <w:t>F</w:t>
      </w:r>
      <w:r w:rsidRPr="000621DD">
        <w:rPr>
          <w:rFonts w:ascii="Times New Roman" w:hAnsi="Times New Roman" w:cs="Times New Roman"/>
          <w:sz w:val="28"/>
          <w:szCs w:val="28"/>
        </w:rPr>
        <w:t>-</w:t>
      </w:r>
      <w:r w:rsidRPr="000621DD">
        <w:rPr>
          <w:rFonts w:ascii="Times New Roman" w:hAnsi="Times New Roman" w:cs="Times New Roman"/>
          <w:sz w:val="28"/>
          <w:szCs w:val="28"/>
          <w:lang w:val="en-US"/>
        </w:rPr>
        <w:t>FDG</w:t>
      </w:r>
      <w:r w:rsidRPr="000621DD">
        <w:rPr>
          <w:rFonts w:ascii="Times New Roman" w:hAnsi="Times New Roman" w:cs="Times New Roman"/>
          <w:sz w:val="28"/>
          <w:szCs w:val="28"/>
        </w:rPr>
        <w:t xml:space="preserve"> в</w:t>
      </w:r>
      <w:r w:rsidR="00062429" w:rsidRPr="000621DD">
        <w:rPr>
          <w:rFonts w:ascii="Times New Roman" w:hAnsi="Times New Roman" w:cs="Times New Roman"/>
          <w:sz w:val="28"/>
          <w:szCs w:val="28"/>
        </w:rPr>
        <w:t xml:space="preserve"> висцеральной жировой ткани </w:t>
      </w:r>
      <w:r w:rsidRPr="000621DD">
        <w:rPr>
          <w:rFonts w:ascii="Times New Roman" w:hAnsi="Times New Roman" w:cs="Times New Roman"/>
          <w:sz w:val="28"/>
          <w:szCs w:val="28"/>
        </w:rPr>
        <w:t xml:space="preserve">у пациентов с эпителиальным раком яичников и колоректальным раком с использованием ПЭТ/КТ при первичном и последующем исследованиях без признаков метастазирования в различных локализациях брюшной полости и малого таза у пациентов после проведенного химиолучевого лечения. Зачастую исследования проведены с </w:t>
      </w:r>
      <w:r w:rsidRPr="000621DD">
        <w:rPr>
          <w:rFonts w:ascii="Times New Roman" w:hAnsi="Times New Roman" w:cs="Times New Roman"/>
          <w:sz w:val="28"/>
          <w:szCs w:val="28"/>
          <w:vertAlign w:val="superscript"/>
        </w:rPr>
        <w:t>18</w:t>
      </w:r>
      <w:r w:rsidRPr="000621DD">
        <w:rPr>
          <w:rFonts w:ascii="Times New Roman" w:hAnsi="Times New Roman" w:cs="Times New Roman"/>
          <w:sz w:val="28"/>
          <w:szCs w:val="28"/>
          <w:lang w:val="en-US"/>
        </w:rPr>
        <w:t>F</w:t>
      </w:r>
      <w:r w:rsidRPr="000621DD">
        <w:rPr>
          <w:rFonts w:ascii="Times New Roman" w:hAnsi="Times New Roman" w:cs="Times New Roman"/>
          <w:sz w:val="28"/>
          <w:szCs w:val="28"/>
        </w:rPr>
        <w:t>-</w:t>
      </w:r>
      <w:r w:rsidRPr="000621DD">
        <w:rPr>
          <w:rFonts w:ascii="Times New Roman" w:hAnsi="Times New Roman" w:cs="Times New Roman"/>
          <w:sz w:val="28"/>
          <w:szCs w:val="28"/>
          <w:lang w:val="en-US"/>
        </w:rPr>
        <w:t>FDG</w:t>
      </w:r>
      <w:r w:rsidRPr="000621DD">
        <w:rPr>
          <w:rFonts w:ascii="Times New Roman" w:hAnsi="Times New Roman" w:cs="Times New Roman"/>
          <w:sz w:val="28"/>
          <w:szCs w:val="28"/>
        </w:rPr>
        <w:t xml:space="preserve"> без оценки накопления с признаками основного онкологического заболевания и предоперационная диагностика опухоли. Немаловажно, что полученные данные уровня накопления индекса </w:t>
      </w:r>
      <w:r w:rsidRPr="000621DD">
        <w:rPr>
          <w:rFonts w:ascii="Times New Roman" w:hAnsi="Times New Roman" w:cs="Times New Roman"/>
          <w:sz w:val="28"/>
          <w:szCs w:val="28"/>
          <w:lang w:val="en-US"/>
        </w:rPr>
        <w:t>SUV</w:t>
      </w:r>
      <w:r w:rsidRPr="000621DD">
        <w:rPr>
          <w:rFonts w:ascii="Times New Roman" w:hAnsi="Times New Roman" w:cs="Times New Roman"/>
          <w:sz w:val="28"/>
          <w:szCs w:val="28"/>
          <w:vertAlign w:val="subscript"/>
          <w:lang w:val="en-US"/>
        </w:rPr>
        <w:t>max</w:t>
      </w:r>
      <w:r w:rsidRPr="000621DD">
        <w:rPr>
          <w:rFonts w:ascii="Times New Roman" w:hAnsi="Times New Roman" w:cs="Times New Roman"/>
          <w:sz w:val="28"/>
          <w:szCs w:val="28"/>
        </w:rPr>
        <w:t xml:space="preserve"> в различных локализациях брюшной полости и полости малого таза принципиально способствовали бы контролю лечения пациентов в клинической онкологии с целью предотвращения метастазирования </w:t>
      </w:r>
      <w:r w:rsidR="00FD338B">
        <w:rPr>
          <w:rFonts w:ascii="Times New Roman" w:hAnsi="Times New Roman" w:cs="Times New Roman"/>
          <w:sz w:val="28"/>
          <w:szCs w:val="28"/>
        </w:rPr>
        <w:t>брюшины</w:t>
      </w:r>
      <w:r w:rsidRPr="000621DD">
        <w:rPr>
          <w:rFonts w:ascii="Times New Roman" w:hAnsi="Times New Roman" w:cs="Times New Roman"/>
          <w:sz w:val="28"/>
          <w:szCs w:val="28"/>
        </w:rPr>
        <w:t>.</w:t>
      </w:r>
    </w:p>
    <w:p w14:paraId="16484D12" w14:textId="6C1D55A3" w:rsidR="00682298" w:rsidRPr="000621DD" w:rsidRDefault="00DD2154" w:rsidP="00DD2154">
      <w:pPr>
        <w:autoSpaceDE w:val="0"/>
        <w:autoSpaceDN w:val="0"/>
        <w:adjustRightInd w:val="0"/>
        <w:spacing w:after="0" w:line="240" w:lineRule="auto"/>
        <w:ind w:firstLine="709"/>
        <w:jc w:val="both"/>
        <w:rPr>
          <w:rFonts w:ascii="Times New Roman" w:hAnsi="Times New Roman" w:cs="Times New Roman"/>
          <w:sz w:val="28"/>
          <w:szCs w:val="28"/>
        </w:rPr>
      </w:pPr>
      <w:r w:rsidRPr="00DD2154">
        <w:rPr>
          <w:rFonts w:ascii="Times New Roman" w:hAnsi="Times New Roman" w:cs="Times New Roman"/>
          <w:sz w:val="28"/>
          <w:szCs w:val="28"/>
        </w:rPr>
        <w:t xml:space="preserve">Таким образом, несмотря на всестороннюю проработку этих вопросов, остается чрезвычайно актуальной задачей </w:t>
      </w:r>
      <w:r w:rsidR="00682298" w:rsidRPr="000621DD">
        <w:rPr>
          <w:rFonts w:ascii="Times New Roman" w:hAnsi="Times New Roman" w:cs="Times New Roman"/>
          <w:sz w:val="28"/>
          <w:szCs w:val="28"/>
        </w:rPr>
        <w:t xml:space="preserve">определение уровня накопления индекса </w:t>
      </w:r>
      <w:r w:rsidR="00682298" w:rsidRPr="000621DD">
        <w:rPr>
          <w:rFonts w:ascii="Times New Roman" w:hAnsi="Times New Roman" w:cs="Times New Roman"/>
          <w:sz w:val="28"/>
          <w:szCs w:val="28"/>
          <w:lang w:val="en-US"/>
        </w:rPr>
        <w:t>SUV</w:t>
      </w:r>
      <w:r w:rsidR="00682298" w:rsidRPr="000621DD">
        <w:rPr>
          <w:rFonts w:ascii="Times New Roman" w:hAnsi="Times New Roman" w:cs="Times New Roman"/>
          <w:sz w:val="28"/>
          <w:szCs w:val="28"/>
          <w:vertAlign w:val="subscript"/>
          <w:lang w:val="en-US"/>
        </w:rPr>
        <w:t>max</w:t>
      </w:r>
      <w:r w:rsidR="00682298" w:rsidRPr="000621DD">
        <w:rPr>
          <w:rFonts w:ascii="Times New Roman" w:hAnsi="Times New Roman" w:cs="Times New Roman"/>
          <w:sz w:val="28"/>
          <w:szCs w:val="28"/>
        </w:rPr>
        <w:t xml:space="preserve"> в различных локализациях брюшной полости и полости малого таза</w:t>
      </w:r>
      <w:r w:rsidR="00575F5E">
        <w:rPr>
          <w:rFonts w:ascii="Times New Roman" w:hAnsi="Times New Roman" w:cs="Times New Roman"/>
          <w:sz w:val="28"/>
          <w:szCs w:val="28"/>
        </w:rPr>
        <w:t>,</w:t>
      </w:r>
      <w:r w:rsidR="00682298" w:rsidRPr="000621DD">
        <w:rPr>
          <w:rFonts w:ascii="Times New Roman" w:hAnsi="Times New Roman" w:cs="Times New Roman"/>
          <w:sz w:val="28"/>
          <w:szCs w:val="28"/>
        </w:rPr>
        <w:t xml:space="preserve"> послужи</w:t>
      </w:r>
      <w:r w:rsidR="00575F5E">
        <w:rPr>
          <w:rFonts w:ascii="Times New Roman" w:hAnsi="Times New Roman" w:cs="Times New Roman"/>
          <w:sz w:val="28"/>
          <w:szCs w:val="28"/>
        </w:rPr>
        <w:t>вшая</w:t>
      </w:r>
      <w:r w:rsidR="00682298" w:rsidRPr="000621DD">
        <w:rPr>
          <w:rFonts w:ascii="Times New Roman" w:hAnsi="Times New Roman" w:cs="Times New Roman"/>
          <w:sz w:val="28"/>
          <w:szCs w:val="28"/>
        </w:rPr>
        <w:t xml:space="preserve"> поводом для начала диссертационного исследования.</w:t>
      </w:r>
    </w:p>
    <w:p w14:paraId="06A37B02" w14:textId="4DCAFED0" w:rsidR="00F4733A" w:rsidRPr="006D6032" w:rsidRDefault="00DD2154" w:rsidP="00682298">
      <w:pPr>
        <w:tabs>
          <w:tab w:val="left" w:pos="851"/>
        </w:tabs>
        <w:spacing w:after="0" w:line="240" w:lineRule="auto"/>
        <w:ind w:firstLine="709"/>
        <w:jc w:val="both"/>
        <w:rPr>
          <w:rFonts w:ascii="Times New Roman" w:hAnsi="Times New Roman" w:cs="Times New Roman"/>
          <w:sz w:val="28"/>
          <w:szCs w:val="28"/>
        </w:rPr>
      </w:pPr>
      <w:r w:rsidRPr="000621DD">
        <w:rPr>
          <w:rFonts w:ascii="Times New Roman" w:hAnsi="Times New Roman" w:cs="Times New Roman"/>
          <w:sz w:val="28"/>
          <w:szCs w:val="28"/>
        </w:rPr>
        <w:t xml:space="preserve">Исходя из этого, нами была определена цель исследования - </w:t>
      </w:r>
      <w:r w:rsidR="00682298" w:rsidRPr="000621DD">
        <w:rPr>
          <w:rFonts w:ascii="Times New Roman" w:eastAsia="Times New Roman" w:hAnsi="Times New Roman" w:cs="Times New Roman"/>
          <w:bCs/>
          <w:sz w:val="28"/>
          <w:szCs w:val="28"/>
          <w:lang w:eastAsia="ru-RU"/>
        </w:rPr>
        <w:t>о</w:t>
      </w:r>
      <w:r w:rsidR="00682298" w:rsidRPr="000621DD">
        <w:rPr>
          <w:rFonts w:ascii="Times New Roman" w:hAnsi="Times New Roman" w:cs="Times New Roman"/>
          <w:sz w:val="28"/>
          <w:szCs w:val="28"/>
        </w:rPr>
        <w:t xml:space="preserve">пределение прогностической ценности </w:t>
      </w:r>
      <w:r w:rsidR="002C0068" w:rsidRPr="002C0068">
        <w:rPr>
          <w:rFonts w:ascii="Times New Roman" w:hAnsi="Times New Roman" w:cs="Times New Roman"/>
          <w:sz w:val="28"/>
          <w:szCs w:val="28"/>
        </w:rPr>
        <w:t>измерения уровня накопления</w:t>
      </w:r>
      <w:r w:rsidR="009D7E22">
        <w:rPr>
          <w:rFonts w:ascii="Times New Roman" w:hAnsi="Times New Roman" w:cs="Times New Roman"/>
          <w:sz w:val="28"/>
          <w:szCs w:val="28"/>
        </w:rPr>
        <w:br/>
      </w:r>
      <w:r w:rsidR="002C0068" w:rsidRPr="009D7E22">
        <w:rPr>
          <w:rFonts w:ascii="Times New Roman" w:hAnsi="Times New Roman" w:cs="Times New Roman"/>
          <w:sz w:val="28"/>
          <w:szCs w:val="28"/>
          <w:vertAlign w:val="superscript"/>
        </w:rPr>
        <w:t>18</w:t>
      </w:r>
      <w:r w:rsidR="002C0068" w:rsidRPr="002C0068">
        <w:rPr>
          <w:rFonts w:ascii="Times New Roman" w:hAnsi="Times New Roman" w:cs="Times New Roman"/>
          <w:sz w:val="28"/>
          <w:szCs w:val="28"/>
        </w:rPr>
        <w:t>F-FDG при ПЭТ/КТ исследовании в висцеральном жире при эпителиальном раке яичников и колоректальном раке в качестве предиктора возможного метастазирования в брюшину</w:t>
      </w:r>
      <w:r w:rsidR="00682298" w:rsidRPr="000621DD">
        <w:rPr>
          <w:rFonts w:ascii="Times New Roman" w:hAnsi="Times New Roman" w:cs="Times New Roman"/>
          <w:sz w:val="28"/>
          <w:szCs w:val="28"/>
        </w:rPr>
        <w:t>.</w:t>
      </w:r>
      <w:r w:rsidR="00F4733A" w:rsidRPr="006D6032">
        <w:rPr>
          <w:rFonts w:ascii="Times New Roman" w:hAnsi="Times New Roman" w:cs="Times New Roman"/>
          <w:sz w:val="28"/>
          <w:szCs w:val="28"/>
        </w:rPr>
        <w:br w:type="page"/>
      </w:r>
    </w:p>
    <w:p w14:paraId="01845BCF" w14:textId="78A71330" w:rsidR="00D26255" w:rsidRPr="00A43B9C" w:rsidRDefault="007B1136" w:rsidP="00AE28CD">
      <w:pPr>
        <w:pStyle w:val="1"/>
        <w:spacing w:line="240" w:lineRule="auto"/>
        <w:ind w:left="709"/>
        <w:jc w:val="both"/>
        <w:rPr>
          <w:rFonts w:eastAsia="Times New Roman"/>
          <w:lang w:val="kk-KZ" w:eastAsia="ru-RU"/>
        </w:rPr>
      </w:pPr>
      <w:bookmarkStart w:id="26" w:name="_Toc94112678"/>
      <w:bookmarkStart w:id="27" w:name="_Toc101861806"/>
      <w:bookmarkStart w:id="28" w:name="_Toc102937609"/>
      <w:r w:rsidRPr="00A43B9C">
        <w:rPr>
          <w:rFonts w:eastAsia="Times New Roman"/>
          <w:lang w:eastAsia="ru-RU"/>
        </w:rPr>
        <w:lastRenderedPageBreak/>
        <w:t>2 МАТЕРИАЛЫ И МЕТОДЫ ИССЛЕДОВАНИЯ</w:t>
      </w:r>
      <w:bookmarkEnd w:id="26"/>
      <w:bookmarkEnd w:id="27"/>
      <w:bookmarkEnd w:id="28"/>
    </w:p>
    <w:p w14:paraId="490B17EC" w14:textId="77777777" w:rsidR="003447F3" w:rsidRPr="00A43B9C" w:rsidRDefault="003447F3" w:rsidP="003447F3">
      <w:pPr>
        <w:spacing w:after="0" w:line="240" w:lineRule="auto"/>
        <w:rPr>
          <w:rFonts w:ascii="Times New Roman" w:hAnsi="Times New Roman" w:cs="Times New Roman"/>
          <w:sz w:val="28"/>
          <w:szCs w:val="28"/>
        </w:rPr>
      </w:pPr>
      <w:bookmarkStart w:id="29" w:name="_Toc101861807"/>
      <w:bookmarkStart w:id="30" w:name="_Toc102937610"/>
      <w:bookmarkStart w:id="31" w:name="_Toc94112680"/>
    </w:p>
    <w:p w14:paraId="7DD18988" w14:textId="7C905B4A" w:rsidR="001C6451" w:rsidRPr="000D2780" w:rsidRDefault="001C6451" w:rsidP="003447F3">
      <w:pPr>
        <w:pStyle w:val="1"/>
        <w:spacing w:line="240" w:lineRule="auto"/>
        <w:ind w:left="709"/>
        <w:jc w:val="both"/>
        <w:rPr>
          <w:rFonts w:cs="Times New Roman"/>
        </w:rPr>
      </w:pPr>
      <w:r w:rsidRPr="000D2780">
        <w:rPr>
          <w:rFonts w:cs="Times New Roman"/>
        </w:rPr>
        <w:t>2.1 Общая структура и характеристика исследования</w:t>
      </w:r>
      <w:bookmarkEnd w:id="29"/>
      <w:bookmarkEnd w:id="30"/>
    </w:p>
    <w:p w14:paraId="7F6F7739" w14:textId="3DF55244" w:rsidR="006473FD" w:rsidRPr="00BE40BB" w:rsidRDefault="006473FD" w:rsidP="003447F3">
      <w:pPr>
        <w:pStyle w:val="31"/>
        <w:spacing w:line="240" w:lineRule="auto"/>
        <w:ind w:left="709"/>
        <w:jc w:val="both"/>
        <w:rPr>
          <w:rFonts w:ascii="Times New Roman" w:hAnsi="Times New Roman" w:cs="Times New Roman"/>
          <w:color w:val="auto"/>
          <w:sz w:val="28"/>
          <w:szCs w:val="28"/>
        </w:rPr>
      </w:pPr>
      <w:bookmarkStart w:id="32" w:name="_Toc101861808"/>
      <w:bookmarkStart w:id="33" w:name="_Toc102937611"/>
      <w:r w:rsidRPr="00BE40BB">
        <w:rPr>
          <w:rFonts w:ascii="Times New Roman" w:hAnsi="Times New Roman" w:cs="Times New Roman"/>
          <w:color w:val="auto"/>
          <w:sz w:val="28"/>
          <w:szCs w:val="28"/>
        </w:rPr>
        <w:t>2.1.1 Структура исследования</w:t>
      </w:r>
      <w:bookmarkEnd w:id="32"/>
      <w:bookmarkEnd w:id="33"/>
    </w:p>
    <w:p w14:paraId="283D8ED1" w14:textId="77777777" w:rsidR="00D31988" w:rsidRPr="00A43B9C" w:rsidRDefault="00D31988" w:rsidP="00D31988">
      <w:pPr>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Диссертационное исследование проводилась по следующей программе исследования, представленной в таблице 3.</w:t>
      </w:r>
    </w:p>
    <w:p w14:paraId="5C9CB1CE" w14:textId="77777777" w:rsidR="00D31988" w:rsidRPr="00A43B9C" w:rsidRDefault="00D31988" w:rsidP="00D31988">
      <w:pPr>
        <w:spacing w:after="0" w:line="240" w:lineRule="auto"/>
        <w:jc w:val="both"/>
        <w:rPr>
          <w:rFonts w:ascii="Times New Roman" w:eastAsia="Times New Roman" w:hAnsi="Times New Roman" w:cs="Times New Roman"/>
          <w:sz w:val="28"/>
          <w:szCs w:val="28"/>
          <w:lang w:eastAsia="ru-RU"/>
        </w:rPr>
      </w:pPr>
    </w:p>
    <w:p w14:paraId="025E14ED" w14:textId="77777777" w:rsidR="00D31988" w:rsidRPr="00A43B9C" w:rsidRDefault="00D31988" w:rsidP="00D31988">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Таблица 3 - Программа исследования</w:t>
      </w:r>
    </w:p>
    <w:p w14:paraId="6E55853D" w14:textId="77777777" w:rsidR="00D31988" w:rsidRDefault="00D31988" w:rsidP="00D31988">
      <w:pPr>
        <w:spacing w:after="0" w:line="240" w:lineRule="auto"/>
        <w:jc w:val="both"/>
        <w:rPr>
          <w:rFonts w:ascii="Times New Roman" w:eastAsia="Times New Roman" w:hAnsi="Times New Roman" w:cs="Times New Roman"/>
          <w:sz w:val="28"/>
          <w:szCs w:val="28"/>
          <w:lang w:eastAsia="ru-RU"/>
        </w:rPr>
      </w:pPr>
    </w:p>
    <w:tbl>
      <w:tblPr>
        <w:tblStyle w:val="ad"/>
        <w:tblW w:w="5000" w:type="pct"/>
        <w:tblLook w:val="04A0" w:firstRow="1" w:lastRow="0" w:firstColumn="1" w:lastColumn="0" w:noHBand="0" w:noVBand="1"/>
      </w:tblPr>
      <w:tblGrid>
        <w:gridCol w:w="484"/>
        <w:gridCol w:w="2338"/>
        <w:gridCol w:w="2548"/>
        <w:gridCol w:w="3974"/>
      </w:tblGrid>
      <w:tr w:rsidR="00D31988" w:rsidRPr="00A43B9C" w14:paraId="0A353547" w14:textId="77777777" w:rsidTr="0079247B">
        <w:tc>
          <w:tcPr>
            <w:tcW w:w="266" w:type="pct"/>
            <w:vAlign w:val="center"/>
          </w:tcPr>
          <w:p w14:paraId="61E55764" w14:textId="77777777" w:rsidR="00D31988" w:rsidRPr="000D2780" w:rsidRDefault="00D31988" w:rsidP="0079247B">
            <w:pPr>
              <w:spacing w:after="0" w:line="240" w:lineRule="auto"/>
              <w:jc w:val="center"/>
              <w:rPr>
                <w:rFonts w:ascii="Times New Roman" w:eastAsia="Times New Roman" w:hAnsi="Times New Roman" w:cs="Times New Roman"/>
                <w:sz w:val="28"/>
                <w:szCs w:val="28"/>
                <w:lang w:eastAsia="ru-RU"/>
              </w:rPr>
            </w:pPr>
            <w:r w:rsidRPr="000D2780">
              <w:rPr>
                <w:rFonts w:ascii="Times New Roman" w:eastAsia="Times New Roman" w:hAnsi="Times New Roman" w:cs="Times New Roman"/>
                <w:sz w:val="28"/>
                <w:szCs w:val="28"/>
                <w:lang w:eastAsia="ru-RU"/>
              </w:rPr>
              <w:t>№</w:t>
            </w:r>
          </w:p>
        </w:tc>
        <w:tc>
          <w:tcPr>
            <w:tcW w:w="1384" w:type="pct"/>
            <w:vAlign w:val="center"/>
          </w:tcPr>
          <w:p w14:paraId="36568D31" w14:textId="77777777" w:rsidR="00D31988" w:rsidRPr="000D2780" w:rsidRDefault="00D31988" w:rsidP="0079247B">
            <w:pPr>
              <w:spacing w:after="0" w:line="240" w:lineRule="auto"/>
              <w:jc w:val="center"/>
              <w:rPr>
                <w:rFonts w:ascii="Times New Roman" w:eastAsia="Times New Roman" w:hAnsi="Times New Roman" w:cs="Times New Roman"/>
                <w:sz w:val="28"/>
                <w:szCs w:val="28"/>
                <w:lang w:eastAsia="ru-RU"/>
              </w:rPr>
            </w:pPr>
            <w:r w:rsidRPr="000D2780">
              <w:rPr>
                <w:rFonts w:ascii="Times New Roman" w:eastAsia="Times New Roman" w:hAnsi="Times New Roman" w:cs="Times New Roman"/>
                <w:sz w:val="28"/>
                <w:szCs w:val="28"/>
                <w:lang w:eastAsia="ru-RU"/>
              </w:rPr>
              <w:t>Этапы</w:t>
            </w:r>
          </w:p>
        </w:tc>
        <w:tc>
          <w:tcPr>
            <w:tcW w:w="1154" w:type="pct"/>
            <w:vAlign w:val="center"/>
          </w:tcPr>
          <w:p w14:paraId="31735FED" w14:textId="77777777" w:rsidR="00D31988" w:rsidRPr="000D2780" w:rsidRDefault="00D31988" w:rsidP="0079247B">
            <w:pPr>
              <w:spacing w:after="0" w:line="240" w:lineRule="auto"/>
              <w:jc w:val="center"/>
              <w:rPr>
                <w:rFonts w:ascii="Times New Roman" w:eastAsia="Times New Roman" w:hAnsi="Times New Roman" w:cs="Times New Roman"/>
                <w:sz w:val="28"/>
                <w:szCs w:val="28"/>
                <w:lang w:eastAsia="ru-RU"/>
              </w:rPr>
            </w:pPr>
            <w:r w:rsidRPr="000D2780">
              <w:rPr>
                <w:rFonts w:ascii="Times New Roman" w:eastAsia="Times New Roman" w:hAnsi="Times New Roman" w:cs="Times New Roman"/>
                <w:sz w:val="28"/>
                <w:szCs w:val="28"/>
                <w:lang w:eastAsia="ru-RU"/>
              </w:rPr>
              <w:t>Методы</w:t>
            </w:r>
          </w:p>
        </w:tc>
        <w:tc>
          <w:tcPr>
            <w:tcW w:w="2196" w:type="pct"/>
            <w:vAlign w:val="center"/>
          </w:tcPr>
          <w:p w14:paraId="3233D9BF" w14:textId="77777777" w:rsidR="00D31988" w:rsidRPr="000D2780" w:rsidRDefault="00D31988" w:rsidP="0079247B">
            <w:pPr>
              <w:spacing w:after="0" w:line="240" w:lineRule="auto"/>
              <w:jc w:val="center"/>
              <w:rPr>
                <w:rFonts w:ascii="Times New Roman" w:eastAsia="Times New Roman" w:hAnsi="Times New Roman" w:cs="Times New Roman"/>
                <w:sz w:val="28"/>
                <w:szCs w:val="28"/>
                <w:lang w:eastAsia="ru-RU"/>
              </w:rPr>
            </w:pPr>
            <w:r w:rsidRPr="000D2780">
              <w:rPr>
                <w:rFonts w:ascii="Times New Roman" w:eastAsia="Times New Roman" w:hAnsi="Times New Roman" w:cs="Times New Roman"/>
                <w:sz w:val="28"/>
                <w:szCs w:val="28"/>
                <w:lang w:eastAsia="ru-RU"/>
              </w:rPr>
              <w:t>Источники и объем</w:t>
            </w:r>
          </w:p>
        </w:tc>
      </w:tr>
      <w:tr w:rsidR="00D31988" w:rsidRPr="00A27B02" w14:paraId="3CBAD87A" w14:textId="77777777" w:rsidTr="0079247B">
        <w:tc>
          <w:tcPr>
            <w:tcW w:w="266" w:type="pct"/>
            <w:vAlign w:val="center"/>
          </w:tcPr>
          <w:p w14:paraId="3649A3CF" w14:textId="77777777" w:rsidR="00D31988" w:rsidRPr="00A43B9C" w:rsidRDefault="00D31988" w:rsidP="0079247B">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1</w:t>
            </w:r>
          </w:p>
        </w:tc>
        <w:tc>
          <w:tcPr>
            <w:tcW w:w="1384" w:type="pct"/>
            <w:vAlign w:val="center"/>
          </w:tcPr>
          <w:p w14:paraId="421E0CD2" w14:textId="01B88007" w:rsidR="00D31988" w:rsidRPr="00605B19" w:rsidRDefault="00D31988" w:rsidP="0079247B">
            <w:pPr>
              <w:spacing w:after="0" w:line="240" w:lineRule="auto"/>
              <w:jc w:val="both"/>
              <w:rPr>
                <w:rFonts w:ascii="Times New Roman" w:eastAsia="Times New Roman" w:hAnsi="Times New Roman" w:cs="Times New Roman"/>
                <w:sz w:val="28"/>
                <w:szCs w:val="28"/>
                <w:lang w:eastAsia="ru-RU"/>
              </w:rPr>
            </w:pPr>
            <w:r w:rsidRPr="00605B19">
              <w:rPr>
                <w:rFonts w:ascii="Times New Roman" w:eastAsia="Times New Roman" w:hAnsi="Times New Roman" w:cs="Times New Roman"/>
                <w:sz w:val="28"/>
                <w:szCs w:val="28"/>
                <w:lang w:eastAsia="ru-RU"/>
              </w:rPr>
              <w:t xml:space="preserve">Обзор литературы </w:t>
            </w:r>
            <w:r w:rsidR="00605B19" w:rsidRPr="00605B19">
              <w:rPr>
                <w:rFonts w:ascii="Times New Roman" w:eastAsia="Times New Roman" w:hAnsi="Times New Roman" w:cs="Times New Roman"/>
                <w:sz w:val="28"/>
                <w:szCs w:val="28"/>
                <w:lang w:eastAsia="ru-RU"/>
              </w:rPr>
              <w:t xml:space="preserve">по </w:t>
            </w:r>
            <w:r w:rsidRPr="00605B19">
              <w:rPr>
                <w:rFonts w:ascii="Times New Roman" w:eastAsia="Times New Roman" w:hAnsi="Times New Roman" w:cs="Times New Roman"/>
                <w:sz w:val="28"/>
                <w:szCs w:val="28"/>
                <w:lang w:eastAsia="ru-RU"/>
              </w:rPr>
              <w:t xml:space="preserve">прогностической ценности </w:t>
            </w:r>
            <w:r w:rsidRPr="00605B19">
              <w:rPr>
                <w:rFonts w:ascii="Times New Roman" w:eastAsia="Times New Roman" w:hAnsi="Times New Roman" w:cs="Times New Roman"/>
                <w:sz w:val="28"/>
                <w:szCs w:val="28"/>
                <w:vertAlign w:val="superscript"/>
                <w:lang w:eastAsia="ru-RU"/>
              </w:rPr>
              <w:t>18</w:t>
            </w:r>
            <w:r w:rsidRPr="00605B19">
              <w:rPr>
                <w:rFonts w:ascii="Times New Roman" w:eastAsia="Times New Roman" w:hAnsi="Times New Roman" w:cs="Times New Roman"/>
                <w:sz w:val="28"/>
                <w:szCs w:val="28"/>
                <w:lang w:val="en-US" w:eastAsia="ru-RU"/>
              </w:rPr>
              <w:t>F</w:t>
            </w:r>
            <w:r w:rsidRPr="00605B19">
              <w:rPr>
                <w:rFonts w:ascii="Times New Roman" w:eastAsia="Times New Roman" w:hAnsi="Times New Roman" w:cs="Times New Roman"/>
                <w:sz w:val="28"/>
                <w:szCs w:val="28"/>
                <w:lang w:eastAsia="ru-RU"/>
              </w:rPr>
              <w:t>-</w:t>
            </w:r>
            <w:r w:rsidRPr="00605B19">
              <w:rPr>
                <w:rFonts w:ascii="Times New Roman" w:eastAsia="Times New Roman" w:hAnsi="Times New Roman" w:cs="Times New Roman"/>
                <w:sz w:val="28"/>
                <w:szCs w:val="28"/>
                <w:lang w:val="en-US" w:eastAsia="ru-RU"/>
              </w:rPr>
              <w:t>FDG</w:t>
            </w:r>
            <w:r w:rsidRPr="00605B19">
              <w:rPr>
                <w:rFonts w:ascii="Times New Roman" w:eastAsia="Times New Roman" w:hAnsi="Times New Roman" w:cs="Times New Roman"/>
                <w:sz w:val="28"/>
                <w:szCs w:val="28"/>
                <w:lang w:eastAsia="ru-RU"/>
              </w:rPr>
              <w:t xml:space="preserve"> ПЭТ/КТ при ЭРЯ и КРР</w:t>
            </w:r>
          </w:p>
        </w:tc>
        <w:tc>
          <w:tcPr>
            <w:tcW w:w="1154" w:type="pct"/>
            <w:vAlign w:val="center"/>
          </w:tcPr>
          <w:p w14:paraId="15DEBF37" w14:textId="77777777" w:rsidR="00D31988" w:rsidRPr="00A43B9C" w:rsidRDefault="00D31988" w:rsidP="0079247B">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Информационно-аналитический, статистический</w:t>
            </w:r>
          </w:p>
        </w:tc>
        <w:tc>
          <w:tcPr>
            <w:tcW w:w="2196" w:type="pct"/>
            <w:vAlign w:val="center"/>
          </w:tcPr>
          <w:p w14:paraId="1D5A5C2D" w14:textId="77777777" w:rsidR="00D31988" w:rsidRPr="00A43B9C" w:rsidRDefault="00D31988" w:rsidP="0079247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Нормативно-правовые акты РК;</w:t>
            </w:r>
          </w:p>
          <w:p w14:paraId="2E8EF0DB" w14:textId="77777777" w:rsidR="00D31988" w:rsidRPr="00A27B02" w:rsidRDefault="00D31988" w:rsidP="0079247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Диссертационные работы</w:t>
            </w:r>
            <w:r>
              <w:rPr>
                <w:rFonts w:ascii="Times New Roman" w:eastAsia="Times New Roman" w:hAnsi="Times New Roman" w:cs="Times New Roman"/>
                <w:sz w:val="28"/>
                <w:szCs w:val="28"/>
                <w:lang w:eastAsia="ru-RU"/>
              </w:rPr>
              <w:t xml:space="preserve"> и с</w:t>
            </w:r>
            <w:r w:rsidRPr="00A43B9C">
              <w:rPr>
                <w:rFonts w:ascii="Times New Roman" w:eastAsia="Times New Roman" w:hAnsi="Times New Roman" w:cs="Times New Roman"/>
                <w:sz w:val="28"/>
                <w:szCs w:val="28"/>
                <w:lang w:eastAsia="ru-RU"/>
              </w:rPr>
              <w:t>татьи</w:t>
            </w:r>
            <w:r w:rsidRPr="00A27B02">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в </w:t>
            </w:r>
            <w:r w:rsidRPr="00A43B9C">
              <w:rPr>
                <w:rFonts w:ascii="Times New Roman" w:eastAsia="Times New Roman" w:hAnsi="Times New Roman" w:cs="Times New Roman"/>
                <w:sz w:val="28"/>
                <w:szCs w:val="28"/>
                <w:lang w:eastAsia="ru-RU"/>
              </w:rPr>
              <w:t>наукометрических</w:t>
            </w:r>
            <w:r w:rsidRPr="00A27B02">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баз</w:t>
            </w:r>
            <w:r>
              <w:rPr>
                <w:rFonts w:ascii="Times New Roman" w:eastAsia="Times New Roman" w:hAnsi="Times New Roman" w:cs="Times New Roman"/>
                <w:sz w:val="28"/>
                <w:szCs w:val="28"/>
                <w:lang w:eastAsia="ru-RU"/>
              </w:rPr>
              <w:t>ах</w:t>
            </w:r>
            <w:r w:rsidRPr="00A27B02">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данных</w:t>
            </w:r>
            <w:r>
              <w:rPr>
                <w:rFonts w:ascii="Times New Roman" w:eastAsia="Times New Roman" w:hAnsi="Times New Roman" w:cs="Times New Roman"/>
                <w:sz w:val="28"/>
                <w:szCs w:val="28"/>
                <w:lang w:eastAsia="ru-RU"/>
              </w:rPr>
              <w:t>.</w:t>
            </w:r>
          </w:p>
        </w:tc>
      </w:tr>
      <w:tr w:rsidR="00D31988" w:rsidRPr="00A43B9C" w14:paraId="702A0F2E" w14:textId="77777777" w:rsidTr="0079247B">
        <w:tc>
          <w:tcPr>
            <w:tcW w:w="266" w:type="pct"/>
            <w:vAlign w:val="center"/>
          </w:tcPr>
          <w:p w14:paraId="670F8EC5" w14:textId="77777777" w:rsidR="00D31988" w:rsidRPr="00A43B9C" w:rsidRDefault="00D31988" w:rsidP="0079247B">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2</w:t>
            </w:r>
          </w:p>
        </w:tc>
        <w:tc>
          <w:tcPr>
            <w:tcW w:w="1384" w:type="pct"/>
            <w:vAlign w:val="center"/>
          </w:tcPr>
          <w:p w14:paraId="5AE4FC39" w14:textId="77777777" w:rsidR="00D31988" w:rsidRPr="00A43B9C" w:rsidRDefault="00D31988" w:rsidP="0079247B">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Прохождени</w:t>
            </w:r>
            <w:r>
              <w:rPr>
                <w:rFonts w:ascii="Times New Roman" w:eastAsia="Times New Roman" w:hAnsi="Times New Roman" w:cs="Times New Roman"/>
                <w:sz w:val="28"/>
                <w:szCs w:val="28"/>
                <w:lang w:eastAsia="ru-RU"/>
              </w:rPr>
              <w:t>е</w:t>
            </w:r>
            <w:r w:rsidRPr="00A43B9C">
              <w:rPr>
                <w:rFonts w:ascii="Times New Roman" w:eastAsia="Times New Roman" w:hAnsi="Times New Roman" w:cs="Times New Roman"/>
                <w:sz w:val="28"/>
                <w:szCs w:val="28"/>
                <w:lang w:eastAsia="ru-RU"/>
              </w:rPr>
              <w:t xml:space="preserve"> этической комиссии</w:t>
            </w:r>
          </w:p>
        </w:tc>
        <w:tc>
          <w:tcPr>
            <w:tcW w:w="1154" w:type="pct"/>
            <w:vAlign w:val="center"/>
          </w:tcPr>
          <w:p w14:paraId="1DACFCB0" w14:textId="77777777" w:rsidR="00D31988" w:rsidRPr="00A43B9C" w:rsidRDefault="00D31988" w:rsidP="0079247B">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Информационно-аналитический</w:t>
            </w:r>
          </w:p>
        </w:tc>
        <w:tc>
          <w:tcPr>
            <w:tcW w:w="2196" w:type="pct"/>
            <w:vAlign w:val="center"/>
          </w:tcPr>
          <w:p w14:paraId="1066A795" w14:textId="77777777" w:rsidR="00D31988" w:rsidRPr="00A43B9C" w:rsidRDefault="00D31988" w:rsidP="0079247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ЛКБ</w:t>
            </w:r>
            <w:r w:rsidRPr="00A43B9C">
              <w:rPr>
                <w:rFonts w:ascii="Times New Roman" w:eastAsia="Times New Roman" w:hAnsi="Times New Roman" w:cs="Times New Roman"/>
                <w:sz w:val="28"/>
                <w:szCs w:val="28"/>
                <w:lang w:eastAsia="ru-RU"/>
              </w:rPr>
              <w:t xml:space="preserve"> БМ</w:t>
            </w:r>
            <w:r>
              <w:rPr>
                <w:rFonts w:ascii="Times New Roman" w:eastAsia="Times New Roman" w:hAnsi="Times New Roman" w:cs="Times New Roman"/>
                <w:sz w:val="28"/>
                <w:szCs w:val="28"/>
                <w:lang w:eastAsia="ru-RU"/>
              </w:rPr>
              <w:t>Ц</w:t>
            </w:r>
            <w:r w:rsidRPr="00A43B9C">
              <w:rPr>
                <w:rFonts w:ascii="Times New Roman" w:eastAsia="Times New Roman" w:hAnsi="Times New Roman" w:cs="Times New Roman"/>
                <w:sz w:val="28"/>
                <w:szCs w:val="28"/>
                <w:lang w:eastAsia="ru-RU"/>
              </w:rPr>
              <w:t xml:space="preserve"> У</w:t>
            </w:r>
            <w:r>
              <w:rPr>
                <w:rFonts w:ascii="Times New Roman" w:eastAsia="Times New Roman" w:hAnsi="Times New Roman" w:cs="Times New Roman"/>
                <w:sz w:val="28"/>
                <w:szCs w:val="28"/>
                <w:lang w:eastAsia="ru-RU"/>
              </w:rPr>
              <w:t>ДП</w:t>
            </w:r>
            <w:r w:rsidRPr="00A43B9C">
              <w:rPr>
                <w:rFonts w:ascii="Times New Roman" w:eastAsia="Times New Roman" w:hAnsi="Times New Roman" w:cs="Times New Roman"/>
                <w:sz w:val="28"/>
                <w:szCs w:val="28"/>
                <w:lang w:eastAsia="ru-RU"/>
              </w:rPr>
              <w:t xml:space="preserve"> РК, г. Астана;</w:t>
            </w:r>
          </w:p>
          <w:p w14:paraId="4D37C915" w14:textId="77777777" w:rsidR="00D31988" w:rsidRPr="00A43B9C" w:rsidRDefault="00D31988" w:rsidP="0079247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ЛЭК КазНУ</w:t>
            </w:r>
            <w:r w:rsidRPr="00A43B9C">
              <w:rPr>
                <w:rFonts w:ascii="Times New Roman" w:eastAsia="Times New Roman" w:hAnsi="Times New Roman" w:cs="Times New Roman"/>
                <w:sz w:val="28"/>
                <w:szCs w:val="28"/>
                <w:lang w:eastAsia="ru-RU"/>
              </w:rPr>
              <w:t>, г. Алматы.</w:t>
            </w:r>
          </w:p>
        </w:tc>
      </w:tr>
      <w:tr w:rsidR="00D31988" w:rsidRPr="00A43B9C" w14:paraId="7D1F30E2" w14:textId="77777777" w:rsidTr="0079247B">
        <w:tc>
          <w:tcPr>
            <w:tcW w:w="266" w:type="pct"/>
            <w:vAlign w:val="center"/>
          </w:tcPr>
          <w:p w14:paraId="18954EC6" w14:textId="77777777" w:rsidR="00D31988" w:rsidRPr="00A43B9C" w:rsidRDefault="00D31988" w:rsidP="0079247B">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3</w:t>
            </w:r>
          </w:p>
        </w:tc>
        <w:tc>
          <w:tcPr>
            <w:tcW w:w="1384" w:type="pct"/>
            <w:vAlign w:val="center"/>
          </w:tcPr>
          <w:p w14:paraId="32FBCD89" w14:textId="77777777" w:rsidR="00D31988" w:rsidRPr="00A43B9C" w:rsidRDefault="00D31988" w:rsidP="0079247B">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Расчет объема выборки.</w:t>
            </w:r>
            <w:r w:rsidRPr="00F356C6">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Набор пациентов.</w:t>
            </w:r>
            <w:r w:rsidRPr="00F356C6">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 xml:space="preserve">Проведение </w:t>
            </w:r>
            <w:r w:rsidRPr="00A43B9C">
              <w:rPr>
                <w:rFonts w:ascii="Times New Roman" w:eastAsia="Times New Roman" w:hAnsi="Times New Roman" w:cs="Times New Roman"/>
                <w:sz w:val="28"/>
                <w:szCs w:val="28"/>
                <w:vertAlign w:val="superscript"/>
                <w:lang w:eastAsia="ru-RU"/>
              </w:rPr>
              <w:t>18</w:t>
            </w:r>
            <w:r w:rsidRPr="00A43B9C">
              <w:rPr>
                <w:rFonts w:ascii="Times New Roman" w:eastAsia="Times New Roman" w:hAnsi="Times New Roman" w:cs="Times New Roman"/>
                <w:sz w:val="28"/>
                <w:szCs w:val="28"/>
                <w:lang w:val="en-US" w:eastAsia="ru-RU"/>
              </w:rPr>
              <w:t>F</w:t>
            </w:r>
            <w:r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val="en-US" w:eastAsia="ru-RU"/>
              </w:rPr>
              <w:t>FDG</w:t>
            </w:r>
            <w:r w:rsidRPr="00A43B9C">
              <w:rPr>
                <w:rFonts w:ascii="Times New Roman" w:eastAsia="Times New Roman" w:hAnsi="Times New Roman" w:cs="Times New Roman"/>
                <w:sz w:val="28"/>
                <w:szCs w:val="28"/>
                <w:lang w:eastAsia="ru-RU"/>
              </w:rPr>
              <w:t xml:space="preserve"> ПЭТ/КТ</w:t>
            </w:r>
          </w:p>
        </w:tc>
        <w:tc>
          <w:tcPr>
            <w:tcW w:w="1154" w:type="pct"/>
            <w:vAlign w:val="center"/>
          </w:tcPr>
          <w:p w14:paraId="0108BED0" w14:textId="77777777" w:rsidR="00D31988" w:rsidRPr="00A43B9C" w:rsidRDefault="00D31988" w:rsidP="0079247B">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Инструментальный</w:t>
            </w:r>
          </w:p>
        </w:tc>
        <w:tc>
          <w:tcPr>
            <w:tcW w:w="2196" w:type="pct"/>
            <w:vAlign w:val="center"/>
          </w:tcPr>
          <w:p w14:paraId="478CF453" w14:textId="77777777" w:rsidR="00D31988" w:rsidRPr="00A43B9C" w:rsidRDefault="00D31988" w:rsidP="0079247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ОЯМ ЦД</w:t>
            </w:r>
            <w:r w:rsidRPr="00A43B9C">
              <w:rPr>
                <w:rFonts w:ascii="Times New Roman" w:eastAsia="Times New Roman" w:hAnsi="Times New Roman" w:cs="Times New Roman"/>
                <w:sz w:val="28"/>
                <w:szCs w:val="28"/>
                <w:lang w:eastAsia="ru-RU"/>
              </w:rPr>
              <w:t xml:space="preserve"> БМ</w:t>
            </w:r>
            <w:r>
              <w:rPr>
                <w:rFonts w:ascii="Times New Roman" w:eastAsia="Times New Roman" w:hAnsi="Times New Roman" w:cs="Times New Roman"/>
                <w:sz w:val="28"/>
                <w:szCs w:val="28"/>
                <w:lang w:eastAsia="ru-RU"/>
              </w:rPr>
              <w:t>Ц</w:t>
            </w:r>
            <w:r w:rsidRPr="00A43B9C">
              <w:rPr>
                <w:rFonts w:ascii="Times New Roman" w:eastAsia="Times New Roman" w:hAnsi="Times New Roman" w:cs="Times New Roman"/>
                <w:sz w:val="28"/>
                <w:szCs w:val="28"/>
                <w:lang w:eastAsia="ru-RU"/>
              </w:rPr>
              <w:t xml:space="preserve"> У</w:t>
            </w:r>
            <w:r>
              <w:rPr>
                <w:rFonts w:ascii="Times New Roman" w:eastAsia="Times New Roman" w:hAnsi="Times New Roman" w:cs="Times New Roman"/>
                <w:sz w:val="28"/>
                <w:szCs w:val="28"/>
                <w:lang w:eastAsia="ru-RU"/>
              </w:rPr>
              <w:t>ДП</w:t>
            </w:r>
            <w:r w:rsidRPr="00A43B9C">
              <w:rPr>
                <w:rFonts w:ascii="Times New Roman" w:eastAsia="Times New Roman" w:hAnsi="Times New Roman" w:cs="Times New Roman"/>
                <w:sz w:val="28"/>
                <w:szCs w:val="28"/>
                <w:lang w:eastAsia="ru-RU"/>
              </w:rPr>
              <w:t xml:space="preserve"> РК;</w:t>
            </w:r>
          </w:p>
          <w:p w14:paraId="0585E7ED" w14:textId="77777777" w:rsidR="00D31988" w:rsidRPr="00A43B9C" w:rsidRDefault="00D31988" w:rsidP="0079247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Пациент</w:t>
            </w:r>
            <w:r>
              <w:rPr>
                <w:rFonts w:ascii="Times New Roman" w:eastAsia="Times New Roman" w:hAnsi="Times New Roman" w:cs="Times New Roman"/>
                <w:sz w:val="28"/>
                <w:szCs w:val="28"/>
                <w:lang w:eastAsia="ru-RU"/>
              </w:rPr>
              <w:t>ы</w:t>
            </w:r>
            <w:r w:rsidRPr="00A43B9C">
              <w:rPr>
                <w:rFonts w:ascii="Times New Roman" w:eastAsia="Times New Roman" w:hAnsi="Times New Roman" w:cs="Times New Roman"/>
                <w:sz w:val="28"/>
                <w:szCs w:val="28"/>
                <w:lang w:eastAsia="ru-RU"/>
              </w:rPr>
              <w:t xml:space="preserve"> с гистологически верифицированным диагнозом </w:t>
            </w:r>
            <w:r>
              <w:rPr>
                <w:rFonts w:ascii="Times New Roman" w:eastAsia="Times New Roman" w:hAnsi="Times New Roman" w:cs="Times New Roman"/>
                <w:sz w:val="28"/>
                <w:szCs w:val="28"/>
                <w:lang w:eastAsia="ru-RU"/>
              </w:rPr>
              <w:t>ЭРЯ и КРР</w:t>
            </w:r>
            <w:r w:rsidRPr="00A43B9C">
              <w:rPr>
                <w:rFonts w:ascii="Times New Roman" w:eastAsia="Times New Roman" w:hAnsi="Times New Roman" w:cs="Times New Roman"/>
                <w:sz w:val="28"/>
                <w:szCs w:val="28"/>
                <w:lang w:eastAsia="ru-RU"/>
              </w:rPr>
              <w:t>.</w:t>
            </w:r>
          </w:p>
        </w:tc>
      </w:tr>
      <w:tr w:rsidR="00D31988" w:rsidRPr="00302EA8" w14:paraId="272D996D" w14:textId="77777777" w:rsidTr="0079247B">
        <w:tc>
          <w:tcPr>
            <w:tcW w:w="266" w:type="pct"/>
            <w:vAlign w:val="center"/>
          </w:tcPr>
          <w:p w14:paraId="30A33A60" w14:textId="77777777" w:rsidR="00D31988" w:rsidRPr="00A43B9C" w:rsidRDefault="00D31988" w:rsidP="0079247B">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4</w:t>
            </w:r>
          </w:p>
        </w:tc>
        <w:tc>
          <w:tcPr>
            <w:tcW w:w="1384" w:type="pct"/>
            <w:vAlign w:val="center"/>
          </w:tcPr>
          <w:p w14:paraId="01033A7D" w14:textId="77777777" w:rsidR="00D31988" w:rsidRPr="00A43B9C" w:rsidRDefault="00D31988" w:rsidP="0079247B">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Анализ изображений</w:t>
            </w:r>
            <w:r>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измерение уровня накопления </w:t>
            </w:r>
            <w:r w:rsidRPr="00A43B9C">
              <w:rPr>
                <w:rFonts w:ascii="Times New Roman" w:eastAsia="Times New Roman" w:hAnsi="Times New Roman" w:cs="Times New Roman"/>
                <w:sz w:val="28"/>
                <w:szCs w:val="28"/>
                <w:lang w:val="en-US" w:eastAsia="ru-RU"/>
              </w:rPr>
              <w:t>SUV</w:t>
            </w:r>
            <w:r w:rsidRPr="00A43B9C">
              <w:rPr>
                <w:rFonts w:ascii="Times New Roman" w:eastAsia="Times New Roman" w:hAnsi="Times New Roman" w:cs="Times New Roman"/>
                <w:sz w:val="28"/>
                <w:szCs w:val="28"/>
                <w:vertAlign w:val="subscript"/>
                <w:lang w:val="en-US" w:eastAsia="ru-RU"/>
              </w:rPr>
              <w:t>max</w:t>
            </w:r>
            <w:r w:rsidRPr="00A43B9C">
              <w:rPr>
                <w:rFonts w:ascii="Times New Roman" w:eastAsia="Times New Roman" w:hAnsi="Times New Roman" w:cs="Times New Roman"/>
                <w:sz w:val="28"/>
                <w:szCs w:val="28"/>
                <w:lang w:eastAsia="ru-RU"/>
              </w:rPr>
              <w:t xml:space="preserve"> в </w:t>
            </w:r>
            <w:r>
              <w:rPr>
                <w:rFonts w:ascii="Times New Roman" w:eastAsia="Times New Roman" w:hAnsi="Times New Roman" w:cs="Times New Roman"/>
                <w:sz w:val="28"/>
                <w:szCs w:val="28"/>
                <w:lang w:val="en-US" w:eastAsia="ru-RU"/>
              </w:rPr>
              <w:t>VAT</w:t>
            </w:r>
          </w:p>
        </w:tc>
        <w:tc>
          <w:tcPr>
            <w:tcW w:w="1154" w:type="pct"/>
            <w:vAlign w:val="center"/>
          </w:tcPr>
          <w:p w14:paraId="73E77711" w14:textId="77777777" w:rsidR="00D31988" w:rsidRPr="00A43B9C" w:rsidRDefault="00D31988" w:rsidP="0079247B">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Инструментальный</w:t>
            </w:r>
          </w:p>
        </w:tc>
        <w:tc>
          <w:tcPr>
            <w:tcW w:w="2196" w:type="pct"/>
            <w:vAlign w:val="center"/>
          </w:tcPr>
          <w:p w14:paraId="11CFC715" w14:textId="77777777" w:rsidR="00D31988" w:rsidRPr="00A43B9C" w:rsidRDefault="00D31988" w:rsidP="0079247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О</w:t>
            </w:r>
            <w:r>
              <w:rPr>
                <w:rFonts w:ascii="Times New Roman" w:eastAsia="Times New Roman" w:hAnsi="Times New Roman" w:cs="Times New Roman"/>
                <w:sz w:val="28"/>
                <w:szCs w:val="28"/>
                <w:lang w:eastAsia="ru-RU"/>
              </w:rPr>
              <w:t>ЯМ ЦД</w:t>
            </w:r>
            <w:r w:rsidRPr="00A43B9C">
              <w:rPr>
                <w:rFonts w:ascii="Times New Roman" w:eastAsia="Times New Roman" w:hAnsi="Times New Roman" w:cs="Times New Roman"/>
                <w:sz w:val="28"/>
                <w:szCs w:val="28"/>
                <w:lang w:eastAsia="ru-RU"/>
              </w:rPr>
              <w:t xml:space="preserve"> БМ</w:t>
            </w:r>
            <w:r>
              <w:rPr>
                <w:rFonts w:ascii="Times New Roman" w:eastAsia="Times New Roman" w:hAnsi="Times New Roman" w:cs="Times New Roman"/>
                <w:sz w:val="28"/>
                <w:szCs w:val="28"/>
                <w:lang w:eastAsia="ru-RU"/>
              </w:rPr>
              <w:t>Ц</w:t>
            </w:r>
            <w:r w:rsidRPr="00A43B9C">
              <w:rPr>
                <w:rFonts w:ascii="Times New Roman" w:eastAsia="Times New Roman" w:hAnsi="Times New Roman" w:cs="Times New Roman"/>
                <w:sz w:val="28"/>
                <w:szCs w:val="28"/>
                <w:lang w:eastAsia="ru-RU"/>
              </w:rPr>
              <w:t xml:space="preserve"> У</w:t>
            </w:r>
            <w:r>
              <w:rPr>
                <w:rFonts w:ascii="Times New Roman" w:eastAsia="Times New Roman" w:hAnsi="Times New Roman" w:cs="Times New Roman"/>
                <w:sz w:val="28"/>
                <w:szCs w:val="28"/>
                <w:lang w:eastAsia="ru-RU"/>
              </w:rPr>
              <w:t>Д</w:t>
            </w:r>
            <w:r w:rsidRPr="00A43B9C">
              <w:rPr>
                <w:rFonts w:ascii="Times New Roman" w:eastAsia="Times New Roman" w:hAnsi="Times New Roman" w:cs="Times New Roman"/>
                <w:sz w:val="28"/>
                <w:szCs w:val="28"/>
                <w:lang w:eastAsia="ru-RU"/>
              </w:rPr>
              <w:t>П</w:t>
            </w:r>
            <w:r>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РК;</w:t>
            </w:r>
          </w:p>
          <w:p w14:paraId="6B15320A" w14:textId="77777777" w:rsidR="00D31988" w:rsidRPr="00A43B9C" w:rsidRDefault="00D31988" w:rsidP="0079247B">
            <w:pPr>
              <w:spacing w:after="0" w:line="240" w:lineRule="auto"/>
              <w:jc w:val="both"/>
              <w:rPr>
                <w:rFonts w:ascii="Times New Roman" w:eastAsia="Times New Roman" w:hAnsi="Times New Roman" w:cs="Times New Roman"/>
                <w:sz w:val="28"/>
                <w:szCs w:val="28"/>
                <w:lang w:val="en-US" w:eastAsia="ru-RU"/>
              </w:rPr>
            </w:pPr>
            <w:r w:rsidRPr="00C91528">
              <w:rPr>
                <w:rFonts w:ascii="Times New Roman" w:eastAsia="Times New Roman" w:hAnsi="Times New Roman" w:cs="Times New Roman"/>
                <w:sz w:val="28"/>
                <w:szCs w:val="28"/>
                <w:lang w:val="en-US" w:eastAsia="ru-RU"/>
              </w:rPr>
              <w:t xml:space="preserve">- </w:t>
            </w:r>
            <w:r w:rsidRPr="00A43B9C">
              <w:rPr>
                <w:rFonts w:ascii="Times New Roman" w:eastAsia="Times New Roman" w:hAnsi="Times New Roman" w:cs="Times New Roman"/>
                <w:sz w:val="28"/>
                <w:szCs w:val="28"/>
                <w:lang w:eastAsia="ru-RU"/>
              </w:rPr>
              <w:t>Система</w:t>
            </w:r>
            <w:r w:rsidRPr="00A43B9C">
              <w:rPr>
                <w:rFonts w:ascii="Times New Roman" w:eastAsia="Times New Roman" w:hAnsi="Times New Roman" w:cs="Times New Roman"/>
                <w:sz w:val="28"/>
                <w:szCs w:val="28"/>
                <w:lang w:val="en-US" w:eastAsia="ru-RU"/>
              </w:rPr>
              <w:t xml:space="preserve"> Biograph TruePoint PET·CT.</w:t>
            </w:r>
          </w:p>
        </w:tc>
      </w:tr>
      <w:tr w:rsidR="00D31988" w:rsidRPr="00A43B9C" w14:paraId="2DEF6F85" w14:textId="77777777" w:rsidTr="0079247B">
        <w:tc>
          <w:tcPr>
            <w:tcW w:w="266" w:type="pct"/>
            <w:vAlign w:val="center"/>
          </w:tcPr>
          <w:p w14:paraId="1B63C4BD" w14:textId="77777777" w:rsidR="00D31988" w:rsidRPr="00A43B9C" w:rsidRDefault="00D31988" w:rsidP="0079247B">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5</w:t>
            </w:r>
          </w:p>
        </w:tc>
        <w:tc>
          <w:tcPr>
            <w:tcW w:w="1384" w:type="pct"/>
            <w:vAlign w:val="center"/>
          </w:tcPr>
          <w:p w14:paraId="5D7F4DD7" w14:textId="77777777" w:rsidR="00D31988" w:rsidRDefault="00D31988" w:rsidP="0079247B">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Доработка дизайна исследования.</w:t>
            </w:r>
          </w:p>
          <w:p w14:paraId="77DA205F" w14:textId="77777777" w:rsidR="00D31988" w:rsidRDefault="00D31988" w:rsidP="0079247B">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Статистический анализ материала.</w:t>
            </w:r>
          </w:p>
          <w:p w14:paraId="0618D29A" w14:textId="77777777" w:rsidR="00D31988" w:rsidRDefault="00D31988" w:rsidP="0079247B">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Подготовка статей.</w:t>
            </w:r>
          </w:p>
          <w:p w14:paraId="01541B9E" w14:textId="0B78B2B1" w:rsidR="00D31988" w:rsidRPr="00A43B9C" w:rsidRDefault="00D31988" w:rsidP="0079247B">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Формирование глав и подготовка диссертации</w:t>
            </w:r>
          </w:p>
        </w:tc>
        <w:tc>
          <w:tcPr>
            <w:tcW w:w="1154" w:type="pct"/>
            <w:vAlign w:val="center"/>
          </w:tcPr>
          <w:p w14:paraId="12B41C52" w14:textId="77777777" w:rsidR="00D31988" w:rsidRPr="00A43B9C" w:rsidRDefault="00D31988" w:rsidP="0079247B">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Информационно-аналитический, статистический</w:t>
            </w:r>
          </w:p>
        </w:tc>
        <w:tc>
          <w:tcPr>
            <w:tcW w:w="2196" w:type="pct"/>
            <w:vAlign w:val="center"/>
          </w:tcPr>
          <w:p w14:paraId="22AF37CE" w14:textId="77777777" w:rsidR="00D31988" w:rsidRPr="00A43B9C" w:rsidRDefault="00D31988" w:rsidP="0079247B">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A43B9C">
              <w:rPr>
                <w:rFonts w:ascii="Times New Roman" w:eastAsia="Times New Roman" w:hAnsi="Times New Roman" w:cs="Times New Roman"/>
                <w:sz w:val="28"/>
                <w:szCs w:val="28"/>
              </w:rPr>
              <w:t xml:space="preserve">Программные обеспечения </w:t>
            </w:r>
            <w:r w:rsidRPr="00A43B9C">
              <w:rPr>
                <w:rFonts w:ascii="Times New Roman" w:eastAsia="Times New Roman" w:hAnsi="Times New Roman" w:cs="Times New Roman"/>
                <w:sz w:val="28"/>
                <w:szCs w:val="28"/>
                <w:lang w:val="en-US"/>
              </w:rPr>
              <w:t>StatTech</w:t>
            </w:r>
            <w:r w:rsidRPr="00A43B9C">
              <w:rPr>
                <w:rFonts w:ascii="Times New Roman" w:eastAsia="Times New Roman" w:hAnsi="Times New Roman" w:cs="Times New Roman"/>
                <w:sz w:val="28"/>
                <w:szCs w:val="28"/>
              </w:rPr>
              <w:t xml:space="preserve"> </w:t>
            </w:r>
            <w:r w:rsidRPr="00A43B9C">
              <w:rPr>
                <w:rFonts w:ascii="Times New Roman" w:eastAsia="Times New Roman" w:hAnsi="Times New Roman" w:cs="Times New Roman"/>
                <w:sz w:val="28"/>
                <w:szCs w:val="28"/>
                <w:lang w:val="en-US"/>
              </w:rPr>
              <w:t>v</w:t>
            </w:r>
            <w:r w:rsidRPr="00A43B9C">
              <w:rPr>
                <w:rFonts w:ascii="Times New Roman" w:eastAsia="Times New Roman" w:hAnsi="Times New Roman" w:cs="Times New Roman"/>
                <w:sz w:val="28"/>
                <w:szCs w:val="28"/>
              </w:rPr>
              <w:t>. 2.7.1 (</w:t>
            </w:r>
            <w:r w:rsidRPr="00A43B9C">
              <w:rPr>
                <w:rFonts w:ascii="Times New Roman" w:eastAsia="Times New Roman" w:hAnsi="Times New Roman" w:cs="Times New Roman"/>
                <w:sz w:val="28"/>
                <w:szCs w:val="28"/>
                <w:lang w:val="en-US"/>
              </w:rPr>
              <w:t>StatTech</w:t>
            </w:r>
            <w:r w:rsidRPr="00A43B9C">
              <w:rPr>
                <w:rFonts w:ascii="Times New Roman" w:eastAsia="Times New Roman" w:hAnsi="Times New Roman" w:cs="Times New Roman"/>
                <w:sz w:val="28"/>
                <w:szCs w:val="28"/>
              </w:rPr>
              <w:t xml:space="preserve"> </w:t>
            </w:r>
            <w:r w:rsidRPr="00A43B9C">
              <w:rPr>
                <w:rFonts w:ascii="Times New Roman" w:eastAsia="Times New Roman" w:hAnsi="Times New Roman" w:cs="Times New Roman"/>
                <w:sz w:val="28"/>
                <w:szCs w:val="28"/>
                <w:lang w:val="en-US"/>
              </w:rPr>
              <w:t>LLC</w:t>
            </w:r>
            <w:r w:rsidRPr="00A43B9C">
              <w:rPr>
                <w:rFonts w:ascii="Times New Roman" w:eastAsia="Times New Roman" w:hAnsi="Times New Roman" w:cs="Times New Roman"/>
                <w:sz w:val="28"/>
                <w:szCs w:val="28"/>
              </w:rPr>
              <w:t xml:space="preserve">, Россия) и </w:t>
            </w:r>
            <w:r w:rsidRPr="00A43B9C">
              <w:rPr>
                <w:rFonts w:ascii="Times New Roman" w:eastAsia="Times New Roman" w:hAnsi="Times New Roman" w:cs="Times New Roman"/>
                <w:sz w:val="28"/>
                <w:szCs w:val="28"/>
                <w:lang w:val="en-US"/>
              </w:rPr>
              <w:t>NCSS</w:t>
            </w:r>
            <w:r w:rsidRPr="00A43B9C">
              <w:rPr>
                <w:rFonts w:ascii="Times New Roman" w:eastAsia="Times New Roman" w:hAnsi="Times New Roman" w:cs="Times New Roman"/>
                <w:sz w:val="28"/>
                <w:szCs w:val="28"/>
              </w:rPr>
              <w:t xml:space="preserve"> 2021, </w:t>
            </w:r>
            <w:r w:rsidRPr="00A43B9C">
              <w:rPr>
                <w:rFonts w:ascii="Times New Roman" w:eastAsia="Times New Roman" w:hAnsi="Times New Roman" w:cs="Times New Roman"/>
                <w:sz w:val="28"/>
                <w:szCs w:val="28"/>
                <w:lang w:val="en-US"/>
              </w:rPr>
              <w:t>v</w:t>
            </w:r>
            <w:r w:rsidRPr="00A43B9C">
              <w:rPr>
                <w:rFonts w:ascii="Times New Roman" w:eastAsia="Times New Roman" w:hAnsi="Times New Roman" w:cs="Times New Roman"/>
                <w:sz w:val="28"/>
                <w:szCs w:val="28"/>
              </w:rPr>
              <w:t>. 21.0.2 (</w:t>
            </w:r>
            <w:r w:rsidRPr="00A43B9C">
              <w:rPr>
                <w:rFonts w:ascii="Times New Roman" w:eastAsia="Times New Roman" w:hAnsi="Times New Roman" w:cs="Times New Roman"/>
                <w:sz w:val="28"/>
                <w:szCs w:val="28"/>
                <w:lang w:val="en-US"/>
              </w:rPr>
              <w:t>NCSS</w:t>
            </w:r>
            <w:r w:rsidRPr="00A43B9C">
              <w:rPr>
                <w:rFonts w:ascii="Times New Roman" w:eastAsia="Times New Roman" w:hAnsi="Times New Roman" w:cs="Times New Roman"/>
                <w:sz w:val="28"/>
                <w:szCs w:val="28"/>
              </w:rPr>
              <w:t xml:space="preserve">, </w:t>
            </w:r>
            <w:r w:rsidRPr="00A43B9C">
              <w:rPr>
                <w:rFonts w:ascii="Times New Roman" w:eastAsia="Times New Roman" w:hAnsi="Times New Roman" w:cs="Times New Roman"/>
                <w:sz w:val="28"/>
                <w:szCs w:val="28"/>
                <w:lang w:val="en-US"/>
              </w:rPr>
              <w:t>LLC</w:t>
            </w:r>
            <w:r w:rsidRPr="00A43B9C">
              <w:rPr>
                <w:rFonts w:ascii="Times New Roman" w:eastAsia="Times New Roman" w:hAnsi="Times New Roman" w:cs="Times New Roman"/>
                <w:sz w:val="28"/>
                <w:szCs w:val="28"/>
              </w:rPr>
              <w:t>, США);</w:t>
            </w:r>
          </w:p>
          <w:p w14:paraId="36FC99CA" w14:textId="77777777" w:rsidR="00D31988" w:rsidRPr="00A43B9C" w:rsidRDefault="00D31988" w:rsidP="0079247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Каз</w:t>
            </w:r>
            <w:r>
              <w:rPr>
                <w:rFonts w:ascii="Times New Roman" w:eastAsia="Times New Roman" w:hAnsi="Times New Roman" w:cs="Times New Roman"/>
                <w:sz w:val="28"/>
                <w:szCs w:val="28"/>
                <w:lang w:eastAsia="ru-RU"/>
              </w:rPr>
              <w:t>НУ</w:t>
            </w:r>
            <w:r w:rsidRPr="00A43B9C">
              <w:rPr>
                <w:rFonts w:ascii="Times New Roman" w:eastAsia="Times New Roman" w:hAnsi="Times New Roman" w:cs="Times New Roman"/>
                <w:sz w:val="28"/>
                <w:szCs w:val="28"/>
                <w:lang w:eastAsia="ru-RU"/>
              </w:rPr>
              <w:t>, г. Алматы;</w:t>
            </w:r>
          </w:p>
          <w:p w14:paraId="13A4A234" w14:textId="77777777" w:rsidR="00D31988" w:rsidRPr="00A43B9C" w:rsidRDefault="00D31988" w:rsidP="0079247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ФБГУ НМИЦ онкологии им. Н.Н. Блохина МЗ РФ</w:t>
            </w:r>
            <w:r w:rsidRPr="00F356C6">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г. Москва.</w:t>
            </w:r>
          </w:p>
        </w:tc>
      </w:tr>
      <w:tr w:rsidR="00D31988" w:rsidRPr="00A43B9C" w14:paraId="7A1E24E4" w14:textId="77777777" w:rsidTr="0079247B">
        <w:tc>
          <w:tcPr>
            <w:tcW w:w="5000" w:type="pct"/>
            <w:gridSpan w:val="4"/>
            <w:vAlign w:val="center"/>
          </w:tcPr>
          <w:p w14:paraId="559617DC" w14:textId="77777777" w:rsidR="00D31988" w:rsidRPr="00E33CDF" w:rsidRDefault="00D31988" w:rsidP="000D2780">
            <w:pPr>
              <w:spacing w:after="0" w:line="240" w:lineRule="auto"/>
              <w:ind w:firstLine="709"/>
              <w:jc w:val="both"/>
              <w:rPr>
                <w:rFonts w:ascii="Times New Roman" w:eastAsia="Times New Roman" w:hAnsi="Times New Roman" w:cs="Times New Roman"/>
                <w:sz w:val="24"/>
                <w:szCs w:val="24"/>
              </w:rPr>
            </w:pPr>
            <w:r w:rsidRPr="00E33CDF">
              <w:rPr>
                <w:rFonts w:ascii="Times New Roman" w:eastAsia="Times New Roman" w:hAnsi="Times New Roman" w:cs="Times New Roman"/>
                <w:sz w:val="24"/>
                <w:szCs w:val="24"/>
              </w:rPr>
              <w:t>Примечание</w:t>
            </w:r>
            <w:r w:rsidRPr="00F356C6">
              <w:rPr>
                <w:rFonts w:ascii="Times New Roman" w:eastAsia="Times New Roman" w:hAnsi="Times New Roman" w:cs="Times New Roman"/>
                <w:sz w:val="24"/>
                <w:szCs w:val="24"/>
              </w:rPr>
              <w:t xml:space="preserve">: </w:t>
            </w:r>
            <w:r w:rsidRPr="00F356C6">
              <w:rPr>
                <w:rFonts w:ascii="Times New Roman" w:eastAsia="Times New Roman" w:hAnsi="Times New Roman" w:cs="Times New Roman"/>
                <w:sz w:val="24"/>
                <w:szCs w:val="24"/>
                <w:lang w:eastAsia="ru-RU"/>
              </w:rPr>
              <w:t>*</w:t>
            </w:r>
            <w:r w:rsidRPr="00F356C6">
              <w:rPr>
                <w:rFonts w:ascii="Times New Roman" w:eastAsia="Times New Roman" w:hAnsi="Times New Roman" w:cs="Times New Roman"/>
                <w:sz w:val="24"/>
                <w:szCs w:val="24"/>
              </w:rPr>
              <w:t xml:space="preserve">ФБГУ НМИЦ </w:t>
            </w:r>
            <w:r w:rsidRPr="00F356C6">
              <w:rPr>
                <w:rFonts w:ascii="Times New Roman" w:eastAsia="Times New Roman" w:hAnsi="Times New Roman" w:cs="Times New Roman"/>
                <w:sz w:val="24"/>
                <w:szCs w:val="24"/>
                <w:lang w:eastAsia="ru-RU"/>
              </w:rPr>
              <w:t>онкологии им. Н.Н. Блохина МЗ РФ</w:t>
            </w:r>
            <w:r w:rsidRPr="00F356C6">
              <w:rPr>
                <w:rFonts w:ascii="Times New Roman" w:eastAsia="Times New Roman" w:hAnsi="Times New Roman" w:cs="Times New Roman"/>
                <w:sz w:val="24"/>
                <w:szCs w:val="24"/>
              </w:rPr>
              <w:t xml:space="preserve"> - Федеральное государственное бюджетное учреждение «Национальный медицинский исследовательский центр онкологии им. Н. Н. Блохина» Минздрава России</w:t>
            </w:r>
          </w:p>
        </w:tc>
      </w:tr>
    </w:tbl>
    <w:p w14:paraId="7A2B6E10" w14:textId="77777777" w:rsidR="00D31988" w:rsidRDefault="00D31988" w:rsidP="00E25388">
      <w:pPr>
        <w:pStyle w:val="p"/>
        <w:spacing w:before="0" w:beforeAutospacing="0" w:after="0" w:afterAutospacing="0"/>
        <w:ind w:firstLine="708"/>
        <w:jc w:val="both"/>
        <w:rPr>
          <w:rFonts w:eastAsia="TimesNewRomanPSMT"/>
          <w:sz w:val="28"/>
          <w:szCs w:val="28"/>
        </w:rPr>
      </w:pPr>
    </w:p>
    <w:p w14:paraId="12BE2D12" w14:textId="6F2A42FC" w:rsidR="00E25388" w:rsidRPr="00A43B9C" w:rsidRDefault="00E25388" w:rsidP="00E25388">
      <w:pPr>
        <w:pStyle w:val="p"/>
        <w:spacing w:before="0" w:beforeAutospacing="0" w:after="0" w:afterAutospacing="0"/>
        <w:ind w:firstLine="708"/>
        <w:jc w:val="both"/>
        <w:rPr>
          <w:rFonts w:eastAsia="TimesNewRomanPSMT"/>
          <w:sz w:val="28"/>
          <w:szCs w:val="28"/>
        </w:rPr>
      </w:pPr>
      <w:r w:rsidRPr="00A43B9C">
        <w:rPr>
          <w:rFonts w:eastAsia="TimesNewRomanPSMT"/>
          <w:sz w:val="28"/>
          <w:szCs w:val="28"/>
        </w:rPr>
        <w:lastRenderedPageBreak/>
        <w:t xml:space="preserve">Набор пациентов и проведение </w:t>
      </w:r>
      <w:r w:rsidRPr="00A43B9C">
        <w:rPr>
          <w:sz w:val="28"/>
          <w:szCs w:val="28"/>
          <w:vertAlign w:val="superscript"/>
        </w:rPr>
        <w:t>18</w:t>
      </w:r>
      <w:r w:rsidRPr="00A43B9C">
        <w:rPr>
          <w:sz w:val="28"/>
          <w:szCs w:val="28"/>
          <w:lang w:val="en-US"/>
        </w:rPr>
        <w:t>F</w:t>
      </w:r>
      <w:r w:rsidRPr="00A43B9C">
        <w:rPr>
          <w:sz w:val="28"/>
          <w:szCs w:val="28"/>
        </w:rPr>
        <w:t>-</w:t>
      </w:r>
      <w:r w:rsidRPr="00A43B9C">
        <w:rPr>
          <w:sz w:val="28"/>
          <w:szCs w:val="28"/>
          <w:lang w:val="en-US"/>
        </w:rPr>
        <w:t>FDG</w:t>
      </w:r>
      <w:r w:rsidRPr="00A43B9C">
        <w:rPr>
          <w:sz w:val="28"/>
          <w:szCs w:val="28"/>
        </w:rPr>
        <w:t xml:space="preserve"> ПЭТ/КТ исследований проводилось </w:t>
      </w:r>
      <w:r w:rsidRPr="00A43B9C">
        <w:rPr>
          <w:rFonts w:eastAsia="TimesNewRomanPSMT"/>
          <w:sz w:val="28"/>
          <w:szCs w:val="28"/>
        </w:rPr>
        <w:t xml:space="preserve">в отделении ядерной медицины </w:t>
      </w:r>
      <w:r>
        <w:rPr>
          <w:rFonts w:eastAsia="TimesNewRomanPSMT"/>
          <w:sz w:val="28"/>
          <w:szCs w:val="28"/>
        </w:rPr>
        <w:t>ц</w:t>
      </w:r>
      <w:r w:rsidRPr="00A43B9C">
        <w:rPr>
          <w:rFonts w:eastAsia="TimesNewRomanPSMT"/>
          <w:sz w:val="28"/>
          <w:szCs w:val="28"/>
        </w:rPr>
        <w:t xml:space="preserve">ентра диагностики </w:t>
      </w:r>
      <w:r>
        <w:rPr>
          <w:rFonts w:eastAsia="TimesNewRomanPSMT"/>
          <w:sz w:val="28"/>
          <w:szCs w:val="28"/>
        </w:rPr>
        <w:t xml:space="preserve">(ОЯМ ЦД) </w:t>
      </w:r>
      <w:r w:rsidRPr="00A43B9C">
        <w:rPr>
          <w:rFonts w:eastAsia="TimesNewRomanPSMT"/>
          <w:sz w:val="28"/>
          <w:szCs w:val="28"/>
        </w:rPr>
        <w:t>Республиканского государственного предприятия на праве хозяйственного ведения (РГП на ПХВ) «</w:t>
      </w:r>
      <w:r>
        <w:rPr>
          <w:rFonts w:eastAsia="TimesNewRomanPSMT"/>
          <w:sz w:val="28"/>
          <w:szCs w:val="28"/>
        </w:rPr>
        <w:t>БМЦ УДП РК</w:t>
      </w:r>
      <w:r w:rsidRPr="00A43B9C">
        <w:rPr>
          <w:rFonts w:eastAsia="TimesNewRomanPSMT"/>
          <w:sz w:val="28"/>
          <w:szCs w:val="28"/>
        </w:rPr>
        <w:t>», г. Астана.</w:t>
      </w:r>
    </w:p>
    <w:p w14:paraId="24D3C190" w14:textId="2A30E4AB" w:rsidR="00E25388" w:rsidRPr="00A43B9C" w:rsidRDefault="00E25388" w:rsidP="00E25388">
      <w:pPr>
        <w:pStyle w:val="p"/>
        <w:spacing w:before="0" w:beforeAutospacing="0" w:after="0" w:afterAutospacing="0"/>
        <w:ind w:firstLine="708"/>
        <w:jc w:val="both"/>
        <w:rPr>
          <w:sz w:val="28"/>
        </w:rPr>
      </w:pPr>
      <w:r w:rsidRPr="00A43B9C">
        <w:rPr>
          <w:rFonts w:eastAsia="TimesNewRomanPSMT"/>
          <w:sz w:val="28"/>
          <w:szCs w:val="28"/>
        </w:rPr>
        <w:t xml:space="preserve">Перед началом </w:t>
      </w:r>
      <w:r>
        <w:rPr>
          <w:rFonts w:eastAsia="TimesNewRomanPSMT"/>
          <w:sz w:val="28"/>
          <w:szCs w:val="28"/>
        </w:rPr>
        <w:t xml:space="preserve">проведения </w:t>
      </w:r>
      <w:r w:rsidRPr="00A43B9C">
        <w:rPr>
          <w:rFonts w:eastAsia="TimesNewRomanPSMT"/>
          <w:sz w:val="28"/>
          <w:szCs w:val="28"/>
        </w:rPr>
        <w:t xml:space="preserve">работы настоящего исследования </w:t>
      </w:r>
      <w:r>
        <w:rPr>
          <w:rFonts w:eastAsia="TimesNewRomanPSMT"/>
          <w:sz w:val="28"/>
          <w:szCs w:val="28"/>
        </w:rPr>
        <w:t xml:space="preserve">был </w:t>
      </w:r>
      <w:r w:rsidRPr="00A43B9C">
        <w:rPr>
          <w:rFonts w:eastAsia="TimesNewRomanPSMT"/>
          <w:sz w:val="28"/>
          <w:szCs w:val="28"/>
        </w:rPr>
        <w:t xml:space="preserve">получен и одобрен протокол клинического исследования от 24 января 2020 г. </w:t>
      </w:r>
      <w:r w:rsidRPr="00A43B9C">
        <w:rPr>
          <w:bCs/>
          <w:sz w:val="28"/>
          <w:shd w:val="clear" w:color="auto" w:fill="FFFFFF"/>
        </w:rPr>
        <w:t xml:space="preserve">№17/2020 </w:t>
      </w:r>
      <w:r>
        <w:rPr>
          <w:bCs/>
          <w:sz w:val="28"/>
          <w:shd w:val="clear" w:color="auto" w:fill="FFFFFF"/>
        </w:rPr>
        <w:t>локальной комиссии по биоэтике (</w:t>
      </w:r>
      <w:r>
        <w:rPr>
          <w:rFonts w:eastAsia="TimesNewRomanPSMT"/>
          <w:sz w:val="28"/>
          <w:szCs w:val="28"/>
        </w:rPr>
        <w:t>ЛКБ)</w:t>
      </w:r>
      <w:r w:rsidRPr="00A43B9C">
        <w:rPr>
          <w:rFonts w:eastAsia="TimesNewRomanPSMT"/>
          <w:sz w:val="28"/>
          <w:szCs w:val="28"/>
        </w:rPr>
        <w:t xml:space="preserve"> РГП на ПХВ «БМЦ УДП РК», г. Астана и, от 28 мая 2020 г. №</w:t>
      </w:r>
      <w:r w:rsidRPr="00A43B9C">
        <w:rPr>
          <w:sz w:val="28"/>
        </w:rPr>
        <w:t xml:space="preserve">102 </w:t>
      </w:r>
      <w:r w:rsidRPr="00A43B9C">
        <w:rPr>
          <w:sz w:val="28"/>
          <w:lang w:val="en-US"/>
        </w:rPr>
        <w:t>IRB</w:t>
      </w:r>
      <w:r w:rsidRPr="00A43B9C">
        <w:rPr>
          <w:sz w:val="28"/>
        </w:rPr>
        <w:t xml:space="preserve"> – </w:t>
      </w:r>
      <w:r w:rsidRPr="00A43B9C">
        <w:rPr>
          <w:sz w:val="28"/>
          <w:lang w:val="en-US"/>
        </w:rPr>
        <w:t>A</w:t>
      </w:r>
      <w:r w:rsidRPr="00A43B9C">
        <w:rPr>
          <w:sz w:val="28"/>
        </w:rPr>
        <w:t>102</w:t>
      </w:r>
      <w:r w:rsidRPr="00A43B9C">
        <w:rPr>
          <w:rFonts w:eastAsia="TimesNewRomanPSMT"/>
          <w:sz w:val="28"/>
          <w:szCs w:val="28"/>
        </w:rPr>
        <w:t xml:space="preserve"> </w:t>
      </w:r>
      <w:r>
        <w:rPr>
          <w:rFonts w:eastAsia="TimesNewRomanPSMT"/>
          <w:sz w:val="28"/>
          <w:szCs w:val="28"/>
        </w:rPr>
        <w:t>локальной этической комиссии (ЛЭК)</w:t>
      </w:r>
      <w:r w:rsidRPr="00A43B9C">
        <w:rPr>
          <w:rFonts w:eastAsia="TimesNewRomanPSMT"/>
          <w:sz w:val="28"/>
          <w:szCs w:val="28"/>
        </w:rPr>
        <w:t xml:space="preserve"> </w:t>
      </w:r>
      <w:r w:rsidRPr="00A43B9C">
        <w:rPr>
          <w:sz w:val="28"/>
          <w:szCs w:val="28"/>
        </w:rPr>
        <w:t>Н</w:t>
      </w:r>
      <w:r>
        <w:rPr>
          <w:sz w:val="28"/>
          <w:szCs w:val="28"/>
        </w:rPr>
        <w:t xml:space="preserve">екоммерческого </w:t>
      </w:r>
      <w:r w:rsidRPr="00A43B9C">
        <w:rPr>
          <w:sz w:val="28"/>
          <w:szCs w:val="28"/>
        </w:rPr>
        <w:t>А</w:t>
      </w:r>
      <w:r>
        <w:rPr>
          <w:sz w:val="28"/>
          <w:szCs w:val="28"/>
        </w:rPr>
        <w:t xml:space="preserve">кционерного </w:t>
      </w:r>
      <w:r w:rsidRPr="00A43B9C">
        <w:rPr>
          <w:sz w:val="28"/>
          <w:szCs w:val="28"/>
        </w:rPr>
        <w:t>О</w:t>
      </w:r>
      <w:r>
        <w:rPr>
          <w:sz w:val="28"/>
          <w:szCs w:val="28"/>
        </w:rPr>
        <w:t>бщества (НАО)</w:t>
      </w:r>
      <w:r w:rsidRPr="00A43B9C">
        <w:rPr>
          <w:sz w:val="28"/>
          <w:szCs w:val="28"/>
        </w:rPr>
        <w:t xml:space="preserve"> «Каз</w:t>
      </w:r>
      <w:r>
        <w:rPr>
          <w:sz w:val="28"/>
          <w:szCs w:val="28"/>
        </w:rPr>
        <w:t xml:space="preserve">ахский национальный университет </w:t>
      </w:r>
      <w:r w:rsidRPr="00A43B9C">
        <w:rPr>
          <w:sz w:val="28"/>
          <w:szCs w:val="28"/>
        </w:rPr>
        <w:t>им. аль-Фараби»</w:t>
      </w:r>
      <w:r>
        <w:rPr>
          <w:sz w:val="28"/>
          <w:szCs w:val="28"/>
        </w:rPr>
        <w:t xml:space="preserve"> (КазНУ)</w:t>
      </w:r>
      <w:r w:rsidRPr="00A43B9C">
        <w:rPr>
          <w:rFonts w:eastAsia="TimesNewRomanPSMT"/>
          <w:sz w:val="28"/>
          <w:szCs w:val="28"/>
        </w:rPr>
        <w:t>, г. Алматы (Приложение В).</w:t>
      </w:r>
    </w:p>
    <w:p w14:paraId="6AB589BA" w14:textId="77777777" w:rsidR="00E25388" w:rsidRPr="00A43B9C" w:rsidRDefault="00E25388" w:rsidP="00E25388">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Дизайн исследования – проспективное когортное наблюдательное исследование.</w:t>
      </w:r>
    </w:p>
    <w:p w14:paraId="51718B4C" w14:textId="77777777" w:rsidR="00E25388" w:rsidRPr="00A43B9C" w:rsidRDefault="00E25388" w:rsidP="00E25388">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Статистическая модель</w:t>
      </w:r>
      <w:r>
        <w:rPr>
          <w:rFonts w:ascii="Times New Roman" w:hAnsi="Times New Roman" w:cs="Times New Roman"/>
          <w:sz w:val="28"/>
          <w:szCs w:val="28"/>
        </w:rPr>
        <w:t xml:space="preserve">. </w:t>
      </w:r>
      <w:r w:rsidRPr="00A43B9C">
        <w:rPr>
          <w:rFonts w:ascii="Times New Roman" w:hAnsi="Times New Roman" w:cs="Times New Roman"/>
          <w:sz w:val="28"/>
          <w:szCs w:val="28"/>
        </w:rPr>
        <w:t>При расчёте размера выборки мы допускали максимальное стандартное отклонение. Уровень значимости (α) составлял 0,05, мощностью исследования в 80%, с доверительной вероятностью 95% (t=1,96). В этом случае минимальный размер выборки должен был составлять не менее n=100 пациентов по формуле Лера и методике К.А. Отдельновой.</w:t>
      </w:r>
    </w:p>
    <w:p w14:paraId="204A6EA0" w14:textId="65F01E1F" w:rsidR="00E25388" w:rsidRPr="001B6E58" w:rsidRDefault="001B6E58" w:rsidP="001B6E58">
      <w:pPr>
        <w:spacing w:after="0" w:line="240" w:lineRule="auto"/>
        <w:ind w:firstLine="709"/>
        <w:jc w:val="both"/>
        <w:rPr>
          <w:rFonts w:ascii="Times New Roman" w:eastAsia="MS Gothic" w:hAnsi="Times New Roman" w:cs="Times New Roman"/>
          <w:sz w:val="28"/>
          <w:szCs w:val="28"/>
        </w:rPr>
      </w:pPr>
      <w:r>
        <w:rPr>
          <w:rFonts w:ascii="Times New Roman" w:hAnsi="Times New Roman" w:cs="Times New Roman"/>
          <w:sz w:val="28"/>
          <w:szCs w:val="28"/>
        </w:rPr>
        <w:t xml:space="preserve">Отбор пациентов проведен согласно критериям включения и исключения. </w:t>
      </w:r>
      <w:r w:rsidR="00E25388" w:rsidRPr="00A43B9C">
        <w:rPr>
          <w:rFonts w:ascii="Times New Roman" w:hAnsi="Times New Roman" w:cs="Times New Roman"/>
          <w:sz w:val="28"/>
          <w:szCs w:val="28"/>
        </w:rPr>
        <w:t>Критерии включения:</w:t>
      </w:r>
      <w:r>
        <w:rPr>
          <w:rFonts w:ascii="Times New Roman" w:hAnsi="Times New Roman" w:cs="Times New Roman"/>
          <w:sz w:val="28"/>
          <w:szCs w:val="28"/>
        </w:rPr>
        <w:t xml:space="preserve"> в</w:t>
      </w:r>
      <w:r w:rsidR="00E25388" w:rsidRPr="00A43B9C">
        <w:rPr>
          <w:rFonts w:ascii="Times New Roman" w:hAnsi="Times New Roman" w:cs="Times New Roman"/>
          <w:sz w:val="28"/>
          <w:szCs w:val="28"/>
        </w:rPr>
        <w:t>озраст ≥ 18 лет;</w:t>
      </w:r>
      <w:r>
        <w:rPr>
          <w:rFonts w:ascii="Times New Roman" w:hAnsi="Times New Roman" w:cs="Times New Roman"/>
          <w:sz w:val="28"/>
          <w:szCs w:val="28"/>
        </w:rPr>
        <w:t xml:space="preserve"> н</w:t>
      </w:r>
      <w:r w:rsidR="00E25388" w:rsidRPr="00A43B9C">
        <w:rPr>
          <w:rFonts w:ascii="Times New Roman" w:hAnsi="Times New Roman" w:cs="Times New Roman"/>
          <w:sz w:val="28"/>
          <w:szCs w:val="28"/>
        </w:rPr>
        <w:t xml:space="preserve">аличие установленного диагноза </w:t>
      </w:r>
      <w:r w:rsidR="00E25388">
        <w:rPr>
          <w:rFonts w:ascii="Times New Roman" w:hAnsi="Times New Roman" w:cs="Times New Roman"/>
          <w:sz w:val="28"/>
          <w:szCs w:val="28"/>
        </w:rPr>
        <w:t>ЭРЯ</w:t>
      </w:r>
      <w:r w:rsidR="00E25388" w:rsidRPr="00A43B9C">
        <w:rPr>
          <w:rFonts w:ascii="Times New Roman" w:hAnsi="Times New Roman" w:cs="Times New Roman"/>
          <w:sz w:val="28"/>
          <w:szCs w:val="28"/>
        </w:rPr>
        <w:t xml:space="preserve">, </w:t>
      </w:r>
      <w:r w:rsidR="00E25388">
        <w:rPr>
          <w:rFonts w:ascii="Times New Roman" w:hAnsi="Times New Roman" w:cs="Times New Roman"/>
          <w:sz w:val="28"/>
          <w:szCs w:val="28"/>
        </w:rPr>
        <w:t>КРР</w:t>
      </w:r>
      <w:r w:rsidR="00E25388" w:rsidRPr="00A43B9C">
        <w:rPr>
          <w:rFonts w:ascii="Times New Roman" w:hAnsi="Times New Roman" w:cs="Times New Roman"/>
          <w:sz w:val="28"/>
          <w:szCs w:val="28"/>
        </w:rPr>
        <w:t>, в том числе гистологически верифицированного;</w:t>
      </w:r>
      <w:r>
        <w:rPr>
          <w:rFonts w:ascii="Times New Roman" w:hAnsi="Times New Roman" w:cs="Times New Roman"/>
          <w:sz w:val="28"/>
          <w:szCs w:val="28"/>
        </w:rPr>
        <w:t xml:space="preserve"> о</w:t>
      </w:r>
      <w:r w:rsidR="00E25388" w:rsidRPr="00A43B9C">
        <w:rPr>
          <w:rFonts w:ascii="Times New Roman" w:hAnsi="Times New Roman" w:cs="Times New Roman"/>
          <w:sz w:val="28"/>
          <w:szCs w:val="28"/>
        </w:rPr>
        <w:t>ценка общего состояния по шкале Eastern Cooperative Oncology Group (ECOG) со статусом ≤ 2, или, по индексу Карновского ≥ 50%;</w:t>
      </w:r>
      <w:r>
        <w:rPr>
          <w:rFonts w:ascii="Times New Roman" w:hAnsi="Times New Roman" w:cs="Times New Roman"/>
          <w:sz w:val="28"/>
          <w:szCs w:val="28"/>
        </w:rPr>
        <w:t xml:space="preserve"> о</w:t>
      </w:r>
      <w:r w:rsidR="00E25388" w:rsidRPr="00A43B9C">
        <w:rPr>
          <w:rFonts w:ascii="Times New Roman" w:hAnsi="Times New Roman" w:cs="Times New Roman"/>
          <w:sz w:val="28"/>
          <w:szCs w:val="28"/>
        </w:rPr>
        <w:t xml:space="preserve">тсутствие любых психологических, семейных, социологических или географических условий, потенциально препятствующих проведению </w:t>
      </w:r>
      <w:r w:rsidR="00E25388" w:rsidRPr="00A43B9C">
        <w:rPr>
          <w:rFonts w:ascii="Times New Roman" w:eastAsia="MS Gothic" w:hAnsi="Times New Roman" w:cs="Times New Roman"/>
          <w:sz w:val="28"/>
          <w:szCs w:val="28"/>
        </w:rPr>
        <w:t>исследования</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согласно</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протоколу</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и</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плану</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наблюдения</w:t>
      </w:r>
      <w:r w:rsidR="00E25388" w:rsidRPr="00A43B9C">
        <w:rPr>
          <w:rFonts w:ascii="Times New Roman" w:hAnsi="Times New Roman" w:cs="Times New Roman"/>
          <w:sz w:val="28"/>
          <w:szCs w:val="28"/>
        </w:rPr>
        <w:t>;</w:t>
      </w:r>
      <w:r>
        <w:rPr>
          <w:rFonts w:ascii="Times New Roman" w:hAnsi="Times New Roman" w:cs="Times New Roman"/>
          <w:sz w:val="28"/>
          <w:szCs w:val="28"/>
        </w:rPr>
        <w:t xml:space="preserve"> п</w:t>
      </w:r>
      <w:r w:rsidR="00E25388" w:rsidRPr="00A43B9C">
        <w:rPr>
          <w:rFonts w:ascii="Times New Roman" w:eastAsia="MS Gothic" w:hAnsi="Times New Roman" w:cs="Times New Roman"/>
          <w:sz w:val="28"/>
          <w:szCs w:val="28"/>
        </w:rPr>
        <w:t>одписанное</w:t>
      </w:r>
      <w:r w:rsidR="00E25388" w:rsidRPr="00A43B9C">
        <w:rPr>
          <w:rFonts w:ascii="Times New Roman" w:hAnsi="Times New Roman" w:cs="Times New Roman"/>
          <w:sz w:val="28"/>
          <w:szCs w:val="28"/>
        </w:rPr>
        <w:t xml:space="preserve"> добровольное </w:t>
      </w:r>
      <w:r w:rsidR="00E25388" w:rsidRPr="00A43B9C">
        <w:rPr>
          <w:rFonts w:ascii="Times New Roman" w:eastAsia="MS Gothic" w:hAnsi="Times New Roman" w:cs="Times New Roman"/>
          <w:sz w:val="28"/>
          <w:szCs w:val="28"/>
        </w:rPr>
        <w:t>информированное</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 xml:space="preserve">согласие на проведение </w:t>
      </w:r>
      <w:r w:rsidR="00E25388" w:rsidRPr="00A43B9C">
        <w:rPr>
          <w:rFonts w:ascii="Times New Roman" w:hAnsi="Times New Roman" w:cs="Times New Roman"/>
          <w:sz w:val="28"/>
          <w:szCs w:val="28"/>
          <w:vertAlign w:val="superscript"/>
        </w:rPr>
        <w:t>18</w:t>
      </w:r>
      <w:r w:rsidR="00E25388" w:rsidRPr="00A43B9C">
        <w:rPr>
          <w:rFonts w:ascii="Times New Roman" w:hAnsi="Times New Roman" w:cs="Times New Roman"/>
          <w:sz w:val="28"/>
          <w:szCs w:val="28"/>
          <w:lang w:val="en-US"/>
        </w:rPr>
        <w:t>F</w:t>
      </w:r>
      <w:r w:rsidR="00E25388" w:rsidRPr="00A43B9C">
        <w:rPr>
          <w:rFonts w:ascii="Times New Roman" w:hAnsi="Times New Roman" w:cs="Times New Roman"/>
          <w:sz w:val="28"/>
          <w:szCs w:val="28"/>
        </w:rPr>
        <w:t>-</w:t>
      </w:r>
      <w:r w:rsidR="00E25388" w:rsidRPr="00A43B9C">
        <w:rPr>
          <w:rFonts w:ascii="Times New Roman" w:hAnsi="Times New Roman" w:cs="Times New Roman"/>
          <w:sz w:val="28"/>
          <w:szCs w:val="28"/>
          <w:lang w:val="en-US"/>
        </w:rPr>
        <w:t>FDG</w:t>
      </w:r>
      <w:r w:rsidR="00E25388" w:rsidRPr="00A43B9C">
        <w:rPr>
          <w:rFonts w:ascii="Times New Roman" w:hAnsi="Times New Roman" w:cs="Times New Roman"/>
          <w:sz w:val="28"/>
          <w:szCs w:val="28"/>
        </w:rPr>
        <w:t xml:space="preserve"> ПЭТ/КТ исследование.</w:t>
      </w:r>
      <w:r>
        <w:rPr>
          <w:rFonts w:ascii="Times New Roman" w:hAnsi="Times New Roman" w:cs="Times New Roman"/>
          <w:sz w:val="28"/>
          <w:szCs w:val="28"/>
        </w:rPr>
        <w:t xml:space="preserve"> </w:t>
      </w:r>
      <w:r w:rsidR="00E25388" w:rsidRPr="00A43B9C">
        <w:rPr>
          <w:rFonts w:ascii="Times New Roman" w:hAnsi="Times New Roman" w:cs="Times New Roman"/>
          <w:sz w:val="28"/>
          <w:szCs w:val="28"/>
        </w:rPr>
        <w:t>Критерии исключения:</w:t>
      </w:r>
      <w:r>
        <w:rPr>
          <w:rFonts w:ascii="Times New Roman" w:hAnsi="Times New Roman" w:cs="Times New Roman"/>
          <w:sz w:val="28"/>
          <w:szCs w:val="28"/>
        </w:rPr>
        <w:t xml:space="preserve"> в</w:t>
      </w:r>
      <w:r w:rsidR="00E25388" w:rsidRPr="00A43B9C">
        <w:rPr>
          <w:rFonts w:ascii="Times New Roman" w:eastAsia="MS Gothic" w:hAnsi="Times New Roman" w:cs="Times New Roman"/>
          <w:sz w:val="28"/>
          <w:szCs w:val="28"/>
        </w:rPr>
        <w:t>озраст</w:t>
      </w:r>
      <w:r w:rsidR="00E25388" w:rsidRPr="00A43B9C">
        <w:rPr>
          <w:rFonts w:ascii="Times New Roman" w:hAnsi="Times New Roman" w:cs="Times New Roman"/>
          <w:sz w:val="28"/>
          <w:szCs w:val="28"/>
        </w:rPr>
        <w:t xml:space="preserve"> ≤ 18 </w:t>
      </w:r>
      <w:r w:rsidR="00E25388" w:rsidRPr="00A43B9C">
        <w:rPr>
          <w:rFonts w:ascii="Times New Roman" w:eastAsia="MS Gothic" w:hAnsi="Times New Roman" w:cs="Times New Roman"/>
          <w:sz w:val="28"/>
          <w:szCs w:val="28"/>
        </w:rPr>
        <w:t>лет</w:t>
      </w:r>
      <w:r w:rsidR="00E25388" w:rsidRPr="00A43B9C">
        <w:rPr>
          <w:rFonts w:ascii="Times New Roman" w:hAnsi="Times New Roman" w:cs="Times New Roman"/>
          <w:sz w:val="28"/>
          <w:szCs w:val="28"/>
        </w:rPr>
        <w:t>;</w:t>
      </w:r>
      <w:r>
        <w:rPr>
          <w:rFonts w:ascii="Times New Roman" w:hAnsi="Times New Roman" w:cs="Times New Roman"/>
          <w:sz w:val="28"/>
          <w:szCs w:val="28"/>
        </w:rPr>
        <w:t xml:space="preserve"> н</w:t>
      </w:r>
      <w:r w:rsidR="00E25388" w:rsidRPr="00A43B9C">
        <w:rPr>
          <w:rFonts w:ascii="Times New Roman" w:eastAsia="MS Gothic" w:hAnsi="Times New Roman" w:cs="Times New Roman"/>
          <w:sz w:val="28"/>
          <w:szCs w:val="28"/>
        </w:rPr>
        <w:t>еустановленный</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диагноз</w:t>
      </w:r>
      <w:r w:rsidR="00E25388" w:rsidRPr="00A43B9C">
        <w:rPr>
          <w:rFonts w:ascii="Times New Roman" w:hAnsi="Times New Roman" w:cs="Times New Roman"/>
          <w:sz w:val="28"/>
          <w:szCs w:val="28"/>
        </w:rPr>
        <w:t xml:space="preserve"> </w:t>
      </w:r>
      <w:r w:rsidR="00995E5C">
        <w:rPr>
          <w:rFonts w:ascii="Times New Roman" w:hAnsi="Times New Roman" w:cs="Times New Roman"/>
          <w:sz w:val="28"/>
          <w:szCs w:val="28"/>
        </w:rPr>
        <w:t>эпителиального рака яичников</w:t>
      </w:r>
      <w:r w:rsidR="00E25388" w:rsidRPr="00A43B9C">
        <w:rPr>
          <w:rFonts w:ascii="Times New Roman" w:hAnsi="Times New Roman" w:cs="Times New Roman"/>
          <w:sz w:val="28"/>
          <w:szCs w:val="28"/>
        </w:rPr>
        <w:t xml:space="preserve">, </w:t>
      </w:r>
      <w:r w:rsidR="00995E5C">
        <w:rPr>
          <w:rFonts w:ascii="Times New Roman" w:hAnsi="Times New Roman" w:cs="Times New Roman"/>
          <w:sz w:val="28"/>
          <w:szCs w:val="28"/>
        </w:rPr>
        <w:t>колоректального рака</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в том</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числе</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гистологически</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не верифицированного;</w:t>
      </w:r>
      <w:r>
        <w:rPr>
          <w:rFonts w:ascii="Times New Roman" w:eastAsia="MS Gothic" w:hAnsi="Times New Roman" w:cs="Times New Roman"/>
          <w:sz w:val="28"/>
          <w:szCs w:val="28"/>
        </w:rPr>
        <w:t xml:space="preserve"> н</w:t>
      </w:r>
      <w:r w:rsidR="00E25388" w:rsidRPr="00A43B9C">
        <w:rPr>
          <w:rFonts w:ascii="Times New Roman" w:eastAsia="MS Gothic" w:hAnsi="Times New Roman" w:cs="Times New Roman"/>
          <w:sz w:val="28"/>
          <w:szCs w:val="28"/>
        </w:rPr>
        <w:t>есоответствие</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оценке</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общего</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состояния</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по</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шкале</w:t>
      </w:r>
      <w:r w:rsidR="00E25388" w:rsidRPr="00A43B9C">
        <w:rPr>
          <w:rFonts w:ascii="Times New Roman" w:hAnsi="Times New Roman" w:cs="Times New Roman"/>
          <w:sz w:val="28"/>
          <w:szCs w:val="28"/>
        </w:rPr>
        <w:t xml:space="preserve"> Eastern Cooperative Oncology Group (ECOG) </w:t>
      </w:r>
      <w:r w:rsidR="00E25388" w:rsidRPr="00A43B9C">
        <w:rPr>
          <w:rFonts w:ascii="Times New Roman" w:eastAsia="MS Gothic" w:hAnsi="Times New Roman" w:cs="Times New Roman"/>
          <w:sz w:val="28"/>
          <w:szCs w:val="28"/>
        </w:rPr>
        <w:t>со</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статусом</w:t>
      </w:r>
      <w:r w:rsidR="00E25388" w:rsidRPr="00A43B9C">
        <w:rPr>
          <w:rFonts w:ascii="Times New Roman" w:hAnsi="Times New Roman" w:cs="Times New Roman"/>
          <w:sz w:val="28"/>
          <w:szCs w:val="28"/>
        </w:rPr>
        <w:t xml:space="preserve"> ≥ 2, </w:t>
      </w:r>
      <w:r w:rsidR="00E25388" w:rsidRPr="00A43B9C">
        <w:rPr>
          <w:rFonts w:ascii="Times New Roman" w:eastAsia="MS Gothic" w:hAnsi="Times New Roman" w:cs="Times New Roman"/>
          <w:sz w:val="28"/>
          <w:szCs w:val="28"/>
        </w:rPr>
        <w:t>или</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по</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индексу Карновского</w:t>
      </w:r>
      <w:r w:rsidR="00E25388" w:rsidRPr="00A43B9C">
        <w:rPr>
          <w:rFonts w:ascii="Times New Roman" w:hAnsi="Times New Roman" w:cs="Times New Roman"/>
          <w:sz w:val="28"/>
          <w:szCs w:val="28"/>
        </w:rPr>
        <w:t xml:space="preserve"> ≤ 50%;</w:t>
      </w:r>
      <w:r>
        <w:rPr>
          <w:rFonts w:ascii="Times New Roman" w:hAnsi="Times New Roman" w:cs="Times New Roman"/>
          <w:sz w:val="28"/>
          <w:szCs w:val="28"/>
        </w:rPr>
        <w:t xml:space="preserve"> н</w:t>
      </w:r>
      <w:r w:rsidR="00E25388" w:rsidRPr="00A43B9C">
        <w:rPr>
          <w:rFonts w:ascii="Times New Roman" w:eastAsia="MS Gothic" w:hAnsi="Times New Roman" w:cs="Times New Roman"/>
          <w:sz w:val="28"/>
          <w:szCs w:val="28"/>
        </w:rPr>
        <w:t>аличие</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любых</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психологических</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семейных</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социологических</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или географических</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условий</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потенциально</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препятствующих</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проведению исследования</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согласно</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протоколу</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и</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плану</w:t>
      </w:r>
      <w:r w:rsidR="00E25388" w:rsidRPr="00A43B9C">
        <w:rPr>
          <w:rFonts w:ascii="Times New Roman" w:hAnsi="Times New Roman" w:cs="Times New Roman"/>
          <w:sz w:val="28"/>
          <w:szCs w:val="28"/>
        </w:rPr>
        <w:t xml:space="preserve"> </w:t>
      </w:r>
      <w:r w:rsidR="00E25388" w:rsidRPr="001B6E58">
        <w:rPr>
          <w:rFonts w:ascii="Times New Roman" w:eastAsia="MS Gothic" w:hAnsi="Times New Roman" w:cs="Times New Roman"/>
          <w:sz w:val="28"/>
          <w:szCs w:val="28"/>
        </w:rPr>
        <w:t>наблюдения</w:t>
      </w:r>
      <w:r w:rsidR="00E25388" w:rsidRPr="001B6E58">
        <w:rPr>
          <w:rFonts w:ascii="Times New Roman" w:hAnsi="Times New Roman" w:cs="Times New Roman"/>
          <w:sz w:val="28"/>
          <w:szCs w:val="28"/>
        </w:rPr>
        <w:t>;</w:t>
      </w:r>
      <w:r w:rsidRPr="001B6E58">
        <w:rPr>
          <w:rFonts w:ascii="Times New Roman" w:hAnsi="Times New Roman" w:cs="Times New Roman"/>
          <w:sz w:val="28"/>
          <w:szCs w:val="28"/>
        </w:rPr>
        <w:t xml:space="preserve"> н</w:t>
      </w:r>
      <w:r w:rsidR="00E25388" w:rsidRPr="001B6E58">
        <w:rPr>
          <w:rFonts w:ascii="Times New Roman" w:eastAsia="MS Gothic" w:hAnsi="Times New Roman" w:cs="Times New Roman"/>
          <w:sz w:val="28"/>
          <w:szCs w:val="28"/>
        </w:rPr>
        <w:t>евозможность</w:t>
      </w:r>
      <w:r w:rsidR="00E25388" w:rsidRPr="001B6E58">
        <w:rPr>
          <w:rFonts w:ascii="Times New Roman" w:hAnsi="Times New Roman" w:cs="Times New Roman"/>
          <w:sz w:val="28"/>
          <w:szCs w:val="28"/>
        </w:rPr>
        <w:t xml:space="preserve"> </w:t>
      </w:r>
      <w:r w:rsidR="00E25388" w:rsidRPr="001B6E58">
        <w:rPr>
          <w:rFonts w:ascii="Times New Roman" w:eastAsia="MS Gothic" w:hAnsi="Times New Roman" w:cs="Times New Roman"/>
          <w:sz w:val="28"/>
          <w:szCs w:val="28"/>
        </w:rPr>
        <w:t>получения</w:t>
      </w:r>
      <w:r w:rsidR="00E25388" w:rsidRPr="001B6E58">
        <w:rPr>
          <w:rFonts w:ascii="Times New Roman" w:hAnsi="Times New Roman" w:cs="Times New Roman"/>
          <w:sz w:val="28"/>
          <w:szCs w:val="28"/>
        </w:rPr>
        <w:t xml:space="preserve"> </w:t>
      </w:r>
      <w:r w:rsidR="00E25388" w:rsidRPr="001B6E58">
        <w:rPr>
          <w:rFonts w:ascii="Times New Roman" w:eastAsia="MS Gothic" w:hAnsi="Times New Roman" w:cs="Times New Roman"/>
          <w:sz w:val="28"/>
          <w:szCs w:val="28"/>
        </w:rPr>
        <w:t>информированного</w:t>
      </w:r>
      <w:r w:rsidR="00E25388" w:rsidRPr="001B6E58">
        <w:rPr>
          <w:rFonts w:ascii="Times New Roman" w:hAnsi="Times New Roman" w:cs="Times New Roman"/>
          <w:sz w:val="28"/>
          <w:szCs w:val="28"/>
        </w:rPr>
        <w:t xml:space="preserve"> </w:t>
      </w:r>
      <w:r w:rsidR="00E25388" w:rsidRPr="001B6E58">
        <w:rPr>
          <w:rFonts w:ascii="Times New Roman" w:eastAsia="MS Gothic" w:hAnsi="Times New Roman" w:cs="Times New Roman"/>
          <w:sz w:val="28"/>
          <w:szCs w:val="28"/>
        </w:rPr>
        <w:t>согласия</w:t>
      </w:r>
      <w:r w:rsidR="00E25388" w:rsidRPr="001B6E58">
        <w:rPr>
          <w:rFonts w:ascii="Times New Roman" w:hAnsi="Times New Roman" w:cs="Times New Roman"/>
          <w:sz w:val="28"/>
          <w:szCs w:val="28"/>
        </w:rPr>
        <w:t>;</w:t>
      </w:r>
      <w:r w:rsidRPr="001B6E58">
        <w:rPr>
          <w:rFonts w:ascii="Times New Roman" w:hAnsi="Times New Roman" w:cs="Times New Roman"/>
          <w:sz w:val="28"/>
          <w:szCs w:val="28"/>
        </w:rPr>
        <w:t xml:space="preserve"> о</w:t>
      </w:r>
      <w:r w:rsidR="00E25388" w:rsidRPr="001B6E58">
        <w:rPr>
          <w:rFonts w:ascii="Times New Roman" w:eastAsia="MS Gothic" w:hAnsi="Times New Roman" w:cs="Times New Roman"/>
          <w:sz w:val="28"/>
          <w:szCs w:val="28"/>
        </w:rPr>
        <w:t>тказ</w:t>
      </w:r>
      <w:r w:rsidR="00E25388" w:rsidRPr="001B6E58">
        <w:rPr>
          <w:rFonts w:ascii="Times New Roman" w:hAnsi="Times New Roman" w:cs="Times New Roman"/>
          <w:sz w:val="28"/>
          <w:szCs w:val="28"/>
        </w:rPr>
        <w:t xml:space="preserve"> </w:t>
      </w:r>
      <w:r w:rsidR="00E25388" w:rsidRPr="001B6E58">
        <w:rPr>
          <w:rFonts w:ascii="Times New Roman" w:eastAsia="MS Gothic" w:hAnsi="Times New Roman" w:cs="Times New Roman"/>
          <w:sz w:val="28"/>
          <w:szCs w:val="28"/>
        </w:rPr>
        <w:t>пациента</w:t>
      </w:r>
      <w:r w:rsidR="00E25388" w:rsidRPr="001B6E58">
        <w:rPr>
          <w:rFonts w:ascii="Times New Roman" w:hAnsi="Times New Roman" w:cs="Times New Roman"/>
          <w:sz w:val="28"/>
          <w:szCs w:val="28"/>
        </w:rPr>
        <w:t xml:space="preserve"> </w:t>
      </w:r>
      <w:r w:rsidR="00E25388" w:rsidRPr="001B6E58">
        <w:rPr>
          <w:rFonts w:ascii="Times New Roman" w:eastAsia="MS Gothic" w:hAnsi="Times New Roman" w:cs="Times New Roman"/>
          <w:sz w:val="28"/>
          <w:szCs w:val="28"/>
        </w:rPr>
        <w:t>от</w:t>
      </w:r>
      <w:r w:rsidR="00E25388" w:rsidRPr="001B6E58">
        <w:rPr>
          <w:rFonts w:ascii="Times New Roman" w:hAnsi="Times New Roman" w:cs="Times New Roman"/>
          <w:sz w:val="28"/>
          <w:szCs w:val="28"/>
        </w:rPr>
        <w:t xml:space="preserve"> </w:t>
      </w:r>
      <w:r w:rsidR="00E25388" w:rsidRPr="001B6E58">
        <w:rPr>
          <w:rFonts w:ascii="Times New Roman" w:eastAsia="MS Gothic" w:hAnsi="Times New Roman" w:cs="Times New Roman"/>
          <w:sz w:val="28"/>
          <w:szCs w:val="28"/>
        </w:rPr>
        <w:t>участия</w:t>
      </w:r>
      <w:r w:rsidR="00E25388" w:rsidRPr="001B6E58">
        <w:rPr>
          <w:rFonts w:ascii="Times New Roman" w:hAnsi="Times New Roman" w:cs="Times New Roman"/>
          <w:sz w:val="28"/>
          <w:szCs w:val="28"/>
        </w:rPr>
        <w:t xml:space="preserve"> </w:t>
      </w:r>
      <w:r w:rsidR="00E25388" w:rsidRPr="001B6E58">
        <w:rPr>
          <w:rFonts w:ascii="Times New Roman" w:eastAsia="MS Gothic" w:hAnsi="Times New Roman" w:cs="Times New Roman"/>
          <w:sz w:val="28"/>
          <w:szCs w:val="28"/>
        </w:rPr>
        <w:t>в</w:t>
      </w:r>
      <w:r w:rsidR="00E25388" w:rsidRPr="001B6E58">
        <w:rPr>
          <w:rFonts w:ascii="Times New Roman" w:hAnsi="Times New Roman" w:cs="Times New Roman"/>
          <w:sz w:val="28"/>
          <w:szCs w:val="28"/>
        </w:rPr>
        <w:t xml:space="preserve"> </w:t>
      </w:r>
      <w:r w:rsidR="00E25388" w:rsidRPr="001B6E58">
        <w:rPr>
          <w:rFonts w:ascii="Times New Roman" w:eastAsia="MS Gothic" w:hAnsi="Times New Roman" w:cs="Times New Roman"/>
          <w:sz w:val="28"/>
          <w:szCs w:val="28"/>
        </w:rPr>
        <w:t>исследовании</w:t>
      </w:r>
      <w:r w:rsidR="00E25388" w:rsidRPr="001B6E58">
        <w:rPr>
          <w:rFonts w:ascii="Times New Roman" w:hAnsi="Times New Roman" w:cs="Times New Roman"/>
          <w:sz w:val="28"/>
          <w:szCs w:val="28"/>
        </w:rPr>
        <w:t>;</w:t>
      </w:r>
      <w:r w:rsidRPr="001B6E58">
        <w:rPr>
          <w:rFonts w:ascii="Times New Roman" w:hAnsi="Times New Roman" w:cs="Times New Roman"/>
          <w:sz w:val="28"/>
          <w:szCs w:val="28"/>
        </w:rPr>
        <w:t xml:space="preserve"> п</w:t>
      </w:r>
      <w:r w:rsidR="00E25388" w:rsidRPr="001B6E58">
        <w:rPr>
          <w:rFonts w:ascii="Times New Roman" w:eastAsia="MS Gothic" w:hAnsi="Times New Roman" w:cs="Times New Roman"/>
          <w:sz w:val="28"/>
          <w:szCs w:val="28"/>
        </w:rPr>
        <w:t>ринадлежность к уязвимым</w:t>
      </w:r>
      <w:r w:rsidR="00E25388" w:rsidRPr="001B6E58">
        <w:rPr>
          <w:rFonts w:ascii="Times New Roman" w:hAnsi="Times New Roman" w:cs="Times New Roman"/>
          <w:sz w:val="28"/>
          <w:szCs w:val="28"/>
        </w:rPr>
        <w:t xml:space="preserve"> </w:t>
      </w:r>
      <w:r w:rsidR="00E25388" w:rsidRPr="001B6E58">
        <w:rPr>
          <w:rFonts w:ascii="Times New Roman" w:eastAsia="MS Gothic" w:hAnsi="Times New Roman" w:cs="Times New Roman"/>
          <w:sz w:val="28"/>
          <w:szCs w:val="28"/>
        </w:rPr>
        <w:t>группам</w:t>
      </w:r>
      <w:r w:rsidR="00E25388" w:rsidRPr="001B6E58">
        <w:rPr>
          <w:rFonts w:ascii="Times New Roman" w:hAnsi="Times New Roman" w:cs="Times New Roman"/>
          <w:sz w:val="28"/>
          <w:szCs w:val="28"/>
        </w:rPr>
        <w:t xml:space="preserve"> </w:t>
      </w:r>
      <w:r w:rsidR="00E25388" w:rsidRPr="001B6E58">
        <w:rPr>
          <w:rFonts w:ascii="Times New Roman" w:eastAsia="MS Gothic" w:hAnsi="Times New Roman" w:cs="Times New Roman"/>
          <w:sz w:val="28"/>
          <w:szCs w:val="28"/>
        </w:rPr>
        <w:t>населения.</w:t>
      </w:r>
    </w:p>
    <w:p w14:paraId="3BFB3651" w14:textId="407E0634" w:rsidR="001B6E58" w:rsidRPr="00A43B9C" w:rsidRDefault="001B6E58" w:rsidP="001B6E5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Таким образом, к</w:t>
      </w:r>
      <w:r w:rsidRPr="00A43B9C">
        <w:rPr>
          <w:rFonts w:ascii="Times New Roman" w:hAnsi="Times New Roman" w:cs="Times New Roman"/>
          <w:sz w:val="28"/>
          <w:szCs w:val="28"/>
        </w:rPr>
        <w:t>оличество пациентов</w:t>
      </w:r>
      <w:r>
        <w:rPr>
          <w:rFonts w:ascii="Times New Roman" w:hAnsi="Times New Roman" w:cs="Times New Roman"/>
          <w:sz w:val="28"/>
          <w:szCs w:val="28"/>
        </w:rPr>
        <w:t>, участвовавших в исследовании</w:t>
      </w:r>
      <w:r w:rsidRPr="00A43B9C">
        <w:rPr>
          <w:rFonts w:ascii="Times New Roman" w:hAnsi="Times New Roman" w:cs="Times New Roman"/>
          <w:sz w:val="28"/>
          <w:szCs w:val="28"/>
        </w:rPr>
        <w:t xml:space="preserve">: с диагнозом </w:t>
      </w:r>
      <w:r w:rsidR="00995E5C">
        <w:rPr>
          <w:rFonts w:ascii="Times New Roman" w:hAnsi="Times New Roman" w:cs="Times New Roman"/>
          <w:sz w:val="28"/>
          <w:szCs w:val="28"/>
        </w:rPr>
        <w:t xml:space="preserve">эпителиального рака яичников </w:t>
      </w:r>
      <w:r w:rsidRPr="00A43B9C">
        <w:rPr>
          <w:rFonts w:ascii="Times New Roman" w:hAnsi="Times New Roman" w:cs="Times New Roman"/>
          <w:sz w:val="28"/>
          <w:szCs w:val="28"/>
        </w:rPr>
        <w:t xml:space="preserve">– 398 пациентов (53 пациента включены в исследование), с диагнозом </w:t>
      </w:r>
      <w:r w:rsidR="00995E5C">
        <w:rPr>
          <w:rFonts w:ascii="Times New Roman" w:hAnsi="Times New Roman" w:cs="Times New Roman"/>
          <w:sz w:val="28"/>
          <w:szCs w:val="28"/>
        </w:rPr>
        <w:t>колоректального рака</w:t>
      </w:r>
      <w:r w:rsidRPr="00A43B9C">
        <w:rPr>
          <w:rFonts w:ascii="Times New Roman" w:hAnsi="Times New Roman" w:cs="Times New Roman"/>
          <w:sz w:val="28"/>
          <w:szCs w:val="28"/>
        </w:rPr>
        <w:t xml:space="preserve"> – 534 пациентов (60 пациентов включены в исследование), итого – 932 пациента (113 пациентов включены в исследование).</w:t>
      </w:r>
      <w:r>
        <w:rPr>
          <w:rFonts w:ascii="Times New Roman" w:hAnsi="Times New Roman" w:cs="Times New Roman"/>
          <w:sz w:val="28"/>
          <w:szCs w:val="28"/>
        </w:rPr>
        <w:t xml:space="preserve"> Порядок и алгоритм отбора пациентов в исследование представлен на рисунке 1.</w:t>
      </w:r>
    </w:p>
    <w:p w14:paraId="5BBEA635" w14:textId="612CA720" w:rsidR="001B6E58" w:rsidRPr="001B6E58" w:rsidRDefault="00D31988" w:rsidP="00D31988">
      <w:pPr>
        <w:spacing w:after="0" w:line="240" w:lineRule="auto"/>
        <w:ind w:firstLine="709"/>
        <w:jc w:val="center"/>
        <w:rPr>
          <w:rFonts w:ascii="Times New Roman" w:eastAsia="MS Gothic" w:hAnsi="Times New Roman" w:cs="Times New Roman"/>
          <w:sz w:val="28"/>
          <w:szCs w:val="28"/>
        </w:rPr>
      </w:pPr>
      <w:r>
        <w:rPr>
          <w:rFonts w:ascii="Times New Roman" w:eastAsia="MS Gothic" w:hAnsi="Times New Roman" w:cs="Times New Roman"/>
          <w:noProof/>
          <w:sz w:val="28"/>
          <w:szCs w:val="28"/>
        </w:rPr>
        <w:lastRenderedPageBreak/>
        <w:drawing>
          <wp:inline distT="0" distB="0" distL="0" distR="0" wp14:anchorId="44086A9A" wp14:editId="48598D56">
            <wp:extent cx="4057650" cy="48387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a:extLst>
                        <a:ext uri="{28A0092B-C50C-407E-A947-70E740481C1C}">
                          <a14:useLocalDpi xmlns:a14="http://schemas.microsoft.com/office/drawing/2010/main" val="0"/>
                        </a:ext>
                      </a:extLst>
                    </a:blip>
                    <a:srcRect t="1923" b="45743"/>
                    <a:stretch/>
                  </pic:blipFill>
                  <pic:spPr bwMode="auto">
                    <a:xfrm>
                      <a:off x="0" y="0"/>
                      <a:ext cx="4057650" cy="4838700"/>
                    </a:xfrm>
                    <a:prstGeom prst="rect">
                      <a:avLst/>
                    </a:prstGeom>
                    <a:noFill/>
                    <a:ln>
                      <a:noFill/>
                    </a:ln>
                    <a:extLst>
                      <a:ext uri="{53640926-AAD7-44D8-BBD7-CCE9431645EC}">
                        <a14:shadowObscured xmlns:a14="http://schemas.microsoft.com/office/drawing/2010/main"/>
                      </a:ext>
                    </a:extLst>
                  </pic:spPr>
                </pic:pic>
              </a:graphicData>
            </a:graphic>
          </wp:inline>
        </w:drawing>
      </w:r>
    </w:p>
    <w:p w14:paraId="6282A087" w14:textId="38CEFFFA" w:rsidR="00E25388" w:rsidRDefault="00D31988" w:rsidP="00D31988">
      <w:pPr>
        <w:pStyle w:val="p"/>
        <w:spacing w:before="0" w:beforeAutospacing="0" w:after="0" w:afterAutospacing="0"/>
        <w:ind w:firstLine="708"/>
        <w:jc w:val="center"/>
        <w:rPr>
          <w:rFonts w:eastAsia="MS Gothic"/>
          <w:sz w:val="28"/>
          <w:szCs w:val="28"/>
        </w:rPr>
      </w:pPr>
      <w:r>
        <w:rPr>
          <w:rFonts w:eastAsia="MS Gothic"/>
          <w:sz w:val="28"/>
          <w:szCs w:val="28"/>
        </w:rPr>
        <w:t>Рисунок 1 – Алгоритм набора клинического материала исследования</w:t>
      </w:r>
    </w:p>
    <w:p w14:paraId="1071629F" w14:textId="77777777" w:rsidR="00D31988" w:rsidRDefault="00D31988" w:rsidP="00E25388">
      <w:pPr>
        <w:pStyle w:val="p"/>
        <w:spacing w:before="0" w:beforeAutospacing="0" w:after="0" w:afterAutospacing="0"/>
        <w:ind w:firstLine="708"/>
        <w:jc w:val="both"/>
        <w:rPr>
          <w:rFonts w:eastAsia="MS Gothic"/>
          <w:sz w:val="28"/>
          <w:szCs w:val="28"/>
        </w:rPr>
      </w:pPr>
    </w:p>
    <w:p w14:paraId="3F499EA6" w14:textId="12A39B21" w:rsidR="00E25388" w:rsidRDefault="00E25388" w:rsidP="00E25388">
      <w:pPr>
        <w:pStyle w:val="p"/>
        <w:spacing w:before="0" w:beforeAutospacing="0" w:after="0" w:afterAutospacing="0"/>
        <w:ind w:firstLine="708"/>
        <w:jc w:val="both"/>
        <w:rPr>
          <w:sz w:val="28"/>
          <w:szCs w:val="28"/>
        </w:rPr>
      </w:pPr>
      <w:r w:rsidRPr="00A43B9C">
        <w:rPr>
          <w:rFonts w:eastAsia="TimesNewRomanPSMT"/>
          <w:sz w:val="28"/>
          <w:szCs w:val="28"/>
        </w:rPr>
        <w:t>Настоящее исследование не финансировалась, отсутству</w:t>
      </w:r>
      <w:r w:rsidR="006C4DC7">
        <w:rPr>
          <w:rFonts w:eastAsia="TimesNewRomanPSMT"/>
          <w:sz w:val="28"/>
          <w:szCs w:val="28"/>
        </w:rPr>
        <w:t>ю</w:t>
      </w:r>
      <w:r w:rsidRPr="00A43B9C">
        <w:rPr>
          <w:rFonts w:eastAsia="TimesNewRomanPSMT"/>
          <w:sz w:val="28"/>
          <w:szCs w:val="28"/>
        </w:rPr>
        <w:t xml:space="preserve">т конфликты интересов. </w:t>
      </w:r>
      <w:r w:rsidRPr="00A43B9C">
        <w:rPr>
          <w:sz w:val="28"/>
          <w:szCs w:val="28"/>
        </w:rPr>
        <w:t xml:space="preserve">По мере формирования материала проводилась беседа с отобранными пациентами о возможном раннем выявлении метастазов. Для проведения исследования получены информированное согласие пациента на </w:t>
      </w:r>
      <w:r w:rsidRPr="00A43B9C">
        <w:rPr>
          <w:rFonts w:eastAsia="MS Gothic"/>
          <w:sz w:val="28"/>
          <w:szCs w:val="28"/>
        </w:rPr>
        <w:t xml:space="preserve">проведение процедуры </w:t>
      </w:r>
      <w:r w:rsidRPr="00A43B9C">
        <w:rPr>
          <w:sz w:val="28"/>
          <w:szCs w:val="28"/>
          <w:vertAlign w:val="superscript"/>
        </w:rPr>
        <w:t>18</w:t>
      </w:r>
      <w:r w:rsidRPr="00A43B9C">
        <w:rPr>
          <w:sz w:val="28"/>
          <w:szCs w:val="28"/>
          <w:lang w:val="en-US"/>
        </w:rPr>
        <w:t>F</w:t>
      </w:r>
      <w:r w:rsidRPr="00A43B9C">
        <w:rPr>
          <w:sz w:val="28"/>
          <w:szCs w:val="28"/>
        </w:rPr>
        <w:t>-</w:t>
      </w:r>
      <w:r w:rsidRPr="00A43B9C">
        <w:rPr>
          <w:sz w:val="28"/>
          <w:szCs w:val="28"/>
          <w:lang w:val="en-US"/>
        </w:rPr>
        <w:t>FDG</w:t>
      </w:r>
      <w:r w:rsidRPr="00A43B9C">
        <w:rPr>
          <w:sz w:val="28"/>
          <w:szCs w:val="28"/>
        </w:rPr>
        <w:t xml:space="preserve"> ПЭТ/КТ исследования (Приложение Г). Все пациенты были уведомлены о целях и методах исследования, об используемом </w:t>
      </w:r>
      <w:r w:rsidR="00995E5C">
        <w:rPr>
          <w:sz w:val="28"/>
          <w:szCs w:val="28"/>
        </w:rPr>
        <w:t>радиофармпрепарате</w:t>
      </w:r>
      <w:r w:rsidRPr="00A43B9C">
        <w:rPr>
          <w:sz w:val="28"/>
          <w:szCs w:val="28"/>
        </w:rPr>
        <w:t>, его дозе активности, эффективной дозе облучения, потенциальной пользе и риске предполагаемого обследования, а также о возможных осложнениях и неудобствах, которые может принести участие в обследовании (Приложение Д).</w:t>
      </w:r>
    </w:p>
    <w:p w14:paraId="6643DCD1" w14:textId="77777777" w:rsidR="00FE03D6" w:rsidRPr="00A43B9C" w:rsidRDefault="00FE03D6" w:rsidP="00E25388">
      <w:pPr>
        <w:pStyle w:val="p"/>
        <w:spacing w:before="0" w:beforeAutospacing="0" w:after="0" w:afterAutospacing="0"/>
        <w:ind w:firstLine="708"/>
        <w:jc w:val="both"/>
        <w:rPr>
          <w:sz w:val="28"/>
          <w:szCs w:val="28"/>
        </w:rPr>
      </w:pPr>
    </w:p>
    <w:p w14:paraId="1A4CC28E" w14:textId="502C1E45" w:rsidR="001C6451" w:rsidRPr="00A43B9C" w:rsidRDefault="001C6451" w:rsidP="00AE28CD">
      <w:pPr>
        <w:pStyle w:val="31"/>
        <w:spacing w:before="0" w:line="240" w:lineRule="auto"/>
        <w:ind w:left="709"/>
        <w:jc w:val="both"/>
        <w:rPr>
          <w:rFonts w:ascii="Times New Roman" w:hAnsi="Times New Roman" w:cs="Times New Roman"/>
          <w:color w:val="auto"/>
          <w:sz w:val="28"/>
          <w:szCs w:val="28"/>
        </w:rPr>
      </w:pPr>
      <w:bookmarkStart w:id="34" w:name="_Toc101861809"/>
      <w:bookmarkStart w:id="35" w:name="_Toc102937612"/>
      <w:r w:rsidRPr="00A43B9C">
        <w:rPr>
          <w:rFonts w:ascii="Times New Roman" w:hAnsi="Times New Roman" w:cs="Times New Roman"/>
          <w:color w:val="auto"/>
          <w:sz w:val="28"/>
          <w:szCs w:val="28"/>
        </w:rPr>
        <w:t>2.1.</w:t>
      </w:r>
      <w:r w:rsidR="006473FD" w:rsidRPr="00A43B9C">
        <w:rPr>
          <w:rFonts w:ascii="Times New Roman" w:hAnsi="Times New Roman" w:cs="Times New Roman"/>
          <w:color w:val="auto"/>
          <w:sz w:val="28"/>
          <w:szCs w:val="28"/>
        </w:rPr>
        <w:t>2</w:t>
      </w:r>
      <w:r w:rsidRPr="00A43B9C">
        <w:rPr>
          <w:rFonts w:ascii="Times New Roman" w:hAnsi="Times New Roman" w:cs="Times New Roman"/>
          <w:color w:val="auto"/>
          <w:sz w:val="28"/>
          <w:szCs w:val="28"/>
        </w:rPr>
        <w:t xml:space="preserve"> Эпителиальный рак яичников</w:t>
      </w:r>
      <w:bookmarkEnd w:id="31"/>
      <w:bookmarkEnd w:id="34"/>
      <w:bookmarkEnd w:id="35"/>
    </w:p>
    <w:p w14:paraId="0DD08074" w14:textId="47BB3B98" w:rsidR="001C6451" w:rsidRPr="00A43B9C" w:rsidRDefault="00BB08B3" w:rsidP="001C6451">
      <w:pPr>
        <w:pStyle w:val="p"/>
        <w:spacing w:before="0" w:beforeAutospacing="0" w:after="0" w:afterAutospacing="0"/>
        <w:ind w:firstLine="708"/>
        <w:jc w:val="both"/>
        <w:rPr>
          <w:sz w:val="28"/>
          <w:szCs w:val="28"/>
        </w:rPr>
      </w:pPr>
      <w:r w:rsidRPr="00A43B9C">
        <w:rPr>
          <w:rFonts w:eastAsia="TimesNewRomanPSMT"/>
          <w:sz w:val="28"/>
          <w:szCs w:val="28"/>
        </w:rPr>
        <w:t xml:space="preserve">Нами </w:t>
      </w:r>
      <w:r w:rsidRPr="00A43B9C">
        <w:rPr>
          <w:rFonts w:eastAsia="TimesNewRomanPSMT"/>
          <w:sz w:val="28"/>
          <w:szCs w:val="28"/>
          <w:lang w:val="kk-KZ"/>
        </w:rPr>
        <w:t>были зарегистрированы 398</w:t>
      </w:r>
      <w:r w:rsidRPr="00A43B9C">
        <w:rPr>
          <w:rFonts w:eastAsia="TimesNewRomanPSMT"/>
          <w:sz w:val="28"/>
          <w:szCs w:val="28"/>
        </w:rPr>
        <w:t xml:space="preserve"> пациентов с </w:t>
      </w:r>
      <w:r w:rsidR="00995E5C">
        <w:rPr>
          <w:rFonts w:eastAsia="TimesNewRomanPSMT"/>
          <w:sz w:val="28"/>
          <w:szCs w:val="28"/>
        </w:rPr>
        <w:t>диагнозом эпителиального рака яичников</w:t>
      </w:r>
      <w:r w:rsidRPr="00A43B9C">
        <w:rPr>
          <w:rFonts w:eastAsia="TimesNewRomanPSMT"/>
          <w:sz w:val="28"/>
          <w:szCs w:val="28"/>
        </w:rPr>
        <w:t xml:space="preserve">, </w:t>
      </w:r>
      <w:r w:rsidRPr="00A43B9C">
        <w:rPr>
          <w:rFonts w:eastAsia="TimesNewRomanPSMT"/>
          <w:sz w:val="28"/>
          <w:szCs w:val="28"/>
          <w:lang w:val="kk-KZ"/>
        </w:rPr>
        <w:t>среди которых у 53</w:t>
      </w:r>
      <w:r w:rsidRPr="00A43B9C">
        <w:rPr>
          <w:rFonts w:eastAsia="TimesNewRomanPSMT"/>
          <w:sz w:val="28"/>
          <w:szCs w:val="28"/>
        </w:rPr>
        <w:t xml:space="preserve"> пациентов </w:t>
      </w:r>
      <w:r w:rsidR="00AB51B0" w:rsidRPr="00A43B9C">
        <w:rPr>
          <w:rFonts w:eastAsia="TimesNewRomanPSMT"/>
          <w:sz w:val="28"/>
          <w:szCs w:val="28"/>
        </w:rPr>
        <w:t xml:space="preserve">на момент включения в исследование </w:t>
      </w:r>
      <w:r w:rsidRPr="00A43B9C">
        <w:rPr>
          <w:rFonts w:eastAsia="TimesNewRomanPSMT"/>
          <w:sz w:val="28"/>
          <w:szCs w:val="28"/>
          <w:lang w:val="kk-KZ"/>
        </w:rPr>
        <w:t xml:space="preserve">не были </w:t>
      </w:r>
      <w:r w:rsidR="00F71057" w:rsidRPr="00A43B9C">
        <w:rPr>
          <w:rFonts w:eastAsia="TimesNewRomanPSMT"/>
          <w:sz w:val="28"/>
          <w:szCs w:val="28"/>
          <w:lang w:val="kk-KZ"/>
        </w:rPr>
        <w:t xml:space="preserve">выявлены </w:t>
      </w:r>
      <w:r w:rsidRPr="00A43B9C">
        <w:rPr>
          <w:rFonts w:eastAsia="TimesNewRomanPSMT"/>
          <w:sz w:val="28"/>
          <w:szCs w:val="28"/>
          <w:lang w:val="kk-KZ"/>
        </w:rPr>
        <w:t xml:space="preserve">признаки </w:t>
      </w:r>
      <w:r w:rsidRPr="00A43B9C">
        <w:rPr>
          <w:rFonts w:eastAsia="TimesNewRomanPSMT"/>
          <w:sz w:val="28"/>
          <w:szCs w:val="28"/>
        </w:rPr>
        <w:t xml:space="preserve">метастазирования, у 79 пациентов </w:t>
      </w:r>
      <w:r w:rsidR="00F71057" w:rsidRPr="00A43B9C">
        <w:rPr>
          <w:rFonts w:eastAsia="TimesNewRomanPSMT"/>
          <w:sz w:val="28"/>
          <w:szCs w:val="28"/>
        </w:rPr>
        <w:t xml:space="preserve">наблюдались </w:t>
      </w:r>
      <w:r w:rsidRPr="00A43B9C">
        <w:rPr>
          <w:rFonts w:eastAsia="TimesNewRomanPSMT"/>
          <w:sz w:val="28"/>
          <w:szCs w:val="28"/>
          <w:lang w:val="kk-KZ"/>
        </w:rPr>
        <w:t xml:space="preserve">признаки </w:t>
      </w:r>
      <w:r w:rsidRPr="00A43B9C">
        <w:rPr>
          <w:rFonts w:eastAsia="TimesNewRomanPSMT"/>
          <w:sz w:val="28"/>
          <w:szCs w:val="28"/>
        </w:rPr>
        <w:t xml:space="preserve">метастазирования, у 23 пациентов </w:t>
      </w:r>
      <w:r w:rsidR="00F71057" w:rsidRPr="00A43B9C">
        <w:rPr>
          <w:rFonts w:eastAsia="TimesNewRomanPSMT"/>
          <w:sz w:val="28"/>
          <w:szCs w:val="28"/>
        </w:rPr>
        <w:t xml:space="preserve">наблюдались </w:t>
      </w:r>
      <w:r w:rsidRPr="00A43B9C">
        <w:rPr>
          <w:rFonts w:eastAsia="TimesNewRomanPSMT"/>
          <w:sz w:val="28"/>
          <w:szCs w:val="28"/>
          <w:lang w:val="kk-KZ"/>
        </w:rPr>
        <w:t xml:space="preserve">признаки послеоперационного рецидива </w:t>
      </w:r>
      <w:r w:rsidRPr="00A43B9C">
        <w:rPr>
          <w:rFonts w:eastAsia="TimesNewRomanPSMT"/>
          <w:sz w:val="28"/>
          <w:szCs w:val="28"/>
        </w:rPr>
        <w:t xml:space="preserve">и высокой метаболической активности, </w:t>
      </w:r>
      <w:r w:rsidR="00AB51B0" w:rsidRPr="00A43B9C">
        <w:rPr>
          <w:rFonts w:eastAsia="TimesNewRomanPSMT"/>
          <w:sz w:val="28"/>
          <w:szCs w:val="28"/>
        </w:rPr>
        <w:t xml:space="preserve">а </w:t>
      </w:r>
      <w:r w:rsidRPr="00A43B9C">
        <w:rPr>
          <w:rFonts w:eastAsia="TimesNewRomanPSMT"/>
          <w:sz w:val="28"/>
          <w:szCs w:val="28"/>
        </w:rPr>
        <w:t xml:space="preserve">у 243 пациентов </w:t>
      </w:r>
      <w:r w:rsidR="00F71057" w:rsidRPr="00A43B9C">
        <w:rPr>
          <w:rFonts w:eastAsia="TimesNewRomanPSMT"/>
          <w:sz w:val="28"/>
          <w:szCs w:val="28"/>
        </w:rPr>
        <w:t xml:space="preserve">наблюдались </w:t>
      </w:r>
      <w:r w:rsidRPr="00A43B9C">
        <w:rPr>
          <w:rFonts w:eastAsia="TimesNewRomanPSMT"/>
          <w:sz w:val="28"/>
          <w:szCs w:val="28"/>
        </w:rPr>
        <w:t xml:space="preserve">признаки прогрессирования </w:t>
      </w:r>
      <w:r w:rsidRPr="00A43B9C">
        <w:rPr>
          <w:rFonts w:eastAsia="TimesNewRomanPSMT"/>
          <w:sz w:val="28"/>
          <w:szCs w:val="28"/>
          <w:lang w:val="kk-KZ"/>
        </w:rPr>
        <w:t xml:space="preserve">первичного </w:t>
      </w:r>
      <w:r w:rsidRPr="00A43B9C">
        <w:rPr>
          <w:rFonts w:eastAsia="TimesNewRomanPSMT"/>
          <w:sz w:val="28"/>
          <w:szCs w:val="28"/>
        </w:rPr>
        <w:t xml:space="preserve">онкологического заболевания. Пациенты с </w:t>
      </w:r>
      <w:r w:rsidRPr="00A43B9C">
        <w:rPr>
          <w:rFonts w:eastAsia="TimesNewRomanPSMT"/>
          <w:sz w:val="28"/>
          <w:szCs w:val="28"/>
        </w:rPr>
        <w:lastRenderedPageBreak/>
        <w:t>признаками метастазирования, послеоперационным рецидивом и высокой метаболической активностью, а также прогрессированием первичного онкологического заболевания были исключены с исследования, т.к. не соответствовали критериям включения. В итоге в</w:t>
      </w:r>
      <w:r w:rsidR="001C6451" w:rsidRPr="00A43B9C">
        <w:rPr>
          <w:rFonts w:eastAsia="TimesNewRomanPSMT"/>
          <w:sz w:val="28"/>
          <w:szCs w:val="28"/>
        </w:rPr>
        <w:t xml:space="preserve"> настоящее исследование включены </w:t>
      </w:r>
      <w:r w:rsidR="001C6451" w:rsidRPr="00A43B9C">
        <w:rPr>
          <w:sz w:val="28"/>
          <w:szCs w:val="28"/>
        </w:rPr>
        <w:t xml:space="preserve">53 пациента с </w:t>
      </w:r>
      <w:r w:rsidRPr="00A43B9C">
        <w:rPr>
          <w:sz w:val="28"/>
          <w:szCs w:val="28"/>
        </w:rPr>
        <w:t>гистологической верификацией аденокарциномы, карциномы и цистаденокарциномы</w:t>
      </w:r>
      <w:r w:rsidR="001C6451" w:rsidRPr="00A43B9C">
        <w:rPr>
          <w:sz w:val="28"/>
          <w:szCs w:val="28"/>
        </w:rPr>
        <w:t xml:space="preserve"> (возраст 32-75; средний возраст 57 (межквартильный </w:t>
      </w:r>
      <w:r w:rsidR="00AB51B0" w:rsidRPr="00A43B9C">
        <w:rPr>
          <w:sz w:val="28"/>
          <w:szCs w:val="28"/>
        </w:rPr>
        <w:t xml:space="preserve">интервал </w:t>
      </w:r>
      <w:r w:rsidR="001C6451" w:rsidRPr="00A43B9C">
        <w:rPr>
          <w:sz w:val="28"/>
          <w:szCs w:val="28"/>
        </w:rPr>
        <w:t>(</w:t>
      </w:r>
      <w:r w:rsidR="00AB51B0" w:rsidRPr="00A43B9C">
        <w:rPr>
          <w:sz w:val="28"/>
          <w:szCs w:val="28"/>
        </w:rPr>
        <w:t>МКИ</w:t>
      </w:r>
      <w:r w:rsidR="001C6451" w:rsidRPr="00A43B9C">
        <w:rPr>
          <w:sz w:val="28"/>
          <w:szCs w:val="28"/>
        </w:rPr>
        <w:t xml:space="preserve">) 47-62) лет; все пациенты </w:t>
      </w:r>
      <w:r w:rsidR="00AB51B0" w:rsidRPr="00A43B9C">
        <w:rPr>
          <w:sz w:val="28"/>
          <w:szCs w:val="28"/>
        </w:rPr>
        <w:t xml:space="preserve">были </w:t>
      </w:r>
      <w:r w:rsidR="001C6451" w:rsidRPr="00A43B9C">
        <w:rPr>
          <w:sz w:val="28"/>
          <w:szCs w:val="28"/>
        </w:rPr>
        <w:t>лица</w:t>
      </w:r>
      <w:r w:rsidR="00AB51B0" w:rsidRPr="00A43B9C">
        <w:rPr>
          <w:sz w:val="28"/>
          <w:szCs w:val="28"/>
        </w:rPr>
        <w:t>ми</w:t>
      </w:r>
      <w:r w:rsidR="001C6451" w:rsidRPr="00A43B9C">
        <w:rPr>
          <w:sz w:val="28"/>
          <w:szCs w:val="28"/>
        </w:rPr>
        <w:t xml:space="preserve"> женского пола после хирургического лечения и курсов схем химиотерапии </w:t>
      </w:r>
      <w:r w:rsidR="001C6451" w:rsidRPr="00A43B9C">
        <w:rPr>
          <w:sz w:val="28"/>
          <w:szCs w:val="28"/>
          <w:lang w:val="en-US"/>
        </w:rPr>
        <w:t>Folfiri</w:t>
      </w:r>
      <w:r w:rsidR="001C6451" w:rsidRPr="00A43B9C">
        <w:rPr>
          <w:sz w:val="28"/>
          <w:szCs w:val="28"/>
        </w:rPr>
        <w:t xml:space="preserve"> </w:t>
      </w:r>
      <w:r w:rsidR="001C6451" w:rsidRPr="00A43B9C">
        <w:rPr>
          <w:sz w:val="28"/>
          <w:szCs w:val="28"/>
          <w:lang w:val="en-US"/>
        </w:rPr>
        <w:t>and</w:t>
      </w:r>
      <w:r w:rsidR="001C6451" w:rsidRPr="00A43B9C">
        <w:rPr>
          <w:sz w:val="28"/>
          <w:szCs w:val="28"/>
        </w:rPr>
        <w:t xml:space="preserve"> </w:t>
      </w:r>
      <w:r w:rsidR="001C6451" w:rsidRPr="00A43B9C">
        <w:rPr>
          <w:sz w:val="28"/>
          <w:szCs w:val="28"/>
          <w:lang w:val="en-US"/>
        </w:rPr>
        <w:t>Folfox</w:t>
      </w:r>
      <w:r w:rsidR="001C6451" w:rsidRPr="00A43B9C">
        <w:rPr>
          <w:rFonts w:eastAsia="TimesNewRomanPSMT"/>
          <w:sz w:val="28"/>
          <w:szCs w:val="28"/>
        </w:rPr>
        <w:t xml:space="preserve"> в период с января 2017 г. по февраль 2021 г</w:t>
      </w:r>
      <w:r w:rsidR="001C6451" w:rsidRPr="00A43B9C">
        <w:rPr>
          <w:sz w:val="28"/>
          <w:szCs w:val="28"/>
        </w:rPr>
        <w:t>.</w:t>
      </w:r>
      <w:r w:rsidR="00A4608C" w:rsidRPr="00A43B9C">
        <w:rPr>
          <w:sz w:val="28"/>
          <w:szCs w:val="28"/>
        </w:rPr>
        <w:t xml:space="preserve"> </w:t>
      </w:r>
      <w:r w:rsidR="001C6451" w:rsidRPr="00A43B9C">
        <w:rPr>
          <w:sz w:val="28"/>
          <w:szCs w:val="28"/>
        </w:rPr>
        <w:t xml:space="preserve">Во время первоначального скрининга на соответствие критериям включения пациенты с гистологически не верифицированным диагнозом </w:t>
      </w:r>
      <w:r w:rsidR="00995E5C">
        <w:rPr>
          <w:sz w:val="28"/>
          <w:szCs w:val="28"/>
        </w:rPr>
        <w:t xml:space="preserve">эпителиального рака яичников </w:t>
      </w:r>
      <w:r w:rsidR="001C6451" w:rsidRPr="00A43B9C">
        <w:rPr>
          <w:sz w:val="28"/>
          <w:szCs w:val="28"/>
        </w:rPr>
        <w:t xml:space="preserve">или с подтвержденными метастазами при базовом (исходном, первичном) исследовании, были исключены. Также исключены пациенты с сопутствующими </w:t>
      </w:r>
      <w:r w:rsidR="00AB51B0" w:rsidRPr="00A43B9C">
        <w:rPr>
          <w:sz w:val="28"/>
          <w:szCs w:val="28"/>
        </w:rPr>
        <w:t xml:space="preserve">другими </w:t>
      </w:r>
      <w:r w:rsidR="001C6451" w:rsidRPr="00A43B9C">
        <w:rPr>
          <w:sz w:val="28"/>
          <w:szCs w:val="28"/>
        </w:rPr>
        <w:t xml:space="preserve">видами рака. Классификация </w:t>
      </w:r>
      <w:r w:rsidR="001C6451" w:rsidRPr="00A43B9C">
        <w:rPr>
          <w:sz w:val="28"/>
          <w:szCs w:val="28"/>
          <w:lang w:val="en-US"/>
        </w:rPr>
        <w:t>TNM</w:t>
      </w:r>
      <w:r w:rsidR="001C6451" w:rsidRPr="00A43B9C">
        <w:rPr>
          <w:sz w:val="28"/>
          <w:szCs w:val="28"/>
        </w:rPr>
        <w:t xml:space="preserve"> вместе со стадиями </w:t>
      </w:r>
      <w:r w:rsidR="001C6451" w:rsidRPr="00A43B9C">
        <w:rPr>
          <w:sz w:val="28"/>
          <w:szCs w:val="28"/>
          <w:lang w:val="en-US"/>
        </w:rPr>
        <w:t>FIGO</w:t>
      </w:r>
      <w:r w:rsidR="001C6451" w:rsidRPr="00A43B9C">
        <w:rPr>
          <w:sz w:val="28"/>
          <w:szCs w:val="28"/>
        </w:rPr>
        <w:t xml:space="preserve"> набранных пациентов представлена в таблице </w:t>
      </w:r>
      <w:r w:rsidR="00676870" w:rsidRPr="00A43B9C">
        <w:rPr>
          <w:sz w:val="28"/>
          <w:szCs w:val="28"/>
        </w:rPr>
        <w:t>4</w:t>
      </w:r>
      <w:r w:rsidR="001C6451" w:rsidRPr="00A43B9C">
        <w:rPr>
          <w:sz w:val="28"/>
          <w:szCs w:val="28"/>
        </w:rPr>
        <w:t xml:space="preserve">. Как видно из таблицы </w:t>
      </w:r>
      <w:r w:rsidR="00676870" w:rsidRPr="00A43B9C">
        <w:rPr>
          <w:sz w:val="28"/>
          <w:szCs w:val="28"/>
        </w:rPr>
        <w:t>4</w:t>
      </w:r>
      <w:r w:rsidR="001C6451" w:rsidRPr="00A43B9C">
        <w:rPr>
          <w:sz w:val="28"/>
          <w:szCs w:val="28"/>
        </w:rPr>
        <w:t xml:space="preserve">, </w:t>
      </w:r>
      <w:r w:rsidR="00060997">
        <w:rPr>
          <w:sz w:val="28"/>
          <w:szCs w:val="28"/>
        </w:rPr>
        <w:t>распределение пациентов по стадии Т была для Т</w:t>
      </w:r>
      <w:r w:rsidR="00060997" w:rsidRPr="00060997">
        <w:rPr>
          <w:sz w:val="28"/>
          <w:szCs w:val="28"/>
          <w:vertAlign w:val="subscript"/>
        </w:rPr>
        <w:t>1</w:t>
      </w:r>
      <w:r w:rsidR="00060997">
        <w:rPr>
          <w:sz w:val="28"/>
          <w:szCs w:val="28"/>
        </w:rPr>
        <w:t xml:space="preserve"> – 8 (15%), для Т</w:t>
      </w:r>
      <w:r w:rsidR="00060997" w:rsidRPr="00060997">
        <w:rPr>
          <w:sz w:val="28"/>
          <w:szCs w:val="28"/>
          <w:vertAlign w:val="subscript"/>
        </w:rPr>
        <w:t>2</w:t>
      </w:r>
      <w:r w:rsidR="00060997">
        <w:rPr>
          <w:sz w:val="28"/>
          <w:szCs w:val="28"/>
        </w:rPr>
        <w:t xml:space="preserve"> – 15 (28%), для Т</w:t>
      </w:r>
      <w:r w:rsidR="00060997" w:rsidRPr="00060997">
        <w:rPr>
          <w:sz w:val="28"/>
          <w:szCs w:val="28"/>
          <w:vertAlign w:val="subscript"/>
        </w:rPr>
        <w:t>3</w:t>
      </w:r>
      <w:r w:rsidR="00060997">
        <w:rPr>
          <w:sz w:val="28"/>
          <w:szCs w:val="28"/>
        </w:rPr>
        <w:t xml:space="preserve"> – 28 (53%), для Т</w:t>
      </w:r>
      <w:r w:rsidR="00060997" w:rsidRPr="00060997">
        <w:rPr>
          <w:sz w:val="28"/>
          <w:szCs w:val="28"/>
          <w:vertAlign w:val="subscript"/>
        </w:rPr>
        <w:t>4</w:t>
      </w:r>
      <w:r w:rsidR="00060997">
        <w:rPr>
          <w:sz w:val="28"/>
          <w:szCs w:val="28"/>
        </w:rPr>
        <w:t xml:space="preserve"> – 2 (4%). По стадии </w:t>
      </w:r>
      <w:r w:rsidR="00060997">
        <w:rPr>
          <w:sz w:val="28"/>
          <w:szCs w:val="28"/>
          <w:lang w:val="en-US"/>
        </w:rPr>
        <w:t>N</w:t>
      </w:r>
      <w:r w:rsidR="00060997" w:rsidRPr="00060997">
        <w:rPr>
          <w:sz w:val="28"/>
          <w:szCs w:val="28"/>
        </w:rPr>
        <w:t xml:space="preserve"> </w:t>
      </w:r>
      <w:r w:rsidR="00060997">
        <w:rPr>
          <w:sz w:val="28"/>
          <w:szCs w:val="28"/>
        </w:rPr>
        <w:t xml:space="preserve">показала для </w:t>
      </w:r>
      <w:r w:rsidR="00060997">
        <w:rPr>
          <w:sz w:val="28"/>
          <w:szCs w:val="28"/>
          <w:lang w:val="en-US"/>
        </w:rPr>
        <w:t>N</w:t>
      </w:r>
      <w:r w:rsidR="00060997" w:rsidRPr="00060997">
        <w:rPr>
          <w:sz w:val="28"/>
          <w:szCs w:val="28"/>
          <w:vertAlign w:val="subscript"/>
        </w:rPr>
        <w:t>0</w:t>
      </w:r>
      <w:r w:rsidR="00060997" w:rsidRPr="00060997">
        <w:rPr>
          <w:sz w:val="28"/>
          <w:szCs w:val="28"/>
        </w:rPr>
        <w:t xml:space="preserve"> </w:t>
      </w:r>
      <w:r w:rsidR="00060997">
        <w:rPr>
          <w:sz w:val="28"/>
          <w:szCs w:val="28"/>
        </w:rPr>
        <w:t xml:space="preserve">– 19 (36%), </w:t>
      </w:r>
      <w:r w:rsidR="00060997">
        <w:rPr>
          <w:sz w:val="28"/>
          <w:szCs w:val="28"/>
          <w:lang w:val="en-US"/>
        </w:rPr>
        <w:t>N</w:t>
      </w:r>
      <w:r w:rsidR="00060997" w:rsidRPr="00060997">
        <w:rPr>
          <w:sz w:val="28"/>
          <w:szCs w:val="28"/>
          <w:vertAlign w:val="subscript"/>
        </w:rPr>
        <w:t>1</w:t>
      </w:r>
      <w:r w:rsidR="00060997" w:rsidRPr="00060997">
        <w:rPr>
          <w:sz w:val="28"/>
          <w:szCs w:val="28"/>
        </w:rPr>
        <w:t xml:space="preserve"> </w:t>
      </w:r>
      <w:r w:rsidR="00060997">
        <w:rPr>
          <w:sz w:val="28"/>
          <w:szCs w:val="28"/>
        </w:rPr>
        <w:t xml:space="preserve">– 9 (17%), </w:t>
      </w:r>
      <w:r w:rsidR="00060997">
        <w:rPr>
          <w:sz w:val="28"/>
          <w:szCs w:val="28"/>
          <w:lang w:val="en-US"/>
        </w:rPr>
        <w:t>N</w:t>
      </w:r>
      <w:r w:rsidR="00060997" w:rsidRPr="00060997">
        <w:rPr>
          <w:sz w:val="28"/>
          <w:szCs w:val="28"/>
          <w:vertAlign w:val="subscript"/>
          <w:lang w:val="en-US"/>
        </w:rPr>
        <w:t>x</w:t>
      </w:r>
      <w:r w:rsidR="00060997">
        <w:rPr>
          <w:sz w:val="28"/>
          <w:szCs w:val="28"/>
        </w:rPr>
        <w:t xml:space="preserve"> – 25 (47%) пациентов, а для стадии М</w:t>
      </w:r>
      <w:r w:rsidR="00060997" w:rsidRPr="00060997">
        <w:rPr>
          <w:sz w:val="28"/>
          <w:szCs w:val="28"/>
          <w:vertAlign w:val="subscript"/>
        </w:rPr>
        <w:t>0</w:t>
      </w:r>
      <w:r w:rsidR="00060997">
        <w:rPr>
          <w:sz w:val="28"/>
          <w:szCs w:val="28"/>
        </w:rPr>
        <w:t xml:space="preserve"> – 53 (100%) пациентов. </w:t>
      </w:r>
      <w:r w:rsidR="00060997" w:rsidRPr="00A43B9C">
        <w:rPr>
          <w:sz w:val="28"/>
          <w:szCs w:val="28"/>
        </w:rPr>
        <w:t>П</w:t>
      </w:r>
      <w:r w:rsidR="001C6451" w:rsidRPr="00A43B9C">
        <w:rPr>
          <w:sz w:val="28"/>
          <w:szCs w:val="28"/>
        </w:rPr>
        <w:t xml:space="preserve">ациенты с </w:t>
      </w:r>
      <w:r w:rsidR="001C6451" w:rsidRPr="00A43B9C">
        <w:rPr>
          <w:sz w:val="28"/>
          <w:szCs w:val="28"/>
          <w:lang w:val="en-US"/>
        </w:rPr>
        <w:t>IV</w:t>
      </w:r>
      <w:r w:rsidR="001C6451" w:rsidRPr="00A43B9C">
        <w:rPr>
          <w:sz w:val="28"/>
          <w:szCs w:val="28"/>
        </w:rPr>
        <w:t xml:space="preserve"> стадией по </w:t>
      </w:r>
      <w:r w:rsidR="001C6451" w:rsidRPr="00A43B9C">
        <w:rPr>
          <w:sz w:val="28"/>
          <w:szCs w:val="28"/>
          <w:lang w:val="en-US"/>
        </w:rPr>
        <w:t>FIGO</w:t>
      </w:r>
      <w:r w:rsidR="001C6451" w:rsidRPr="00A43B9C">
        <w:rPr>
          <w:sz w:val="28"/>
          <w:szCs w:val="28"/>
        </w:rPr>
        <w:t xml:space="preserve"> </w:t>
      </w:r>
      <w:r w:rsidR="00671F1E" w:rsidRPr="00A43B9C">
        <w:rPr>
          <w:sz w:val="28"/>
          <w:szCs w:val="28"/>
        </w:rPr>
        <w:t>отсутствовали</w:t>
      </w:r>
      <w:r w:rsidR="00060997">
        <w:rPr>
          <w:sz w:val="28"/>
          <w:szCs w:val="28"/>
        </w:rPr>
        <w:t xml:space="preserve">, тогда как </w:t>
      </w:r>
      <w:r w:rsidR="00060997">
        <w:rPr>
          <w:sz w:val="28"/>
          <w:szCs w:val="28"/>
          <w:lang w:val="en-US"/>
        </w:rPr>
        <w:t>I</w:t>
      </w:r>
      <w:r w:rsidR="00060997" w:rsidRPr="00060997">
        <w:rPr>
          <w:sz w:val="28"/>
          <w:szCs w:val="28"/>
        </w:rPr>
        <w:t xml:space="preserve"> </w:t>
      </w:r>
      <w:r w:rsidR="00060997">
        <w:rPr>
          <w:sz w:val="28"/>
          <w:szCs w:val="28"/>
        </w:rPr>
        <w:t xml:space="preserve">стадия составляла 8 (15%), </w:t>
      </w:r>
      <w:r w:rsidR="00060997">
        <w:rPr>
          <w:sz w:val="28"/>
          <w:szCs w:val="28"/>
          <w:lang w:val="en-US"/>
        </w:rPr>
        <w:t>II</w:t>
      </w:r>
      <w:r w:rsidR="00060997">
        <w:rPr>
          <w:sz w:val="28"/>
          <w:szCs w:val="28"/>
        </w:rPr>
        <w:t xml:space="preserve"> стадия - 13 (25%)</w:t>
      </w:r>
      <w:r w:rsidR="00060997" w:rsidRPr="00060997">
        <w:rPr>
          <w:sz w:val="28"/>
          <w:szCs w:val="28"/>
        </w:rPr>
        <w:t xml:space="preserve"> </w:t>
      </w:r>
      <w:r w:rsidR="00060997">
        <w:rPr>
          <w:sz w:val="28"/>
          <w:szCs w:val="28"/>
        </w:rPr>
        <w:t xml:space="preserve">и </w:t>
      </w:r>
      <w:r w:rsidR="00060997">
        <w:rPr>
          <w:sz w:val="28"/>
          <w:szCs w:val="28"/>
          <w:lang w:val="en-US"/>
        </w:rPr>
        <w:t>III</w:t>
      </w:r>
      <w:r w:rsidR="00060997">
        <w:rPr>
          <w:sz w:val="28"/>
          <w:szCs w:val="28"/>
        </w:rPr>
        <w:t xml:space="preserve"> стадия – 32 (60%) пациентов. </w:t>
      </w:r>
      <w:r w:rsidR="00060997" w:rsidRPr="00A43B9C">
        <w:rPr>
          <w:sz w:val="28"/>
          <w:szCs w:val="28"/>
        </w:rPr>
        <w:t>В</w:t>
      </w:r>
      <w:r w:rsidR="001C6451" w:rsidRPr="00A43B9C">
        <w:rPr>
          <w:sz w:val="28"/>
          <w:szCs w:val="28"/>
        </w:rPr>
        <w:t xml:space="preserve"> то время как аденокарцинома была выявлена у </w:t>
      </w:r>
      <w:r w:rsidR="00060997">
        <w:rPr>
          <w:sz w:val="28"/>
          <w:szCs w:val="28"/>
        </w:rPr>
        <w:t>21 (40</w:t>
      </w:r>
      <w:r w:rsidR="001C6451" w:rsidRPr="00A43B9C">
        <w:rPr>
          <w:sz w:val="28"/>
          <w:szCs w:val="28"/>
        </w:rPr>
        <w:t>%</w:t>
      </w:r>
      <w:r w:rsidR="00060997">
        <w:rPr>
          <w:sz w:val="28"/>
          <w:szCs w:val="28"/>
        </w:rPr>
        <w:t>)</w:t>
      </w:r>
      <w:r w:rsidR="001C6451" w:rsidRPr="00A43B9C">
        <w:rPr>
          <w:sz w:val="28"/>
          <w:szCs w:val="28"/>
        </w:rPr>
        <w:t xml:space="preserve">, карцинома у </w:t>
      </w:r>
      <w:r w:rsidR="00060997">
        <w:rPr>
          <w:sz w:val="28"/>
          <w:szCs w:val="28"/>
        </w:rPr>
        <w:t>15 (</w:t>
      </w:r>
      <w:r w:rsidR="001C6451" w:rsidRPr="00A43B9C">
        <w:rPr>
          <w:sz w:val="28"/>
          <w:szCs w:val="28"/>
        </w:rPr>
        <w:t>28%</w:t>
      </w:r>
      <w:r w:rsidR="00060997">
        <w:rPr>
          <w:sz w:val="28"/>
          <w:szCs w:val="28"/>
        </w:rPr>
        <w:t>)</w:t>
      </w:r>
      <w:r w:rsidR="001C6451" w:rsidRPr="00A43B9C">
        <w:rPr>
          <w:sz w:val="28"/>
          <w:szCs w:val="28"/>
        </w:rPr>
        <w:t xml:space="preserve">, цистаденокарцинома у </w:t>
      </w:r>
      <w:r w:rsidR="00060997">
        <w:rPr>
          <w:sz w:val="28"/>
          <w:szCs w:val="28"/>
        </w:rPr>
        <w:t>17 (</w:t>
      </w:r>
      <w:r w:rsidR="001C6451" w:rsidRPr="00A43B9C">
        <w:rPr>
          <w:sz w:val="28"/>
          <w:szCs w:val="28"/>
        </w:rPr>
        <w:t>32%</w:t>
      </w:r>
      <w:r w:rsidR="00060997">
        <w:rPr>
          <w:sz w:val="28"/>
          <w:szCs w:val="28"/>
        </w:rPr>
        <w:t>)</w:t>
      </w:r>
      <w:r w:rsidR="001C6451" w:rsidRPr="00A43B9C">
        <w:rPr>
          <w:sz w:val="28"/>
          <w:szCs w:val="28"/>
        </w:rPr>
        <w:t xml:space="preserve"> пациентов</w:t>
      </w:r>
      <w:r w:rsidR="00E10D1A" w:rsidRPr="00A43B9C">
        <w:rPr>
          <w:sz w:val="28"/>
          <w:szCs w:val="28"/>
        </w:rPr>
        <w:t xml:space="preserve"> (рисунок </w:t>
      </w:r>
      <w:r w:rsidR="00006C4D">
        <w:rPr>
          <w:sz w:val="28"/>
          <w:szCs w:val="28"/>
        </w:rPr>
        <w:t>2</w:t>
      </w:r>
      <w:r w:rsidR="00E10D1A" w:rsidRPr="00A43B9C">
        <w:rPr>
          <w:sz w:val="28"/>
          <w:szCs w:val="28"/>
        </w:rPr>
        <w:t>)</w:t>
      </w:r>
      <w:r w:rsidR="001C6451" w:rsidRPr="00A43B9C">
        <w:rPr>
          <w:sz w:val="28"/>
          <w:szCs w:val="28"/>
        </w:rPr>
        <w:t xml:space="preserve">. Следует отметить, что пациенты были разделены на </w:t>
      </w:r>
      <w:r w:rsidR="001C6451" w:rsidRPr="00A43B9C">
        <w:rPr>
          <w:sz w:val="28"/>
          <w:szCs w:val="28"/>
          <w:lang w:val="en-US"/>
        </w:rPr>
        <w:t>FIGO</w:t>
      </w:r>
      <w:r w:rsidR="001C6451" w:rsidRPr="00A43B9C">
        <w:rPr>
          <w:sz w:val="28"/>
          <w:szCs w:val="28"/>
        </w:rPr>
        <w:t xml:space="preserve"> стадии при их базовом (исходном) обследовании, после чего они </w:t>
      </w:r>
      <w:r w:rsidR="00AB51B0" w:rsidRPr="00A43B9C">
        <w:rPr>
          <w:sz w:val="28"/>
          <w:szCs w:val="28"/>
        </w:rPr>
        <w:t xml:space="preserve">проходили </w:t>
      </w:r>
      <w:r w:rsidR="001C6451" w:rsidRPr="00A43B9C">
        <w:rPr>
          <w:sz w:val="28"/>
          <w:szCs w:val="28"/>
        </w:rPr>
        <w:t>базово</w:t>
      </w:r>
      <w:r w:rsidR="00AB51B0" w:rsidRPr="00A43B9C">
        <w:rPr>
          <w:sz w:val="28"/>
          <w:szCs w:val="28"/>
        </w:rPr>
        <w:t>е</w:t>
      </w:r>
      <w:r w:rsidR="001C6451" w:rsidRPr="00A43B9C">
        <w:rPr>
          <w:sz w:val="28"/>
          <w:szCs w:val="28"/>
        </w:rPr>
        <w:t xml:space="preserve"> (исходно</w:t>
      </w:r>
      <w:r w:rsidR="00AB51B0" w:rsidRPr="00A43B9C">
        <w:rPr>
          <w:sz w:val="28"/>
          <w:szCs w:val="28"/>
        </w:rPr>
        <w:t>е</w:t>
      </w:r>
      <w:r w:rsidR="001C6451" w:rsidRPr="00A43B9C">
        <w:rPr>
          <w:sz w:val="28"/>
          <w:szCs w:val="28"/>
        </w:rPr>
        <w:t xml:space="preserve">) </w:t>
      </w:r>
      <w:r w:rsidR="001C6451" w:rsidRPr="00A43B9C">
        <w:rPr>
          <w:sz w:val="28"/>
          <w:szCs w:val="28"/>
          <w:vertAlign w:val="superscript"/>
        </w:rPr>
        <w:t>18</w:t>
      </w:r>
      <w:r w:rsidR="001C6451" w:rsidRPr="00A43B9C">
        <w:rPr>
          <w:sz w:val="28"/>
          <w:szCs w:val="28"/>
          <w:lang w:val="en-US"/>
        </w:rPr>
        <w:t>F</w:t>
      </w:r>
      <w:r w:rsidR="001C6451" w:rsidRPr="00A43B9C">
        <w:rPr>
          <w:sz w:val="28"/>
          <w:szCs w:val="28"/>
        </w:rPr>
        <w:t>-</w:t>
      </w:r>
      <w:r w:rsidR="001C6451" w:rsidRPr="00A43B9C">
        <w:rPr>
          <w:sz w:val="28"/>
          <w:szCs w:val="28"/>
          <w:lang w:val="en-US"/>
        </w:rPr>
        <w:t>FDG</w:t>
      </w:r>
      <w:r w:rsidR="001C6451" w:rsidRPr="00A43B9C">
        <w:rPr>
          <w:sz w:val="28"/>
          <w:szCs w:val="28"/>
        </w:rPr>
        <w:t xml:space="preserve"> ПЭТ/КТ исследовани</w:t>
      </w:r>
      <w:r w:rsidR="00AB51B0" w:rsidRPr="00A43B9C">
        <w:rPr>
          <w:sz w:val="28"/>
          <w:szCs w:val="28"/>
        </w:rPr>
        <w:t>е</w:t>
      </w:r>
      <w:r w:rsidR="001C6451" w:rsidRPr="00A43B9C">
        <w:rPr>
          <w:sz w:val="28"/>
          <w:szCs w:val="28"/>
        </w:rPr>
        <w:t xml:space="preserve">. К моменту проведения базового (исходного) </w:t>
      </w:r>
      <w:r w:rsidR="001C6451" w:rsidRPr="00A43B9C">
        <w:rPr>
          <w:sz w:val="28"/>
          <w:szCs w:val="28"/>
          <w:vertAlign w:val="superscript"/>
        </w:rPr>
        <w:t>18</w:t>
      </w:r>
      <w:r w:rsidR="001C6451" w:rsidRPr="00A43B9C">
        <w:rPr>
          <w:sz w:val="28"/>
          <w:szCs w:val="28"/>
          <w:lang w:val="en-US"/>
        </w:rPr>
        <w:t>F</w:t>
      </w:r>
      <w:r w:rsidR="001C6451" w:rsidRPr="00A43B9C">
        <w:rPr>
          <w:sz w:val="28"/>
          <w:szCs w:val="28"/>
        </w:rPr>
        <w:t>-</w:t>
      </w:r>
      <w:r w:rsidR="001C6451" w:rsidRPr="00A43B9C">
        <w:rPr>
          <w:sz w:val="28"/>
          <w:szCs w:val="28"/>
          <w:lang w:val="en-US"/>
        </w:rPr>
        <w:t>FDG</w:t>
      </w:r>
      <w:r w:rsidR="001C6451" w:rsidRPr="00A43B9C">
        <w:rPr>
          <w:sz w:val="28"/>
          <w:szCs w:val="28"/>
        </w:rPr>
        <w:t xml:space="preserve"> ПЭТ/КТ исследования, как они завершили свое лечение, не было никаких признаков рака или метастаза и, этот базовый ПЭТ/КТ считался как </w:t>
      </w:r>
      <w:r w:rsidR="00770E0A">
        <w:rPr>
          <w:sz w:val="28"/>
          <w:szCs w:val="28"/>
        </w:rPr>
        <w:t>нулевой</w:t>
      </w:r>
      <w:r w:rsidR="001C6451" w:rsidRPr="00A43B9C">
        <w:rPr>
          <w:sz w:val="28"/>
          <w:szCs w:val="28"/>
        </w:rPr>
        <w:t xml:space="preserve"> день исследования (начало исследования).</w:t>
      </w:r>
    </w:p>
    <w:p w14:paraId="7263CBC3" w14:textId="77777777" w:rsidR="00A725B1" w:rsidRPr="00A43B9C" w:rsidRDefault="00A725B1" w:rsidP="00A725B1">
      <w:pPr>
        <w:pStyle w:val="p"/>
        <w:spacing w:before="0" w:beforeAutospacing="0" w:after="0" w:afterAutospacing="0"/>
        <w:ind w:firstLine="709"/>
        <w:jc w:val="both"/>
        <w:rPr>
          <w:sz w:val="28"/>
          <w:szCs w:val="28"/>
        </w:rPr>
      </w:pPr>
      <w:r w:rsidRPr="00A43B9C">
        <w:rPr>
          <w:sz w:val="28"/>
          <w:szCs w:val="28"/>
        </w:rPr>
        <w:t xml:space="preserve">Пациентам было проведено </w:t>
      </w:r>
      <w:r w:rsidRPr="00A43B9C">
        <w:rPr>
          <w:sz w:val="28"/>
          <w:szCs w:val="28"/>
          <w:vertAlign w:val="superscript"/>
        </w:rPr>
        <w:t>18</w:t>
      </w:r>
      <w:r w:rsidRPr="00A43B9C">
        <w:rPr>
          <w:sz w:val="28"/>
          <w:szCs w:val="28"/>
          <w:lang w:val="en-US"/>
        </w:rPr>
        <w:t>F</w:t>
      </w:r>
      <w:r w:rsidRPr="00A43B9C">
        <w:rPr>
          <w:sz w:val="28"/>
          <w:szCs w:val="28"/>
        </w:rPr>
        <w:t>-</w:t>
      </w:r>
      <w:r w:rsidRPr="00A43B9C">
        <w:rPr>
          <w:sz w:val="28"/>
          <w:szCs w:val="28"/>
          <w:lang w:val="en-US"/>
        </w:rPr>
        <w:t>FDG</w:t>
      </w:r>
      <w:r w:rsidRPr="00A43B9C">
        <w:rPr>
          <w:sz w:val="28"/>
          <w:szCs w:val="28"/>
        </w:rPr>
        <w:t xml:space="preserve"> ПЭТ/КТ исследование на момент первоначальной регистрации, а затем еще раз на последующем медицинском осмотре, который был запланирован минимум через шесть месяцев или более (медиана 12, МКИ 6-32) после базового обследования. Все изображения были восстановлены с помощью специальных рабочих станций и программного обеспечения. Данные пациентов были анонимными и зашифрованными, т.к. имели конфиденциальный характер до начала базовых исследований.</w:t>
      </w:r>
    </w:p>
    <w:p w14:paraId="635DF1EE" w14:textId="77777777" w:rsidR="00A725B1" w:rsidRDefault="00A725B1" w:rsidP="001C6451">
      <w:pPr>
        <w:pStyle w:val="p"/>
        <w:spacing w:before="0" w:beforeAutospacing="0" w:after="0" w:afterAutospacing="0"/>
        <w:ind w:firstLine="708"/>
        <w:jc w:val="both"/>
        <w:rPr>
          <w:rFonts w:eastAsia="TimesNewRomanPSMT"/>
          <w:sz w:val="28"/>
          <w:szCs w:val="28"/>
        </w:rPr>
        <w:sectPr w:rsidR="00A725B1" w:rsidSect="0048283A">
          <w:footerReference w:type="default" r:id="rId9"/>
          <w:pgSz w:w="11906" w:h="16838"/>
          <w:pgMar w:top="1134" w:right="851" w:bottom="1134" w:left="1701" w:header="709" w:footer="709" w:gutter="0"/>
          <w:cols w:space="708"/>
          <w:titlePg/>
          <w:docGrid w:linePitch="360"/>
        </w:sectPr>
      </w:pPr>
    </w:p>
    <w:p w14:paraId="2833A3BC" w14:textId="098189C2" w:rsidR="001C6451" w:rsidRPr="00A43B9C" w:rsidRDefault="001C6451" w:rsidP="00D12CD6">
      <w:pPr>
        <w:pStyle w:val="p"/>
        <w:spacing w:before="0" w:beforeAutospacing="0" w:after="0" w:afterAutospacing="0"/>
        <w:jc w:val="both"/>
        <w:rPr>
          <w:bCs/>
          <w:sz w:val="28"/>
          <w:szCs w:val="28"/>
        </w:rPr>
      </w:pPr>
      <w:r w:rsidRPr="00A43B9C">
        <w:rPr>
          <w:sz w:val="28"/>
          <w:szCs w:val="28"/>
        </w:rPr>
        <w:lastRenderedPageBreak/>
        <w:t xml:space="preserve">Таблица </w:t>
      </w:r>
      <w:r w:rsidR="00676870" w:rsidRPr="00A43B9C">
        <w:rPr>
          <w:sz w:val="28"/>
          <w:szCs w:val="28"/>
        </w:rPr>
        <w:t>4</w:t>
      </w:r>
      <w:r w:rsidR="000A6F86" w:rsidRPr="00A43B9C">
        <w:rPr>
          <w:sz w:val="28"/>
          <w:szCs w:val="28"/>
        </w:rPr>
        <w:t xml:space="preserve"> - </w:t>
      </w:r>
      <w:r w:rsidRPr="00A43B9C">
        <w:rPr>
          <w:bCs/>
          <w:sz w:val="28"/>
          <w:szCs w:val="28"/>
        </w:rPr>
        <w:t>Общая характеристика первичных (исходных) пациентов</w:t>
      </w:r>
    </w:p>
    <w:p w14:paraId="6CED7633" w14:textId="77777777" w:rsidR="00D12CD6" w:rsidRPr="00A43B9C" w:rsidRDefault="00D12CD6" w:rsidP="00D12CD6">
      <w:pPr>
        <w:pStyle w:val="p"/>
        <w:spacing w:before="0" w:beforeAutospacing="0" w:after="0" w:afterAutospacing="0"/>
        <w:jc w:val="both"/>
        <w:rPr>
          <w:bCs/>
          <w:sz w:val="28"/>
          <w:szCs w:val="28"/>
        </w:rPr>
      </w:pPr>
    </w:p>
    <w:tbl>
      <w:tblPr>
        <w:tblStyle w:val="ad"/>
        <w:tblW w:w="5000" w:type="pct"/>
        <w:jc w:val="center"/>
        <w:tblLook w:val="04A0" w:firstRow="1" w:lastRow="0" w:firstColumn="1" w:lastColumn="0" w:noHBand="0" w:noVBand="1"/>
      </w:tblPr>
      <w:tblGrid>
        <w:gridCol w:w="1308"/>
        <w:gridCol w:w="781"/>
        <w:gridCol w:w="1239"/>
        <w:gridCol w:w="1080"/>
        <w:gridCol w:w="1082"/>
        <w:gridCol w:w="1086"/>
        <w:gridCol w:w="1116"/>
        <w:gridCol w:w="1652"/>
      </w:tblGrid>
      <w:tr w:rsidR="001C6451" w:rsidRPr="00A43B9C" w14:paraId="71F7D8CB" w14:textId="77777777" w:rsidTr="00F87FE6">
        <w:trPr>
          <w:jc w:val="center"/>
        </w:trPr>
        <w:tc>
          <w:tcPr>
            <w:tcW w:w="700" w:type="pct"/>
            <w:vAlign w:val="center"/>
          </w:tcPr>
          <w:p w14:paraId="601D30D9"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PTL</w:t>
            </w:r>
          </w:p>
        </w:tc>
        <w:tc>
          <w:tcPr>
            <w:tcW w:w="418" w:type="pct"/>
            <w:vAlign w:val="center"/>
          </w:tcPr>
          <w:p w14:paraId="5AE7CE98"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Пол</w:t>
            </w:r>
            <w:r w:rsidRPr="00A43B9C">
              <w:rPr>
                <w:rFonts w:ascii="Times New Roman" w:hAnsi="Times New Roman" w:cs="Times New Roman"/>
                <w:sz w:val="28"/>
                <w:szCs w:val="28"/>
                <w:lang w:val="en-US"/>
              </w:rPr>
              <w:t xml:space="preserve"> (</w:t>
            </w:r>
            <w:r w:rsidRPr="00A43B9C">
              <w:rPr>
                <w:rFonts w:ascii="Times New Roman" w:hAnsi="Times New Roman" w:cs="Times New Roman"/>
                <w:sz w:val="28"/>
                <w:szCs w:val="28"/>
              </w:rPr>
              <w:t>Ж</w:t>
            </w:r>
            <w:r w:rsidRPr="00A43B9C">
              <w:rPr>
                <w:rFonts w:ascii="Times New Roman" w:hAnsi="Times New Roman" w:cs="Times New Roman"/>
                <w:sz w:val="28"/>
                <w:szCs w:val="28"/>
                <w:lang w:val="en-US"/>
              </w:rPr>
              <w:t>) (n)</w:t>
            </w:r>
          </w:p>
        </w:tc>
        <w:tc>
          <w:tcPr>
            <w:tcW w:w="663" w:type="pct"/>
            <w:vAlign w:val="center"/>
          </w:tcPr>
          <w:p w14:paraId="09ED8E4A"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Возраст</w:t>
            </w:r>
            <w:r w:rsidRPr="00A43B9C">
              <w:rPr>
                <w:rFonts w:ascii="Times New Roman" w:hAnsi="Times New Roman" w:cs="Times New Roman"/>
                <w:sz w:val="28"/>
                <w:szCs w:val="28"/>
                <w:lang w:val="en-US"/>
              </w:rPr>
              <w:t xml:space="preserve"> (Me)</w:t>
            </w:r>
          </w:p>
        </w:tc>
        <w:tc>
          <w:tcPr>
            <w:tcW w:w="578" w:type="pct"/>
            <w:vAlign w:val="center"/>
          </w:tcPr>
          <w:p w14:paraId="79786407" w14:textId="77777777" w:rsidR="001C6451" w:rsidRPr="00A43B9C" w:rsidRDefault="001C6451"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T</w:t>
            </w:r>
            <w:r w:rsidRPr="00A43B9C">
              <w:rPr>
                <w:rFonts w:ascii="Times New Roman" w:hAnsi="Times New Roman" w:cs="Times New Roman"/>
                <w:sz w:val="28"/>
                <w:szCs w:val="28"/>
              </w:rPr>
              <w:t xml:space="preserve"> стадия</w:t>
            </w:r>
            <w:r w:rsidRPr="00A43B9C">
              <w:rPr>
                <w:rFonts w:ascii="Times New Roman" w:hAnsi="Times New Roman" w:cs="Times New Roman"/>
                <w:sz w:val="28"/>
                <w:szCs w:val="28"/>
                <w:lang w:val="en-US"/>
              </w:rPr>
              <w:t xml:space="preserve"> </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n</w:t>
            </w:r>
            <w:r w:rsidRPr="00A43B9C">
              <w:rPr>
                <w:rFonts w:ascii="Times New Roman" w:hAnsi="Times New Roman" w:cs="Times New Roman"/>
                <w:sz w:val="28"/>
                <w:szCs w:val="28"/>
              </w:rPr>
              <w:t>)</w:t>
            </w:r>
          </w:p>
        </w:tc>
        <w:tc>
          <w:tcPr>
            <w:tcW w:w="579" w:type="pct"/>
            <w:vAlign w:val="center"/>
          </w:tcPr>
          <w:p w14:paraId="1AA254C2"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 xml:space="preserve">N </w:t>
            </w:r>
            <w:r w:rsidRPr="00A43B9C">
              <w:rPr>
                <w:rFonts w:ascii="Times New Roman" w:hAnsi="Times New Roman" w:cs="Times New Roman"/>
                <w:sz w:val="28"/>
                <w:szCs w:val="28"/>
              </w:rPr>
              <w:t>стадия</w:t>
            </w:r>
            <w:r w:rsidRPr="00A43B9C">
              <w:rPr>
                <w:rFonts w:ascii="Times New Roman" w:hAnsi="Times New Roman" w:cs="Times New Roman"/>
                <w:sz w:val="28"/>
                <w:szCs w:val="28"/>
                <w:lang w:val="en-US"/>
              </w:rPr>
              <w:t xml:space="preserve"> (n)</w:t>
            </w:r>
          </w:p>
        </w:tc>
        <w:tc>
          <w:tcPr>
            <w:tcW w:w="581" w:type="pct"/>
            <w:vAlign w:val="center"/>
          </w:tcPr>
          <w:p w14:paraId="609A65D3"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 xml:space="preserve">M </w:t>
            </w:r>
            <w:r w:rsidRPr="00A43B9C">
              <w:rPr>
                <w:rFonts w:ascii="Times New Roman" w:hAnsi="Times New Roman" w:cs="Times New Roman"/>
                <w:sz w:val="28"/>
                <w:szCs w:val="28"/>
              </w:rPr>
              <w:t>стадия</w:t>
            </w:r>
            <w:r w:rsidRPr="00A43B9C">
              <w:rPr>
                <w:rFonts w:ascii="Times New Roman" w:hAnsi="Times New Roman" w:cs="Times New Roman"/>
                <w:sz w:val="28"/>
                <w:szCs w:val="28"/>
                <w:lang w:val="en-US"/>
              </w:rPr>
              <w:t xml:space="preserve"> (n)</w:t>
            </w:r>
          </w:p>
        </w:tc>
        <w:tc>
          <w:tcPr>
            <w:tcW w:w="597" w:type="pct"/>
            <w:vAlign w:val="center"/>
          </w:tcPr>
          <w:p w14:paraId="1E413735"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 xml:space="preserve">FIGO </w:t>
            </w:r>
            <w:r w:rsidRPr="00A43B9C">
              <w:rPr>
                <w:rFonts w:ascii="Times New Roman" w:hAnsi="Times New Roman" w:cs="Times New Roman"/>
                <w:sz w:val="28"/>
                <w:szCs w:val="28"/>
              </w:rPr>
              <w:t>стадия</w:t>
            </w:r>
            <w:r w:rsidRPr="00A43B9C">
              <w:rPr>
                <w:rFonts w:ascii="Times New Roman" w:hAnsi="Times New Roman" w:cs="Times New Roman"/>
                <w:sz w:val="28"/>
                <w:szCs w:val="28"/>
                <w:lang w:val="en-US"/>
              </w:rPr>
              <w:t xml:space="preserve"> (n)</w:t>
            </w:r>
          </w:p>
        </w:tc>
        <w:tc>
          <w:tcPr>
            <w:tcW w:w="885" w:type="pct"/>
            <w:vAlign w:val="center"/>
          </w:tcPr>
          <w:p w14:paraId="46EFA0C7"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 xml:space="preserve">Гистология </w:t>
            </w:r>
            <w:r w:rsidRPr="00A43B9C">
              <w:rPr>
                <w:rFonts w:ascii="Times New Roman" w:hAnsi="Times New Roman" w:cs="Times New Roman"/>
                <w:sz w:val="28"/>
                <w:szCs w:val="28"/>
                <w:lang w:val="en-US"/>
              </w:rPr>
              <w:t>(n)</w:t>
            </w:r>
          </w:p>
        </w:tc>
      </w:tr>
      <w:tr w:rsidR="001C6451" w:rsidRPr="00A43B9C" w14:paraId="2A99C163" w14:textId="77777777" w:rsidTr="00F87FE6">
        <w:trPr>
          <w:jc w:val="center"/>
        </w:trPr>
        <w:tc>
          <w:tcPr>
            <w:tcW w:w="700" w:type="pct"/>
            <w:vAlign w:val="center"/>
          </w:tcPr>
          <w:p w14:paraId="4C44D02B" w14:textId="77777777" w:rsidR="001C6451" w:rsidRPr="00A43B9C" w:rsidRDefault="001C6451"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Яичники</w:t>
            </w:r>
          </w:p>
        </w:tc>
        <w:tc>
          <w:tcPr>
            <w:tcW w:w="418" w:type="pct"/>
            <w:vAlign w:val="center"/>
          </w:tcPr>
          <w:p w14:paraId="06F2D52C"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53</w:t>
            </w:r>
          </w:p>
        </w:tc>
        <w:tc>
          <w:tcPr>
            <w:tcW w:w="663" w:type="pct"/>
            <w:vAlign w:val="center"/>
          </w:tcPr>
          <w:p w14:paraId="2CE89A67" w14:textId="77777777" w:rsidR="001C6451" w:rsidRPr="00A43B9C" w:rsidRDefault="001C6451"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57</w:t>
            </w:r>
          </w:p>
        </w:tc>
        <w:tc>
          <w:tcPr>
            <w:tcW w:w="578" w:type="pct"/>
            <w:vAlign w:val="center"/>
          </w:tcPr>
          <w:p w14:paraId="72783BB4"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T</w:t>
            </w:r>
            <w:r w:rsidRPr="00A43B9C">
              <w:rPr>
                <w:rFonts w:ascii="Times New Roman" w:hAnsi="Times New Roman" w:cs="Times New Roman"/>
                <w:sz w:val="28"/>
                <w:szCs w:val="28"/>
                <w:vertAlign w:val="subscript"/>
                <w:lang w:val="en-US"/>
              </w:rPr>
              <w:t>1</w:t>
            </w:r>
            <w:r w:rsidRPr="00A43B9C">
              <w:rPr>
                <w:rFonts w:ascii="Times New Roman" w:hAnsi="Times New Roman" w:cs="Times New Roman"/>
                <w:sz w:val="28"/>
                <w:szCs w:val="28"/>
                <w:lang w:val="en-US"/>
              </w:rPr>
              <w:t xml:space="preserve"> – </w:t>
            </w:r>
            <w:r w:rsidRPr="00A43B9C">
              <w:rPr>
                <w:rFonts w:ascii="Times New Roman" w:hAnsi="Times New Roman" w:cs="Times New Roman"/>
                <w:sz w:val="28"/>
                <w:szCs w:val="28"/>
              </w:rPr>
              <w:t>8</w:t>
            </w:r>
          </w:p>
          <w:p w14:paraId="099763E0"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Т</w:t>
            </w:r>
            <w:r w:rsidRPr="00A43B9C">
              <w:rPr>
                <w:rFonts w:ascii="Times New Roman" w:hAnsi="Times New Roman" w:cs="Times New Roman"/>
                <w:sz w:val="28"/>
                <w:szCs w:val="28"/>
                <w:vertAlign w:val="subscript"/>
                <w:lang w:val="en-US"/>
              </w:rPr>
              <w:t>2</w:t>
            </w:r>
            <w:r w:rsidRPr="00A43B9C">
              <w:rPr>
                <w:rFonts w:ascii="Times New Roman" w:hAnsi="Times New Roman" w:cs="Times New Roman"/>
                <w:sz w:val="28"/>
                <w:szCs w:val="28"/>
                <w:lang w:val="en-US"/>
              </w:rPr>
              <w:t xml:space="preserve"> - </w:t>
            </w:r>
            <w:r w:rsidRPr="00A43B9C">
              <w:rPr>
                <w:rFonts w:ascii="Times New Roman" w:hAnsi="Times New Roman" w:cs="Times New Roman"/>
                <w:sz w:val="28"/>
                <w:szCs w:val="28"/>
              </w:rPr>
              <w:t>15</w:t>
            </w:r>
          </w:p>
          <w:p w14:paraId="0FDF490B"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Т</w:t>
            </w:r>
            <w:r w:rsidRPr="00A43B9C">
              <w:rPr>
                <w:rFonts w:ascii="Times New Roman" w:hAnsi="Times New Roman" w:cs="Times New Roman"/>
                <w:sz w:val="28"/>
                <w:szCs w:val="28"/>
                <w:vertAlign w:val="subscript"/>
                <w:lang w:val="en-US"/>
              </w:rPr>
              <w:t>3</w:t>
            </w:r>
            <w:r w:rsidRPr="00A43B9C">
              <w:rPr>
                <w:rFonts w:ascii="Times New Roman" w:hAnsi="Times New Roman" w:cs="Times New Roman"/>
                <w:sz w:val="28"/>
                <w:szCs w:val="28"/>
                <w:lang w:val="en-US"/>
              </w:rPr>
              <w:t xml:space="preserve"> - </w:t>
            </w:r>
            <w:r w:rsidRPr="00A43B9C">
              <w:rPr>
                <w:rFonts w:ascii="Times New Roman" w:hAnsi="Times New Roman" w:cs="Times New Roman"/>
                <w:sz w:val="28"/>
                <w:szCs w:val="28"/>
              </w:rPr>
              <w:t>28</w:t>
            </w:r>
          </w:p>
          <w:p w14:paraId="0401D51C"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Т</w:t>
            </w:r>
            <w:r w:rsidRPr="00A43B9C">
              <w:rPr>
                <w:rFonts w:ascii="Times New Roman" w:hAnsi="Times New Roman" w:cs="Times New Roman"/>
                <w:sz w:val="28"/>
                <w:szCs w:val="28"/>
                <w:vertAlign w:val="subscript"/>
                <w:lang w:val="en-US"/>
              </w:rPr>
              <w:t>4</w:t>
            </w:r>
            <w:r w:rsidRPr="00A43B9C">
              <w:rPr>
                <w:rFonts w:ascii="Times New Roman" w:hAnsi="Times New Roman" w:cs="Times New Roman"/>
                <w:sz w:val="28"/>
                <w:szCs w:val="28"/>
                <w:lang w:val="en-US"/>
              </w:rPr>
              <w:t xml:space="preserve"> – </w:t>
            </w:r>
            <w:r w:rsidRPr="00A43B9C">
              <w:rPr>
                <w:rFonts w:ascii="Times New Roman" w:hAnsi="Times New Roman" w:cs="Times New Roman"/>
                <w:sz w:val="28"/>
                <w:szCs w:val="28"/>
              </w:rPr>
              <w:t>2</w:t>
            </w:r>
          </w:p>
        </w:tc>
        <w:tc>
          <w:tcPr>
            <w:tcW w:w="579" w:type="pct"/>
            <w:vAlign w:val="center"/>
          </w:tcPr>
          <w:p w14:paraId="555949CB" w14:textId="77777777" w:rsidR="001C6451" w:rsidRPr="00A43B9C" w:rsidRDefault="001C6451"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vertAlign w:val="subscript"/>
                <w:lang w:val="en-US"/>
              </w:rPr>
              <w:t>0</w:t>
            </w:r>
            <w:r w:rsidRPr="00A43B9C">
              <w:rPr>
                <w:rFonts w:ascii="Times New Roman" w:hAnsi="Times New Roman" w:cs="Times New Roman"/>
                <w:sz w:val="28"/>
                <w:szCs w:val="28"/>
                <w:lang w:val="en-US"/>
              </w:rPr>
              <w:t xml:space="preserve"> - </w:t>
            </w:r>
            <w:r w:rsidRPr="00A43B9C">
              <w:rPr>
                <w:rFonts w:ascii="Times New Roman" w:hAnsi="Times New Roman" w:cs="Times New Roman"/>
                <w:sz w:val="28"/>
                <w:szCs w:val="28"/>
              </w:rPr>
              <w:t>19</w:t>
            </w:r>
          </w:p>
          <w:p w14:paraId="5D70DA8B" w14:textId="77777777" w:rsidR="001C6451" w:rsidRPr="00A43B9C" w:rsidRDefault="001C6451"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vertAlign w:val="subscript"/>
                <w:lang w:val="en-US"/>
              </w:rPr>
              <w:t>1</w:t>
            </w:r>
            <w:r w:rsidRPr="00A43B9C">
              <w:rPr>
                <w:rFonts w:ascii="Times New Roman" w:hAnsi="Times New Roman" w:cs="Times New Roman"/>
                <w:sz w:val="28"/>
                <w:szCs w:val="28"/>
              </w:rPr>
              <w:t xml:space="preserve"> - 9</w:t>
            </w:r>
          </w:p>
          <w:p w14:paraId="4D7CF29E"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vertAlign w:val="subscript"/>
                <w:lang w:val="en-US"/>
              </w:rPr>
              <w:t>x</w:t>
            </w:r>
            <w:r w:rsidRPr="00A43B9C">
              <w:rPr>
                <w:rFonts w:ascii="Times New Roman" w:hAnsi="Times New Roman" w:cs="Times New Roman"/>
                <w:sz w:val="28"/>
                <w:szCs w:val="28"/>
              </w:rPr>
              <w:t xml:space="preserve"> – 25</w:t>
            </w:r>
          </w:p>
        </w:tc>
        <w:tc>
          <w:tcPr>
            <w:tcW w:w="581" w:type="pct"/>
            <w:vAlign w:val="center"/>
          </w:tcPr>
          <w:p w14:paraId="4D74755C"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M</w:t>
            </w:r>
            <w:r w:rsidRPr="00A43B9C">
              <w:rPr>
                <w:rFonts w:ascii="Times New Roman" w:hAnsi="Times New Roman" w:cs="Times New Roman"/>
                <w:sz w:val="28"/>
                <w:szCs w:val="28"/>
                <w:vertAlign w:val="subscript"/>
                <w:lang w:val="en-US"/>
              </w:rPr>
              <w:t>0</w:t>
            </w:r>
            <w:r w:rsidRPr="00A43B9C">
              <w:rPr>
                <w:rFonts w:ascii="Times New Roman" w:hAnsi="Times New Roman" w:cs="Times New Roman"/>
                <w:sz w:val="28"/>
                <w:szCs w:val="28"/>
                <w:lang w:val="en-US"/>
              </w:rPr>
              <w:t xml:space="preserve"> – </w:t>
            </w:r>
            <w:r w:rsidRPr="00A43B9C">
              <w:rPr>
                <w:rFonts w:ascii="Times New Roman" w:hAnsi="Times New Roman" w:cs="Times New Roman"/>
                <w:sz w:val="28"/>
                <w:szCs w:val="28"/>
              </w:rPr>
              <w:t>53</w:t>
            </w:r>
          </w:p>
        </w:tc>
        <w:tc>
          <w:tcPr>
            <w:tcW w:w="597" w:type="pct"/>
            <w:vAlign w:val="center"/>
          </w:tcPr>
          <w:p w14:paraId="07C71BB9"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I – 8</w:t>
            </w:r>
          </w:p>
          <w:p w14:paraId="7C7F3EC0"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II – 13</w:t>
            </w:r>
          </w:p>
          <w:p w14:paraId="389754F2"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III – 32</w:t>
            </w:r>
          </w:p>
        </w:tc>
        <w:tc>
          <w:tcPr>
            <w:tcW w:w="885" w:type="pct"/>
            <w:vAlign w:val="center"/>
          </w:tcPr>
          <w:p w14:paraId="20A291DF"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I - 21</w:t>
            </w:r>
          </w:p>
          <w:p w14:paraId="17C2D634"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II - 15</w:t>
            </w:r>
          </w:p>
          <w:p w14:paraId="28A05997"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III - 17</w:t>
            </w:r>
          </w:p>
        </w:tc>
      </w:tr>
      <w:tr w:rsidR="00105031" w:rsidRPr="00A43B9C" w14:paraId="14AAA8BD" w14:textId="77777777" w:rsidTr="00F87FE6">
        <w:trPr>
          <w:jc w:val="center"/>
        </w:trPr>
        <w:tc>
          <w:tcPr>
            <w:tcW w:w="5000" w:type="pct"/>
            <w:gridSpan w:val="8"/>
            <w:vAlign w:val="center"/>
          </w:tcPr>
          <w:p w14:paraId="34755780" w14:textId="157DA8CF" w:rsidR="00105031" w:rsidRPr="00A43B9C" w:rsidRDefault="00105031" w:rsidP="000D2780">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iCs/>
                <w:sz w:val="24"/>
                <w:szCs w:val="24"/>
              </w:rPr>
              <w:t xml:space="preserve">Примечания: </w:t>
            </w:r>
            <w:r w:rsidRPr="00A43B9C">
              <w:rPr>
                <w:rFonts w:ascii="Times New Roman" w:hAnsi="Times New Roman" w:cs="Times New Roman"/>
                <w:bCs/>
                <w:iCs/>
                <w:sz w:val="24"/>
                <w:szCs w:val="24"/>
                <w:lang w:val="en-US"/>
              </w:rPr>
              <w:t>PTL</w:t>
            </w:r>
            <w:r w:rsidRPr="00A43B9C">
              <w:rPr>
                <w:rFonts w:ascii="Times New Roman" w:hAnsi="Times New Roman" w:cs="Times New Roman"/>
                <w:bCs/>
                <w:iCs/>
                <w:sz w:val="24"/>
                <w:szCs w:val="24"/>
              </w:rPr>
              <w:t xml:space="preserve"> – Локализация первичной опухоли. </w:t>
            </w:r>
            <w:r w:rsidRPr="00A43B9C">
              <w:rPr>
                <w:rFonts w:ascii="Times New Roman" w:hAnsi="Times New Roman" w:cs="Times New Roman"/>
                <w:bCs/>
                <w:iCs/>
                <w:sz w:val="24"/>
                <w:szCs w:val="24"/>
                <w:lang w:val="en-US"/>
              </w:rPr>
              <w:t>FIGO</w:t>
            </w:r>
            <w:r w:rsidRPr="00A43B9C">
              <w:rPr>
                <w:rFonts w:ascii="Times New Roman" w:hAnsi="Times New Roman" w:cs="Times New Roman"/>
                <w:iCs/>
                <w:sz w:val="24"/>
                <w:szCs w:val="24"/>
              </w:rPr>
              <w:t xml:space="preserve"> </w:t>
            </w:r>
            <w:r w:rsidRPr="00A43B9C">
              <w:rPr>
                <w:rFonts w:ascii="Times New Roman" w:hAnsi="Times New Roman" w:cs="Times New Roman"/>
                <w:iCs/>
                <w:sz w:val="24"/>
                <w:szCs w:val="24"/>
                <w:lang w:val="kk-KZ"/>
              </w:rPr>
              <w:t xml:space="preserve">– </w:t>
            </w:r>
            <w:r w:rsidRPr="00A43B9C">
              <w:rPr>
                <w:rFonts w:ascii="Times New Roman" w:hAnsi="Times New Roman" w:cs="Times New Roman"/>
                <w:iCs/>
                <w:sz w:val="24"/>
                <w:szCs w:val="24"/>
              </w:rPr>
              <w:t>Международная федерация акушерства и гинекологии. Гистология</w:t>
            </w:r>
            <w:r w:rsidRPr="00A43B9C">
              <w:rPr>
                <w:rFonts w:ascii="Times New Roman" w:hAnsi="Times New Roman" w:cs="Times New Roman"/>
                <w:bCs/>
                <w:iCs/>
                <w:sz w:val="24"/>
                <w:szCs w:val="24"/>
              </w:rPr>
              <w:t xml:space="preserve">: </w:t>
            </w:r>
            <w:r w:rsidRPr="00A43B9C">
              <w:rPr>
                <w:rFonts w:ascii="Times New Roman" w:hAnsi="Times New Roman" w:cs="Times New Roman"/>
                <w:bCs/>
                <w:iCs/>
                <w:sz w:val="24"/>
                <w:szCs w:val="24"/>
                <w:lang w:val="en-US"/>
              </w:rPr>
              <w:t>I</w:t>
            </w:r>
            <w:r w:rsidRPr="00A43B9C">
              <w:rPr>
                <w:rFonts w:ascii="Times New Roman" w:hAnsi="Times New Roman" w:cs="Times New Roman"/>
                <w:bCs/>
                <w:iCs/>
                <w:sz w:val="24"/>
                <w:szCs w:val="24"/>
              </w:rPr>
              <w:t xml:space="preserve"> – Аденокарцинома; </w:t>
            </w:r>
            <w:r w:rsidRPr="00A43B9C">
              <w:rPr>
                <w:rFonts w:ascii="Times New Roman" w:hAnsi="Times New Roman" w:cs="Times New Roman"/>
                <w:bCs/>
                <w:iCs/>
                <w:sz w:val="24"/>
                <w:szCs w:val="24"/>
                <w:lang w:val="en-US"/>
              </w:rPr>
              <w:t>II</w:t>
            </w:r>
            <w:r w:rsidRPr="00A43B9C">
              <w:rPr>
                <w:rFonts w:ascii="Times New Roman" w:hAnsi="Times New Roman" w:cs="Times New Roman"/>
                <w:bCs/>
                <w:iCs/>
                <w:sz w:val="24"/>
                <w:szCs w:val="24"/>
              </w:rPr>
              <w:t xml:space="preserve"> – Карцинома; </w:t>
            </w:r>
            <w:r w:rsidRPr="00A43B9C">
              <w:rPr>
                <w:rFonts w:ascii="Times New Roman" w:hAnsi="Times New Roman" w:cs="Times New Roman"/>
                <w:bCs/>
                <w:iCs/>
                <w:sz w:val="24"/>
                <w:szCs w:val="24"/>
                <w:lang w:val="en-US"/>
              </w:rPr>
              <w:t>III</w:t>
            </w:r>
            <w:r w:rsidRPr="00A43B9C">
              <w:rPr>
                <w:rFonts w:ascii="Times New Roman" w:hAnsi="Times New Roman" w:cs="Times New Roman"/>
                <w:bCs/>
                <w:iCs/>
                <w:sz w:val="24"/>
                <w:szCs w:val="24"/>
              </w:rPr>
              <w:t xml:space="preserve"> – Цистаденокарцинома</w:t>
            </w:r>
            <w:r w:rsidRPr="00A43B9C">
              <w:rPr>
                <w:rFonts w:ascii="Times New Roman" w:hAnsi="Times New Roman" w:cs="Times New Roman"/>
                <w:iCs/>
                <w:sz w:val="24"/>
                <w:szCs w:val="24"/>
              </w:rPr>
              <w:t>.</w:t>
            </w:r>
          </w:p>
        </w:tc>
      </w:tr>
    </w:tbl>
    <w:p w14:paraId="00340885" w14:textId="4B14C8BA" w:rsidR="001C6451" w:rsidRPr="00A43B9C" w:rsidRDefault="001C6451" w:rsidP="001C6451">
      <w:pPr>
        <w:autoSpaceDE w:val="0"/>
        <w:autoSpaceDN w:val="0"/>
        <w:adjustRightInd w:val="0"/>
        <w:spacing w:after="0" w:line="240" w:lineRule="auto"/>
        <w:ind w:firstLine="709"/>
        <w:jc w:val="both"/>
        <w:rPr>
          <w:rFonts w:ascii="Times New Roman" w:eastAsia="NewtonC" w:hAnsi="Times New Roman" w:cs="Times New Roman"/>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8"/>
        <w:gridCol w:w="2338"/>
        <w:gridCol w:w="2339"/>
        <w:gridCol w:w="2339"/>
      </w:tblGrid>
      <w:tr w:rsidR="00133257" w:rsidRPr="00A43B9C" w14:paraId="467C6594" w14:textId="77777777" w:rsidTr="004B20DD">
        <w:tc>
          <w:tcPr>
            <w:tcW w:w="9344" w:type="dxa"/>
            <w:gridSpan w:val="4"/>
          </w:tcPr>
          <w:p w14:paraId="0EA0B640" w14:textId="77777777" w:rsidR="00133257" w:rsidRPr="00A43B9C" w:rsidRDefault="00133257" w:rsidP="00BC23DB">
            <w:pPr>
              <w:autoSpaceDE w:val="0"/>
              <w:autoSpaceDN w:val="0"/>
              <w:adjustRightInd w:val="0"/>
              <w:spacing w:after="0" w:line="240" w:lineRule="auto"/>
              <w:jc w:val="center"/>
              <w:rPr>
                <w:rFonts w:ascii="Times New Roman" w:eastAsia="NewtonC" w:hAnsi="Times New Roman" w:cs="Times New Roman"/>
                <w:sz w:val="28"/>
                <w:szCs w:val="28"/>
              </w:rPr>
            </w:pPr>
            <w:r w:rsidRPr="00A43B9C">
              <w:rPr>
                <w:noProof/>
                <w:lang w:eastAsia="ru-RU"/>
              </w:rPr>
              <w:drawing>
                <wp:inline distT="0" distB="0" distL="0" distR="0" wp14:anchorId="132B63D9" wp14:editId="082FE63D">
                  <wp:extent cx="5759450" cy="1800000"/>
                  <wp:effectExtent l="0" t="0" r="12700" b="10160"/>
                  <wp:docPr id="226" name="Диаграмма 226">
                    <a:extLst xmlns:a="http://schemas.openxmlformats.org/drawingml/2006/main">
                      <a:ext uri="{FF2B5EF4-FFF2-40B4-BE49-F238E27FC236}">
                        <a16:creationId xmlns:a16="http://schemas.microsoft.com/office/drawing/2014/main" id="{1588C16D-03A2-4048-840E-E8E218AB13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tc>
      </w:tr>
      <w:tr w:rsidR="004B20DD" w:rsidRPr="004B20DD" w14:paraId="00DF5647" w14:textId="77777777" w:rsidTr="004B20DD">
        <w:tc>
          <w:tcPr>
            <w:tcW w:w="9344" w:type="dxa"/>
            <w:gridSpan w:val="4"/>
          </w:tcPr>
          <w:p w14:paraId="743A6FC9" w14:textId="2F970078" w:rsidR="004B20DD" w:rsidRPr="004B20DD" w:rsidRDefault="004B20DD" w:rsidP="00BC23DB">
            <w:pPr>
              <w:autoSpaceDE w:val="0"/>
              <w:autoSpaceDN w:val="0"/>
              <w:adjustRightInd w:val="0"/>
              <w:spacing w:after="0" w:line="240" w:lineRule="auto"/>
              <w:jc w:val="center"/>
              <w:rPr>
                <w:noProof/>
                <w:sz w:val="24"/>
                <w:szCs w:val="24"/>
                <w:lang w:eastAsia="ru-RU"/>
              </w:rPr>
            </w:pPr>
            <w:r w:rsidRPr="004B20DD">
              <w:rPr>
                <w:rFonts w:ascii="Times New Roman" w:eastAsia="NewtonC" w:hAnsi="Times New Roman" w:cs="Times New Roman"/>
                <w:sz w:val="24"/>
                <w:szCs w:val="24"/>
              </w:rPr>
              <w:t>а) Возраст</w:t>
            </w:r>
          </w:p>
        </w:tc>
      </w:tr>
      <w:tr w:rsidR="009858A7" w:rsidRPr="00A43B9C" w14:paraId="5CE3CBE5" w14:textId="77777777" w:rsidTr="004B20DD">
        <w:tc>
          <w:tcPr>
            <w:tcW w:w="2336" w:type="dxa"/>
          </w:tcPr>
          <w:p w14:paraId="67356EB7" w14:textId="77777777" w:rsidR="009858A7" w:rsidRPr="00A43B9C" w:rsidRDefault="009858A7" w:rsidP="009858A7">
            <w:pPr>
              <w:autoSpaceDE w:val="0"/>
              <w:autoSpaceDN w:val="0"/>
              <w:adjustRightInd w:val="0"/>
              <w:spacing w:after="0" w:line="240" w:lineRule="auto"/>
              <w:jc w:val="center"/>
              <w:rPr>
                <w:rFonts w:ascii="Times New Roman" w:eastAsia="NewtonC" w:hAnsi="Times New Roman" w:cs="Times New Roman"/>
                <w:sz w:val="28"/>
                <w:szCs w:val="28"/>
              </w:rPr>
            </w:pPr>
            <w:r w:rsidRPr="00A43B9C">
              <w:rPr>
                <w:noProof/>
                <w:lang w:eastAsia="ru-RU"/>
              </w:rPr>
              <w:drawing>
                <wp:inline distT="0" distB="0" distL="0" distR="0" wp14:anchorId="2484A9C9" wp14:editId="10724609">
                  <wp:extent cx="1440000" cy="1440000"/>
                  <wp:effectExtent l="0" t="0" r="8255" b="8255"/>
                  <wp:docPr id="229" name="Диаграмма 229">
                    <a:extLst xmlns:a="http://schemas.openxmlformats.org/drawingml/2006/main">
                      <a:ext uri="{FF2B5EF4-FFF2-40B4-BE49-F238E27FC236}">
                        <a16:creationId xmlns:a16="http://schemas.microsoft.com/office/drawing/2014/main" id="{C2806046-5142-4868-9919-144DC4C373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tc>
        <w:tc>
          <w:tcPr>
            <w:tcW w:w="2336" w:type="dxa"/>
          </w:tcPr>
          <w:p w14:paraId="07E54F0E" w14:textId="77777777" w:rsidR="009858A7" w:rsidRPr="00A43B9C" w:rsidRDefault="009858A7" w:rsidP="009858A7">
            <w:pPr>
              <w:autoSpaceDE w:val="0"/>
              <w:autoSpaceDN w:val="0"/>
              <w:adjustRightInd w:val="0"/>
              <w:spacing w:after="0" w:line="240" w:lineRule="auto"/>
              <w:jc w:val="center"/>
              <w:rPr>
                <w:rFonts w:ascii="Times New Roman" w:eastAsia="NewtonC" w:hAnsi="Times New Roman" w:cs="Times New Roman"/>
                <w:sz w:val="28"/>
                <w:szCs w:val="28"/>
              </w:rPr>
            </w:pPr>
            <w:r w:rsidRPr="00A43B9C">
              <w:rPr>
                <w:noProof/>
                <w:lang w:eastAsia="ru-RU"/>
              </w:rPr>
              <w:drawing>
                <wp:inline distT="0" distB="0" distL="0" distR="0" wp14:anchorId="0AF592BA" wp14:editId="0A0A99AE">
                  <wp:extent cx="1440000" cy="1440000"/>
                  <wp:effectExtent l="0" t="0" r="8255" b="8255"/>
                  <wp:docPr id="232" name="Диаграмма 232">
                    <a:extLst xmlns:a="http://schemas.openxmlformats.org/drawingml/2006/main">
                      <a:ext uri="{FF2B5EF4-FFF2-40B4-BE49-F238E27FC236}">
                        <a16:creationId xmlns:a16="http://schemas.microsoft.com/office/drawing/2014/main" id="{4236BA82-261A-427A-8897-FAE2C2B853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tc>
        <w:tc>
          <w:tcPr>
            <w:tcW w:w="2336" w:type="dxa"/>
          </w:tcPr>
          <w:p w14:paraId="03168722" w14:textId="77777777" w:rsidR="009858A7" w:rsidRPr="00A43B9C" w:rsidRDefault="009858A7" w:rsidP="009858A7">
            <w:pPr>
              <w:autoSpaceDE w:val="0"/>
              <w:autoSpaceDN w:val="0"/>
              <w:adjustRightInd w:val="0"/>
              <w:spacing w:after="0" w:line="240" w:lineRule="auto"/>
              <w:jc w:val="center"/>
              <w:rPr>
                <w:rFonts w:ascii="Times New Roman" w:eastAsia="NewtonC" w:hAnsi="Times New Roman" w:cs="Times New Roman"/>
                <w:sz w:val="28"/>
                <w:szCs w:val="28"/>
              </w:rPr>
            </w:pPr>
            <w:r w:rsidRPr="00A43B9C">
              <w:rPr>
                <w:noProof/>
                <w:lang w:eastAsia="ru-RU"/>
              </w:rPr>
              <w:drawing>
                <wp:inline distT="0" distB="0" distL="0" distR="0" wp14:anchorId="53B64CDA" wp14:editId="13AF1A38">
                  <wp:extent cx="1440000" cy="1440000"/>
                  <wp:effectExtent l="0" t="0" r="8255" b="8255"/>
                  <wp:docPr id="235" name="Диаграмма 235">
                    <a:extLst xmlns:a="http://schemas.openxmlformats.org/drawingml/2006/main">
                      <a:ext uri="{FF2B5EF4-FFF2-40B4-BE49-F238E27FC236}">
                        <a16:creationId xmlns:a16="http://schemas.microsoft.com/office/drawing/2014/main" id="{8A86F44C-9569-45A6-96B5-28FB448DCC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tc>
        <w:tc>
          <w:tcPr>
            <w:tcW w:w="2336" w:type="dxa"/>
          </w:tcPr>
          <w:p w14:paraId="124ADBED" w14:textId="77777777" w:rsidR="009858A7" w:rsidRPr="00A43B9C" w:rsidRDefault="009858A7" w:rsidP="009858A7">
            <w:pPr>
              <w:autoSpaceDE w:val="0"/>
              <w:autoSpaceDN w:val="0"/>
              <w:adjustRightInd w:val="0"/>
              <w:spacing w:after="0" w:line="240" w:lineRule="auto"/>
              <w:jc w:val="center"/>
              <w:rPr>
                <w:rFonts w:ascii="Times New Roman" w:eastAsia="NewtonC" w:hAnsi="Times New Roman" w:cs="Times New Roman"/>
                <w:sz w:val="28"/>
                <w:szCs w:val="28"/>
              </w:rPr>
            </w:pPr>
            <w:r w:rsidRPr="00A43B9C">
              <w:rPr>
                <w:noProof/>
                <w:lang w:eastAsia="ru-RU"/>
              </w:rPr>
              <w:drawing>
                <wp:inline distT="0" distB="0" distL="0" distR="0" wp14:anchorId="3F8D93B6" wp14:editId="39AE957A">
                  <wp:extent cx="1440000" cy="1440000"/>
                  <wp:effectExtent l="0" t="0" r="8255" b="8255"/>
                  <wp:docPr id="238" name="Диаграмма 238">
                    <a:extLst xmlns:a="http://schemas.openxmlformats.org/drawingml/2006/main">
                      <a:ext uri="{FF2B5EF4-FFF2-40B4-BE49-F238E27FC236}">
                        <a16:creationId xmlns:a16="http://schemas.microsoft.com/office/drawing/2014/main" id="{BFCE1108-6259-4569-9CA6-FCC95A0324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tc>
      </w:tr>
      <w:tr w:rsidR="004B20DD" w:rsidRPr="004B20DD" w14:paraId="1E3A2463" w14:textId="77777777" w:rsidTr="004B20DD">
        <w:tc>
          <w:tcPr>
            <w:tcW w:w="2336" w:type="dxa"/>
          </w:tcPr>
          <w:p w14:paraId="5E322F90" w14:textId="0EDB860D" w:rsidR="004B20DD" w:rsidRPr="004B20DD" w:rsidRDefault="004B20DD" w:rsidP="004B20DD">
            <w:pPr>
              <w:autoSpaceDE w:val="0"/>
              <w:autoSpaceDN w:val="0"/>
              <w:adjustRightInd w:val="0"/>
              <w:spacing w:after="0" w:line="240" w:lineRule="auto"/>
              <w:jc w:val="center"/>
              <w:rPr>
                <w:noProof/>
                <w:sz w:val="24"/>
                <w:szCs w:val="24"/>
                <w:lang w:eastAsia="ru-RU"/>
              </w:rPr>
            </w:pPr>
            <w:r w:rsidRPr="004B20DD">
              <w:rPr>
                <w:rFonts w:ascii="Times New Roman" w:eastAsia="NewtonC" w:hAnsi="Times New Roman" w:cs="Times New Roman"/>
                <w:sz w:val="24"/>
                <w:szCs w:val="24"/>
              </w:rPr>
              <w:t xml:space="preserve">б) Стадия </w:t>
            </w:r>
            <w:r>
              <w:rPr>
                <w:rFonts w:ascii="Times New Roman" w:eastAsia="NewtonC" w:hAnsi="Times New Roman" w:cs="Times New Roman"/>
                <w:sz w:val="24"/>
                <w:szCs w:val="24"/>
                <w:lang w:val="en-US"/>
              </w:rPr>
              <w:t>T</w:t>
            </w:r>
          </w:p>
        </w:tc>
        <w:tc>
          <w:tcPr>
            <w:tcW w:w="2336" w:type="dxa"/>
          </w:tcPr>
          <w:p w14:paraId="46579CE0" w14:textId="46E686F6" w:rsidR="004B20DD" w:rsidRPr="004B20DD" w:rsidRDefault="004B20DD" w:rsidP="004B20DD">
            <w:pPr>
              <w:autoSpaceDE w:val="0"/>
              <w:autoSpaceDN w:val="0"/>
              <w:adjustRightInd w:val="0"/>
              <w:spacing w:after="0" w:line="240" w:lineRule="auto"/>
              <w:jc w:val="center"/>
              <w:rPr>
                <w:noProof/>
                <w:sz w:val="24"/>
                <w:szCs w:val="24"/>
                <w:lang w:eastAsia="ru-RU"/>
              </w:rPr>
            </w:pPr>
            <w:r w:rsidRPr="004B20DD">
              <w:rPr>
                <w:rFonts w:ascii="Times New Roman" w:eastAsia="NewtonC" w:hAnsi="Times New Roman" w:cs="Times New Roman"/>
                <w:sz w:val="24"/>
                <w:szCs w:val="24"/>
              </w:rPr>
              <w:t xml:space="preserve">в) Стадия </w:t>
            </w:r>
            <w:r>
              <w:rPr>
                <w:rFonts w:ascii="Times New Roman" w:eastAsia="NewtonC" w:hAnsi="Times New Roman" w:cs="Times New Roman"/>
                <w:sz w:val="24"/>
                <w:szCs w:val="24"/>
                <w:lang w:val="en-US"/>
              </w:rPr>
              <w:t>N</w:t>
            </w:r>
          </w:p>
        </w:tc>
        <w:tc>
          <w:tcPr>
            <w:tcW w:w="2336" w:type="dxa"/>
          </w:tcPr>
          <w:p w14:paraId="2A2A16FE" w14:textId="55309D87" w:rsidR="004B20DD" w:rsidRPr="004B20DD" w:rsidRDefault="004B20DD" w:rsidP="004B20DD">
            <w:pPr>
              <w:autoSpaceDE w:val="0"/>
              <w:autoSpaceDN w:val="0"/>
              <w:adjustRightInd w:val="0"/>
              <w:spacing w:after="0" w:line="240" w:lineRule="auto"/>
              <w:jc w:val="center"/>
              <w:rPr>
                <w:noProof/>
                <w:sz w:val="24"/>
                <w:szCs w:val="24"/>
                <w:lang w:eastAsia="ru-RU"/>
              </w:rPr>
            </w:pPr>
            <w:r w:rsidRPr="004B20DD">
              <w:rPr>
                <w:rFonts w:ascii="Times New Roman" w:eastAsia="NewtonC" w:hAnsi="Times New Roman" w:cs="Times New Roman"/>
                <w:sz w:val="24"/>
                <w:szCs w:val="24"/>
              </w:rPr>
              <w:t xml:space="preserve">г) Стадия </w:t>
            </w:r>
            <w:r w:rsidRPr="004B20DD">
              <w:rPr>
                <w:rFonts w:ascii="Times New Roman" w:eastAsia="NewtonC" w:hAnsi="Times New Roman" w:cs="Times New Roman"/>
                <w:sz w:val="24"/>
                <w:szCs w:val="24"/>
                <w:lang w:val="en-US"/>
              </w:rPr>
              <w:t>FIGO</w:t>
            </w:r>
          </w:p>
        </w:tc>
        <w:tc>
          <w:tcPr>
            <w:tcW w:w="2336" w:type="dxa"/>
          </w:tcPr>
          <w:p w14:paraId="2BC0CB0B" w14:textId="4960F2B1" w:rsidR="004B20DD" w:rsidRPr="004B20DD" w:rsidRDefault="004B20DD" w:rsidP="004B20DD">
            <w:pPr>
              <w:autoSpaceDE w:val="0"/>
              <w:autoSpaceDN w:val="0"/>
              <w:adjustRightInd w:val="0"/>
              <w:spacing w:after="0" w:line="240" w:lineRule="auto"/>
              <w:jc w:val="center"/>
              <w:rPr>
                <w:noProof/>
                <w:sz w:val="24"/>
                <w:szCs w:val="24"/>
                <w:lang w:eastAsia="ru-RU"/>
              </w:rPr>
            </w:pPr>
            <w:r w:rsidRPr="004B20DD">
              <w:rPr>
                <w:rFonts w:ascii="Times New Roman" w:eastAsia="NewtonC" w:hAnsi="Times New Roman" w:cs="Times New Roman"/>
                <w:sz w:val="24"/>
                <w:szCs w:val="24"/>
              </w:rPr>
              <w:t>д) Гистологический тип</w:t>
            </w:r>
          </w:p>
        </w:tc>
      </w:tr>
    </w:tbl>
    <w:p w14:paraId="358FAD98" w14:textId="77777777" w:rsidR="004B20DD" w:rsidRDefault="004B20DD" w:rsidP="00054633">
      <w:pPr>
        <w:autoSpaceDE w:val="0"/>
        <w:autoSpaceDN w:val="0"/>
        <w:adjustRightInd w:val="0"/>
        <w:spacing w:after="0" w:line="240" w:lineRule="auto"/>
        <w:ind w:firstLine="709"/>
        <w:jc w:val="center"/>
        <w:rPr>
          <w:rFonts w:ascii="Times New Roman" w:eastAsia="NewtonC" w:hAnsi="Times New Roman" w:cs="Times New Roman"/>
          <w:sz w:val="28"/>
          <w:szCs w:val="28"/>
        </w:rPr>
      </w:pPr>
    </w:p>
    <w:p w14:paraId="03DFBC8E" w14:textId="163CCCF6" w:rsidR="00054633" w:rsidRDefault="001D33E2" w:rsidP="00054633">
      <w:pPr>
        <w:autoSpaceDE w:val="0"/>
        <w:autoSpaceDN w:val="0"/>
        <w:adjustRightInd w:val="0"/>
        <w:spacing w:after="0" w:line="240" w:lineRule="auto"/>
        <w:ind w:firstLine="709"/>
        <w:jc w:val="center"/>
        <w:rPr>
          <w:rFonts w:ascii="Times New Roman" w:eastAsia="NewtonC" w:hAnsi="Times New Roman" w:cs="Times New Roman"/>
          <w:sz w:val="28"/>
          <w:szCs w:val="28"/>
        </w:rPr>
      </w:pPr>
      <w:r w:rsidRPr="00A43B9C">
        <w:rPr>
          <w:rFonts w:ascii="Times New Roman" w:eastAsia="NewtonC" w:hAnsi="Times New Roman" w:cs="Times New Roman"/>
          <w:sz w:val="28"/>
          <w:szCs w:val="28"/>
        </w:rPr>
        <w:t xml:space="preserve">Рисунок </w:t>
      </w:r>
      <w:r w:rsidR="00006C4D">
        <w:rPr>
          <w:rFonts w:ascii="Times New Roman" w:eastAsia="NewtonC" w:hAnsi="Times New Roman" w:cs="Times New Roman"/>
          <w:sz w:val="28"/>
          <w:szCs w:val="28"/>
        </w:rPr>
        <w:t>2</w:t>
      </w:r>
      <w:r w:rsidRPr="00A43B9C">
        <w:rPr>
          <w:rFonts w:ascii="Times New Roman" w:eastAsia="NewtonC" w:hAnsi="Times New Roman" w:cs="Times New Roman"/>
          <w:sz w:val="28"/>
          <w:szCs w:val="28"/>
        </w:rPr>
        <w:t xml:space="preserve"> -</w:t>
      </w:r>
      <w:r w:rsidR="00054633" w:rsidRPr="00A43B9C">
        <w:rPr>
          <w:rFonts w:ascii="Times New Roman" w:eastAsia="NewtonC" w:hAnsi="Times New Roman" w:cs="Times New Roman"/>
          <w:sz w:val="28"/>
          <w:szCs w:val="28"/>
        </w:rPr>
        <w:t xml:space="preserve"> Распределение обследованных пациентов с диагнозом ЭРЯ</w:t>
      </w:r>
    </w:p>
    <w:p w14:paraId="26172349" w14:textId="77777777" w:rsidR="00A725B1" w:rsidRDefault="00A725B1" w:rsidP="00A27B02">
      <w:pPr>
        <w:autoSpaceDE w:val="0"/>
        <w:autoSpaceDN w:val="0"/>
        <w:adjustRightInd w:val="0"/>
        <w:spacing w:after="0" w:line="240" w:lineRule="auto"/>
        <w:ind w:firstLine="709"/>
        <w:rPr>
          <w:rFonts w:ascii="Times New Roman" w:eastAsia="NewtonC" w:hAnsi="Times New Roman" w:cs="Times New Roman"/>
          <w:sz w:val="28"/>
          <w:szCs w:val="28"/>
        </w:rPr>
        <w:sectPr w:rsidR="00A725B1" w:rsidSect="0048283A">
          <w:pgSz w:w="11906" w:h="16838"/>
          <w:pgMar w:top="1134" w:right="851" w:bottom="1134" w:left="1701" w:header="709" w:footer="709" w:gutter="0"/>
          <w:cols w:space="708"/>
          <w:docGrid w:linePitch="360"/>
        </w:sectPr>
      </w:pPr>
    </w:p>
    <w:p w14:paraId="677D968A" w14:textId="4B20CCF8" w:rsidR="001C6451" w:rsidRPr="00A43B9C" w:rsidRDefault="001C6451" w:rsidP="00AE28CD">
      <w:pPr>
        <w:pStyle w:val="31"/>
        <w:spacing w:before="0" w:line="240" w:lineRule="auto"/>
        <w:ind w:left="709"/>
        <w:jc w:val="both"/>
        <w:rPr>
          <w:rFonts w:ascii="Times New Roman" w:hAnsi="Times New Roman" w:cs="Times New Roman"/>
          <w:color w:val="auto"/>
          <w:sz w:val="28"/>
          <w:szCs w:val="32"/>
        </w:rPr>
      </w:pPr>
      <w:bookmarkStart w:id="36" w:name="_Toc94112681"/>
      <w:bookmarkStart w:id="37" w:name="_Toc101861810"/>
      <w:bookmarkStart w:id="38" w:name="_Toc102937613"/>
      <w:r w:rsidRPr="00A43B9C">
        <w:rPr>
          <w:rFonts w:ascii="Times New Roman" w:hAnsi="Times New Roman" w:cs="Times New Roman"/>
          <w:color w:val="auto"/>
          <w:sz w:val="28"/>
          <w:szCs w:val="32"/>
        </w:rPr>
        <w:lastRenderedPageBreak/>
        <w:t>2.1.</w:t>
      </w:r>
      <w:r w:rsidR="006473FD" w:rsidRPr="00A43B9C">
        <w:rPr>
          <w:rFonts w:ascii="Times New Roman" w:hAnsi="Times New Roman" w:cs="Times New Roman"/>
          <w:color w:val="auto"/>
          <w:sz w:val="28"/>
          <w:szCs w:val="32"/>
        </w:rPr>
        <w:t>3</w:t>
      </w:r>
      <w:r w:rsidRPr="00A43B9C">
        <w:rPr>
          <w:rFonts w:ascii="Times New Roman" w:hAnsi="Times New Roman" w:cs="Times New Roman"/>
          <w:color w:val="auto"/>
          <w:sz w:val="28"/>
          <w:szCs w:val="32"/>
        </w:rPr>
        <w:t xml:space="preserve"> Колоректальный рак</w:t>
      </w:r>
      <w:bookmarkEnd w:id="36"/>
      <w:bookmarkEnd w:id="37"/>
      <w:bookmarkEnd w:id="38"/>
    </w:p>
    <w:p w14:paraId="58051422" w14:textId="6CB1DDFC" w:rsidR="001C6451" w:rsidRPr="00A43B9C" w:rsidRDefault="00196E25" w:rsidP="001C6451">
      <w:pPr>
        <w:pStyle w:val="p"/>
        <w:spacing w:before="0" w:beforeAutospacing="0" w:after="0" w:afterAutospacing="0"/>
        <w:ind w:firstLine="708"/>
        <w:jc w:val="both"/>
        <w:rPr>
          <w:sz w:val="28"/>
          <w:szCs w:val="28"/>
        </w:rPr>
      </w:pPr>
      <w:r w:rsidRPr="00A43B9C">
        <w:rPr>
          <w:rFonts w:eastAsia="TimesNewRomanPSMT"/>
          <w:sz w:val="28"/>
          <w:szCs w:val="28"/>
        </w:rPr>
        <w:t xml:space="preserve">Нами </w:t>
      </w:r>
      <w:r w:rsidRPr="00A43B9C">
        <w:rPr>
          <w:rFonts w:eastAsia="TimesNewRomanPSMT"/>
          <w:sz w:val="28"/>
          <w:szCs w:val="28"/>
          <w:lang w:val="kk-KZ"/>
        </w:rPr>
        <w:t xml:space="preserve">были зарегистрированы </w:t>
      </w:r>
      <w:r w:rsidRPr="00A43B9C">
        <w:rPr>
          <w:rFonts w:eastAsia="TimesNewRomanPSMT"/>
          <w:sz w:val="28"/>
          <w:szCs w:val="28"/>
        </w:rPr>
        <w:t xml:space="preserve">534 </w:t>
      </w:r>
      <w:r w:rsidRPr="00A43B9C">
        <w:rPr>
          <w:rFonts w:eastAsia="TimesNewRomanPSMT"/>
          <w:sz w:val="28"/>
          <w:szCs w:val="28"/>
          <w:lang w:val="kk-KZ"/>
        </w:rPr>
        <w:t>пац</w:t>
      </w:r>
      <w:r w:rsidR="00BB08B3" w:rsidRPr="00A43B9C">
        <w:rPr>
          <w:rFonts w:eastAsia="TimesNewRomanPSMT"/>
          <w:sz w:val="28"/>
          <w:szCs w:val="28"/>
          <w:lang w:val="kk-KZ"/>
        </w:rPr>
        <w:t>и</w:t>
      </w:r>
      <w:r w:rsidRPr="00A43B9C">
        <w:rPr>
          <w:rFonts w:eastAsia="TimesNewRomanPSMT"/>
          <w:sz w:val="28"/>
          <w:szCs w:val="28"/>
          <w:lang w:val="kk-KZ"/>
        </w:rPr>
        <w:t xml:space="preserve">ента </w:t>
      </w:r>
      <w:r w:rsidRPr="00A43B9C">
        <w:rPr>
          <w:rFonts w:eastAsia="TimesNewRomanPSMT"/>
          <w:sz w:val="28"/>
          <w:szCs w:val="28"/>
        </w:rPr>
        <w:t xml:space="preserve">с </w:t>
      </w:r>
      <w:r w:rsidR="00995E5C">
        <w:rPr>
          <w:rFonts w:eastAsia="TimesNewRomanPSMT"/>
          <w:sz w:val="28"/>
          <w:szCs w:val="28"/>
        </w:rPr>
        <w:t>колоректальным раком</w:t>
      </w:r>
      <w:r w:rsidRPr="00A43B9C">
        <w:rPr>
          <w:rFonts w:eastAsia="TimesNewRomanPSMT"/>
          <w:sz w:val="28"/>
          <w:szCs w:val="28"/>
        </w:rPr>
        <w:t xml:space="preserve">, </w:t>
      </w:r>
      <w:r w:rsidRPr="00A43B9C">
        <w:rPr>
          <w:rFonts w:eastAsia="TimesNewRomanPSMT"/>
          <w:sz w:val="28"/>
          <w:szCs w:val="28"/>
          <w:lang w:val="kk-KZ"/>
        </w:rPr>
        <w:t xml:space="preserve">среди которых у </w:t>
      </w:r>
      <w:r w:rsidRPr="00A43B9C">
        <w:rPr>
          <w:rFonts w:eastAsia="TimesNewRomanPSMT"/>
          <w:sz w:val="28"/>
          <w:szCs w:val="28"/>
        </w:rPr>
        <w:t xml:space="preserve">60 пациентов </w:t>
      </w:r>
      <w:r w:rsidRPr="00A43B9C">
        <w:rPr>
          <w:rFonts w:eastAsia="TimesNewRomanPSMT"/>
          <w:sz w:val="28"/>
          <w:szCs w:val="28"/>
          <w:lang w:val="kk-KZ"/>
        </w:rPr>
        <w:t xml:space="preserve">не были </w:t>
      </w:r>
      <w:r w:rsidR="00F71057" w:rsidRPr="00A43B9C">
        <w:rPr>
          <w:rFonts w:eastAsia="TimesNewRomanPSMT"/>
          <w:sz w:val="28"/>
          <w:szCs w:val="28"/>
          <w:lang w:val="kk-KZ"/>
        </w:rPr>
        <w:t xml:space="preserve">выявлены </w:t>
      </w:r>
      <w:r w:rsidRPr="00A43B9C">
        <w:rPr>
          <w:rFonts w:eastAsia="TimesNewRomanPSMT"/>
          <w:sz w:val="28"/>
          <w:szCs w:val="28"/>
          <w:lang w:val="kk-KZ"/>
        </w:rPr>
        <w:t xml:space="preserve">признаки </w:t>
      </w:r>
      <w:r w:rsidRPr="00A43B9C">
        <w:rPr>
          <w:rFonts w:eastAsia="TimesNewRomanPSMT"/>
          <w:sz w:val="28"/>
          <w:szCs w:val="28"/>
        </w:rPr>
        <w:t xml:space="preserve">метастазирования, </w:t>
      </w:r>
      <w:r w:rsidR="00BB08B3" w:rsidRPr="00A43B9C">
        <w:rPr>
          <w:rFonts w:eastAsia="TimesNewRomanPSMT"/>
          <w:sz w:val="28"/>
          <w:szCs w:val="28"/>
        </w:rPr>
        <w:t xml:space="preserve">у </w:t>
      </w:r>
      <w:r w:rsidRPr="00A43B9C">
        <w:rPr>
          <w:rFonts w:eastAsia="TimesNewRomanPSMT"/>
          <w:sz w:val="28"/>
          <w:szCs w:val="28"/>
        </w:rPr>
        <w:t xml:space="preserve">175 пациентов </w:t>
      </w:r>
      <w:r w:rsidR="00F71057" w:rsidRPr="00A43B9C">
        <w:rPr>
          <w:rFonts w:eastAsia="TimesNewRomanPSMT"/>
          <w:sz w:val="28"/>
          <w:szCs w:val="28"/>
        </w:rPr>
        <w:t xml:space="preserve">наблюдались </w:t>
      </w:r>
      <w:r w:rsidRPr="00A43B9C">
        <w:rPr>
          <w:rFonts w:eastAsia="TimesNewRomanPSMT"/>
          <w:sz w:val="28"/>
          <w:szCs w:val="28"/>
          <w:lang w:val="kk-KZ"/>
        </w:rPr>
        <w:t xml:space="preserve">признаки </w:t>
      </w:r>
      <w:r w:rsidRPr="00A43B9C">
        <w:rPr>
          <w:rFonts w:eastAsia="TimesNewRomanPSMT"/>
          <w:sz w:val="28"/>
          <w:szCs w:val="28"/>
        </w:rPr>
        <w:t xml:space="preserve">метастазирования, </w:t>
      </w:r>
      <w:r w:rsidR="00BB08B3" w:rsidRPr="00A43B9C">
        <w:rPr>
          <w:rFonts w:eastAsia="TimesNewRomanPSMT"/>
          <w:sz w:val="28"/>
          <w:szCs w:val="28"/>
        </w:rPr>
        <w:t xml:space="preserve">у </w:t>
      </w:r>
      <w:r w:rsidRPr="00A43B9C">
        <w:rPr>
          <w:rFonts w:eastAsia="TimesNewRomanPSMT"/>
          <w:sz w:val="28"/>
          <w:szCs w:val="28"/>
        </w:rPr>
        <w:t xml:space="preserve">98 пациентов </w:t>
      </w:r>
      <w:r w:rsidR="00F71057" w:rsidRPr="00A43B9C">
        <w:rPr>
          <w:rFonts w:eastAsia="TimesNewRomanPSMT"/>
          <w:sz w:val="28"/>
          <w:szCs w:val="28"/>
        </w:rPr>
        <w:t xml:space="preserve">наблюдались </w:t>
      </w:r>
      <w:r w:rsidRPr="00A43B9C">
        <w:rPr>
          <w:rFonts w:eastAsia="TimesNewRomanPSMT"/>
          <w:sz w:val="28"/>
          <w:szCs w:val="28"/>
          <w:lang w:val="kk-KZ"/>
        </w:rPr>
        <w:t xml:space="preserve">признаки послеоперационного рецидива </w:t>
      </w:r>
      <w:r w:rsidRPr="00A43B9C">
        <w:rPr>
          <w:rFonts w:eastAsia="TimesNewRomanPSMT"/>
          <w:sz w:val="28"/>
          <w:szCs w:val="28"/>
        </w:rPr>
        <w:t xml:space="preserve">и высокой метаболической активности, </w:t>
      </w:r>
      <w:r w:rsidR="00BB08B3" w:rsidRPr="00A43B9C">
        <w:rPr>
          <w:rFonts w:eastAsia="TimesNewRomanPSMT"/>
          <w:sz w:val="28"/>
          <w:szCs w:val="28"/>
        </w:rPr>
        <w:t xml:space="preserve">у </w:t>
      </w:r>
      <w:r w:rsidRPr="00A43B9C">
        <w:rPr>
          <w:rFonts w:eastAsia="TimesNewRomanPSMT"/>
          <w:sz w:val="28"/>
          <w:szCs w:val="28"/>
        </w:rPr>
        <w:t xml:space="preserve">201 пациентов </w:t>
      </w:r>
      <w:r w:rsidR="00F71057" w:rsidRPr="00A43B9C">
        <w:rPr>
          <w:rFonts w:eastAsia="TimesNewRomanPSMT"/>
          <w:sz w:val="28"/>
          <w:szCs w:val="28"/>
        </w:rPr>
        <w:t xml:space="preserve">наблюдались </w:t>
      </w:r>
      <w:r w:rsidRPr="00A43B9C">
        <w:rPr>
          <w:rFonts w:eastAsia="TimesNewRomanPSMT"/>
          <w:sz w:val="28"/>
          <w:szCs w:val="28"/>
        </w:rPr>
        <w:t xml:space="preserve">признаки прогрессирования </w:t>
      </w:r>
      <w:r w:rsidRPr="00A43B9C">
        <w:rPr>
          <w:rFonts w:eastAsia="TimesNewRomanPSMT"/>
          <w:sz w:val="28"/>
          <w:szCs w:val="28"/>
          <w:lang w:val="kk-KZ"/>
        </w:rPr>
        <w:t xml:space="preserve">первичного </w:t>
      </w:r>
      <w:r w:rsidRPr="00A43B9C">
        <w:rPr>
          <w:rFonts w:eastAsia="TimesNewRomanPSMT"/>
          <w:sz w:val="28"/>
          <w:szCs w:val="28"/>
        </w:rPr>
        <w:t xml:space="preserve">онкологического заболевания. Пациенты с признаками метастазирования, послеоперационным рецидивом и высокой метаболической активностью, а также прогрессированием </w:t>
      </w:r>
      <w:r w:rsidR="00F71057" w:rsidRPr="00A43B9C">
        <w:rPr>
          <w:rFonts w:eastAsia="TimesNewRomanPSMT"/>
          <w:sz w:val="28"/>
          <w:szCs w:val="28"/>
        </w:rPr>
        <w:t xml:space="preserve">первичного </w:t>
      </w:r>
      <w:r w:rsidRPr="00A43B9C">
        <w:rPr>
          <w:rFonts w:eastAsia="TimesNewRomanPSMT"/>
          <w:sz w:val="28"/>
          <w:szCs w:val="28"/>
        </w:rPr>
        <w:t>онкологического заболевания были исключены с исследования, т.к. не соответствовали критериям включения. В итоге в</w:t>
      </w:r>
      <w:r w:rsidR="001C6451" w:rsidRPr="00A43B9C">
        <w:rPr>
          <w:rFonts w:eastAsia="TimesNewRomanPSMT"/>
          <w:sz w:val="28"/>
          <w:szCs w:val="28"/>
        </w:rPr>
        <w:t xml:space="preserve"> настоящее исследование включены </w:t>
      </w:r>
      <w:r w:rsidR="001C6451" w:rsidRPr="00A43B9C">
        <w:rPr>
          <w:sz w:val="28"/>
          <w:szCs w:val="28"/>
        </w:rPr>
        <w:t>60 пациент</w:t>
      </w:r>
      <w:r w:rsidR="00F71057" w:rsidRPr="00A43B9C">
        <w:rPr>
          <w:sz w:val="28"/>
          <w:szCs w:val="28"/>
        </w:rPr>
        <w:t xml:space="preserve">ов </w:t>
      </w:r>
      <w:r w:rsidR="001C6451" w:rsidRPr="00A43B9C">
        <w:rPr>
          <w:sz w:val="28"/>
          <w:szCs w:val="28"/>
        </w:rPr>
        <w:t>с гистологическ</w:t>
      </w:r>
      <w:r w:rsidR="00F71057" w:rsidRPr="00A43B9C">
        <w:rPr>
          <w:sz w:val="28"/>
          <w:szCs w:val="28"/>
        </w:rPr>
        <w:t xml:space="preserve">ой </w:t>
      </w:r>
      <w:r w:rsidR="001C6451" w:rsidRPr="00A43B9C">
        <w:rPr>
          <w:sz w:val="28"/>
          <w:szCs w:val="28"/>
        </w:rPr>
        <w:t>верифи</w:t>
      </w:r>
      <w:r w:rsidR="00F71057" w:rsidRPr="00A43B9C">
        <w:rPr>
          <w:sz w:val="28"/>
          <w:szCs w:val="28"/>
        </w:rPr>
        <w:t xml:space="preserve">кацией аденокарциномы </w:t>
      </w:r>
      <w:r w:rsidR="001C6451" w:rsidRPr="00A43B9C">
        <w:rPr>
          <w:sz w:val="28"/>
          <w:szCs w:val="28"/>
        </w:rPr>
        <w:t>(возраст 39-81; средний возраст 60 (</w:t>
      </w:r>
      <w:r w:rsidR="00AB51B0" w:rsidRPr="00A43B9C">
        <w:rPr>
          <w:sz w:val="28"/>
          <w:szCs w:val="28"/>
        </w:rPr>
        <w:t>МКИ</w:t>
      </w:r>
      <w:r w:rsidR="001C6451" w:rsidRPr="00A43B9C">
        <w:rPr>
          <w:sz w:val="28"/>
          <w:szCs w:val="28"/>
        </w:rPr>
        <w:t xml:space="preserve"> 55-68) лет; 46 </w:t>
      </w:r>
      <w:r w:rsidR="00A85288">
        <w:rPr>
          <w:sz w:val="28"/>
          <w:szCs w:val="28"/>
        </w:rPr>
        <w:t xml:space="preserve">(77%) </w:t>
      </w:r>
      <w:r w:rsidR="001C6451" w:rsidRPr="00A43B9C">
        <w:rPr>
          <w:sz w:val="28"/>
          <w:szCs w:val="28"/>
        </w:rPr>
        <w:t xml:space="preserve">женщин, 14 </w:t>
      </w:r>
      <w:r w:rsidR="00A85288">
        <w:rPr>
          <w:sz w:val="28"/>
          <w:szCs w:val="28"/>
        </w:rPr>
        <w:t xml:space="preserve">(23%) </w:t>
      </w:r>
      <w:r w:rsidR="001C6451" w:rsidRPr="00A43B9C">
        <w:rPr>
          <w:sz w:val="28"/>
          <w:szCs w:val="28"/>
        </w:rPr>
        <w:t xml:space="preserve">мужчин) после хирургического лечения и курсов схем химиотерапии </w:t>
      </w:r>
      <w:r w:rsidR="001C6451" w:rsidRPr="00A43B9C">
        <w:rPr>
          <w:sz w:val="28"/>
          <w:szCs w:val="28"/>
          <w:lang w:val="en-US"/>
        </w:rPr>
        <w:t>Folfiri</w:t>
      </w:r>
      <w:r w:rsidR="001C6451" w:rsidRPr="00A43B9C">
        <w:rPr>
          <w:sz w:val="28"/>
          <w:szCs w:val="28"/>
        </w:rPr>
        <w:t xml:space="preserve"> </w:t>
      </w:r>
      <w:r w:rsidR="001C6451" w:rsidRPr="00A43B9C">
        <w:rPr>
          <w:sz w:val="28"/>
          <w:szCs w:val="28"/>
          <w:lang w:val="en-US"/>
        </w:rPr>
        <w:t>and</w:t>
      </w:r>
      <w:r w:rsidR="001C6451" w:rsidRPr="00A43B9C">
        <w:rPr>
          <w:sz w:val="28"/>
          <w:szCs w:val="28"/>
        </w:rPr>
        <w:t xml:space="preserve"> </w:t>
      </w:r>
      <w:r w:rsidR="001C6451" w:rsidRPr="00A43B9C">
        <w:rPr>
          <w:sz w:val="28"/>
          <w:szCs w:val="28"/>
          <w:lang w:val="en-US"/>
        </w:rPr>
        <w:t>Folfox</w:t>
      </w:r>
      <w:r w:rsidR="001C6451" w:rsidRPr="00A43B9C">
        <w:rPr>
          <w:sz w:val="28"/>
          <w:szCs w:val="28"/>
        </w:rPr>
        <w:t xml:space="preserve"> </w:t>
      </w:r>
      <w:r w:rsidR="001C6451" w:rsidRPr="00A43B9C">
        <w:rPr>
          <w:rFonts w:eastAsia="TimesNewRomanPSMT"/>
          <w:sz w:val="28"/>
          <w:szCs w:val="28"/>
        </w:rPr>
        <w:t>в период с ноября 2015 г. по июнь 2021 г</w:t>
      </w:r>
      <w:r w:rsidR="001C6451" w:rsidRPr="00A43B9C">
        <w:rPr>
          <w:sz w:val="28"/>
          <w:szCs w:val="28"/>
        </w:rPr>
        <w:t>.</w:t>
      </w:r>
      <w:r w:rsidR="00497752" w:rsidRPr="00A43B9C">
        <w:rPr>
          <w:sz w:val="28"/>
          <w:szCs w:val="28"/>
        </w:rPr>
        <w:t xml:space="preserve"> </w:t>
      </w:r>
      <w:r w:rsidR="001C6451" w:rsidRPr="00A43B9C">
        <w:rPr>
          <w:sz w:val="28"/>
          <w:szCs w:val="28"/>
        </w:rPr>
        <w:t xml:space="preserve">Во время первоначального скрининга на соответствие критериям включения пациенты с гистологически не верифицированным диагнозом </w:t>
      </w:r>
      <w:r w:rsidR="00995E5C">
        <w:rPr>
          <w:sz w:val="28"/>
          <w:szCs w:val="28"/>
        </w:rPr>
        <w:t>колоректального рака</w:t>
      </w:r>
      <w:r w:rsidR="001C6451" w:rsidRPr="00A43B9C">
        <w:rPr>
          <w:sz w:val="28"/>
          <w:szCs w:val="28"/>
        </w:rPr>
        <w:t xml:space="preserve"> или с подтвержденными метастазами при базовом исследовании были исключены. Также исключены пациенты с сопутствующими </w:t>
      </w:r>
      <w:r w:rsidR="00AB51B0" w:rsidRPr="00A43B9C">
        <w:rPr>
          <w:sz w:val="28"/>
          <w:szCs w:val="28"/>
        </w:rPr>
        <w:t xml:space="preserve">другими </w:t>
      </w:r>
      <w:r w:rsidR="001C6451" w:rsidRPr="00A43B9C">
        <w:rPr>
          <w:sz w:val="28"/>
          <w:szCs w:val="28"/>
        </w:rPr>
        <w:t xml:space="preserve">видами рака. Классификация </w:t>
      </w:r>
      <w:r w:rsidR="001C6451" w:rsidRPr="00A43B9C">
        <w:rPr>
          <w:sz w:val="28"/>
          <w:szCs w:val="28"/>
          <w:lang w:val="en-US"/>
        </w:rPr>
        <w:t>TNM</w:t>
      </w:r>
      <w:r w:rsidR="001C6451" w:rsidRPr="00A43B9C">
        <w:rPr>
          <w:sz w:val="28"/>
          <w:szCs w:val="28"/>
        </w:rPr>
        <w:t xml:space="preserve"> вместе со стадиями </w:t>
      </w:r>
      <w:r w:rsidR="001C6451" w:rsidRPr="00A43B9C">
        <w:rPr>
          <w:sz w:val="28"/>
          <w:szCs w:val="28"/>
          <w:lang w:val="en-US"/>
        </w:rPr>
        <w:t>AJCC</w:t>
      </w:r>
      <w:r w:rsidR="00F00280" w:rsidRPr="00A43B9C">
        <w:rPr>
          <w:sz w:val="28"/>
          <w:szCs w:val="28"/>
        </w:rPr>
        <w:t xml:space="preserve"> </w:t>
      </w:r>
      <w:r w:rsidR="001C6451" w:rsidRPr="00A43B9C">
        <w:rPr>
          <w:sz w:val="28"/>
          <w:szCs w:val="28"/>
        </w:rPr>
        <w:t xml:space="preserve">набранных пациентов </w:t>
      </w:r>
      <w:r w:rsidR="001C6451" w:rsidRPr="00995E5C">
        <w:rPr>
          <w:sz w:val="28"/>
          <w:szCs w:val="28"/>
        </w:rPr>
        <w:t xml:space="preserve">представлена в таблице </w:t>
      </w:r>
      <w:r w:rsidR="00676870" w:rsidRPr="00995E5C">
        <w:rPr>
          <w:sz w:val="28"/>
          <w:szCs w:val="28"/>
        </w:rPr>
        <w:t>5</w:t>
      </w:r>
      <w:r w:rsidR="001C6451" w:rsidRPr="00995E5C">
        <w:rPr>
          <w:sz w:val="28"/>
          <w:szCs w:val="28"/>
        </w:rPr>
        <w:t xml:space="preserve">. </w:t>
      </w:r>
      <w:r w:rsidR="005454FA" w:rsidRPr="00995E5C">
        <w:rPr>
          <w:sz w:val="28"/>
          <w:szCs w:val="28"/>
        </w:rPr>
        <w:t>Как видно из таблицы 5, распределение пациентов по стадии Т была для Т</w:t>
      </w:r>
      <w:r w:rsidR="005454FA" w:rsidRPr="00995E5C">
        <w:rPr>
          <w:sz w:val="28"/>
          <w:szCs w:val="28"/>
          <w:vertAlign w:val="subscript"/>
        </w:rPr>
        <w:t>1</w:t>
      </w:r>
      <w:r w:rsidR="005454FA" w:rsidRPr="00995E5C">
        <w:rPr>
          <w:sz w:val="28"/>
          <w:szCs w:val="28"/>
        </w:rPr>
        <w:t xml:space="preserve"> – 1 (2%), для Т</w:t>
      </w:r>
      <w:r w:rsidR="005454FA" w:rsidRPr="00995E5C">
        <w:rPr>
          <w:sz w:val="28"/>
          <w:szCs w:val="28"/>
          <w:vertAlign w:val="subscript"/>
        </w:rPr>
        <w:t>2</w:t>
      </w:r>
      <w:r w:rsidR="005454FA" w:rsidRPr="00995E5C">
        <w:rPr>
          <w:sz w:val="28"/>
          <w:szCs w:val="28"/>
        </w:rPr>
        <w:t xml:space="preserve"> – 9 (15%), для Т</w:t>
      </w:r>
      <w:r w:rsidR="005454FA" w:rsidRPr="00995E5C">
        <w:rPr>
          <w:sz w:val="28"/>
          <w:szCs w:val="28"/>
          <w:vertAlign w:val="subscript"/>
        </w:rPr>
        <w:t>3</w:t>
      </w:r>
      <w:r w:rsidR="005454FA" w:rsidRPr="00995E5C">
        <w:rPr>
          <w:sz w:val="28"/>
          <w:szCs w:val="28"/>
        </w:rPr>
        <w:t xml:space="preserve"> – 28 (47%), для Т</w:t>
      </w:r>
      <w:r w:rsidR="005454FA" w:rsidRPr="00995E5C">
        <w:rPr>
          <w:sz w:val="28"/>
          <w:szCs w:val="28"/>
          <w:vertAlign w:val="subscript"/>
        </w:rPr>
        <w:t>4</w:t>
      </w:r>
      <w:r w:rsidR="005454FA" w:rsidRPr="00995E5C">
        <w:rPr>
          <w:sz w:val="28"/>
          <w:szCs w:val="28"/>
        </w:rPr>
        <w:t xml:space="preserve"> – 22 (37%). По стадии </w:t>
      </w:r>
      <w:r w:rsidR="005454FA" w:rsidRPr="00995E5C">
        <w:rPr>
          <w:sz w:val="28"/>
          <w:szCs w:val="28"/>
          <w:lang w:val="en-US"/>
        </w:rPr>
        <w:t>N</w:t>
      </w:r>
      <w:r w:rsidR="005454FA" w:rsidRPr="00995E5C">
        <w:rPr>
          <w:sz w:val="28"/>
          <w:szCs w:val="28"/>
        </w:rPr>
        <w:t xml:space="preserve"> показала для </w:t>
      </w:r>
      <w:r w:rsidR="005454FA" w:rsidRPr="00995E5C">
        <w:rPr>
          <w:sz w:val="28"/>
          <w:szCs w:val="28"/>
          <w:lang w:val="en-US"/>
        </w:rPr>
        <w:t>N</w:t>
      </w:r>
      <w:r w:rsidR="005454FA" w:rsidRPr="00995E5C">
        <w:rPr>
          <w:sz w:val="28"/>
          <w:szCs w:val="28"/>
          <w:vertAlign w:val="subscript"/>
        </w:rPr>
        <w:t>0</w:t>
      </w:r>
      <w:r w:rsidR="005454FA" w:rsidRPr="00995E5C">
        <w:rPr>
          <w:sz w:val="28"/>
          <w:szCs w:val="28"/>
        </w:rPr>
        <w:t xml:space="preserve"> – 21 (35%), </w:t>
      </w:r>
      <w:r w:rsidR="005454FA" w:rsidRPr="00995E5C">
        <w:rPr>
          <w:sz w:val="28"/>
          <w:szCs w:val="28"/>
          <w:lang w:val="en-US"/>
        </w:rPr>
        <w:t>N</w:t>
      </w:r>
      <w:r w:rsidR="005454FA" w:rsidRPr="00995E5C">
        <w:rPr>
          <w:sz w:val="28"/>
          <w:szCs w:val="28"/>
          <w:vertAlign w:val="subscript"/>
        </w:rPr>
        <w:t>1</w:t>
      </w:r>
      <w:r w:rsidR="005454FA" w:rsidRPr="00995E5C">
        <w:rPr>
          <w:sz w:val="28"/>
          <w:szCs w:val="28"/>
        </w:rPr>
        <w:t xml:space="preserve"> – 21 (35%), </w:t>
      </w:r>
      <w:r w:rsidR="005454FA" w:rsidRPr="00995E5C">
        <w:rPr>
          <w:sz w:val="28"/>
          <w:szCs w:val="28"/>
          <w:lang w:val="en-US"/>
        </w:rPr>
        <w:t>N</w:t>
      </w:r>
      <w:r w:rsidR="005454FA" w:rsidRPr="00995E5C">
        <w:rPr>
          <w:sz w:val="28"/>
          <w:szCs w:val="28"/>
          <w:vertAlign w:val="subscript"/>
          <w:lang w:val="en-US"/>
        </w:rPr>
        <w:t>x</w:t>
      </w:r>
      <w:r w:rsidR="005454FA" w:rsidRPr="00995E5C">
        <w:rPr>
          <w:sz w:val="28"/>
          <w:szCs w:val="28"/>
        </w:rPr>
        <w:t xml:space="preserve"> – 18 (30%) пациентов, а для стадии М</w:t>
      </w:r>
      <w:r w:rsidR="005454FA" w:rsidRPr="00995E5C">
        <w:rPr>
          <w:sz w:val="28"/>
          <w:szCs w:val="28"/>
          <w:vertAlign w:val="subscript"/>
        </w:rPr>
        <w:t>0</w:t>
      </w:r>
      <w:r w:rsidR="005454FA" w:rsidRPr="00995E5C">
        <w:rPr>
          <w:sz w:val="28"/>
          <w:szCs w:val="28"/>
        </w:rPr>
        <w:t xml:space="preserve"> – 60 (100%) пациентов. Пациенты с </w:t>
      </w:r>
      <w:r w:rsidR="005454FA" w:rsidRPr="00995E5C">
        <w:rPr>
          <w:sz w:val="28"/>
          <w:szCs w:val="28"/>
          <w:lang w:val="en-US"/>
        </w:rPr>
        <w:t>IV</w:t>
      </w:r>
      <w:r w:rsidR="005454FA" w:rsidRPr="00995E5C">
        <w:rPr>
          <w:sz w:val="28"/>
          <w:szCs w:val="28"/>
        </w:rPr>
        <w:t xml:space="preserve"> стадией по </w:t>
      </w:r>
      <w:r w:rsidR="005454FA" w:rsidRPr="00995E5C">
        <w:rPr>
          <w:sz w:val="28"/>
          <w:szCs w:val="28"/>
          <w:lang w:val="en-US"/>
        </w:rPr>
        <w:t>AJCC</w:t>
      </w:r>
      <w:r w:rsidR="005454FA" w:rsidRPr="00995E5C">
        <w:rPr>
          <w:sz w:val="28"/>
          <w:szCs w:val="28"/>
        </w:rPr>
        <w:t xml:space="preserve"> отсутствовали, тогда как </w:t>
      </w:r>
      <w:r w:rsidR="005454FA" w:rsidRPr="00995E5C">
        <w:rPr>
          <w:sz w:val="28"/>
          <w:szCs w:val="28"/>
          <w:lang w:val="en-US"/>
        </w:rPr>
        <w:t>I</w:t>
      </w:r>
      <w:r w:rsidR="005454FA" w:rsidRPr="00995E5C">
        <w:rPr>
          <w:sz w:val="28"/>
          <w:szCs w:val="28"/>
        </w:rPr>
        <w:t xml:space="preserve"> стадия составляла 2 (3%), </w:t>
      </w:r>
      <w:r w:rsidR="005454FA" w:rsidRPr="00995E5C">
        <w:rPr>
          <w:sz w:val="28"/>
          <w:szCs w:val="28"/>
          <w:lang w:val="en-US"/>
        </w:rPr>
        <w:t>II</w:t>
      </w:r>
      <w:r w:rsidR="005454FA" w:rsidRPr="00995E5C">
        <w:rPr>
          <w:sz w:val="28"/>
          <w:szCs w:val="28"/>
        </w:rPr>
        <w:t xml:space="preserve"> стадия - 31 (52%) и </w:t>
      </w:r>
      <w:r w:rsidR="005454FA" w:rsidRPr="00995E5C">
        <w:rPr>
          <w:sz w:val="28"/>
          <w:szCs w:val="28"/>
          <w:lang w:val="en-US"/>
        </w:rPr>
        <w:t>III</w:t>
      </w:r>
      <w:r w:rsidR="005454FA" w:rsidRPr="00995E5C">
        <w:rPr>
          <w:sz w:val="28"/>
          <w:szCs w:val="28"/>
        </w:rPr>
        <w:t xml:space="preserve"> стадия – 27 (45%) пациентов. В то время как аденокарцинома была выявлена у 60 (100%), среди которых </w:t>
      </w:r>
      <w:r w:rsidR="005454FA" w:rsidRPr="00995E5C">
        <w:rPr>
          <w:bCs/>
          <w:iCs/>
          <w:sz w:val="28"/>
          <w:szCs w:val="28"/>
        </w:rPr>
        <w:t xml:space="preserve">доля высокодифференцированных составила 31 (52%), недифференцированных – 1 (2%), низкодифференцированных – 8 (13%), умеренно-дифференцированных – 20 (33%) от общего количества пациентов. </w:t>
      </w:r>
      <w:r w:rsidR="005454FA" w:rsidRPr="00995E5C">
        <w:rPr>
          <w:sz w:val="28"/>
          <w:szCs w:val="28"/>
        </w:rPr>
        <w:t>По локализации первичная опухоль находилась в ободочной (17 (85%) лиц женского пола, 3 (15%) лиц мужского пола), сигмовидной (16 (84%) лиц женского пола, 3 (16%) лиц мужского пола) и прямой (13 (62%) лиц женского пола, 8 (38%) лиц мужского пола) кишках, данные которых представлены на рисунке 3.</w:t>
      </w:r>
      <w:r w:rsidR="00D12CD6" w:rsidRPr="00995E5C">
        <w:rPr>
          <w:sz w:val="28"/>
          <w:szCs w:val="28"/>
        </w:rPr>
        <w:t xml:space="preserve"> </w:t>
      </w:r>
      <w:r w:rsidR="001C6451" w:rsidRPr="00995E5C">
        <w:rPr>
          <w:sz w:val="28"/>
          <w:szCs w:val="28"/>
        </w:rPr>
        <w:t xml:space="preserve">Следует отметить, что пациенты были разделены на </w:t>
      </w:r>
      <w:r w:rsidR="001C6451" w:rsidRPr="00995E5C">
        <w:rPr>
          <w:sz w:val="28"/>
          <w:szCs w:val="28"/>
          <w:lang w:val="en-US"/>
        </w:rPr>
        <w:t>AJCC</w:t>
      </w:r>
      <w:r w:rsidR="001C6451" w:rsidRPr="00995E5C">
        <w:rPr>
          <w:sz w:val="28"/>
          <w:szCs w:val="28"/>
        </w:rPr>
        <w:t xml:space="preserve"> стадии при их базовом (исходном</w:t>
      </w:r>
      <w:r w:rsidR="001C6451" w:rsidRPr="00A43B9C">
        <w:rPr>
          <w:sz w:val="28"/>
          <w:szCs w:val="28"/>
        </w:rPr>
        <w:t xml:space="preserve">) обследовании, после чего они </w:t>
      </w:r>
      <w:r w:rsidR="00AB51B0" w:rsidRPr="00A43B9C">
        <w:rPr>
          <w:sz w:val="28"/>
          <w:szCs w:val="28"/>
        </w:rPr>
        <w:t xml:space="preserve">прошли </w:t>
      </w:r>
      <w:r w:rsidR="001C6451" w:rsidRPr="00A43B9C">
        <w:rPr>
          <w:sz w:val="28"/>
          <w:szCs w:val="28"/>
        </w:rPr>
        <w:t>базово</w:t>
      </w:r>
      <w:r w:rsidR="00AB51B0" w:rsidRPr="00A43B9C">
        <w:rPr>
          <w:sz w:val="28"/>
          <w:szCs w:val="28"/>
        </w:rPr>
        <w:t>е</w:t>
      </w:r>
      <w:r w:rsidR="001C6451" w:rsidRPr="00A43B9C">
        <w:rPr>
          <w:sz w:val="28"/>
          <w:szCs w:val="28"/>
        </w:rPr>
        <w:t xml:space="preserve"> (исходно</w:t>
      </w:r>
      <w:r w:rsidR="00AB51B0" w:rsidRPr="00A43B9C">
        <w:rPr>
          <w:sz w:val="28"/>
          <w:szCs w:val="28"/>
        </w:rPr>
        <w:t>е</w:t>
      </w:r>
      <w:r w:rsidR="001C6451" w:rsidRPr="00A43B9C">
        <w:rPr>
          <w:sz w:val="28"/>
          <w:szCs w:val="28"/>
        </w:rPr>
        <w:t xml:space="preserve">) </w:t>
      </w:r>
      <w:r w:rsidR="001C6451" w:rsidRPr="00A43B9C">
        <w:rPr>
          <w:sz w:val="28"/>
          <w:szCs w:val="28"/>
          <w:vertAlign w:val="superscript"/>
        </w:rPr>
        <w:t>18</w:t>
      </w:r>
      <w:r w:rsidR="001C6451" w:rsidRPr="00A43B9C">
        <w:rPr>
          <w:sz w:val="28"/>
          <w:szCs w:val="28"/>
          <w:lang w:val="en-US"/>
        </w:rPr>
        <w:t>F</w:t>
      </w:r>
      <w:r w:rsidR="001C6451" w:rsidRPr="00A43B9C">
        <w:rPr>
          <w:sz w:val="28"/>
          <w:szCs w:val="28"/>
        </w:rPr>
        <w:t>-</w:t>
      </w:r>
      <w:r w:rsidR="001C6451" w:rsidRPr="00A43B9C">
        <w:rPr>
          <w:sz w:val="28"/>
          <w:szCs w:val="28"/>
          <w:lang w:val="en-US"/>
        </w:rPr>
        <w:t>FDG</w:t>
      </w:r>
      <w:r w:rsidR="001C6451" w:rsidRPr="00A43B9C">
        <w:rPr>
          <w:sz w:val="28"/>
          <w:szCs w:val="28"/>
        </w:rPr>
        <w:t xml:space="preserve"> ПЭТ/КТ исследовани</w:t>
      </w:r>
      <w:r w:rsidR="00AB51B0" w:rsidRPr="00A43B9C">
        <w:rPr>
          <w:sz w:val="28"/>
          <w:szCs w:val="28"/>
        </w:rPr>
        <w:t>е</w:t>
      </w:r>
      <w:r w:rsidR="001C6451" w:rsidRPr="00A43B9C">
        <w:rPr>
          <w:sz w:val="28"/>
          <w:szCs w:val="28"/>
        </w:rPr>
        <w:t xml:space="preserve">. К моменту проведения базового (исходного) </w:t>
      </w:r>
      <w:r w:rsidR="001C6451" w:rsidRPr="00A43B9C">
        <w:rPr>
          <w:sz w:val="28"/>
          <w:szCs w:val="28"/>
          <w:vertAlign w:val="superscript"/>
        </w:rPr>
        <w:t>18</w:t>
      </w:r>
      <w:r w:rsidR="001C6451" w:rsidRPr="00A43B9C">
        <w:rPr>
          <w:sz w:val="28"/>
          <w:szCs w:val="28"/>
          <w:lang w:val="en-US"/>
        </w:rPr>
        <w:t>F</w:t>
      </w:r>
      <w:r w:rsidR="001C6451" w:rsidRPr="00A43B9C">
        <w:rPr>
          <w:sz w:val="28"/>
          <w:szCs w:val="28"/>
        </w:rPr>
        <w:t>-</w:t>
      </w:r>
      <w:r w:rsidR="001C6451" w:rsidRPr="00A43B9C">
        <w:rPr>
          <w:sz w:val="28"/>
          <w:szCs w:val="28"/>
          <w:lang w:val="en-US"/>
        </w:rPr>
        <w:t>FDG</w:t>
      </w:r>
      <w:r w:rsidR="001C6451" w:rsidRPr="00A43B9C">
        <w:rPr>
          <w:sz w:val="28"/>
          <w:szCs w:val="28"/>
        </w:rPr>
        <w:t xml:space="preserve"> ПЭТ/КТ исследования, как они завершили свое лечение, не было никаких признаков рака или метастаза и, этот базовый ПЭТ/КТ считался как </w:t>
      </w:r>
      <w:r w:rsidR="00CA4B85">
        <w:rPr>
          <w:sz w:val="28"/>
          <w:szCs w:val="28"/>
        </w:rPr>
        <w:t>нулевой</w:t>
      </w:r>
      <w:r w:rsidR="001C6451" w:rsidRPr="00A43B9C">
        <w:rPr>
          <w:sz w:val="28"/>
          <w:szCs w:val="28"/>
        </w:rPr>
        <w:t xml:space="preserve"> день исследования (начало исследования).</w:t>
      </w:r>
    </w:p>
    <w:p w14:paraId="55E23AAF" w14:textId="58A1DB64" w:rsidR="001C6451" w:rsidRPr="00A43B9C" w:rsidRDefault="001C6451" w:rsidP="001C6451">
      <w:pPr>
        <w:pStyle w:val="p"/>
        <w:spacing w:before="0" w:beforeAutospacing="0" w:after="0" w:afterAutospacing="0"/>
        <w:ind w:firstLine="709"/>
        <w:jc w:val="both"/>
        <w:rPr>
          <w:sz w:val="28"/>
          <w:szCs w:val="28"/>
        </w:rPr>
      </w:pPr>
      <w:r w:rsidRPr="00A43B9C">
        <w:rPr>
          <w:sz w:val="28"/>
          <w:szCs w:val="28"/>
        </w:rPr>
        <w:t xml:space="preserve">Пациентам было проведено </w:t>
      </w:r>
      <w:r w:rsidRPr="00A43B9C">
        <w:rPr>
          <w:sz w:val="28"/>
          <w:szCs w:val="28"/>
          <w:vertAlign w:val="superscript"/>
        </w:rPr>
        <w:t>18</w:t>
      </w:r>
      <w:r w:rsidRPr="00A43B9C">
        <w:rPr>
          <w:sz w:val="28"/>
          <w:szCs w:val="28"/>
          <w:lang w:val="en-US"/>
        </w:rPr>
        <w:t>F</w:t>
      </w:r>
      <w:r w:rsidRPr="00A43B9C">
        <w:rPr>
          <w:sz w:val="28"/>
          <w:szCs w:val="28"/>
        </w:rPr>
        <w:t>-</w:t>
      </w:r>
      <w:r w:rsidRPr="00A43B9C">
        <w:rPr>
          <w:sz w:val="28"/>
          <w:szCs w:val="28"/>
          <w:lang w:val="en-US"/>
        </w:rPr>
        <w:t>FDG</w:t>
      </w:r>
      <w:r w:rsidRPr="00A43B9C">
        <w:rPr>
          <w:sz w:val="28"/>
          <w:szCs w:val="28"/>
        </w:rPr>
        <w:t xml:space="preserve"> ПЭТ/КТ </w:t>
      </w:r>
      <w:r w:rsidR="00AB51B0" w:rsidRPr="00A43B9C">
        <w:rPr>
          <w:sz w:val="28"/>
          <w:szCs w:val="28"/>
        </w:rPr>
        <w:t xml:space="preserve">исследование </w:t>
      </w:r>
      <w:r w:rsidRPr="00A43B9C">
        <w:rPr>
          <w:sz w:val="28"/>
          <w:szCs w:val="28"/>
        </w:rPr>
        <w:t xml:space="preserve">на момент первоначальной регистрации, а затем еще раз на последующем медицинском осмотре, который был запланирован минимум через шесть месяцев или более (медиана 12, </w:t>
      </w:r>
      <w:r w:rsidR="00AB51B0" w:rsidRPr="00A43B9C">
        <w:rPr>
          <w:sz w:val="28"/>
          <w:szCs w:val="28"/>
        </w:rPr>
        <w:t xml:space="preserve">МКИ </w:t>
      </w:r>
      <w:r w:rsidRPr="00A43B9C">
        <w:rPr>
          <w:sz w:val="28"/>
          <w:szCs w:val="28"/>
        </w:rPr>
        <w:t xml:space="preserve">6-40) после базового обследования. Все изображения были восстановлены с помощью специальных рабочих станций и программного </w:t>
      </w:r>
      <w:r w:rsidRPr="00A43B9C">
        <w:rPr>
          <w:sz w:val="28"/>
          <w:szCs w:val="28"/>
        </w:rPr>
        <w:lastRenderedPageBreak/>
        <w:t>обеспечения. Данные пациентов были анонимными и зашифрованными, т.к. имели конфиденциальный характер до начала первичных исследований.</w:t>
      </w:r>
    </w:p>
    <w:p w14:paraId="62F23FB6" w14:textId="244C582D" w:rsidR="001C6451" w:rsidRDefault="001C6451" w:rsidP="001C6451">
      <w:pPr>
        <w:pStyle w:val="p"/>
        <w:spacing w:before="0" w:beforeAutospacing="0" w:after="0" w:afterAutospacing="0"/>
        <w:ind w:firstLine="708"/>
        <w:jc w:val="both"/>
        <w:rPr>
          <w:rFonts w:eastAsia="TimesNewRomanPSMT"/>
          <w:sz w:val="28"/>
          <w:szCs w:val="28"/>
        </w:rPr>
      </w:pPr>
    </w:p>
    <w:p w14:paraId="028317CA" w14:textId="5742A2EC" w:rsidR="001C6451" w:rsidRPr="00A43B9C" w:rsidRDefault="001C6451" w:rsidP="00D12CD6">
      <w:pPr>
        <w:pStyle w:val="p"/>
        <w:spacing w:before="0" w:beforeAutospacing="0" w:after="0" w:afterAutospacing="0"/>
        <w:jc w:val="both"/>
        <w:rPr>
          <w:bCs/>
          <w:sz w:val="28"/>
          <w:szCs w:val="28"/>
        </w:rPr>
      </w:pPr>
      <w:r w:rsidRPr="00A43B9C">
        <w:rPr>
          <w:sz w:val="28"/>
          <w:szCs w:val="28"/>
        </w:rPr>
        <w:t xml:space="preserve">Таблица </w:t>
      </w:r>
      <w:r w:rsidR="00676870" w:rsidRPr="00A43B9C">
        <w:rPr>
          <w:sz w:val="28"/>
          <w:szCs w:val="28"/>
        </w:rPr>
        <w:t>5</w:t>
      </w:r>
      <w:r w:rsidR="000A6F86" w:rsidRPr="00A43B9C">
        <w:rPr>
          <w:sz w:val="28"/>
          <w:szCs w:val="28"/>
        </w:rPr>
        <w:t xml:space="preserve"> - </w:t>
      </w:r>
      <w:r w:rsidRPr="00A43B9C">
        <w:rPr>
          <w:bCs/>
          <w:sz w:val="28"/>
          <w:szCs w:val="28"/>
        </w:rPr>
        <w:t>Общая характеристика первичных (исходных) пациентов</w:t>
      </w:r>
    </w:p>
    <w:p w14:paraId="61E6793C" w14:textId="77777777" w:rsidR="00D12CD6" w:rsidRPr="00A43B9C" w:rsidRDefault="00D12CD6" w:rsidP="00D12CD6">
      <w:pPr>
        <w:pStyle w:val="p"/>
        <w:spacing w:before="0" w:beforeAutospacing="0" w:after="0" w:afterAutospacing="0"/>
        <w:jc w:val="both"/>
        <w:rPr>
          <w:bCs/>
          <w:sz w:val="28"/>
          <w:szCs w:val="28"/>
        </w:rPr>
      </w:pPr>
    </w:p>
    <w:tbl>
      <w:tblPr>
        <w:tblStyle w:val="ad"/>
        <w:tblW w:w="5000" w:type="pct"/>
        <w:jc w:val="center"/>
        <w:tblLayout w:type="fixed"/>
        <w:tblLook w:val="04A0" w:firstRow="1" w:lastRow="0" w:firstColumn="1" w:lastColumn="0" w:noHBand="0" w:noVBand="1"/>
      </w:tblPr>
      <w:tblGrid>
        <w:gridCol w:w="1610"/>
        <w:gridCol w:w="884"/>
        <w:gridCol w:w="1045"/>
        <w:gridCol w:w="908"/>
        <w:gridCol w:w="908"/>
        <w:gridCol w:w="908"/>
        <w:gridCol w:w="908"/>
        <w:gridCol w:w="2173"/>
      </w:tblGrid>
      <w:tr w:rsidR="001C6451" w:rsidRPr="00A43B9C" w14:paraId="7E3E8DAA" w14:textId="77777777" w:rsidTr="00F87FE6">
        <w:trPr>
          <w:jc w:val="center"/>
        </w:trPr>
        <w:tc>
          <w:tcPr>
            <w:tcW w:w="861" w:type="pct"/>
            <w:vAlign w:val="center"/>
          </w:tcPr>
          <w:p w14:paraId="7A345EB8"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PTL</w:t>
            </w:r>
          </w:p>
        </w:tc>
        <w:tc>
          <w:tcPr>
            <w:tcW w:w="473" w:type="pct"/>
            <w:vAlign w:val="center"/>
          </w:tcPr>
          <w:p w14:paraId="4622BDD8"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Пол</w:t>
            </w:r>
            <w:r w:rsidRPr="00A43B9C">
              <w:rPr>
                <w:rFonts w:ascii="Times New Roman" w:hAnsi="Times New Roman" w:cs="Times New Roman"/>
                <w:sz w:val="28"/>
                <w:szCs w:val="28"/>
                <w:lang w:val="en-US"/>
              </w:rPr>
              <w:t xml:space="preserve"> (</w:t>
            </w:r>
            <w:r w:rsidRPr="00A43B9C">
              <w:rPr>
                <w:rFonts w:ascii="Times New Roman" w:hAnsi="Times New Roman" w:cs="Times New Roman"/>
                <w:sz w:val="28"/>
                <w:szCs w:val="28"/>
              </w:rPr>
              <w:t>Ж</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М</w:t>
            </w:r>
            <w:r w:rsidRPr="00A43B9C">
              <w:rPr>
                <w:rFonts w:ascii="Times New Roman" w:hAnsi="Times New Roman" w:cs="Times New Roman"/>
                <w:sz w:val="28"/>
                <w:szCs w:val="28"/>
                <w:lang w:val="en-US"/>
              </w:rPr>
              <w:t>) (n)</w:t>
            </w:r>
          </w:p>
        </w:tc>
        <w:tc>
          <w:tcPr>
            <w:tcW w:w="559" w:type="pct"/>
            <w:vAlign w:val="center"/>
          </w:tcPr>
          <w:p w14:paraId="3DD9E1C2"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Возраст</w:t>
            </w:r>
            <w:r w:rsidRPr="00A43B9C">
              <w:rPr>
                <w:rFonts w:ascii="Times New Roman" w:hAnsi="Times New Roman" w:cs="Times New Roman"/>
                <w:sz w:val="28"/>
                <w:szCs w:val="28"/>
                <w:lang w:val="en-US"/>
              </w:rPr>
              <w:t xml:space="preserve"> (Me)</w:t>
            </w:r>
          </w:p>
        </w:tc>
        <w:tc>
          <w:tcPr>
            <w:tcW w:w="486" w:type="pct"/>
            <w:vAlign w:val="center"/>
          </w:tcPr>
          <w:p w14:paraId="6AB6A498" w14:textId="77777777" w:rsidR="001C6451" w:rsidRPr="00A43B9C" w:rsidRDefault="001C6451"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T</w:t>
            </w:r>
            <w:r w:rsidRPr="00A43B9C">
              <w:rPr>
                <w:rFonts w:ascii="Times New Roman" w:hAnsi="Times New Roman" w:cs="Times New Roman"/>
                <w:sz w:val="28"/>
                <w:szCs w:val="28"/>
              </w:rPr>
              <w:t xml:space="preserve"> стадия</w:t>
            </w:r>
            <w:r w:rsidRPr="00A43B9C">
              <w:rPr>
                <w:rFonts w:ascii="Times New Roman" w:hAnsi="Times New Roman" w:cs="Times New Roman"/>
                <w:sz w:val="28"/>
                <w:szCs w:val="28"/>
                <w:lang w:val="en-US"/>
              </w:rPr>
              <w:t xml:space="preserve"> </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n</w:t>
            </w:r>
            <w:r w:rsidRPr="00A43B9C">
              <w:rPr>
                <w:rFonts w:ascii="Times New Roman" w:hAnsi="Times New Roman" w:cs="Times New Roman"/>
                <w:sz w:val="28"/>
                <w:szCs w:val="28"/>
              </w:rPr>
              <w:t>)</w:t>
            </w:r>
          </w:p>
        </w:tc>
        <w:tc>
          <w:tcPr>
            <w:tcW w:w="486" w:type="pct"/>
            <w:vAlign w:val="center"/>
          </w:tcPr>
          <w:p w14:paraId="7BD5423E"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 xml:space="preserve">N </w:t>
            </w:r>
            <w:r w:rsidRPr="00A43B9C">
              <w:rPr>
                <w:rFonts w:ascii="Times New Roman" w:hAnsi="Times New Roman" w:cs="Times New Roman"/>
                <w:sz w:val="28"/>
                <w:szCs w:val="28"/>
              </w:rPr>
              <w:t>стадия</w:t>
            </w:r>
            <w:r w:rsidRPr="00A43B9C">
              <w:rPr>
                <w:rFonts w:ascii="Times New Roman" w:hAnsi="Times New Roman" w:cs="Times New Roman"/>
                <w:sz w:val="28"/>
                <w:szCs w:val="28"/>
                <w:lang w:val="en-US"/>
              </w:rPr>
              <w:t xml:space="preserve"> (n)</w:t>
            </w:r>
          </w:p>
        </w:tc>
        <w:tc>
          <w:tcPr>
            <w:tcW w:w="486" w:type="pct"/>
            <w:vAlign w:val="center"/>
          </w:tcPr>
          <w:p w14:paraId="3F5B3B5C"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 xml:space="preserve">M </w:t>
            </w:r>
            <w:r w:rsidRPr="00A43B9C">
              <w:rPr>
                <w:rFonts w:ascii="Times New Roman" w:hAnsi="Times New Roman" w:cs="Times New Roman"/>
                <w:sz w:val="28"/>
                <w:szCs w:val="28"/>
              </w:rPr>
              <w:t>стадия</w:t>
            </w:r>
            <w:r w:rsidRPr="00A43B9C">
              <w:rPr>
                <w:rFonts w:ascii="Times New Roman" w:hAnsi="Times New Roman" w:cs="Times New Roman"/>
                <w:sz w:val="28"/>
                <w:szCs w:val="28"/>
                <w:lang w:val="en-US"/>
              </w:rPr>
              <w:t xml:space="preserve"> (n)</w:t>
            </w:r>
          </w:p>
        </w:tc>
        <w:tc>
          <w:tcPr>
            <w:tcW w:w="486" w:type="pct"/>
            <w:vAlign w:val="center"/>
          </w:tcPr>
          <w:p w14:paraId="2A01158F"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 xml:space="preserve">AJCC </w:t>
            </w:r>
            <w:r w:rsidRPr="00A43B9C">
              <w:rPr>
                <w:rFonts w:ascii="Times New Roman" w:hAnsi="Times New Roman" w:cs="Times New Roman"/>
                <w:sz w:val="28"/>
                <w:szCs w:val="28"/>
              </w:rPr>
              <w:t>стадия</w:t>
            </w:r>
            <w:r w:rsidRPr="00A43B9C">
              <w:rPr>
                <w:rFonts w:ascii="Times New Roman" w:hAnsi="Times New Roman" w:cs="Times New Roman"/>
                <w:sz w:val="28"/>
                <w:szCs w:val="28"/>
                <w:lang w:val="en-US"/>
              </w:rPr>
              <w:t xml:space="preserve"> (n)</w:t>
            </w:r>
          </w:p>
        </w:tc>
        <w:tc>
          <w:tcPr>
            <w:tcW w:w="1161" w:type="pct"/>
            <w:vAlign w:val="center"/>
          </w:tcPr>
          <w:p w14:paraId="06A4E053"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 xml:space="preserve">Гистология </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Аденокарцинома</w:t>
            </w:r>
            <w:r w:rsidRPr="00A43B9C">
              <w:rPr>
                <w:rFonts w:ascii="Times New Roman" w:hAnsi="Times New Roman" w:cs="Times New Roman"/>
                <w:sz w:val="28"/>
                <w:szCs w:val="28"/>
                <w:lang w:val="en-US"/>
              </w:rPr>
              <w:t>) (n)</w:t>
            </w:r>
          </w:p>
        </w:tc>
      </w:tr>
      <w:tr w:rsidR="001C6451" w:rsidRPr="00A43B9C" w14:paraId="379C3989" w14:textId="77777777" w:rsidTr="00F87FE6">
        <w:trPr>
          <w:jc w:val="center"/>
        </w:trPr>
        <w:tc>
          <w:tcPr>
            <w:tcW w:w="861" w:type="pct"/>
            <w:vAlign w:val="center"/>
          </w:tcPr>
          <w:p w14:paraId="40CDB7D5" w14:textId="77777777" w:rsidR="001C6451" w:rsidRPr="00A43B9C" w:rsidRDefault="001C6451"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Ободочная кишка</w:t>
            </w:r>
          </w:p>
        </w:tc>
        <w:tc>
          <w:tcPr>
            <w:tcW w:w="473" w:type="pct"/>
            <w:vAlign w:val="center"/>
          </w:tcPr>
          <w:p w14:paraId="2F1230A2"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17</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3</w:t>
            </w:r>
          </w:p>
        </w:tc>
        <w:tc>
          <w:tcPr>
            <w:tcW w:w="559" w:type="pct"/>
            <w:vAlign w:val="center"/>
          </w:tcPr>
          <w:p w14:paraId="67E090EA" w14:textId="77777777" w:rsidR="001C6451" w:rsidRPr="00A43B9C" w:rsidRDefault="001C6451"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60</w:t>
            </w:r>
          </w:p>
        </w:tc>
        <w:tc>
          <w:tcPr>
            <w:tcW w:w="486" w:type="pct"/>
            <w:vAlign w:val="center"/>
          </w:tcPr>
          <w:p w14:paraId="2D244796" w14:textId="77777777" w:rsidR="001C6451" w:rsidRPr="00A43B9C" w:rsidRDefault="001C6451"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T</w:t>
            </w:r>
            <w:r w:rsidRPr="00A43B9C">
              <w:rPr>
                <w:rFonts w:ascii="Times New Roman" w:hAnsi="Times New Roman" w:cs="Times New Roman"/>
                <w:sz w:val="28"/>
                <w:szCs w:val="28"/>
                <w:vertAlign w:val="subscript"/>
                <w:lang w:val="en-US"/>
              </w:rPr>
              <w:t>1</w:t>
            </w:r>
            <w:r w:rsidRPr="00A43B9C">
              <w:rPr>
                <w:rFonts w:ascii="Times New Roman" w:hAnsi="Times New Roman" w:cs="Times New Roman"/>
                <w:sz w:val="28"/>
                <w:szCs w:val="28"/>
                <w:lang w:val="en-US"/>
              </w:rPr>
              <w:t xml:space="preserve"> – 1</w:t>
            </w:r>
          </w:p>
          <w:p w14:paraId="63DB1284" w14:textId="77777777" w:rsidR="001C6451" w:rsidRPr="00A43B9C" w:rsidRDefault="001C6451"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rPr>
              <w:t>Т</w:t>
            </w:r>
            <w:r w:rsidRPr="00A43B9C">
              <w:rPr>
                <w:rFonts w:ascii="Times New Roman" w:hAnsi="Times New Roman" w:cs="Times New Roman"/>
                <w:sz w:val="28"/>
                <w:szCs w:val="28"/>
                <w:vertAlign w:val="subscript"/>
                <w:lang w:val="en-US"/>
              </w:rPr>
              <w:t>2</w:t>
            </w:r>
            <w:r w:rsidRPr="00A43B9C">
              <w:rPr>
                <w:rFonts w:ascii="Times New Roman" w:hAnsi="Times New Roman" w:cs="Times New Roman"/>
                <w:sz w:val="28"/>
                <w:szCs w:val="28"/>
                <w:lang w:val="en-US"/>
              </w:rPr>
              <w:t xml:space="preserve"> - 2</w:t>
            </w:r>
          </w:p>
          <w:p w14:paraId="666247AA" w14:textId="77777777" w:rsidR="001C6451" w:rsidRPr="00A43B9C" w:rsidRDefault="001C6451"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rPr>
              <w:t>Т</w:t>
            </w:r>
            <w:r w:rsidRPr="00A43B9C">
              <w:rPr>
                <w:rFonts w:ascii="Times New Roman" w:hAnsi="Times New Roman" w:cs="Times New Roman"/>
                <w:sz w:val="28"/>
                <w:szCs w:val="28"/>
                <w:vertAlign w:val="subscript"/>
                <w:lang w:val="en-US"/>
              </w:rPr>
              <w:t>3</w:t>
            </w:r>
            <w:r w:rsidRPr="00A43B9C">
              <w:rPr>
                <w:rFonts w:ascii="Times New Roman" w:hAnsi="Times New Roman" w:cs="Times New Roman"/>
                <w:sz w:val="28"/>
                <w:szCs w:val="28"/>
                <w:lang w:val="en-US"/>
              </w:rPr>
              <w:t xml:space="preserve"> - </w:t>
            </w:r>
            <w:r w:rsidRPr="00A43B9C">
              <w:rPr>
                <w:rFonts w:ascii="Times New Roman" w:hAnsi="Times New Roman" w:cs="Times New Roman"/>
                <w:sz w:val="28"/>
                <w:szCs w:val="28"/>
              </w:rPr>
              <w:t>4</w:t>
            </w:r>
          </w:p>
          <w:p w14:paraId="63642C4F" w14:textId="77777777" w:rsidR="001C6451" w:rsidRPr="00A43B9C" w:rsidRDefault="001C6451"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rPr>
              <w:t>Т</w:t>
            </w:r>
            <w:r w:rsidRPr="00A43B9C">
              <w:rPr>
                <w:rFonts w:ascii="Times New Roman" w:hAnsi="Times New Roman" w:cs="Times New Roman"/>
                <w:sz w:val="28"/>
                <w:szCs w:val="28"/>
                <w:vertAlign w:val="subscript"/>
                <w:lang w:val="en-US"/>
              </w:rPr>
              <w:t>4</w:t>
            </w:r>
            <w:r w:rsidRPr="00A43B9C">
              <w:rPr>
                <w:rFonts w:ascii="Times New Roman" w:hAnsi="Times New Roman" w:cs="Times New Roman"/>
                <w:sz w:val="28"/>
                <w:szCs w:val="28"/>
                <w:lang w:val="en-US"/>
              </w:rPr>
              <w:t xml:space="preserve"> – </w:t>
            </w:r>
            <w:r w:rsidRPr="00A43B9C">
              <w:rPr>
                <w:rFonts w:ascii="Times New Roman" w:hAnsi="Times New Roman" w:cs="Times New Roman"/>
                <w:sz w:val="28"/>
                <w:szCs w:val="28"/>
              </w:rPr>
              <w:t>13</w:t>
            </w:r>
          </w:p>
        </w:tc>
        <w:tc>
          <w:tcPr>
            <w:tcW w:w="486" w:type="pct"/>
            <w:vAlign w:val="center"/>
          </w:tcPr>
          <w:p w14:paraId="1504AD97" w14:textId="77777777" w:rsidR="001C6451" w:rsidRPr="00A43B9C" w:rsidRDefault="001C6451"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vertAlign w:val="subscript"/>
                <w:lang w:val="en-US"/>
              </w:rPr>
              <w:t>0</w:t>
            </w:r>
            <w:r w:rsidRPr="00A43B9C">
              <w:rPr>
                <w:rFonts w:ascii="Times New Roman" w:hAnsi="Times New Roman" w:cs="Times New Roman"/>
                <w:sz w:val="28"/>
                <w:szCs w:val="28"/>
                <w:lang w:val="en-US"/>
              </w:rPr>
              <w:t xml:space="preserve"> - </w:t>
            </w:r>
            <w:r w:rsidRPr="00A43B9C">
              <w:rPr>
                <w:rFonts w:ascii="Times New Roman" w:hAnsi="Times New Roman" w:cs="Times New Roman"/>
                <w:sz w:val="28"/>
                <w:szCs w:val="28"/>
              </w:rPr>
              <w:t>9</w:t>
            </w:r>
          </w:p>
          <w:p w14:paraId="6F8439FE" w14:textId="77777777" w:rsidR="001C6451" w:rsidRPr="00A43B9C" w:rsidRDefault="001C6451"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vertAlign w:val="subscript"/>
                <w:lang w:val="en-US"/>
              </w:rPr>
              <w:t>1</w:t>
            </w:r>
            <w:r w:rsidRPr="00A43B9C">
              <w:rPr>
                <w:rFonts w:ascii="Times New Roman" w:hAnsi="Times New Roman" w:cs="Times New Roman"/>
                <w:sz w:val="28"/>
                <w:szCs w:val="28"/>
              </w:rPr>
              <w:t xml:space="preserve"> - 8</w:t>
            </w:r>
          </w:p>
          <w:p w14:paraId="3EB1B1B2" w14:textId="77777777" w:rsidR="001C6451" w:rsidRPr="00A43B9C" w:rsidRDefault="001C6451"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vertAlign w:val="subscript"/>
                <w:lang w:val="en-US"/>
              </w:rPr>
              <w:t>x</w:t>
            </w:r>
            <w:r w:rsidRPr="00A43B9C">
              <w:rPr>
                <w:rFonts w:ascii="Times New Roman" w:hAnsi="Times New Roman" w:cs="Times New Roman"/>
                <w:sz w:val="28"/>
                <w:szCs w:val="28"/>
              </w:rPr>
              <w:t xml:space="preserve"> – 3</w:t>
            </w:r>
          </w:p>
        </w:tc>
        <w:tc>
          <w:tcPr>
            <w:tcW w:w="486" w:type="pct"/>
            <w:vAlign w:val="center"/>
          </w:tcPr>
          <w:p w14:paraId="41FACD36"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M</w:t>
            </w:r>
            <w:r w:rsidRPr="00A43B9C">
              <w:rPr>
                <w:rFonts w:ascii="Times New Roman" w:hAnsi="Times New Roman" w:cs="Times New Roman"/>
                <w:sz w:val="28"/>
                <w:szCs w:val="28"/>
                <w:vertAlign w:val="subscript"/>
                <w:lang w:val="en-US"/>
              </w:rPr>
              <w:t>0</w:t>
            </w:r>
            <w:r w:rsidRPr="00A43B9C">
              <w:rPr>
                <w:rFonts w:ascii="Times New Roman" w:hAnsi="Times New Roman" w:cs="Times New Roman"/>
                <w:sz w:val="28"/>
                <w:szCs w:val="28"/>
                <w:lang w:val="en-US"/>
              </w:rPr>
              <w:t xml:space="preserve"> – </w:t>
            </w:r>
            <w:r w:rsidRPr="00A43B9C">
              <w:rPr>
                <w:rFonts w:ascii="Times New Roman" w:hAnsi="Times New Roman" w:cs="Times New Roman"/>
                <w:sz w:val="28"/>
                <w:szCs w:val="28"/>
              </w:rPr>
              <w:t>20</w:t>
            </w:r>
          </w:p>
        </w:tc>
        <w:tc>
          <w:tcPr>
            <w:tcW w:w="486" w:type="pct"/>
            <w:vAlign w:val="center"/>
          </w:tcPr>
          <w:p w14:paraId="4D9F5866" w14:textId="77777777" w:rsidR="001C6451" w:rsidRPr="00A43B9C" w:rsidRDefault="001C6451"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 xml:space="preserve">I – </w:t>
            </w:r>
            <w:r w:rsidRPr="00A43B9C">
              <w:rPr>
                <w:rFonts w:ascii="Times New Roman" w:hAnsi="Times New Roman" w:cs="Times New Roman"/>
                <w:sz w:val="28"/>
                <w:szCs w:val="28"/>
              </w:rPr>
              <w:t>2</w:t>
            </w:r>
          </w:p>
          <w:p w14:paraId="750F1B57" w14:textId="77777777" w:rsidR="001C6451" w:rsidRPr="00A43B9C" w:rsidRDefault="001C6451"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 xml:space="preserve">II – </w:t>
            </w:r>
            <w:r w:rsidRPr="00A43B9C">
              <w:rPr>
                <w:rFonts w:ascii="Times New Roman" w:hAnsi="Times New Roman" w:cs="Times New Roman"/>
                <w:sz w:val="28"/>
                <w:szCs w:val="28"/>
              </w:rPr>
              <w:t>8</w:t>
            </w:r>
          </w:p>
          <w:p w14:paraId="5F98D416" w14:textId="77777777" w:rsidR="001C6451" w:rsidRPr="00A43B9C" w:rsidRDefault="001C6451"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 xml:space="preserve">III – </w:t>
            </w:r>
            <w:r w:rsidRPr="00A43B9C">
              <w:rPr>
                <w:rFonts w:ascii="Times New Roman" w:hAnsi="Times New Roman" w:cs="Times New Roman"/>
                <w:sz w:val="28"/>
                <w:szCs w:val="28"/>
              </w:rPr>
              <w:t>10</w:t>
            </w:r>
          </w:p>
        </w:tc>
        <w:tc>
          <w:tcPr>
            <w:tcW w:w="1161" w:type="pct"/>
            <w:vAlign w:val="center"/>
          </w:tcPr>
          <w:p w14:paraId="050D3706"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 xml:space="preserve">I - </w:t>
            </w:r>
            <w:r w:rsidRPr="00A43B9C">
              <w:rPr>
                <w:rFonts w:ascii="Times New Roman" w:hAnsi="Times New Roman" w:cs="Times New Roman"/>
                <w:sz w:val="28"/>
                <w:szCs w:val="28"/>
              </w:rPr>
              <w:t>11</w:t>
            </w:r>
          </w:p>
          <w:p w14:paraId="67048B4A"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II - 1</w:t>
            </w:r>
          </w:p>
          <w:p w14:paraId="346072DF"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 xml:space="preserve">III - </w:t>
            </w:r>
            <w:r w:rsidRPr="00A43B9C">
              <w:rPr>
                <w:rFonts w:ascii="Times New Roman" w:hAnsi="Times New Roman" w:cs="Times New Roman"/>
                <w:sz w:val="28"/>
                <w:szCs w:val="28"/>
              </w:rPr>
              <w:t>1</w:t>
            </w:r>
          </w:p>
          <w:p w14:paraId="73239872"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 xml:space="preserve">IV – </w:t>
            </w:r>
            <w:r w:rsidRPr="00A43B9C">
              <w:rPr>
                <w:rFonts w:ascii="Times New Roman" w:hAnsi="Times New Roman" w:cs="Times New Roman"/>
                <w:sz w:val="28"/>
                <w:szCs w:val="28"/>
              </w:rPr>
              <w:t>7</w:t>
            </w:r>
          </w:p>
        </w:tc>
      </w:tr>
      <w:tr w:rsidR="001C6451" w:rsidRPr="00A43B9C" w14:paraId="5244BC45" w14:textId="77777777" w:rsidTr="00F87FE6">
        <w:trPr>
          <w:jc w:val="center"/>
        </w:trPr>
        <w:tc>
          <w:tcPr>
            <w:tcW w:w="861" w:type="pct"/>
            <w:vAlign w:val="center"/>
          </w:tcPr>
          <w:p w14:paraId="7F581ACD"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Сигмовидная кишка</w:t>
            </w:r>
          </w:p>
        </w:tc>
        <w:tc>
          <w:tcPr>
            <w:tcW w:w="473" w:type="pct"/>
            <w:vAlign w:val="center"/>
          </w:tcPr>
          <w:p w14:paraId="72092919" w14:textId="77777777" w:rsidR="001C6451" w:rsidRPr="00A43B9C" w:rsidRDefault="001C6451"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16/3</w:t>
            </w:r>
          </w:p>
        </w:tc>
        <w:tc>
          <w:tcPr>
            <w:tcW w:w="559" w:type="pct"/>
            <w:vAlign w:val="center"/>
          </w:tcPr>
          <w:p w14:paraId="647AA362" w14:textId="77777777" w:rsidR="001C6451" w:rsidRPr="00A43B9C" w:rsidRDefault="001C6451"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59</w:t>
            </w:r>
          </w:p>
        </w:tc>
        <w:tc>
          <w:tcPr>
            <w:tcW w:w="486" w:type="pct"/>
            <w:vAlign w:val="center"/>
          </w:tcPr>
          <w:p w14:paraId="4FDAD7D1" w14:textId="77777777" w:rsidR="001C6451" w:rsidRPr="00A43B9C" w:rsidRDefault="001C6451"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T</w:t>
            </w:r>
            <w:r w:rsidRPr="00A43B9C">
              <w:rPr>
                <w:rFonts w:ascii="Times New Roman" w:hAnsi="Times New Roman" w:cs="Times New Roman"/>
                <w:sz w:val="28"/>
                <w:szCs w:val="28"/>
                <w:vertAlign w:val="subscript"/>
                <w:lang w:val="en-US"/>
              </w:rPr>
              <w:t>1</w:t>
            </w:r>
            <w:r w:rsidRPr="00A43B9C">
              <w:rPr>
                <w:rFonts w:ascii="Times New Roman" w:hAnsi="Times New Roman" w:cs="Times New Roman"/>
                <w:sz w:val="28"/>
                <w:szCs w:val="28"/>
                <w:lang w:val="en-US"/>
              </w:rPr>
              <w:t xml:space="preserve"> – 0</w:t>
            </w:r>
          </w:p>
          <w:p w14:paraId="19965860" w14:textId="77777777" w:rsidR="001C6451" w:rsidRPr="00A43B9C" w:rsidRDefault="001C6451"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rPr>
              <w:t>Т</w:t>
            </w:r>
            <w:r w:rsidRPr="00A43B9C">
              <w:rPr>
                <w:rFonts w:ascii="Times New Roman" w:hAnsi="Times New Roman" w:cs="Times New Roman"/>
                <w:sz w:val="28"/>
                <w:szCs w:val="28"/>
                <w:vertAlign w:val="subscript"/>
              </w:rPr>
              <w:t>2</w:t>
            </w:r>
            <w:r w:rsidRPr="00A43B9C">
              <w:rPr>
                <w:rFonts w:ascii="Times New Roman" w:hAnsi="Times New Roman" w:cs="Times New Roman"/>
                <w:sz w:val="28"/>
                <w:szCs w:val="28"/>
              </w:rPr>
              <w:t xml:space="preserve"> - </w:t>
            </w:r>
            <w:r w:rsidRPr="00A43B9C">
              <w:rPr>
                <w:rFonts w:ascii="Times New Roman" w:hAnsi="Times New Roman" w:cs="Times New Roman"/>
                <w:sz w:val="28"/>
                <w:szCs w:val="28"/>
                <w:lang w:val="en-US"/>
              </w:rPr>
              <w:t>2</w:t>
            </w:r>
          </w:p>
          <w:p w14:paraId="37C9207C" w14:textId="77777777" w:rsidR="001C6451" w:rsidRPr="00A43B9C" w:rsidRDefault="001C6451"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rPr>
              <w:t>Т</w:t>
            </w:r>
            <w:r w:rsidRPr="00A43B9C">
              <w:rPr>
                <w:rFonts w:ascii="Times New Roman" w:hAnsi="Times New Roman" w:cs="Times New Roman"/>
                <w:sz w:val="28"/>
                <w:szCs w:val="28"/>
                <w:vertAlign w:val="subscript"/>
              </w:rPr>
              <w:t>3</w:t>
            </w:r>
            <w:r w:rsidRPr="00A43B9C">
              <w:rPr>
                <w:rFonts w:ascii="Times New Roman" w:hAnsi="Times New Roman" w:cs="Times New Roman"/>
                <w:sz w:val="28"/>
                <w:szCs w:val="28"/>
              </w:rPr>
              <w:t xml:space="preserve"> - </w:t>
            </w:r>
            <w:r w:rsidRPr="00A43B9C">
              <w:rPr>
                <w:rFonts w:ascii="Times New Roman" w:hAnsi="Times New Roman" w:cs="Times New Roman"/>
                <w:sz w:val="28"/>
                <w:szCs w:val="28"/>
                <w:lang w:val="en-US"/>
              </w:rPr>
              <w:t>10</w:t>
            </w:r>
          </w:p>
          <w:p w14:paraId="39F00512" w14:textId="77777777" w:rsidR="001C6451" w:rsidRPr="00A43B9C" w:rsidRDefault="001C6451"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rPr>
              <w:t>Т</w:t>
            </w:r>
            <w:r w:rsidRPr="00A43B9C">
              <w:rPr>
                <w:rFonts w:ascii="Times New Roman" w:hAnsi="Times New Roman" w:cs="Times New Roman"/>
                <w:sz w:val="28"/>
                <w:szCs w:val="28"/>
                <w:vertAlign w:val="subscript"/>
              </w:rPr>
              <w:t>4</w:t>
            </w:r>
            <w:r w:rsidRPr="00A43B9C">
              <w:rPr>
                <w:rFonts w:ascii="Times New Roman" w:hAnsi="Times New Roman" w:cs="Times New Roman"/>
                <w:sz w:val="28"/>
                <w:szCs w:val="28"/>
              </w:rPr>
              <w:t xml:space="preserve"> – </w:t>
            </w:r>
            <w:r w:rsidRPr="00A43B9C">
              <w:rPr>
                <w:rFonts w:ascii="Times New Roman" w:hAnsi="Times New Roman" w:cs="Times New Roman"/>
                <w:sz w:val="28"/>
                <w:szCs w:val="28"/>
                <w:lang w:val="en-US"/>
              </w:rPr>
              <w:t>7</w:t>
            </w:r>
          </w:p>
        </w:tc>
        <w:tc>
          <w:tcPr>
            <w:tcW w:w="486" w:type="pct"/>
            <w:vAlign w:val="center"/>
          </w:tcPr>
          <w:p w14:paraId="47FF5D14" w14:textId="77777777" w:rsidR="001C6451" w:rsidRPr="00A43B9C" w:rsidRDefault="001C6451"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vertAlign w:val="subscript"/>
                <w:lang w:val="en-US"/>
              </w:rPr>
              <w:t>0</w:t>
            </w:r>
            <w:r w:rsidRPr="00A43B9C">
              <w:rPr>
                <w:rFonts w:ascii="Times New Roman" w:hAnsi="Times New Roman" w:cs="Times New Roman"/>
                <w:sz w:val="28"/>
                <w:szCs w:val="28"/>
                <w:lang w:val="en-US"/>
              </w:rPr>
              <w:t xml:space="preserve"> – 3</w:t>
            </w:r>
          </w:p>
          <w:p w14:paraId="2AA2A46E" w14:textId="77777777" w:rsidR="001C6451" w:rsidRPr="00A43B9C" w:rsidRDefault="001C6451"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vertAlign w:val="subscript"/>
                <w:lang w:val="en-US"/>
              </w:rPr>
              <w:t>1</w:t>
            </w:r>
            <w:r w:rsidRPr="00A43B9C">
              <w:rPr>
                <w:rFonts w:ascii="Times New Roman" w:hAnsi="Times New Roman" w:cs="Times New Roman"/>
                <w:sz w:val="28"/>
                <w:szCs w:val="28"/>
              </w:rPr>
              <w:t xml:space="preserve"> - </w:t>
            </w:r>
            <w:r w:rsidRPr="00A43B9C">
              <w:rPr>
                <w:rFonts w:ascii="Times New Roman" w:hAnsi="Times New Roman" w:cs="Times New Roman"/>
                <w:sz w:val="28"/>
                <w:szCs w:val="28"/>
                <w:lang w:val="en-US"/>
              </w:rPr>
              <w:t>8</w:t>
            </w:r>
          </w:p>
          <w:p w14:paraId="3C8AD379" w14:textId="77777777" w:rsidR="001C6451" w:rsidRPr="00A43B9C" w:rsidRDefault="001C6451"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vertAlign w:val="subscript"/>
                <w:lang w:val="en-US"/>
              </w:rPr>
              <w:t>x</w:t>
            </w:r>
            <w:r w:rsidRPr="00A43B9C">
              <w:rPr>
                <w:rFonts w:ascii="Times New Roman" w:hAnsi="Times New Roman" w:cs="Times New Roman"/>
                <w:sz w:val="28"/>
                <w:szCs w:val="28"/>
              </w:rPr>
              <w:t xml:space="preserve"> – </w:t>
            </w:r>
            <w:r w:rsidRPr="00A43B9C">
              <w:rPr>
                <w:rFonts w:ascii="Times New Roman" w:hAnsi="Times New Roman" w:cs="Times New Roman"/>
                <w:sz w:val="28"/>
                <w:szCs w:val="28"/>
                <w:lang w:val="en-US"/>
              </w:rPr>
              <w:t>8</w:t>
            </w:r>
          </w:p>
        </w:tc>
        <w:tc>
          <w:tcPr>
            <w:tcW w:w="486" w:type="pct"/>
            <w:vAlign w:val="center"/>
          </w:tcPr>
          <w:p w14:paraId="34DF95AF" w14:textId="77777777" w:rsidR="001C6451" w:rsidRPr="00A43B9C" w:rsidRDefault="001C6451"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M</w:t>
            </w:r>
            <w:r w:rsidRPr="00A43B9C">
              <w:rPr>
                <w:rFonts w:ascii="Times New Roman" w:hAnsi="Times New Roman" w:cs="Times New Roman"/>
                <w:sz w:val="28"/>
                <w:szCs w:val="28"/>
                <w:vertAlign w:val="subscript"/>
                <w:lang w:val="en-US"/>
              </w:rPr>
              <w:t>0</w:t>
            </w:r>
            <w:r w:rsidRPr="00A43B9C">
              <w:rPr>
                <w:rFonts w:ascii="Times New Roman" w:hAnsi="Times New Roman" w:cs="Times New Roman"/>
                <w:sz w:val="28"/>
                <w:szCs w:val="28"/>
                <w:lang w:val="en-US"/>
              </w:rPr>
              <w:t xml:space="preserve"> - 19</w:t>
            </w:r>
          </w:p>
        </w:tc>
        <w:tc>
          <w:tcPr>
            <w:tcW w:w="486" w:type="pct"/>
            <w:vAlign w:val="center"/>
          </w:tcPr>
          <w:p w14:paraId="007E346B" w14:textId="77777777" w:rsidR="001C6451" w:rsidRPr="00A43B9C" w:rsidRDefault="001C6451"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I – 0</w:t>
            </w:r>
          </w:p>
          <w:p w14:paraId="04AD982F" w14:textId="77777777" w:rsidR="001C6451" w:rsidRPr="00A43B9C" w:rsidRDefault="001C6451"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II – 8</w:t>
            </w:r>
          </w:p>
          <w:p w14:paraId="12B3F61B" w14:textId="77777777" w:rsidR="001C6451" w:rsidRPr="00A43B9C" w:rsidRDefault="001C6451"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III - 11</w:t>
            </w:r>
          </w:p>
        </w:tc>
        <w:tc>
          <w:tcPr>
            <w:tcW w:w="1161" w:type="pct"/>
            <w:vAlign w:val="center"/>
          </w:tcPr>
          <w:p w14:paraId="1CF51D2B"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I - 8</w:t>
            </w:r>
          </w:p>
          <w:p w14:paraId="026CCD67"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II - 0</w:t>
            </w:r>
          </w:p>
          <w:p w14:paraId="231098C0"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III - 3</w:t>
            </w:r>
          </w:p>
          <w:p w14:paraId="4EC0B74C" w14:textId="77777777" w:rsidR="001C6451" w:rsidRPr="00A43B9C" w:rsidRDefault="001C6451"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IV – 8</w:t>
            </w:r>
          </w:p>
        </w:tc>
      </w:tr>
      <w:tr w:rsidR="001C6451" w:rsidRPr="00A43B9C" w14:paraId="319DA46E" w14:textId="77777777" w:rsidTr="00F87FE6">
        <w:trPr>
          <w:jc w:val="center"/>
        </w:trPr>
        <w:tc>
          <w:tcPr>
            <w:tcW w:w="861" w:type="pct"/>
            <w:vAlign w:val="center"/>
          </w:tcPr>
          <w:p w14:paraId="31F77EDB"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Прямая кишка</w:t>
            </w:r>
          </w:p>
        </w:tc>
        <w:tc>
          <w:tcPr>
            <w:tcW w:w="473" w:type="pct"/>
            <w:vAlign w:val="center"/>
          </w:tcPr>
          <w:p w14:paraId="7ECA5E96" w14:textId="77777777" w:rsidR="001C6451" w:rsidRPr="00A43B9C" w:rsidRDefault="001C6451"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13/8</w:t>
            </w:r>
          </w:p>
        </w:tc>
        <w:tc>
          <w:tcPr>
            <w:tcW w:w="559" w:type="pct"/>
            <w:vAlign w:val="center"/>
          </w:tcPr>
          <w:p w14:paraId="349BA830"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61</w:t>
            </w:r>
          </w:p>
        </w:tc>
        <w:tc>
          <w:tcPr>
            <w:tcW w:w="486" w:type="pct"/>
            <w:vAlign w:val="center"/>
          </w:tcPr>
          <w:p w14:paraId="5290117A" w14:textId="77777777" w:rsidR="001C6451" w:rsidRPr="00A43B9C" w:rsidRDefault="001C6451"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T</w:t>
            </w:r>
            <w:r w:rsidRPr="00A43B9C">
              <w:rPr>
                <w:rFonts w:ascii="Times New Roman" w:hAnsi="Times New Roman" w:cs="Times New Roman"/>
                <w:sz w:val="28"/>
                <w:szCs w:val="28"/>
                <w:vertAlign w:val="subscript"/>
                <w:lang w:val="en-US"/>
              </w:rPr>
              <w:t>1</w:t>
            </w:r>
            <w:r w:rsidRPr="00A43B9C">
              <w:rPr>
                <w:rFonts w:ascii="Times New Roman" w:hAnsi="Times New Roman" w:cs="Times New Roman"/>
                <w:sz w:val="28"/>
                <w:szCs w:val="28"/>
                <w:lang w:val="en-US"/>
              </w:rPr>
              <w:t xml:space="preserve"> – 0</w:t>
            </w:r>
          </w:p>
          <w:p w14:paraId="7BFB5F91" w14:textId="77777777" w:rsidR="001C6451" w:rsidRPr="00A43B9C" w:rsidRDefault="001C6451"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rPr>
              <w:t>Т</w:t>
            </w:r>
            <w:r w:rsidRPr="00A43B9C">
              <w:rPr>
                <w:rFonts w:ascii="Times New Roman" w:hAnsi="Times New Roman" w:cs="Times New Roman"/>
                <w:sz w:val="28"/>
                <w:szCs w:val="28"/>
                <w:vertAlign w:val="subscript"/>
              </w:rPr>
              <w:t>2</w:t>
            </w:r>
            <w:r w:rsidRPr="00A43B9C">
              <w:rPr>
                <w:rFonts w:ascii="Times New Roman" w:hAnsi="Times New Roman" w:cs="Times New Roman"/>
                <w:sz w:val="28"/>
                <w:szCs w:val="28"/>
              </w:rPr>
              <w:t xml:space="preserve"> - </w:t>
            </w:r>
            <w:r w:rsidRPr="00A43B9C">
              <w:rPr>
                <w:rFonts w:ascii="Times New Roman" w:hAnsi="Times New Roman" w:cs="Times New Roman"/>
                <w:sz w:val="28"/>
                <w:szCs w:val="28"/>
                <w:lang w:val="en-US"/>
              </w:rPr>
              <w:t>5</w:t>
            </w:r>
          </w:p>
          <w:p w14:paraId="758E2D3E" w14:textId="77777777" w:rsidR="001C6451" w:rsidRPr="00A43B9C" w:rsidRDefault="001C6451"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rPr>
              <w:t>Т</w:t>
            </w:r>
            <w:r w:rsidRPr="00A43B9C">
              <w:rPr>
                <w:rFonts w:ascii="Times New Roman" w:hAnsi="Times New Roman" w:cs="Times New Roman"/>
                <w:sz w:val="28"/>
                <w:szCs w:val="28"/>
                <w:vertAlign w:val="subscript"/>
              </w:rPr>
              <w:t>3</w:t>
            </w:r>
            <w:r w:rsidRPr="00A43B9C">
              <w:rPr>
                <w:rFonts w:ascii="Times New Roman" w:hAnsi="Times New Roman" w:cs="Times New Roman"/>
                <w:sz w:val="28"/>
                <w:szCs w:val="28"/>
              </w:rPr>
              <w:t xml:space="preserve"> - </w:t>
            </w:r>
            <w:r w:rsidRPr="00A43B9C">
              <w:rPr>
                <w:rFonts w:ascii="Times New Roman" w:hAnsi="Times New Roman" w:cs="Times New Roman"/>
                <w:sz w:val="28"/>
                <w:szCs w:val="28"/>
                <w:lang w:val="en-US"/>
              </w:rPr>
              <w:t>14</w:t>
            </w:r>
          </w:p>
          <w:p w14:paraId="6A6A8F31" w14:textId="77777777" w:rsidR="001C6451" w:rsidRPr="00A43B9C" w:rsidRDefault="001C6451"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rPr>
              <w:t>Т</w:t>
            </w:r>
            <w:r w:rsidRPr="00A43B9C">
              <w:rPr>
                <w:rFonts w:ascii="Times New Roman" w:hAnsi="Times New Roman" w:cs="Times New Roman"/>
                <w:sz w:val="28"/>
                <w:szCs w:val="28"/>
                <w:vertAlign w:val="subscript"/>
              </w:rPr>
              <w:t>4</w:t>
            </w:r>
            <w:r w:rsidRPr="00A43B9C">
              <w:rPr>
                <w:rFonts w:ascii="Times New Roman" w:hAnsi="Times New Roman" w:cs="Times New Roman"/>
                <w:sz w:val="28"/>
                <w:szCs w:val="28"/>
              </w:rPr>
              <w:t xml:space="preserve"> – </w:t>
            </w:r>
            <w:r w:rsidRPr="00A43B9C">
              <w:rPr>
                <w:rFonts w:ascii="Times New Roman" w:hAnsi="Times New Roman" w:cs="Times New Roman"/>
                <w:sz w:val="28"/>
                <w:szCs w:val="28"/>
                <w:lang w:val="en-US"/>
              </w:rPr>
              <w:t>2</w:t>
            </w:r>
          </w:p>
        </w:tc>
        <w:tc>
          <w:tcPr>
            <w:tcW w:w="486" w:type="pct"/>
            <w:vAlign w:val="center"/>
          </w:tcPr>
          <w:p w14:paraId="15044BC1" w14:textId="77777777" w:rsidR="001C6451" w:rsidRPr="00A43B9C" w:rsidRDefault="001C6451"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vertAlign w:val="subscript"/>
                <w:lang w:val="en-US"/>
              </w:rPr>
              <w:t>0</w:t>
            </w:r>
            <w:r w:rsidRPr="00A43B9C">
              <w:rPr>
                <w:rFonts w:ascii="Times New Roman" w:hAnsi="Times New Roman" w:cs="Times New Roman"/>
                <w:sz w:val="28"/>
                <w:szCs w:val="28"/>
                <w:lang w:val="en-US"/>
              </w:rPr>
              <w:t xml:space="preserve"> – 9</w:t>
            </w:r>
          </w:p>
          <w:p w14:paraId="60DAF5BD" w14:textId="77777777" w:rsidR="001C6451" w:rsidRPr="00A43B9C" w:rsidRDefault="001C6451"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vertAlign w:val="subscript"/>
                <w:lang w:val="en-US"/>
              </w:rPr>
              <w:t>1</w:t>
            </w:r>
            <w:r w:rsidRPr="00A43B9C">
              <w:rPr>
                <w:rFonts w:ascii="Times New Roman" w:hAnsi="Times New Roman" w:cs="Times New Roman"/>
                <w:sz w:val="28"/>
                <w:szCs w:val="28"/>
              </w:rPr>
              <w:t xml:space="preserve"> - </w:t>
            </w:r>
            <w:r w:rsidRPr="00A43B9C">
              <w:rPr>
                <w:rFonts w:ascii="Times New Roman" w:hAnsi="Times New Roman" w:cs="Times New Roman"/>
                <w:sz w:val="28"/>
                <w:szCs w:val="28"/>
                <w:lang w:val="en-US"/>
              </w:rPr>
              <w:t>5</w:t>
            </w:r>
          </w:p>
          <w:p w14:paraId="4B125091" w14:textId="77777777" w:rsidR="001C6451" w:rsidRPr="00A43B9C" w:rsidRDefault="001C6451"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vertAlign w:val="subscript"/>
                <w:lang w:val="en-US"/>
              </w:rPr>
              <w:t>x</w:t>
            </w:r>
            <w:r w:rsidRPr="00A43B9C">
              <w:rPr>
                <w:rFonts w:ascii="Times New Roman" w:hAnsi="Times New Roman" w:cs="Times New Roman"/>
                <w:sz w:val="28"/>
                <w:szCs w:val="28"/>
              </w:rPr>
              <w:t xml:space="preserve"> – </w:t>
            </w:r>
            <w:r w:rsidRPr="00A43B9C">
              <w:rPr>
                <w:rFonts w:ascii="Times New Roman" w:hAnsi="Times New Roman" w:cs="Times New Roman"/>
                <w:sz w:val="28"/>
                <w:szCs w:val="28"/>
                <w:lang w:val="en-US"/>
              </w:rPr>
              <w:t>7</w:t>
            </w:r>
          </w:p>
        </w:tc>
        <w:tc>
          <w:tcPr>
            <w:tcW w:w="486" w:type="pct"/>
            <w:vAlign w:val="center"/>
          </w:tcPr>
          <w:p w14:paraId="18A99CA6" w14:textId="77777777" w:rsidR="001C6451" w:rsidRPr="00A43B9C" w:rsidRDefault="001C6451"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M</w:t>
            </w:r>
            <w:r w:rsidRPr="00A43B9C">
              <w:rPr>
                <w:rFonts w:ascii="Times New Roman" w:hAnsi="Times New Roman" w:cs="Times New Roman"/>
                <w:sz w:val="28"/>
                <w:szCs w:val="28"/>
                <w:vertAlign w:val="subscript"/>
                <w:lang w:val="en-US"/>
              </w:rPr>
              <w:t>0</w:t>
            </w:r>
            <w:r w:rsidRPr="00A43B9C">
              <w:rPr>
                <w:rFonts w:ascii="Times New Roman" w:hAnsi="Times New Roman" w:cs="Times New Roman"/>
                <w:sz w:val="28"/>
                <w:szCs w:val="28"/>
                <w:lang w:val="en-US"/>
              </w:rPr>
              <w:t xml:space="preserve"> - 21</w:t>
            </w:r>
          </w:p>
        </w:tc>
        <w:tc>
          <w:tcPr>
            <w:tcW w:w="486" w:type="pct"/>
            <w:vAlign w:val="center"/>
          </w:tcPr>
          <w:p w14:paraId="3DEB5B34" w14:textId="77777777" w:rsidR="001C6451" w:rsidRPr="00A43B9C" w:rsidRDefault="001C6451"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I – 0</w:t>
            </w:r>
          </w:p>
          <w:p w14:paraId="0916BE00" w14:textId="77777777" w:rsidR="001C6451" w:rsidRPr="00A43B9C" w:rsidRDefault="001C6451"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II – 15</w:t>
            </w:r>
          </w:p>
          <w:p w14:paraId="4883ACE3" w14:textId="77777777" w:rsidR="001C6451" w:rsidRPr="00A43B9C" w:rsidRDefault="001C6451"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III - 6</w:t>
            </w:r>
          </w:p>
        </w:tc>
        <w:tc>
          <w:tcPr>
            <w:tcW w:w="1161" w:type="pct"/>
            <w:vAlign w:val="center"/>
          </w:tcPr>
          <w:p w14:paraId="7E8C64B7"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I - 12</w:t>
            </w:r>
          </w:p>
          <w:p w14:paraId="6B00C207"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II - 0</w:t>
            </w:r>
          </w:p>
          <w:p w14:paraId="172088FF"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III - 4</w:t>
            </w:r>
          </w:p>
          <w:p w14:paraId="56345B41" w14:textId="77777777" w:rsidR="001C6451" w:rsidRPr="00A43B9C" w:rsidRDefault="001C6451"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IV - 5</w:t>
            </w:r>
          </w:p>
        </w:tc>
      </w:tr>
      <w:tr w:rsidR="001C6451" w:rsidRPr="00A43B9C" w14:paraId="6197B224" w14:textId="77777777" w:rsidTr="00F87FE6">
        <w:trPr>
          <w:jc w:val="center"/>
        </w:trPr>
        <w:tc>
          <w:tcPr>
            <w:tcW w:w="861" w:type="pct"/>
            <w:vAlign w:val="center"/>
          </w:tcPr>
          <w:p w14:paraId="07B9E54F" w14:textId="77777777" w:rsidR="001C6451" w:rsidRPr="00A43B9C" w:rsidRDefault="001C6451"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ВСЕГО</w:t>
            </w:r>
          </w:p>
        </w:tc>
        <w:tc>
          <w:tcPr>
            <w:tcW w:w="473" w:type="pct"/>
            <w:vAlign w:val="center"/>
          </w:tcPr>
          <w:p w14:paraId="019EB6E8" w14:textId="77777777" w:rsidR="001C6451" w:rsidRPr="00A43B9C" w:rsidRDefault="001C6451"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46</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14</w:t>
            </w:r>
          </w:p>
        </w:tc>
        <w:tc>
          <w:tcPr>
            <w:tcW w:w="559" w:type="pct"/>
            <w:vAlign w:val="center"/>
          </w:tcPr>
          <w:p w14:paraId="40DBA664" w14:textId="77777777" w:rsidR="001C6451" w:rsidRPr="00A43B9C" w:rsidRDefault="001C6451"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60</w:t>
            </w:r>
          </w:p>
        </w:tc>
        <w:tc>
          <w:tcPr>
            <w:tcW w:w="486" w:type="pct"/>
            <w:vAlign w:val="center"/>
          </w:tcPr>
          <w:p w14:paraId="458B2870" w14:textId="77777777" w:rsidR="001C6451" w:rsidRPr="00A43B9C" w:rsidRDefault="001C6451"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T</w:t>
            </w:r>
            <w:r w:rsidRPr="00A43B9C">
              <w:rPr>
                <w:rFonts w:ascii="Times New Roman" w:hAnsi="Times New Roman" w:cs="Times New Roman"/>
                <w:sz w:val="28"/>
                <w:szCs w:val="28"/>
                <w:vertAlign w:val="subscript"/>
                <w:lang w:val="en-US"/>
              </w:rPr>
              <w:t>1</w:t>
            </w:r>
            <w:r w:rsidRPr="00A43B9C">
              <w:rPr>
                <w:rFonts w:ascii="Times New Roman" w:hAnsi="Times New Roman" w:cs="Times New Roman"/>
                <w:sz w:val="28"/>
                <w:szCs w:val="28"/>
                <w:lang w:val="en-US"/>
              </w:rPr>
              <w:t xml:space="preserve"> – </w:t>
            </w:r>
            <w:r w:rsidRPr="00A43B9C">
              <w:rPr>
                <w:rFonts w:ascii="Times New Roman" w:hAnsi="Times New Roman" w:cs="Times New Roman"/>
                <w:sz w:val="28"/>
                <w:szCs w:val="28"/>
              </w:rPr>
              <w:t>1</w:t>
            </w:r>
          </w:p>
          <w:p w14:paraId="069B3B64" w14:textId="77777777" w:rsidR="001C6451" w:rsidRPr="00A43B9C" w:rsidRDefault="001C6451"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rPr>
              <w:t>Т</w:t>
            </w:r>
            <w:r w:rsidRPr="00A43B9C">
              <w:rPr>
                <w:rFonts w:ascii="Times New Roman" w:hAnsi="Times New Roman" w:cs="Times New Roman"/>
                <w:sz w:val="28"/>
                <w:szCs w:val="28"/>
                <w:vertAlign w:val="subscript"/>
              </w:rPr>
              <w:t>2</w:t>
            </w:r>
            <w:r w:rsidRPr="00A43B9C">
              <w:rPr>
                <w:rFonts w:ascii="Times New Roman" w:hAnsi="Times New Roman" w:cs="Times New Roman"/>
                <w:sz w:val="28"/>
                <w:szCs w:val="28"/>
              </w:rPr>
              <w:t xml:space="preserve"> - 9</w:t>
            </w:r>
          </w:p>
          <w:p w14:paraId="0C42119F" w14:textId="77777777" w:rsidR="001C6451" w:rsidRPr="00A43B9C" w:rsidRDefault="001C6451"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rPr>
              <w:t>Т</w:t>
            </w:r>
            <w:r w:rsidRPr="00A43B9C">
              <w:rPr>
                <w:rFonts w:ascii="Times New Roman" w:hAnsi="Times New Roman" w:cs="Times New Roman"/>
                <w:sz w:val="28"/>
                <w:szCs w:val="28"/>
                <w:vertAlign w:val="subscript"/>
              </w:rPr>
              <w:t>3</w:t>
            </w:r>
            <w:r w:rsidRPr="00A43B9C">
              <w:rPr>
                <w:rFonts w:ascii="Times New Roman" w:hAnsi="Times New Roman" w:cs="Times New Roman"/>
                <w:sz w:val="28"/>
                <w:szCs w:val="28"/>
              </w:rPr>
              <w:t xml:space="preserve"> - 28</w:t>
            </w:r>
          </w:p>
          <w:p w14:paraId="5DAAAD45" w14:textId="77777777" w:rsidR="001C6451" w:rsidRPr="00A43B9C" w:rsidRDefault="001C6451"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rPr>
              <w:t>Т</w:t>
            </w:r>
            <w:r w:rsidRPr="00A43B9C">
              <w:rPr>
                <w:rFonts w:ascii="Times New Roman" w:hAnsi="Times New Roman" w:cs="Times New Roman"/>
                <w:sz w:val="28"/>
                <w:szCs w:val="28"/>
                <w:vertAlign w:val="subscript"/>
              </w:rPr>
              <w:t>4</w:t>
            </w:r>
            <w:r w:rsidRPr="00A43B9C">
              <w:rPr>
                <w:rFonts w:ascii="Times New Roman" w:hAnsi="Times New Roman" w:cs="Times New Roman"/>
                <w:sz w:val="28"/>
                <w:szCs w:val="28"/>
              </w:rPr>
              <w:t xml:space="preserve"> – 22</w:t>
            </w:r>
          </w:p>
        </w:tc>
        <w:tc>
          <w:tcPr>
            <w:tcW w:w="486" w:type="pct"/>
            <w:vAlign w:val="center"/>
          </w:tcPr>
          <w:p w14:paraId="77C605DB" w14:textId="77777777" w:rsidR="001C6451" w:rsidRPr="00A43B9C" w:rsidRDefault="001C6451"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vertAlign w:val="subscript"/>
                <w:lang w:val="en-US"/>
              </w:rPr>
              <w:t>0</w:t>
            </w:r>
            <w:r w:rsidRPr="00A43B9C">
              <w:rPr>
                <w:rFonts w:ascii="Times New Roman" w:hAnsi="Times New Roman" w:cs="Times New Roman"/>
                <w:sz w:val="28"/>
                <w:szCs w:val="28"/>
                <w:lang w:val="en-US"/>
              </w:rPr>
              <w:t xml:space="preserve"> – </w:t>
            </w:r>
            <w:r w:rsidRPr="00A43B9C">
              <w:rPr>
                <w:rFonts w:ascii="Times New Roman" w:hAnsi="Times New Roman" w:cs="Times New Roman"/>
                <w:sz w:val="28"/>
                <w:szCs w:val="28"/>
              </w:rPr>
              <w:t>21</w:t>
            </w:r>
          </w:p>
          <w:p w14:paraId="02DBA1F1" w14:textId="77777777" w:rsidR="001C6451" w:rsidRPr="00A43B9C" w:rsidRDefault="001C6451"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vertAlign w:val="subscript"/>
                <w:lang w:val="en-US"/>
              </w:rPr>
              <w:t>1</w:t>
            </w:r>
            <w:r w:rsidRPr="00A43B9C">
              <w:rPr>
                <w:rFonts w:ascii="Times New Roman" w:hAnsi="Times New Roman" w:cs="Times New Roman"/>
                <w:sz w:val="28"/>
                <w:szCs w:val="28"/>
              </w:rPr>
              <w:t xml:space="preserve"> - 21</w:t>
            </w:r>
          </w:p>
          <w:p w14:paraId="3EE045EF" w14:textId="77777777" w:rsidR="001C6451" w:rsidRPr="00A43B9C" w:rsidRDefault="001C6451"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vertAlign w:val="subscript"/>
                <w:lang w:val="en-US"/>
              </w:rPr>
              <w:t>x</w:t>
            </w:r>
            <w:r w:rsidRPr="00A43B9C">
              <w:rPr>
                <w:rFonts w:ascii="Times New Roman" w:hAnsi="Times New Roman" w:cs="Times New Roman"/>
                <w:sz w:val="28"/>
                <w:szCs w:val="28"/>
              </w:rPr>
              <w:t xml:space="preserve"> – 18</w:t>
            </w:r>
          </w:p>
        </w:tc>
        <w:tc>
          <w:tcPr>
            <w:tcW w:w="486" w:type="pct"/>
            <w:vAlign w:val="center"/>
          </w:tcPr>
          <w:p w14:paraId="3CE7C22F" w14:textId="77777777" w:rsidR="001C6451" w:rsidRPr="00A43B9C" w:rsidRDefault="001C6451"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M</w:t>
            </w:r>
            <w:r w:rsidRPr="00A43B9C">
              <w:rPr>
                <w:rFonts w:ascii="Times New Roman" w:hAnsi="Times New Roman" w:cs="Times New Roman"/>
                <w:sz w:val="28"/>
                <w:szCs w:val="28"/>
                <w:vertAlign w:val="subscript"/>
                <w:lang w:val="en-US"/>
              </w:rPr>
              <w:t>0</w:t>
            </w:r>
            <w:r w:rsidRPr="00A43B9C">
              <w:rPr>
                <w:rFonts w:ascii="Times New Roman" w:hAnsi="Times New Roman" w:cs="Times New Roman"/>
                <w:sz w:val="28"/>
                <w:szCs w:val="28"/>
                <w:lang w:val="en-US"/>
              </w:rPr>
              <w:t xml:space="preserve"> - </w:t>
            </w:r>
            <w:r w:rsidRPr="00A43B9C">
              <w:rPr>
                <w:rFonts w:ascii="Times New Roman" w:hAnsi="Times New Roman" w:cs="Times New Roman"/>
                <w:sz w:val="28"/>
                <w:szCs w:val="28"/>
              </w:rPr>
              <w:t>60</w:t>
            </w:r>
          </w:p>
        </w:tc>
        <w:tc>
          <w:tcPr>
            <w:tcW w:w="486" w:type="pct"/>
            <w:vAlign w:val="center"/>
          </w:tcPr>
          <w:p w14:paraId="2211662F" w14:textId="77777777" w:rsidR="001C6451" w:rsidRPr="00A43B9C" w:rsidRDefault="001C6451"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 xml:space="preserve">I – </w:t>
            </w:r>
            <w:r w:rsidRPr="00A43B9C">
              <w:rPr>
                <w:rFonts w:ascii="Times New Roman" w:hAnsi="Times New Roman" w:cs="Times New Roman"/>
                <w:sz w:val="28"/>
                <w:szCs w:val="28"/>
              </w:rPr>
              <w:t>2</w:t>
            </w:r>
          </w:p>
          <w:p w14:paraId="1089DC23" w14:textId="77777777" w:rsidR="001C6451" w:rsidRPr="00A43B9C" w:rsidRDefault="001C6451"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 xml:space="preserve">II – </w:t>
            </w:r>
            <w:r w:rsidRPr="00A43B9C">
              <w:rPr>
                <w:rFonts w:ascii="Times New Roman" w:hAnsi="Times New Roman" w:cs="Times New Roman"/>
                <w:sz w:val="28"/>
                <w:szCs w:val="28"/>
              </w:rPr>
              <w:t>31</w:t>
            </w:r>
          </w:p>
          <w:p w14:paraId="13CEF3FF" w14:textId="77777777" w:rsidR="001C6451" w:rsidRPr="00A43B9C" w:rsidRDefault="001C6451"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 xml:space="preserve">III - </w:t>
            </w:r>
            <w:r w:rsidRPr="00A43B9C">
              <w:rPr>
                <w:rFonts w:ascii="Times New Roman" w:hAnsi="Times New Roman" w:cs="Times New Roman"/>
                <w:sz w:val="28"/>
                <w:szCs w:val="28"/>
              </w:rPr>
              <w:t>27</w:t>
            </w:r>
          </w:p>
        </w:tc>
        <w:tc>
          <w:tcPr>
            <w:tcW w:w="1161" w:type="pct"/>
            <w:vAlign w:val="center"/>
          </w:tcPr>
          <w:p w14:paraId="057349D8"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 xml:space="preserve">I - </w:t>
            </w:r>
            <w:r w:rsidRPr="00A43B9C">
              <w:rPr>
                <w:rFonts w:ascii="Times New Roman" w:hAnsi="Times New Roman" w:cs="Times New Roman"/>
                <w:sz w:val="28"/>
                <w:szCs w:val="28"/>
              </w:rPr>
              <w:t>3</w:t>
            </w:r>
            <w:r w:rsidRPr="00A43B9C">
              <w:rPr>
                <w:rFonts w:ascii="Times New Roman" w:hAnsi="Times New Roman" w:cs="Times New Roman"/>
                <w:sz w:val="28"/>
                <w:szCs w:val="28"/>
                <w:lang w:val="en-US"/>
              </w:rPr>
              <w:t>1</w:t>
            </w:r>
          </w:p>
          <w:p w14:paraId="32E48C88" w14:textId="77777777" w:rsidR="001C6451" w:rsidRPr="00A43B9C" w:rsidRDefault="001C6451"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 xml:space="preserve">II - </w:t>
            </w:r>
            <w:r w:rsidRPr="00A43B9C">
              <w:rPr>
                <w:rFonts w:ascii="Times New Roman" w:hAnsi="Times New Roman" w:cs="Times New Roman"/>
                <w:sz w:val="28"/>
                <w:szCs w:val="28"/>
              </w:rPr>
              <w:t>1</w:t>
            </w:r>
          </w:p>
          <w:p w14:paraId="04F00591" w14:textId="77777777" w:rsidR="001C6451" w:rsidRPr="00A43B9C" w:rsidRDefault="001C6451"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 xml:space="preserve">III - </w:t>
            </w:r>
            <w:r w:rsidRPr="00A43B9C">
              <w:rPr>
                <w:rFonts w:ascii="Times New Roman" w:hAnsi="Times New Roman" w:cs="Times New Roman"/>
                <w:sz w:val="28"/>
                <w:szCs w:val="28"/>
              </w:rPr>
              <w:t>8</w:t>
            </w:r>
          </w:p>
          <w:p w14:paraId="07123C15" w14:textId="77777777" w:rsidR="001C6451" w:rsidRPr="005454FA" w:rsidRDefault="001C6451"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 xml:space="preserve">IV - </w:t>
            </w:r>
            <w:r w:rsidRPr="00A43B9C">
              <w:rPr>
                <w:rFonts w:ascii="Times New Roman" w:hAnsi="Times New Roman" w:cs="Times New Roman"/>
                <w:sz w:val="28"/>
                <w:szCs w:val="28"/>
              </w:rPr>
              <w:t>20</w:t>
            </w:r>
          </w:p>
        </w:tc>
      </w:tr>
      <w:tr w:rsidR="00105031" w:rsidRPr="00A43B9C" w14:paraId="2EACD738" w14:textId="77777777" w:rsidTr="00F87FE6">
        <w:trPr>
          <w:jc w:val="center"/>
        </w:trPr>
        <w:tc>
          <w:tcPr>
            <w:tcW w:w="5000" w:type="pct"/>
            <w:gridSpan w:val="8"/>
            <w:vAlign w:val="center"/>
          </w:tcPr>
          <w:p w14:paraId="10E4A579" w14:textId="6999F751" w:rsidR="00105031" w:rsidRPr="00A43B9C" w:rsidRDefault="00105031" w:rsidP="000048BD">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iCs/>
                <w:sz w:val="24"/>
                <w:szCs w:val="24"/>
              </w:rPr>
              <w:t xml:space="preserve">Примечания: </w:t>
            </w:r>
            <w:r w:rsidRPr="00A43B9C">
              <w:rPr>
                <w:rFonts w:ascii="Times New Roman" w:hAnsi="Times New Roman" w:cs="Times New Roman"/>
                <w:bCs/>
                <w:iCs/>
                <w:sz w:val="24"/>
                <w:szCs w:val="24"/>
                <w:lang w:val="en-US"/>
              </w:rPr>
              <w:t>PTL</w:t>
            </w:r>
            <w:r w:rsidRPr="00A43B9C">
              <w:rPr>
                <w:rFonts w:ascii="Times New Roman" w:hAnsi="Times New Roman" w:cs="Times New Roman"/>
                <w:bCs/>
                <w:iCs/>
                <w:sz w:val="24"/>
                <w:szCs w:val="24"/>
              </w:rPr>
              <w:t xml:space="preserve"> – Локализация первичной опухоли. </w:t>
            </w:r>
            <w:r w:rsidRPr="00A43B9C">
              <w:rPr>
                <w:rFonts w:ascii="Times New Roman" w:hAnsi="Times New Roman" w:cs="Times New Roman"/>
                <w:iCs/>
                <w:sz w:val="24"/>
                <w:szCs w:val="24"/>
                <w:lang w:val="en-US"/>
              </w:rPr>
              <w:t>AJCC</w:t>
            </w:r>
            <w:r w:rsidRPr="00A43B9C">
              <w:rPr>
                <w:rFonts w:ascii="Times New Roman" w:hAnsi="Times New Roman" w:cs="Times New Roman"/>
                <w:iCs/>
                <w:sz w:val="24"/>
                <w:szCs w:val="24"/>
              </w:rPr>
              <w:t xml:space="preserve"> </w:t>
            </w:r>
            <w:r w:rsidRPr="00A43B9C">
              <w:rPr>
                <w:rFonts w:ascii="Times New Roman" w:hAnsi="Times New Roman" w:cs="Times New Roman"/>
                <w:iCs/>
                <w:sz w:val="24"/>
                <w:szCs w:val="24"/>
                <w:lang w:val="kk-KZ"/>
              </w:rPr>
              <w:t xml:space="preserve">- </w:t>
            </w:r>
            <w:r w:rsidRPr="00A43B9C">
              <w:rPr>
                <w:rFonts w:ascii="Times New Roman" w:hAnsi="Times New Roman" w:cs="Times New Roman"/>
                <w:iCs/>
                <w:sz w:val="24"/>
                <w:szCs w:val="24"/>
              </w:rPr>
              <w:t xml:space="preserve">Американский объединенный комитет по борьбе с раком. Гистология </w:t>
            </w:r>
            <w:r w:rsidRPr="00A43B9C">
              <w:rPr>
                <w:rFonts w:ascii="Times New Roman" w:hAnsi="Times New Roman" w:cs="Times New Roman"/>
                <w:bCs/>
                <w:iCs/>
                <w:sz w:val="24"/>
                <w:szCs w:val="24"/>
              </w:rPr>
              <w:t xml:space="preserve">(Аденокарцинома): </w:t>
            </w:r>
            <w:r w:rsidRPr="00A43B9C">
              <w:rPr>
                <w:rFonts w:ascii="Times New Roman" w:hAnsi="Times New Roman" w:cs="Times New Roman"/>
                <w:bCs/>
                <w:iCs/>
                <w:sz w:val="24"/>
                <w:szCs w:val="24"/>
                <w:lang w:val="en-US"/>
              </w:rPr>
              <w:t>I</w:t>
            </w:r>
            <w:r w:rsidRPr="00A43B9C">
              <w:rPr>
                <w:rFonts w:ascii="Times New Roman" w:hAnsi="Times New Roman" w:cs="Times New Roman"/>
                <w:bCs/>
                <w:iCs/>
                <w:sz w:val="24"/>
                <w:szCs w:val="24"/>
              </w:rPr>
              <w:t xml:space="preserve"> – Высокодифференцированная; </w:t>
            </w:r>
            <w:r w:rsidRPr="00A43B9C">
              <w:rPr>
                <w:rFonts w:ascii="Times New Roman" w:hAnsi="Times New Roman" w:cs="Times New Roman"/>
                <w:bCs/>
                <w:iCs/>
                <w:sz w:val="24"/>
                <w:szCs w:val="24"/>
                <w:lang w:val="en-US"/>
              </w:rPr>
              <w:t>II</w:t>
            </w:r>
            <w:r w:rsidRPr="00A43B9C">
              <w:rPr>
                <w:rFonts w:ascii="Times New Roman" w:hAnsi="Times New Roman" w:cs="Times New Roman"/>
                <w:bCs/>
                <w:iCs/>
                <w:sz w:val="24"/>
                <w:szCs w:val="24"/>
              </w:rPr>
              <w:t xml:space="preserve"> – Недифференцированная; </w:t>
            </w:r>
            <w:r w:rsidRPr="00A43B9C">
              <w:rPr>
                <w:rFonts w:ascii="Times New Roman" w:hAnsi="Times New Roman" w:cs="Times New Roman"/>
                <w:bCs/>
                <w:iCs/>
                <w:sz w:val="24"/>
                <w:szCs w:val="24"/>
                <w:lang w:val="en-US"/>
              </w:rPr>
              <w:t>III</w:t>
            </w:r>
            <w:r w:rsidRPr="00A43B9C">
              <w:rPr>
                <w:rFonts w:ascii="Times New Roman" w:hAnsi="Times New Roman" w:cs="Times New Roman"/>
                <w:bCs/>
                <w:iCs/>
                <w:sz w:val="24"/>
                <w:szCs w:val="24"/>
              </w:rPr>
              <w:t xml:space="preserve"> – Низкодифференцированная; </w:t>
            </w:r>
            <w:r w:rsidRPr="00A43B9C">
              <w:rPr>
                <w:rFonts w:ascii="Times New Roman" w:hAnsi="Times New Roman" w:cs="Times New Roman"/>
                <w:bCs/>
                <w:iCs/>
                <w:sz w:val="24"/>
                <w:szCs w:val="24"/>
                <w:lang w:val="en-US"/>
              </w:rPr>
              <w:t>IV</w:t>
            </w:r>
            <w:r w:rsidRPr="00A43B9C">
              <w:rPr>
                <w:rFonts w:ascii="Times New Roman" w:hAnsi="Times New Roman" w:cs="Times New Roman"/>
                <w:bCs/>
                <w:iCs/>
                <w:sz w:val="24"/>
                <w:szCs w:val="24"/>
              </w:rPr>
              <w:t xml:space="preserve"> – Умеренно-дифференцированная.</w:t>
            </w:r>
          </w:p>
        </w:tc>
      </w:tr>
    </w:tbl>
    <w:p w14:paraId="7780B762" w14:textId="69A76601" w:rsidR="009858A7" w:rsidRDefault="009858A7" w:rsidP="001C6451">
      <w:pPr>
        <w:pStyle w:val="p"/>
        <w:spacing w:before="0" w:beforeAutospacing="0" w:after="0" w:afterAutospacing="0"/>
        <w:ind w:firstLine="709"/>
        <w:rPr>
          <w:bCs/>
          <w:iCs/>
          <w:sz w:val="28"/>
          <w:szCs w:val="28"/>
        </w:rPr>
      </w:pPr>
    </w:p>
    <w:p w14:paraId="56012CD9" w14:textId="77777777" w:rsidR="009858A7" w:rsidRDefault="009858A7">
      <w:pPr>
        <w:spacing w:after="160" w:line="259" w:lineRule="auto"/>
        <w:rPr>
          <w:rFonts w:ascii="Times New Roman" w:eastAsia="Times New Roman" w:hAnsi="Times New Roman" w:cs="Times New Roman"/>
          <w:bCs/>
          <w:iCs/>
          <w:sz w:val="28"/>
          <w:szCs w:val="28"/>
          <w:lang w:eastAsia="ru-RU"/>
        </w:rPr>
      </w:pPr>
      <w:r>
        <w:rPr>
          <w:bCs/>
          <w:iCs/>
          <w:sz w:val="28"/>
          <w:szCs w:val="28"/>
        </w:rPr>
        <w:br w:type="page"/>
      </w:r>
    </w:p>
    <w:tbl>
      <w:tblPr>
        <w:tblStyle w:val="ad"/>
        <w:tblW w:w="99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96"/>
        <w:gridCol w:w="2102"/>
        <w:gridCol w:w="394"/>
        <w:gridCol w:w="2496"/>
        <w:gridCol w:w="2506"/>
      </w:tblGrid>
      <w:tr w:rsidR="00710D5C" w:rsidRPr="00A43B9C" w14:paraId="18A096ED" w14:textId="77777777" w:rsidTr="004B20DD">
        <w:tc>
          <w:tcPr>
            <w:tcW w:w="9994" w:type="dxa"/>
            <w:gridSpan w:val="5"/>
          </w:tcPr>
          <w:p w14:paraId="1AB12336" w14:textId="77777777" w:rsidR="00710D5C" w:rsidRPr="00A43B9C" w:rsidRDefault="00710D5C" w:rsidP="00446A37">
            <w:pPr>
              <w:autoSpaceDE w:val="0"/>
              <w:autoSpaceDN w:val="0"/>
              <w:adjustRightInd w:val="0"/>
              <w:spacing w:after="0" w:line="240" w:lineRule="auto"/>
              <w:jc w:val="center"/>
              <w:rPr>
                <w:rFonts w:ascii="Times New Roman" w:eastAsia="NewtonC" w:hAnsi="Times New Roman" w:cs="Times New Roman"/>
                <w:sz w:val="28"/>
                <w:szCs w:val="28"/>
              </w:rPr>
            </w:pPr>
            <w:r w:rsidRPr="00A43B9C">
              <w:rPr>
                <w:noProof/>
                <w:lang w:eastAsia="ru-RU"/>
              </w:rPr>
              <w:lastRenderedPageBreak/>
              <w:drawing>
                <wp:inline distT="0" distB="0" distL="0" distR="0" wp14:anchorId="4F091A88" wp14:editId="2B4BA514">
                  <wp:extent cx="5760000" cy="2160000"/>
                  <wp:effectExtent l="0" t="0" r="12700" b="12065"/>
                  <wp:docPr id="241" name="Диаграмма 241">
                    <a:extLst xmlns:a="http://schemas.openxmlformats.org/drawingml/2006/main">
                      <a:ext uri="{FF2B5EF4-FFF2-40B4-BE49-F238E27FC236}">
                        <a16:creationId xmlns:a16="http://schemas.microsoft.com/office/drawing/2014/main" id="{4BB692DC-106C-4CBA-83E9-B0C34F19E1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c>
      </w:tr>
      <w:tr w:rsidR="004B20DD" w:rsidRPr="004B20DD" w14:paraId="0D6D717C" w14:textId="77777777" w:rsidTr="004B20DD">
        <w:tc>
          <w:tcPr>
            <w:tcW w:w="9994" w:type="dxa"/>
            <w:gridSpan w:val="5"/>
          </w:tcPr>
          <w:p w14:paraId="18263935" w14:textId="5E4EA22A" w:rsidR="004B20DD" w:rsidRPr="004B20DD" w:rsidRDefault="004B20DD" w:rsidP="00446A37">
            <w:pPr>
              <w:autoSpaceDE w:val="0"/>
              <w:autoSpaceDN w:val="0"/>
              <w:adjustRightInd w:val="0"/>
              <w:spacing w:after="0" w:line="240" w:lineRule="auto"/>
              <w:jc w:val="center"/>
              <w:rPr>
                <w:noProof/>
                <w:sz w:val="24"/>
                <w:szCs w:val="24"/>
                <w:lang w:eastAsia="ru-RU"/>
              </w:rPr>
            </w:pPr>
            <w:r w:rsidRPr="004B20DD">
              <w:rPr>
                <w:rFonts w:ascii="Times New Roman" w:eastAsia="NewtonC" w:hAnsi="Times New Roman" w:cs="Times New Roman"/>
                <w:sz w:val="24"/>
                <w:szCs w:val="24"/>
              </w:rPr>
              <w:t>а) Возраст</w:t>
            </w:r>
          </w:p>
        </w:tc>
      </w:tr>
      <w:tr w:rsidR="009858A7" w:rsidRPr="00A43B9C" w14:paraId="2CE06CF5" w14:textId="77777777" w:rsidTr="004B20DD">
        <w:trPr>
          <w:trHeight w:val="2852"/>
        </w:trPr>
        <w:tc>
          <w:tcPr>
            <w:tcW w:w="4598" w:type="dxa"/>
            <w:gridSpan w:val="2"/>
          </w:tcPr>
          <w:p w14:paraId="25999E71" w14:textId="77777777" w:rsidR="009858A7" w:rsidRPr="00A43B9C" w:rsidRDefault="009858A7" w:rsidP="009858A7">
            <w:pPr>
              <w:autoSpaceDE w:val="0"/>
              <w:autoSpaceDN w:val="0"/>
              <w:adjustRightInd w:val="0"/>
              <w:spacing w:after="0" w:line="240" w:lineRule="auto"/>
              <w:jc w:val="center"/>
              <w:rPr>
                <w:rFonts w:ascii="Times New Roman" w:eastAsia="NewtonC" w:hAnsi="Times New Roman" w:cs="Times New Roman"/>
                <w:sz w:val="28"/>
                <w:szCs w:val="28"/>
              </w:rPr>
            </w:pPr>
            <w:r w:rsidRPr="00A43B9C">
              <w:rPr>
                <w:noProof/>
                <w:lang w:eastAsia="ru-RU"/>
              </w:rPr>
              <w:drawing>
                <wp:inline distT="0" distB="0" distL="0" distR="0" wp14:anchorId="1008C9A9" wp14:editId="6666B2CD">
                  <wp:extent cx="2519680" cy="2097949"/>
                  <wp:effectExtent l="0" t="0" r="13970" b="17145"/>
                  <wp:docPr id="244" name="Диаграмма 244">
                    <a:extLst xmlns:a="http://schemas.openxmlformats.org/drawingml/2006/main">
                      <a:ext uri="{FF2B5EF4-FFF2-40B4-BE49-F238E27FC236}">
                        <a16:creationId xmlns:a16="http://schemas.microsoft.com/office/drawing/2014/main" id="{AA51F6DC-9E13-4EB5-88E8-95534E676A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tc>
        <w:tc>
          <w:tcPr>
            <w:tcW w:w="5386" w:type="dxa"/>
            <w:gridSpan w:val="3"/>
          </w:tcPr>
          <w:p w14:paraId="11600D06" w14:textId="376BCF87" w:rsidR="009858A7" w:rsidRPr="00A43B9C" w:rsidRDefault="009858A7" w:rsidP="009858A7">
            <w:pPr>
              <w:autoSpaceDE w:val="0"/>
              <w:autoSpaceDN w:val="0"/>
              <w:adjustRightInd w:val="0"/>
              <w:spacing w:before="100" w:after="0" w:line="240" w:lineRule="auto"/>
              <w:jc w:val="center"/>
              <w:rPr>
                <w:rFonts w:ascii="Times New Roman" w:eastAsia="NewtonC" w:hAnsi="Times New Roman" w:cs="Times New Roman"/>
                <w:sz w:val="28"/>
                <w:szCs w:val="28"/>
              </w:rPr>
            </w:pPr>
            <w:r>
              <w:rPr>
                <w:noProof/>
              </w:rPr>
              <w:drawing>
                <wp:inline distT="0" distB="0" distL="0" distR="0" wp14:anchorId="3E054A6E" wp14:editId="1446888B">
                  <wp:extent cx="3112770" cy="2010228"/>
                  <wp:effectExtent l="0" t="0" r="11430" b="9525"/>
                  <wp:docPr id="60" name="Диаграмма 60">
                    <a:extLst xmlns:a="http://schemas.openxmlformats.org/drawingml/2006/main">
                      <a:ext uri="{FF2B5EF4-FFF2-40B4-BE49-F238E27FC236}">
                        <a16:creationId xmlns:a16="http://schemas.microsoft.com/office/drawing/2014/main" id="{DECC807E-A0A1-4321-90FC-B2C0EA1D59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c>
      </w:tr>
      <w:tr w:rsidR="004B20DD" w:rsidRPr="004B20DD" w14:paraId="3DCE7980" w14:textId="77777777" w:rsidTr="004B20DD">
        <w:trPr>
          <w:trHeight w:val="260"/>
        </w:trPr>
        <w:tc>
          <w:tcPr>
            <w:tcW w:w="4598" w:type="dxa"/>
            <w:gridSpan w:val="2"/>
          </w:tcPr>
          <w:p w14:paraId="3775C8D1" w14:textId="79FE53FA" w:rsidR="004B20DD" w:rsidRPr="004B20DD" w:rsidRDefault="004B20DD" w:rsidP="004B20DD">
            <w:pPr>
              <w:autoSpaceDE w:val="0"/>
              <w:autoSpaceDN w:val="0"/>
              <w:adjustRightInd w:val="0"/>
              <w:spacing w:after="0" w:line="240" w:lineRule="auto"/>
              <w:jc w:val="center"/>
              <w:rPr>
                <w:noProof/>
                <w:sz w:val="24"/>
                <w:szCs w:val="24"/>
                <w:lang w:eastAsia="ru-RU"/>
              </w:rPr>
            </w:pPr>
            <w:r w:rsidRPr="004B20DD">
              <w:rPr>
                <w:rFonts w:ascii="Times New Roman" w:eastAsia="NewtonC" w:hAnsi="Times New Roman" w:cs="Times New Roman"/>
                <w:sz w:val="24"/>
                <w:szCs w:val="24"/>
              </w:rPr>
              <w:t>б) Пол</w:t>
            </w:r>
          </w:p>
        </w:tc>
        <w:tc>
          <w:tcPr>
            <w:tcW w:w="5386" w:type="dxa"/>
            <w:gridSpan w:val="3"/>
          </w:tcPr>
          <w:p w14:paraId="3CA5C049" w14:textId="4190C7E6" w:rsidR="004B20DD" w:rsidRPr="004B20DD" w:rsidRDefault="004B20DD" w:rsidP="004B20DD">
            <w:pPr>
              <w:autoSpaceDE w:val="0"/>
              <w:autoSpaceDN w:val="0"/>
              <w:adjustRightInd w:val="0"/>
              <w:spacing w:after="0" w:line="240" w:lineRule="auto"/>
              <w:jc w:val="center"/>
              <w:rPr>
                <w:noProof/>
                <w:sz w:val="24"/>
                <w:szCs w:val="24"/>
              </w:rPr>
            </w:pPr>
            <w:r w:rsidRPr="004B20DD">
              <w:rPr>
                <w:rFonts w:ascii="Times New Roman" w:eastAsia="NewtonC" w:hAnsi="Times New Roman" w:cs="Times New Roman"/>
                <w:sz w:val="24"/>
                <w:szCs w:val="24"/>
              </w:rPr>
              <w:t>в) Локализации первичной опухоли</w:t>
            </w:r>
          </w:p>
        </w:tc>
      </w:tr>
      <w:tr w:rsidR="004B20DD" w14:paraId="7A8CB15C" w14:textId="77777777" w:rsidTr="004B20DD">
        <w:tc>
          <w:tcPr>
            <w:tcW w:w="2496" w:type="dxa"/>
          </w:tcPr>
          <w:p w14:paraId="42762D54" w14:textId="230911C0" w:rsidR="004B20DD" w:rsidRDefault="004B20DD" w:rsidP="004B20DD">
            <w:pPr>
              <w:autoSpaceDE w:val="0"/>
              <w:autoSpaceDN w:val="0"/>
              <w:adjustRightInd w:val="0"/>
              <w:spacing w:after="0" w:line="240" w:lineRule="auto"/>
              <w:jc w:val="center"/>
              <w:rPr>
                <w:rFonts w:ascii="Times New Roman" w:eastAsia="NewtonC" w:hAnsi="Times New Roman" w:cs="Times New Roman"/>
                <w:sz w:val="28"/>
                <w:szCs w:val="28"/>
              </w:rPr>
            </w:pPr>
            <w:r w:rsidRPr="00A43B9C">
              <w:rPr>
                <w:noProof/>
                <w:lang w:eastAsia="ru-RU"/>
              </w:rPr>
              <w:drawing>
                <wp:inline distT="0" distB="0" distL="0" distR="0" wp14:anchorId="2DFAAF85" wp14:editId="7CD4EC79">
                  <wp:extent cx="1440000" cy="1440000"/>
                  <wp:effectExtent l="0" t="0" r="8255" b="8255"/>
                  <wp:docPr id="462" name="Диаграмма 462">
                    <a:extLst xmlns:a="http://schemas.openxmlformats.org/drawingml/2006/main">
                      <a:ext uri="{FF2B5EF4-FFF2-40B4-BE49-F238E27FC236}">
                        <a16:creationId xmlns:a16="http://schemas.microsoft.com/office/drawing/2014/main" id="{A7729AE7-5282-46C6-8D0E-6EB9B15EF5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c>
        <w:tc>
          <w:tcPr>
            <w:tcW w:w="2496" w:type="dxa"/>
            <w:gridSpan w:val="2"/>
          </w:tcPr>
          <w:p w14:paraId="4AB5C8FB" w14:textId="0DBB2CDC" w:rsidR="004B20DD" w:rsidRDefault="004B20DD" w:rsidP="004B20DD">
            <w:pPr>
              <w:autoSpaceDE w:val="0"/>
              <w:autoSpaceDN w:val="0"/>
              <w:adjustRightInd w:val="0"/>
              <w:spacing w:after="0" w:line="240" w:lineRule="auto"/>
              <w:jc w:val="center"/>
              <w:rPr>
                <w:rFonts w:ascii="Times New Roman" w:eastAsia="NewtonC" w:hAnsi="Times New Roman" w:cs="Times New Roman"/>
                <w:sz w:val="28"/>
                <w:szCs w:val="28"/>
              </w:rPr>
            </w:pPr>
            <w:r w:rsidRPr="00A43B9C">
              <w:rPr>
                <w:noProof/>
                <w:lang w:eastAsia="ru-RU"/>
              </w:rPr>
              <w:drawing>
                <wp:inline distT="0" distB="0" distL="0" distR="0" wp14:anchorId="60B4A3E0" wp14:editId="6EF3E09F">
                  <wp:extent cx="1440000" cy="1440000"/>
                  <wp:effectExtent l="0" t="0" r="8255" b="8255"/>
                  <wp:docPr id="463" name="Диаграмма 463">
                    <a:extLst xmlns:a="http://schemas.openxmlformats.org/drawingml/2006/main">
                      <a:ext uri="{FF2B5EF4-FFF2-40B4-BE49-F238E27FC236}">
                        <a16:creationId xmlns:a16="http://schemas.microsoft.com/office/drawing/2014/main" id="{17EFA000-6118-4163-AB66-84E0756D48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c>
        <w:tc>
          <w:tcPr>
            <w:tcW w:w="2496" w:type="dxa"/>
          </w:tcPr>
          <w:p w14:paraId="3AEC1A61" w14:textId="4A9098D9" w:rsidR="004B20DD" w:rsidRDefault="004B20DD" w:rsidP="004B20DD">
            <w:pPr>
              <w:autoSpaceDE w:val="0"/>
              <w:autoSpaceDN w:val="0"/>
              <w:adjustRightInd w:val="0"/>
              <w:spacing w:after="0" w:line="240" w:lineRule="auto"/>
              <w:jc w:val="center"/>
              <w:rPr>
                <w:rFonts w:ascii="Times New Roman" w:eastAsia="NewtonC" w:hAnsi="Times New Roman" w:cs="Times New Roman"/>
                <w:sz w:val="28"/>
                <w:szCs w:val="28"/>
              </w:rPr>
            </w:pPr>
            <w:r>
              <w:rPr>
                <w:noProof/>
              </w:rPr>
              <w:drawing>
                <wp:inline distT="0" distB="0" distL="0" distR="0" wp14:anchorId="284498D9" wp14:editId="3B1B3DE8">
                  <wp:extent cx="1440000" cy="1440000"/>
                  <wp:effectExtent l="0" t="0" r="8255" b="8255"/>
                  <wp:docPr id="464" name="Диаграмма 464">
                    <a:extLst xmlns:a="http://schemas.openxmlformats.org/drawingml/2006/main">
                      <a:ext uri="{FF2B5EF4-FFF2-40B4-BE49-F238E27FC236}">
                        <a16:creationId xmlns:a16="http://schemas.microsoft.com/office/drawing/2014/main" id="{E2CAEB55-2E4E-4C50-8240-34639C92A4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c>
        <w:tc>
          <w:tcPr>
            <w:tcW w:w="2496" w:type="dxa"/>
          </w:tcPr>
          <w:p w14:paraId="0EBCC2E0" w14:textId="5B39D4C0" w:rsidR="004B20DD" w:rsidRDefault="004B20DD" w:rsidP="004B20DD">
            <w:pPr>
              <w:autoSpaceDE w:val="0"/>
              <w:autoSpaceDN w:val="0"/>
              <w:adjustRightInd w:val="0"/>
              <w:spacing w:after="0" w:line="240" w:lineRule="auto"/>
              <w:jc w:val="center"/>
              <w:rPr>
                <w:rFonts w:ascii="Times New Roman" w:eastAsia="NewtonC" w:hAnsi="Times New Roman" w:cs="Times New Roman"/>
                <w:sz w:val="28"/>
                <w:szCs w:val="28"/>
              </w:rPr>
            </w:pPr>
            <w:r w:rsidRPr="00A43B9C">
              <w:rPr>
                <w:noProof/>
                <w:lang w:eastAsia="ru-RU"/>
              </w:rPr>
              <w:drawing>
                <wp:inline distT="0" distB="0" distL="0" distR="0" wp14:anchorId="54A3A2D7" wp14:editId="2156EDCB">
                  <wp:extent cx="1440000" cy="1440000"/>
                  <wp:effectExtent l="0" t="0" r="8255" b="8255"/>
                  <wp:docPr id="465" name="Диаграмма 465">
                    <a:extLst xmlns:a="http://schemas.openxmlformats.org/drawingml/2006/main">
                      <a:ext uri="{FF2B5EF4-FFF2-40B4-BE49-F238E27FC236}">
                        <a16:creationId xmlns:a16="http://schemas.microsoft.com/office/drawing/2014/main" id="{A142FB3F-B4FF-43C7-A053-E86784C54C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c>
      </w:tr>
      <w:tr w:rsidR="004B20DD" w:rsidRPr="004B20DD" w14:paraId="23AC19BC" w14:textId="77777777" w:rsidTr="004B20DD">
        <w:tc>
          <w:tcPr>
            <w:tcW w:w="2496" w:type="dxa"/>
          </w:tcPr>
          <w:p w14:paraId="392AC2FE" w14:textId="3311F517" w:rsidR="004B20DD" w:rsidRPr="004B20DD" w:rsidRDefault="004B20DD" w:rsidP="004B20DD">
            <w:pPr>
              <w:autoSpaceDE w:val="0"/>
              <w:autoSpaceDN w:val="0"/>
              <w:adjustRightInd w:val="0"/>
              <w:spacing w:after="0" w:line="240" w:lineRule="auto"/>
              <w:jc w:val="center"/>
              <w:rPr>
                <w:noProof/>
                <w:sz w:val="24"/>
                <w:szCs w:val="24"/>
                <w:lang w:eastAsia="ru-RU"/>
              </w:rPr>
            </w:pPr>
            <w:r w:rsidRPr="004B20DD">
              <w:rPr>
                <w:rFonts w:ascii="Times New Roman" w:eastAsia="NewtonC" w:hAnsi="Times New Roman" w:cs="Times New Roman"/>
                <w:sz w:val="24"/>
                <w:szCs w:val="24"/>
              </w:rPr>
              <w:t xml:space="preserve">г) Стадия </w:t>
            </w:r>
            <w:r w:rsidRPr="004B20DD">
              <w:rPr>
                <w:rFonts w:ascii="Times New Roman" w:eastAsia="NewtonC" w:hAnsi="Times New Roman" w:cs="Times New Roman"/>
                <w:sz w:val="24"/>
                <w:szCs w:val="24"/>
                <w:lang w:val="en-US"/>
              </w:rPr>
              <w:t>T</w:t>
            </w:r>
          </w:p>
        </w:tc>
        <w:tc>
          <w:tcPr>
            <w:tcW w:w="2496" w:type="dxa"/>
            <w:gridSpan w:val="2"/>
          </w:tcPr>
          <w:p w14:paraId="388752F4" w14:textId="148BEF65" w:rsidR="004B20DD" w:rsidRPr="004B20DD" w:rsidRDefault="004B20DD" w:rsidP="004B20DD">
            <w:pPr>
              <w:autoSpaceDE w:val="0"/>
              <w:autoSpaceDN w:val="0"/>
              <w:adjustRightInd w:val="0"/>
              <w:spacing w:after="0" w:line="240" w:lineRule="auto"/>
              <w:jc w:val="center"/>
              <w:rPr>
                <w:noProof/>
                <w:sz w:val="24"/>
                <w:szCs w:val="24"/>
                <w:lang w:eastAsia="ru-RU"/>
              </w:rPr>
            </w:pPr>
            <w:r w:rsidRPr="004B20DD">
              <w:rPr>
                <w:rFonts w:ascii="Times New Roman" w:eastAsia="NewtonC" w:hAnsi="Times New Roman" w:cs="Times New Roman"/>
                <w:sz w:val="24"/>
                <w:szCs w:val="24"/>
              </w:rPr>
              <w:t xml:space="preserve">д) Стадия </w:t>
            </w:r>
            <w:r w:rsidRPr="004B20DD">
              <w:rPr>
                <w:rFonts w:ascii="Times New Roman" w:eastAsia="NewtonC" w:hAnsi="Times New Roman" w:cs="Times New Roman"/>
                <w:sz w:val="24"/>
                <w:szCs w:val="24"/>
                <w:lang w:val="en-US"/>
              </w:rPr>
              <w:t>N</w:t>
            </w:r>
          </w:p>
        </w:tc>
        <w:tc>
          <w:tcPr>
            <w:tcW w:w="2496" w:type="dxa"/>
          </w:tcPr>
          <w:p w14:paraId="3A863BD3" w14:textId="37EDDC4D" w:rsidR="004B20DD" w:rsidRPr="004B20DD" w:rsidRDefault="004B20DD" w:rsidP="004B20DD">
            <w:pPr>
              <w:autoSpaceDE w:val="0"/>
              <w:autoSpaceDN w:val="0"/>
              <w:adjustRightInd w:val="0"/>
              <w:spacing w:after="0" w:line="240" w:lineRule="auto"/>
              <w:jc w:val="center"/>
              <w:rPr>
                <w:noProof/>
                <w:sz w:val="24"/>
                <w:szCs w:val="24"/>
              </w:rPr>
            </w:pPr>
            <w:r w:rsidRPr="004B20DD">
              <w:rPr>
                <w:rFonts w:ascii="Times New Roman" w:eastAsia="NewtonC" w:hAnsi="Times New Roman" w:cs="Times New Roman"/>
                <w:sz w:val="24"/>
                <w:szCs w:val="24"/>
              </w:rPr>
              <w:t xml:space="preserve">е) Стадия </w:t>
            </w:r>
            <w:r w:rsidRPr="004B20DD">
              <w:rPr>
                <w:rFonts w:ascii="Times New Roman" w:eastAsia="NewtonC" w:hAnsi="Times New Roman" w:cs="Times New Roman"/>
                <w:sz w:val="24"/>
                <w:szCs w:val="24"/>
                <w:lang w:val="en-US"/>
              </w:rPr>
              <w:t>AJCC</w:t>
            </w:r>
          </w:p>
        </w:tc>
        <w:tc>
          <w:tcPr>
            <w:tcW w:w="2496" w:type="dxa"/>
          </w:tcPr>
          <w:p w14:paraId="4AB1D7AE" w14:textId="20521582" w:rsidR="004B20DD" w:rsidRPr="004B20DD" w:rsidRDefault="004B20DD" w:rsidP="004B20DD">
            <w:pPr>
              <w:autoSpaceDE w:val="0"/>
              <w:autoSpaceDN w:val="0"/>
              <w:adjustRightInd w:val="0"/>
              <w:spacing w:after="0" w:line="240" w:lineRule="auto"/>
              <w:jc w:val="center"/>
              <w:rPr>
                <w:noProof/>
                <w:sz w:val="24"/>
                <w:szCs w:val="24"/>
                <w:lang w:eastAsia="ru-RU"/>
              </w:rPr>
            </w:pPr>
            <w:r w:rsidRPr="004B20DD">
              <w:rPr>
                <w:rFonts w:ascii="Times New Roman" w:eastAsia="NewtonC" w:hAnsi="Times New Roman" w:cs="Times New Roman"/>
                <w:sz w:val="24"/>
                <w:szCs w:val="24"/>
              </w:rPr>
              <w:t>ж) Гистологический тип опухоли</w:t>
            </w:r>
          </w:p>
        </w:tc>
      </w:tr>
    </w:tbl>
    <w:p w14:paraId="64324072" w14:textId="77777777" w:rsidR="004B20DD" w:rsidRDefault="004B20DD" w:rsidP="00710D5C">
      <w:pPr>
        <w:autoSpaceDE w:val="0"/>
        <w:autoSpaceDN w:val="0"/>
        <w:adjustRightInd w:val="0"/>
        <w:spacing w:after="0" w:line="240" w:lineRule="auto"/>
        <w:ind w:firstLine="709"/>
        <w:jc w:val="center"/>
        <w:rPr>
          <w:rFonts w:ascii="Times New Roman" w:eastAsia="NewtonC" w:hAnsi="Times New Roman" w:cs="Times New Roman"/>
          <w:sz w:val="28"/>
          <w:szCs w:val="28"/>
        </w:rPr>
      </w:pPr>
    </w:p>
    <w:p w14:paraId="7979A300" w14:textId="735B7BE0" w:rsidR="00710D5C" w:rsidRPr="00A43B9C" w:rsidRDefault="001D33E2" w:rsidP="00710D5C">
      <w:pPr>
        <w:autoSpaceDE w:val="0"/>
        <w:autoSpaceDN w:val="0"/>
        <w:adjustRightInd w:val="0"/>
        <w:spacing w:after="0" w:line="240" w:lineRule="auto"/>
        <w:ind w:firstLine="709"/>
        <w:jc w:val="center"/>
        <w:rPr>
          <w:rFonts w:ascii="Times New Roman" w:eastAsia="NewtonC" w:hAnsi="Times New Roman" w:cs="Times New Roman"/>
          <w:sz w:val="28"/>
          <w:szCs w:val="28"/>
        </w:rPr>
      </w:pPr>
      <w:r w:rsidRPr="00A43B9C">
        <w:rPr>
          <w:rFonts w:ascii="Times New Roman" w:eastAsia="NewtonC" w:hAnsi="Times New Roman" w:cs="Times New Roman"/>
          <w:sz w:val="28"/>
          <w:szCs w:val="28"/>
        </w:rPr>
        <w:t xml:space="preserve">Рисунок </w:t>
      </w:r>
      <w:r w:rsidR="00006C4D">
        <w:rPr>
          <w:rFonts w:ascii="Times New Roman" w:eastAsia="NewtonC" w:hAnsi="Times New Roman" w:cs="Times New Roman"/>
          <w:sz w:val="28"/>
          <w:szCs w:val="28"/>
        </w:rPr>
        <w:t>3</w:t>
      </w:r>
      <w:r w:rsidRPr="00A43B9C">
        <w:rPr>
          <w:rFonts w:ascii="Times New Roman" w:eastAsia="NewtonC" w:hAnsi="Times New Roman" w:cs="Times New Roman"/>
          <w:sz w:val="28"/>
          <w:szCs w:val="28"/>
        </w:rPr>
        <w:t xml:space="preserve"> -</w:t>
      </w:r>
      <w:r w:rsidR="00710D5C" w:rsidRPr="00A43B9C">
        <w:rPr>
          <w:rFonts w:ascii="Times New Roman" w:eastAsia="NewtonC" w:hAnsi="Times New Roman" w:cs="Times New Roman"/>
          <w:sz w:val="28"/>
          <w:szCs w:val="28"/>
        </w:rPr>
        <w:t xml:space="preserve"> Распределение обследованных пациентов с диагнозом КРР</w:t>
      </w:r>
    </w:p>
    <w:p w14:paraId="230EC724" w14:textId="57DB8E24" w:rsidR="00710D5C" w:rsidRPr="00A43B9C" w:rsidRDefault="00710D5C" w:rsidP="00AE28CD">
      <w:pPr>
        <w:pStyle w:val="p"/>
        <w:spacing w:before="0" w:beforeAutospacing="0" w:after="0" w:afterAutospacing="0"/>
        <w:ind w:firstLine="709"/>
        <w:rPr>
          <w:bCs/>
          <w:iCs/>
          <w:sz w:val="28"/>
          <w:szCs w:val="28"/>
        </w:rPr>
      </w:pPr>
    </w:p>
    <w:p w14:paraId="65652880" w14:textId="77777777" w:rsidR="001C6451" w:rsidRPr="00BE40BB" w:rsidRDefault="001C6451" w:rsidP="00AE28CD">
      <w:pPr>
        <w:pStyle w:val="1"/>
        <w:spacing w:line="240" w:lineRule="auto"/>
        <w:ind w:firstLine="709"/>
        <w:jc w:val="both"/>
        <w:rPr>
          <w:rFonts w:cs="Times New Roman"/>
        </w:rPr>
      </w:pPr>
      <w:bookmarkStart w:id="39" w:name="_Toc101861811"/>
      <w:bookmarkStart w:id="40" w:name="_Toc102937614"/>
      <w:r w:rsidRPr="00BE40BB">
        <w:rPr>
          <w:rStyle w:val="a9"/>
          <w:rFonts w:cs="Times New Roman"/>
          <w:noProof/>
          <w:color w:val="auto"/>
          <w:szCs w:val="32"/>
          <w:u w:val="none"/>
        </w:rPr>
        <w:t>2</w:t>
      </w:r>
      <w:hyperlink w:anchor="_Toc94099720" w:history="1">
        <w:r w:rsidRPr="00BE40BB">
          <w:rPr>
            <w:rFonts w:cs="Times New Roman"/>
          </w:rPr>
          <w:t xml:space="preserve">.2 Методы </w:t>
        </w:r>
      </w:hyperlink>
      <w:r w:rsidRPr="00BE40BB">
        <w:rPr>
          <w:rFonts w:cs="Times New Roman"/>
        </w:rPr>
        <w:t>исследования</w:t>
      </w:r>
      <w:bookmarkEnd w:id="39"/>
      <w:bookmarkEnd w:id="40"/>
    </w:p>
    <w:p w14:paraId="74CFAB76" w14:textId="77777777" w:rsidR="001C6451" w:rsidRPr="00A43B9C" w:rsidRDefault="001C6451" w:rsidP="00AE28CD">
      <w:pPr>
        <w:pStyle w:val="31"/>
        <w:spacing w:before="0" w:line="240" w:lineRule="auto"/>
        <w:ind w:firstLine="709"/>
        <w:jc w:val="both"/>
        <w:rPr>
          <w:rFonts w:ascii="Times New Roman" w:hAnsi="Times New Roman" w:cs="Times New Roman"/>
          <w:color w:val="auto"/>
          <w:sz w:val="28"/>
          <w:szCs w:val="28"/>
        </w:rPr>
      </w:pPr>
      <w:bookmarkStart w:id="41" w:name="_Toc101861812"/>
      <w:bookmarkStart w:id="42" w:name="_Toc102937615"/>
      <w:r w:rsidRPr="00A43B9C">
        <w:rPr>
          <w:rStyle w:val="a9"/>
          <w:rFonts w:ascii="Times New Roman" w:hAnsi="Times New Roman" w:cs="Times New Roman"/>
          <w:noProof/>
          <w:color w:val="auto"/>
          <w:sz w:val="28"/>
          <w:szCs w:val="28"/>
          <w:u w:val="none"/>
        </w:rPr>
        <w:t>2</w:t>
      </w:r>
      <w:hyperlink w:anchor="_Toc94099720" w:history="1">
        <w:r w:rsidRPr="00A43B9C">
          <w:rPr>
            <w:rFonts w:ascii="Times New Roman" w:hAnsi="Times New Roman" w:cs="Times New Roman"/>
            <w:color w:val="auto"/>
            <w:sz w:val="28"/>
            <w:szCs w:val="28"/>
          </w:rPr>
          <w:t>.2.1 Протокол исследования</w:t>
        </w:r>
        <w:bookmarkEnd w:id="41"/>
        <w:bookmarkEnd w:id="42"/>
      </w:hyperlink>
    </w:p>
    <w:p w14:paraId="2A5CB7F3" w14:textId="392B92E0" w:rsidR="00AB51B0" w:rsidRPr="00A43B9C" w:rsidRDefault="001C6451" w:rsidP="001C6451">
      <w:pPr>
        <w:pStyle w:val="p"/>
        <w:shd w:val="clear" w:color="auto" w:fill="FFFFFF"/>
        <w:spacing w:before="0" w:beforeAutospacing="0" w:after="0" w:afterAutospacing="0"/>
        <w:ind w:firstLine="708"/>
        <w:jc w:val="both"/>
        <w:rPr>
          <w:sz w:val="28"/>
          <w:szCs w:val="28"/>
        </w:rPr>
      </w:pPr>
      <w:r w:rsidRPr="00A43B9C">
        <w:rPr>
          <w:sz w:val="28"/>
          <w:szCs w:val="28"/>
        </w:rPr>
        <w:t xml:space="preserve">Радиофармацевтический препарат </w:t>
      </w:r>
      <w:r w:rsidRPr="00A43B9C">
        <w:rPr>
          <w:sz w:val="28"/>
          <w:szCs w:val="28"/>
          <w:vertAlign w:val="superscript"/>
        </w:rPr>
        <w:t>18</w:t>
      </w:r>
      <w:r w:rsidRPr="00A43B9C">
        <w:rPr>
          <w:sz w:val="28"/>
          <w:szCs w:val="28"/>
          <w:lang w:val="en-US"/>
        </w:rPr>
        <w:t>F</w:t>
      </w:r>
      <w:r w:rsidRPr="00A43B9C">
        <w:rPr>
          <w:sz w:val="28"/>
          <w:szCs w:val="28"/>
        </w:rPr>
        <w:t>-</w:t>
      </w:r>
      <w:r w:rsidRPr="00A43B9C">
        <w:rPr>
          <w:sz w:val="28"/>
          <w:szCs w:val="28"/>
          <w:lang w:val="en-US"/>
        </w:rPr>
        <w:t>FDG</w:t>
      </w:r>
      <w:r w:rsidRPr="00A43B9C">
        <w:rPr>
          <w:sz w:val="28"/>
          <w:szCs w:val="28"/>
        </w:rPr>
        <w:t xml:space="preserve"> был произведен в </w:t>
      </w:r>
      <w:r w:rsidR="0047393C" w:rsidRPr="00A43B9C">
        <w:rPr>
          <w:sz w:val="28"/>
          <w:szCs w:val="28"/>
        </w:rPr>
        <w:t xml:space="preserve">Республиканском диагностическом центре </w:t>
      </w:r>
      <w:r w:rsidR="002803D8" w:rsidRPr="00A43B9C">
        <w:rPr>
          <w:sz w:val="28"/>
          <w:szCs w:val="28"/>
        </w:rPr>
        <w:t>К</w:t>
      </w:r>
      <w:r w:rsidR="0047393C" w:rsidRPr="00A43B9C">
        <w:rPr>
          <w:sz w:val="28"/>
          <w:szCs w:val="28"/>
        </w:rPr>
        <w:t xml:space="preserve">орпоративного фонда «University Medical Center» </w:t>
      </w:r>
      <w:r w:rsidRPr="00A43B9C">
        <w:rPr>
          <w:sz w:val="28"/>
          <w:szCs w:val="28"/>
        </w:rPr>
        <w:t xml:space="preserve">(г. </w:t>
      </w:r>
      <w:r w:rsidR="00C20F87" w:rsidRPr="00A43B9C">
        <w:rPr>
          <w:sz w:val="28"/>
          <w:szCs w:val="28"/>
        </w:rPr>
        <w:t>Астана</w:t>
      </w:r>
      <w:r w:rsidRPr="00A43B9C">
        <w:rPr>
          <w:sz w:val="28"/>
          <w:szCs w:val="28"/>
        </w:rPr>
        <w:t xml:space="preserve">, Казахстан) и использовался в день исследования из-за ультракороткого срока годности (109 минут). Изображение всего тела были выполнены с использованием с ПЭТ/КТ-сканера (система </w:t>
      </w:r>
      <w:r w:rsidRPr="00A43B9C">
        <w:rPr>
          <w:sz w:val="28"/>
          <w:szCs w:val="28"/>
          <w:lang w:val="en-US"/>
        </w:rPr>
        <w:t>Biograph</w:t>
      </w:r>
      <w:r w:rsidRPr="00A43B9C">
        <w:rPr>
          <w:sz w:val="28"/>
          <w:szCs w:val="28"/>
        </w:rPr>
        <w:t xml:space="preserve"> </w:t>
      </w:r>
      <w:r w:rsidRPr="00A43B9C">
        <w:rPr>
          <w:sz w:val="28"/>
          <w:szCs w:val="28"/>
          <w:lang w:val="en-US"/>
        </w:rPr>
        <w:t>TruePoint</w:t>
      </w:r>
      <w:r w:rsidRPr="00A43B9C">
        <w:rPr>
          <w:sz w:val="28"/>
          <w:szCs w:val="28"/>
        </w:rPr>
        <w:t xml:space="preserve"> </w:t>
      </w:r>
      <w:r w:rsidRPr="00A43B9C">
        <w:rPr>
          <w:sz w:val="28"/>
          <w:szCs w:val="28"/>
          <w:lang w:val="en-US"/>
        </w:rPr>
        <w:t>PET</w:t>
      </w:r>
      <w:r w:rsidRPr="00A43B9C">
        <w:rPr>
          <w:sz w:val="28"/>
          <w:szCs w:val="28"/>
        </w:rPr>
        <w:t>·</w:t>
      </w:r>
      <w:r w:rsidRPr="00A43B9C">
        <w:rPr>
          <w:sz w:val="28"/>
          <w:szCs w:val="28"/>
          <w:lang w:val="en-US"/>
        </w:rPr>
        <w:t>CT</w:t>
      </w:r>
      <w:r w:rsidRPr="00A43B9C">
        <w:rPr>
          <w:sz w:val="28"/>
          <w:szCs w:val="28"/>
        </w:rPr>
        <w:t xml:space="preserve">, производитель - </w:t>
      </w:r>
      <w:r w:rsidRPr="00A43B9C">
        <w:rPr>
          <w:sz w:val="28"/>
          <w:szCs w:val="28"/>
          <w:lang w:val="en-US"/>
        </w:rPr>
        <w:t>Siemens</w:t>
      </w:r>
      <w:r w:rsidRPr="00A43B9C">
        <w:rPr>
          <w:sz w:val="28"/>
          <w:szCs w:val="28"/>
        </w:rPr>
        <w:t xml:space="preserve"> </w:t>
      </w:r>
      <w:r w:rsidRPr="00A43B9C">
        <w:rPr>
          <w:sz w:val="28"/>
          <w:szCs w:val="28"/>
          <w:lang w:val="en-US"/>
        </w:rPr>
        <w:t>Medical</w:t>
      </w:r>
      <w:r w:rsidRPr="00A43B9C">
        <w:rPr>
          <w:sz w:val="28"/>
          <w:szCs w:val="28"/>
        </w:rPr>
        <w:t xml:space="preserve"> </w:t>
      </w:r>
      <w:r w:rsidRPr="00A43B9C">
        <w:rPr>
          <w:sz w:val="28"/>
          <w:szCs w:val="28"/>
          <w:lang w:val="en-US"/>
        </w:rPr>
        <w:t>Solutions</w:t>
      </w:r>
      <w:r w:rsidRPr="00A43B9C">
        <w:rPr>
          <w:sz w:val="28"/>
          <w:szCs w:val="28"/>
        </w:rPr>
        <w:t xml:space="preserve"> </w:t>
      </w:r>
      <w:r w:rsidRPr="00A43B9C">
        <w:rPr>
          <w:sz w:val="28"/>
          <w:szCs w:val="28"/>
          <w:lang w:val="en-US"/>
        </w:rPr>
        <w:t>USA</w:t>
      </w:r>
      <w:r w:rsidRPr="00A43B9C">
        <w:rPr>
          <w:sz w:val="28"/>
          <w:szCs w:val="28"/>
        </w:rPr>
        <w:t xml:space="preserve"> </w:t>
      </w:r>
      <w:r w:rsidRPr="00A43B9C">
        <w:rPr>
          <w:sz w:val="28"/>
          <w:szCs w:val="28"/>
          <w:lang w:val="en-US"/>
        </w:rPr>
        <w:t>Inc</w:t>
      </w:r>
      <w:r w:rsidRPr="00A43B9C">
        <w:rPr>
          <w:sz w:val="28"/>
          <w:szCs w:val="28"/>
        </w:rPr>
        <w:t>., США) и проводились в соответствии с утвержденным клиническим протоколом</w:t>
      </w:r>
      <w:r w:rsidR="000F053B" w:rsidRPr="00A43B9C">
        <w:rPr>
          <w:sz w:val="28"/>
          <w:szCs w:val="28"/>
        </w:rPr>
        <w:t xml:space="preserve"> проведения</w:t>
      </w:r>
      <w:r w:rsidRPr="00A43B9C">
        <w:rPr>
          <w:sz w:val="28"/>
          <w:szCs w:val="28"/>
        </w:rPr>
        <w:t xml:space="preserve"> </w:t>
      </w:r>
      <w:r w:rsidRPr="00A43B9C">
        <w:rPr>
          <w:sz w:val="28"/>
          <w:szCs w:val="28"/>
          <w:vertAlign w:val="superscript"/>
        </w:rPr>
        <w:t>18</w:t>
      </w:r>
      <w:r w:rsidRPr="00A43B9C">
        <w:rPr>
          <w:sz w:val="28"/>
          <w:szCs w:val="28"/>
          <w:lang w:val="en-US"/>
        </w:rPr>
        <w:t>F</w:t>
      </w:r>
      <w:r w:rsidRPr="00A43B9C">
        <w:rPr>
          <w:sz w:val="28"/>
          <w:szCs w:val="28"/>
        </w:rPr>
        <w:t>-</w:t>
      </w:r>
      <w:r w:rsidRPr="00A43B9C">
        <w:rPr>
          <w:sz w:val="28"/>
          <w:szCs w:val="28"/>
          <w:lang w:val="en-US"/>
        </w:rPr>
        <w:t>FDG</w:t>
      </w:r>
      <w:r w:rsidRPr="00A43B9C">
        <w:rPr>
          <w:sz w:val="28"/>
          <w:szCs w:val="28"/>
        </w:rPr>
        <w:t xml:space="preserve"> ПЭТ/КТ обследования</w:t>
      </w:r>
      <w:r w:rsidR="000F053B" w:rsidRPr="00A43B9C">
        <w:rPr>
          <w:sz w:val="28"/>
          <w:szCs w:val="28"/>
        </w:rPr>
        <w:t xml:space="preserve"> всего тела</w:t>
      </w:r>
      <w:r w:rsidR="0032429A" w:rsidRPr="00A43B9C">
        <w:rPr>
          <w:sz w:val="28"/>
          <w:szCs w:val="28"/>
        </w:rPr>
        <w:t xml:space="preserve"> (Приложение</w:t>
      </w:r>
      <w:r w:rsidR="00151301" w:rsidRPr="00A43B9C">
        <w:rPr>
          <w:sz w:val="28"/>
          <w:szCs w:val="28"/>
        </w:rPr>
        <w:t xml:space="preserve"> </w:t>
      </w:r>
      <w:r w:rsidR="00675353" w:rsidRPr="00A43B9C">
        <w:rPr>
          <w:sz w:val="28"/>
          <w:szCs w:val="28"/>
        </w:rPr>
        <w:t>Е</w:t>
      </w:r>
      <w:r w:rsidR="0032429A" w:rsidRPr="00A43B9C">
        <w:rPr>
          <w:sz w:val="28"/>
          <w:szCs w:val="28"/>
        </w:rPr>
        <w:t>)</w:t>
      </w:r>
      <w:r w:rsidRPr="00A43B9C">
        <w:rPr>
          <w:sz w:val="28"/>
          <w:szCs w:val="28"/>
        </w:rPr>
        <w:t>.</w:t>
      </w:r>
    </w:p>
    <w:p w14:paraId="5DF1D376" w14:textId="6392BBBB" w:rsidR="001C6451" w:rsidRPr="00A43B9C" w:rsidRDefault="001C6451" w:rsidP="001C6451">
      <w:pPr>
        <w:pStyle w:val="p"/>
        <w:shd w:val="clear" w:color="auto" w:fill="FFFFFF"/>
        <w:spacing w:before="0" w:beforeAutospacing="0" w:after="0" w:afterAutospacing="0"/>
        <w:ind w:firstLine="708"/>
        <w:jc w:val="both"/>
        <w:rPr>
          <w:color w:val="000000"/>
          <w:sz w:val="28"/>
          <w:szCs w:val="28"/>
        </w:rPr>
      </w:pPr>
      <w:r w:rsidRPr="00A43B9C">
        <w:rPr>
          <w:color w:val="000000"/>
          <w:sz w:val="28"/>
          <w:szCs w:val="28"/>
        </w:rPr>
        <w:lastRenderedPageBreak/>
        <w:t xml:space="preserve">Перед </w:t>
      </w:r>
      <w:r w:rsidRPr="00A43B9C">
        <w:rPr>
          <w:sz w:val="28"/>
          <w:szCs w:val="28"/>
        </w:rPr>
        <w:t xml:space="preserve">ПЭТ/КТ процедурой </w:t>
      </w:r>
      <w:r w:rsidRPr="00A43B9C">
        <w:rPr>
          <w:color w:val="000000"/>
          <w:sz w:val="28"/>
          <w:szCs w:val="28"/>
        </w:rPr>
        <w:t>и соответствующей</w:t>
      </w:r>
      <w:r w:rsidR="00BA2DA0" w:rsidRPr="00A43B9C">
        <w:rPr>
          <w:color w:val="000000"/>
          <w:sz w:val="28"/>
          <w:szCs w:val="28"/>
        </w:rPr>
        <w:t xml:space="preserve"> </w:t>
      </w:r>
      <w:r w:rsidRPr="00A43B9C">
        <w:rPr>
          <w:color w:val="000000"/>
          <w:sz w:val="28"/>
          <w:szCs w:val="28"/>
          <w:vertAlign w:val="superscript"/>
        </w:rPr>
        <w:t>18</w:t>
      </w:r>
      <w:r w:rsidRPr="00A43B9C">
        <w:rPr>
          <w:color w:val="000000"/>
          <w:sz w:val="28"/>
          <w:szCs w:val="28"/>
          <w:lang w:val="en-US"/>
        </w:rPr>
        <w:t>F</w:t>
      </w:r>
      <w:r w:rsidRPr="00A43B9C">
        <w:rPr>
          <w:color w:val="000000"/>
          <w:sz w:val="28"/>
          <w:szCs w:val="28"/>
        </w:rPr>
        <w:t>-</w:t>
      </w:r>
      <w:r w:rsidRPr="00A43B9C">
        <w:rPr>
          <w:color w:val="000000"/>
          <w:sz w:val="28"/>
          <w:szCs w:val="28"/>
          <w:lang w:val="en-US"/>
        </w:rPr>
        <w:t>FDG</w:t>
      </w:r>
      <w:r w:rsidRPr="00A43B9C">
        <w:rPr>
          <w:color w:val="000000"/>
          <w:sz w:val="28"/>
          <w:szCs w:val="28"/>
        </w:rPr>
        <w:t xml:space="preserve"> </w:t>
      </w:r>
      <w:r w:rsidR="00BA2DA0" w:rsidRPr="00A43B9C">
        <w:rPr>
          <w:color w:val="000000"/>
          <w:sz w:val="28"/>
          <w:szCs w:val="28"/>
        </w:rPr>
        <w:t xml:space="preserve">внутривенной </w:t>
      </w:r>
      <w:r w:rsidRPr="00A43B9C">
        <w:rPr>
          <w:color w:val="000000"/>
          <w:sz w:val="28"/>
          <w:szCs w:val="28"/>
        </w:rPr>
        <w:t xml:space="preserve">инъекцией пациенты воздерживались от приема пищи в течение как минимум 6 часов, и уровень глюкозы в сыворотке крови у всех пациентов составлял &lt;11 ммоль/л. Средняя доза активности введенного </w:t>
      </w:r>
      <w:r w:rsidRPr="00A43B9C">
        <w:rPr>
          <w:color w:val="000000"/>
          <w:sz w:val="28"/>
          <w:szCs w:val="28"/>
          <w:vertAlign w:val="superscript"/>
        </w:rPr>
        <w:t>18</w:t>
      </w:r>
      <w:r w:rsidRPr="00A43B9C">
        <w:rPr>
          <w:color w:val="000000"/>
          <w:sz w:val="28"/>
          <w:szCs w:val="28"/>
        </w:rPr>
        <w:t xml:space="preserve">F-FDG для пациентов с </w:t>
      </w:r>
      <w:r w:rsidR="00BA2DA0" w:rsidRPr="00A43B9C">
        <w:rPr>
          <w:color w:val="000000"/>
          <w:sz w:val="28"/>
          <w:szCs w:val="28"/>
        </w:rPr>
        <w:t>ЭРЯ</w:t>
      </w:r>
      <w:r w:rsidRPr="00A43B9C">
        <w:rPr>
          <w:sz w:val="28"/>
          <w:szCs w:val="28"/>
        </w:rPr>
        <w:t xml:space="preserve"> составила 255,6 </w:t>
      </w:r>
      <w:r w:rsidR="0020110A">
        <w:rPr>
          <w:sz w:val="28"/>
          <w:szCs w:val="28"/>
        </w:rPr>
        <w:t>Мегабеккерель (</w:t>
      </w:r>
      <w:r w:rsidRPr="00A43B9C">
        <w:rPr>
          <w:sz w:val="28"/>
          <w:szCs w:val="28"/>
        </w:rPr>
        <w:t>МБк</w:t>
      </w:r>
      <w:r w:rsidR="0020110A">
        <w:rPr>
          <w:sz w:val="28"/>
          <w:szCs w:val="28"/>
        </w:rPr>
        <w:t>)</w:t>
      </w:r>
      <w:r w:rsidRPr="00A43B9C">
        <w:rPr>
          <w:sz w:val="28"/>
          <w:szCs w:val="28"/>
        </w:rPr>
        <w:t>, варьируя от 132,8 до 425,5 МБк</w:t>
      </w:r>
      <w:r w:rsidR="00095552" w:rsidRPr="00A43B9C">
        <w:rPr>
          <w:sz w:val="28"/>
          <w:szCs w:val="28"/>
        </w:rPr>
        <w:t xml:space="preserve"> (рисунок </w:t>
      </w:r>
      <w:r w:rsidR="00006C4D">
        <w:rPr>
          <w:sz w:val="28"/>
          <w:szCs w:val="28"/>
        </w:rPr>
        <w:t>4</w:t>
      </w:r>
      <w:r w:rsidR="00497752" w:rsidRPr="00A43B9C">
        <w:rPr>
          <w:sz w:val="28"/>
          <w:szCs w:val="28"/>
        </w:rPr>
        <w:t>а</w:t>
      </w:r>
      <w:r w:rsidR="00095552" w:rsidRPr="00A43B9C">
        <w:rPr>
          <w:sz w:val="28"/>
          <w:szCs w:val="28"/>
        </w:rPr>
        <w:t>)</w:t>
      </w:r>
      <w:r w:rsidRPr="00A43B9C">
        <w:rPr>
          <w:sz w:val="28"/>
          <w:szCs w:val="28"/>
        </w:rPr>
        <w:t xml:space="preserve">, для пациентов с </w:t>
      </w:r>
      <w:r w:rsidR="00BA2DA0" w:rsidRPr="00A43B9C">
        <w:rPr>
          <w:sz w:val="28"/>
          <w:szCs w:val="28"/>
        </w:rPr>
        <w:t>КРР</w:t>
      </w:r>
      <w:r w:rsidRPr="00A43B9C">
        <w:rPr>
          <w:sz w:val="28"/>
          <w:szCs w:val="28"/>
        </w:rPr>
        <w:t xml:space="preserve"> составила 252,55 МБк, варьируя от 132,5 до 465,3 МБк</w:t>
      </w:r>
      <w:r w:rsidR="00095552" w:rsidRPr="00A43B9C">
        <w:rPr>
          <w:sz w:val="28"/>
          <w:szCs w:val="28"/>
        </w:rPr>
        <w:t xml:space="preserve"> (рисунок </w:t>
      </w:r>
      <w:r w:rsidR="00006C4D">
        <w:rPr>
          <w:sz w:val="28"/>
          <w:szCs w:val="28"/>
        </w:rPr>
        <w:t>5</w:t>
      </w:r>
      <w:r w:rsidR="00497752" w:rsidRPr="00A43B9C">
        <w:rPr>
          <w:sz w:val="28"/>
          <w:szCs w:val="28"/>
        </w:rPr>
        <w:t>а</w:t>
      </w:r>
      <w:r w:rsidR="00095552" w:rsidRPr="00A43B9C">
        <w:rPr>
          <w:sz w:val="28"/>
          <w:szCs w:val="28"/>
        </w:rPr>
        <w:t>)</w:t>
      </w:r>
      <w:r w:rsidRPr="00A43B9C">
        <w:rPr>
          <w:sz w:val="28"/>
          <w:szCs w:val="28"/>
        </w:rPr>
        <w:t xml:space="preserve">. Средняя эффективная доза облучения для пациентов с </w:t>
      </w:r>
      <w:r w:rsidR="00BA2DA0" w:rsidRPr="00A43B9C">
        <w:rPr>
          <w:sz w:val="28"/>
          <w:szCs w:val="28"/>
        </w:rPr>
        <w:t>ЭРЯ</w:t>
      </w:r>
      <w:r w:rsidRPr="00A43B9C">
        <w:rPr>
          <w:sz w:val="28"/>
          <w:szCs w:val="28"/>
        </w:rPr>
        <w:t xml:space="preserve"> составила 8,6 </w:t>
      </w:r>
      <w:r w:rsidR="0020110A">
        <w:rPr>
          <w:sz w:val="28"/>
          <w:szCs w:val="28"/>
        </w:rPr>
        <w:t>миллизиверт (</w:t>
      </w:r>
      <w:r w:rsidRPr="00A43B9C">
        <w:rPr>
          <w:sz w:val="28"/>
          <w:szCs w:val="28"/>
        </w:rPr>
        <w:t>мЗв</w:t>
      </w:r>
      <w:r w:rsidR="0020110A">
        <w:rPr>
          <w:sz w:val="28"/>
          <w:szCs w:val="28"/>
        </w:rPr>
        <w:t>)</w:t>
      </w:r>
      <w:r w:rsidRPr="00A43B9C">
        <w:rPr>
          <w:sz w:val="28"/>
          <w:szCs w:val="28"/>
        </w:rPr>
        <w:t>, диапазон от 5,9 до 15,4 мЗв</w:t>
      </w:r>
      <w:r w:rsidR="00095552" w:rsidRPr="00A43B9C">
        <w:rPr>
          <w:sz w:val="28"/>
          <w:szCs w:val="28"/>
        </w:rPr>
        <w:t xml:space="preserve"> (рисунок </w:t>
      </w:r>
      <w:r w:rsidR="00006C4D">
        <w:rPr>
          <w:sz w:val="28"/>
          <w:szCs w:val="28"/>
        </w:rPr>
        <w:t>4</w:t>
      </w:r>
      <w:r w:rsidR="00497752" w:rsidRPr="00A43B9C">
        <w:rPr>
          <w:sz w:val="28"/>
          <w:szCs w:val="28"/>
        </w:rPr>
        <w:t>б</w:t>
      </w:r>
      <w:r w:rsidR="00095552" w:rsidRPr="00A43B9C">
        <w:rPr>
          <w:sz w:val="28"/>
          <w:szCs w:val="28"/>
        </w:rPr>
        <w:t>)</w:t>
      </w:r>
      <w:r w:rsidRPr="00A43B9C">
        <w:rPr>
          <w:sz w:val="28"/>
          <w:szCs w:val="28"/>
        </w:rPr>
        <w:t xml:space="preserve">, для пациентов с </w:t>
      </w:r>
      <w:r w:rsidR="00BA2DA0" w:rsidRPr="00A43B9C">
        <w:rPr>
          <w:sz w:val="28"/>
          <w:szCs w:val="28"/>
        </w:rPr>
        <w:t>КРР</w:t>
      </w:r>
      <w:r w:rsidRPr="00A43B9C">
        <w:rPr>
          <w:sz w:val="28"/>
          <w:szCs w:val="28"/>
        </w:rPr>
        <w:t xml:space="preserve"> составила 8,75 мЗв, диапазон от 6,8 до 17,1 мЗв</w:t>
      </w:r>
      <w:r w:rsidR="00095552" w:rsidRPr="00A43B9C">
        <w:rPr>
          <w:sz w:val="28"/>
          <w:szCs w:val="28"/>
        </w:rPr>
        <w:t xml:space="preserve"> (рисунок </w:t>
      </w:r>
      <w:r w:rsidR="00006C4D">
        <w:rPr>
          <w:sz w:val="28"/>
          <w:szCs w:val="28"/>
        </w:rPr>
        <w:t>5</w:t>
      </w:r>
      <w:r w:rsidR="00497752" w:rsidRPr="00A43B9C">
        <w:rPr>
          <w:sz w:val="28"/>
          <w:szCs w:val="28"/>
        </w:rPr>
        <w:t>б</w:t>
      </w:r>
      <w:r w:rsidR="00095552" w:rsidRPr="00A43B9C">
        <w:rPr>
          <w:sz w:val="28"/>
          <w:szCs w:val="28"/>
        </w:rPr>
        <w:t>)</w:t>
      </w:r>
      <w:r w:rsidRPr="00A43B9C">
        <w:rPr>
          <w:sz w:val="28"/>
          <w:szCs w:val="28"/>
        </w:rPr>
        <w:t xml:space="preserve">. КТ сканы были получены после эмиссионного сканирования ПЭТ. Протокол </w:t>
      </w:r>
      <w:r w:rsidRPr="00A43B9C">
        <w:rPr>
          <w:color w:val="000000"/>
          <w:sz w:val="28"/>
          <w:szCs w:val="28"/>
        </w:rPr>
        <w:t xml:space="preserve">исследования ПЭТ/КТ включал топограмму, низкодозную КТ для коррекции ослабления и анатомической корреляции, а также сбор данных ПЭТ. Продолжительность сбора данных ПЭТ зависела от роста и веса пациента, но обычно </w:t>
      </w:r>
      <w:r w:rsidR="00AB51B0" w:rsidRPr="00A43B9C">
        <w:rPr>
          <w:color w:val="000000"/>
          <w:sz w:val="28"/>
          <w:szCs w:val="28"/>
        </w:rPr>
        <w:t>длилась</w:t>
      </w:r>
      <w:r w:rsidRPr="00A43B9C">
        <w:rPr>
          <w:color w:val="000000"/>
          <w:sz w:val="28"/>
          <w:szCs w:val="28"/>
        </w:rPr>
        <w:t xml:space="preserve"> 25-40 минут. Как только данные ПЭТ были получены, КТ </w:t>
      </w:r>
      <w:r w:rsidR="0032429A" w:rsidRPr="00A43B9C">
        <w:rPr>
          <w:color w:val="000000"/>
          <w:sz w:val="28"/>
          <w:szCs w:val="28"/>
        </w:rPr>
        <w:t xml:space="preserve">снимки </w:t>
      </w:r>
      <w:r w:rsidRPr="00A43B9C">
        <w:rPr>
          <w:color w:val="000000"/>
          <w:sz w:val="28"/>
          <w:szCs w:val="28"/>
        </w:rPr>
        <w:t xml:space="preserve">и ПЭТ </w:t>
      </w:r>
      <w:r w:rsidR="0032429A" w:rsidRPr="00A43B9C">
        <w:rPr>
          <w:color w:val="000000"/>
          <w:sz w:val="28"/>
          <w:szCs w:val="28"/>
        </w:rPr>
        <w:t xml:space="preserve">изображения </w:t>
      </w:r>
      <w:r w:rsidRPr="00A43B9C">
        <w:rPr>
          <w:color w:val="000000"/>
          <w:sz w:val="28"/>
          <w:szCs w:val="28"/>
        </w:rPr>
        <w:t>были реконструированы и сохранены в аксиальных, корональных и сагиттальных срезах.</w:t>
      </w:r>
    </w:p>
    <w:p w14:paraId="214A50FA" w14:textId="563BFBE8" w:rsidR="001C6451" w:rsidRPr="00A43B9C" w:rsidRDefault="001C6451" w:rsidP="001C6451">
      <w:pPr>
        <w:pStyle w:val="p"/>
        <w:shd w:val="clear" w:color="auto" w:fill="FFFFFF"/>
        <w:spacing w:before="0" w:beforeAutospacing="0" w:after="0" w:afterAutospacing="0"/>
        <w:ind w:firstLine="708"/>
        <w:jc w:val="both"/>
        <w:rPr>
          <w:color w:val="000000"/>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6"/>
      </w:tblGrid>
      <w:tr w:rsidR="00C911FB" w:rsidRPr="00A43B9C" w14:paraId="1CCB6A47" w14:textId="77777777" w:rsidTr="00B30AFF">
        <w:tc>
          <w:tcPr>
            <w:tcW w:w="8736" w:type="dxa"/>
          </w:tcPr>
          <w:p w14:paraId="026C3C79" w14:textId="232DD042" w:rsidR="003A1CFB" w:rsidRPr="00A43B9C" w:rsidRDefault="00BB5EF5" w:rsidP="00EA63F3">
            <w:pPr>
              <w:pStyle w:val="p"/>
              <w:spacing w:before="0" w:beforeAutospacing="0" w:after="0" w:afterAutospacing="0"/>
              <w:jc w:val="both"/>
              <w:rPr>
                <w:color w:val="000000"/>
                <w:sz w:val="28"/>
                <w:szCs w:val="28"/>
              </w:rPr>
            </w:pPr>
            <w:r>
              <w:rPr>
                <w:noProof/>
              </w:rPr>
              <w:drawing>
                <wp:inline distT="0" distB="0" distL="0" distR="0" wp14:anchorId="4BE3B6FC" wp14:editId="22272F87">
                  <wp:extent cx="5400000" cy="1800000"/>
                  <wp:effectExtent l="0" t="0" r="10795" b="10160"/>
                  <wp:docPr id="456" name="Диаграмма 456">
                    <a:extLst xmlns:a="http://schemas.openxmlformats.org/drawingml/2006/main">
                      <a:ext uri="{FF2B5EF4-FFF2-40B4-BE49-F238E27FC236}">
                        <a16:creationId xmlns:a16="http://schemas.microsoft.com/office/drawing/2014/main" id="{F0242D62-FE1E-47FC-875E-AEEFE3DC16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tc>
      </w:tr>
      <w:tr w:rsidR="00B30AFF" w:rsidRPr="00B30AFF" w14:paraId="7C8DD9DE" w14:textId="77777777" w:rsidTr="00B30AFF">
        <w:tc>
          <w:tcPr>
            <w:tcW w:w="8736" w:type="dxa"/>
          </w:tcPr>
          <w:p w14:paraId="0D6BD317" w14:textId="7A5F833F" w:rsidR="00B30AFF" w:rsidRPr="00B30AFF" w:rsidRDefault="00B30AFF" w:rsidP="00B30AFF">
            <w:pPr>
              <w:autoSpaceDE w:val="0"/>
              <w:autoSpaceDN w:val="0"/>
              <w:adjustRightInd w:val="0"/>
              <w:spacing w:after="0" w:line="240" w:lineRule="auto"/>
              <w:ind w:firstLine="709"/>
              <w:jc w:val="center"/>
              <w:rPr>
                <w:noProof/>
                <w:sz w:val="24"/>
                <w:szCs w:val="24"/>
              </w:rPr>
            </w:pPr>
            <w:r w:rsidRPr="00B30AFF">
              <w:rPr>
                <w:rFonts w:ascii="Times New Roman" w:eastAsia="NewtonC" w:hAnsi="Times New Roman" w:cs="Times New Roman"/>
                <w:sz w:val="24"/>
                <w:szCs w:val="24"/>
              </w:rPr>
              <w:t xml:space="preserve">а) Доза активности введенного </w:t>
            </w:r>
            <w:r w:rsidRPr="00B30AFF">
              <w:rPr>
                <w:rFonts w:ascii="Times New Roman" w:eastAsia="NewtonC" w:hAnsi="Times New Roman" w:cs="Times New Roman"/>
                <w:sz w:val="24"/>
                <w:szCs w:val="24"/>
                <w:vertAlign w:val="superscript"/>
              </w:rPr>
              <w:t>18</w:t>
            </w:r>
            <w:r w:rsidRPr="00B30AFF">
              <w:rPr>
                <w:rFonts w:ascii="Times New Roman" w:eastAsia="NewtonC" w:hAnsi="Times New Roman" w:cs="Times New Roman"/>
                <w:sz w:val="24"/>
                <w:szCs w:val="24"/>
                <w:lang w:val="en-US"/>
              </w:rPr>
              <w:t>F</w:t>
            </w:r>
            <w:r w:rsidRPr="00B30AFF">
              <w:rPr>
                <w:rFonts w:ascii="Times New Roman" w:eastAsia="NewtonC" w:hAnsi="Times New Roman" w:cs="Times New Roman"/>
                <w:sz w:val="24"/>
                <w:szCs w:val="24"/>
              </w:rPr>
              <w:t>-</w:t>
            </w:r>
            <w:r w:rsidRPr="00B30AFF">
              <w:rPr>
                <w:rFonts w:ascii="Times New Roman" w:eastAsia="NewtonC" w:hAnsi="Times New Roman" w:cs="Times New Roman"/>
                <w:sz w:val="24"/>
                <w:szCs w:val="24"/>
                <w:lang w:val="en-US"/>
              </w:rPr>
              <w:t>FDG</w:t>
            </w:r>
          </w:p>
        </w:tc>
      </w:tr>
      <w:tr w:rsidR="00C911FB" w:rsidRPr="00A43B9C" w14:paraId="5D1B96C5" w14:textId="77777777" w:rsidTr="00B30AFF">
        <w:tc>
          <w:tcPr>
            <w:tcW w:w="8736" w:type="dxa"/>
          </w:tcPr>
          <w:p w14:paraId="7E020769" w14:textId="3F90829A" w:rsidR="00C911FB" w:rsidRPr="00A43B9C" w:rsidRDefault="00C911FB" w:rsidP="001C6451">
            <w:pPr>
              <w:pStyle w:val="p"/>
              <w:spacing w:before="0" w:beforeAutospacing="0" w:after="0" w:afterAutospacing="0"/>
              <w:jc w:val="both"/>
              <w:rPr>
                <w:noProof/>
              </w:rPr>
            </w:pPr>
            <w:r w:rsidRPr="00A43B9C">
              <w:rPr>
                <w:noProof/>
              </w:rPr>
              <w:drawing>
                <wp:inline distT="0" distB="0" distL="0" distR="0" wp14:anchorId="25EF2CCE" wp14:editId="545712AD">
                  <wp:extent cx="5400000" cy="1800000"/>
                  <wp:effectExtent l="0" t="0" r="10795" b="10160"/>
                  <wp:docPr id="265" name="Диаграмма 265">
                    <a:extLst xmlns:a="http://schemas.openxmlformats.org/drawingml/2006/main">
                      <a:ext uri="{FF2B5EF4-FFF2-40B4-BE49-F238E27FC236}">
                        <a16:creationId xmlns:a16="http://schemas.microsoft.com/office/drawing/2014/main" id="{0D2FA44E-A55D-4F20-A1AF-78B81F5F40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tc>
      </w:tr>
      <w:tr w:rsidR="00B30AFF" w:rsidRPr="00B30AFF" w14:paraId="5ADCB3EC" w14:textId="77777777" w:rsidTr="00B30AFF">
        <w:tc>
          <w:tcPr>
            <w:tcW w:w="8736" w:type="dxa"/>
          </w:tcPr>
          <w:p w14:paraId="52567BEA" w14:textId="15B894C5" w:rsidR="00B30AFF" w:rsidRPr="00B30AFF" w:rsidRDefault="00B30AFF" w:rsidP="00B30AFF">
            <w:pPr>
              <w:autoSpaceDE w:val="0"/>
              <w:autoSpaceDN w:val="0"/>
              <w:adjustRightInd w:val="0"/>
              <w:spacing w:after="0" w:line="240" w:lineRule="auto"/>
              <w:ind w:firstLine="709"/>
              <w:jc w:val="center"/>
              <w:rPr>
                <w:noProof/>
                <w:sz w:val="24"/>
                <w:szCs w:val="24"/>
              </w:rPr>
            </w:pPr>
            <w:r w:rsidRPr="00B30AFF">
              <w:rPr>
                <w:rFonts w:ascii="Times New Roman" w:eastAsia="NewtonC" w:hAnsi="Times New Roman" w:cs="Times New Roman"/>
                <w:sz w:val="24"/>
                <w:szCs w:val="24"/>
              </w:rPr>
              <w:t>б) Эффективная доза облучения</w:t>
            </w:r>
          </w:p>
        </w:tc>
      </w:tr>
    </w:tbl>
    <w:p w14:paraId="74B4C0D5" w14:textId="77777777" w:rsidR="00B30AFF" w:rsidRDefault="00B30AFF" w:rsidP="00BA2DA0">
      <w:pPr>
        <w:autoSpaceDE w:val="0"/>
        <w:autoSpaceDN w:val="0"/>
        <w:adjustRightInd w:val="0"/>
        <w:spacing w:after="0" w:line="240" w:lineRule="auto"/>
        <w:ind w:firstLine="709"/>
        <w:jc w:val="center"/>
        <w:rPr>
          <w:rFonts w:ascii="Times New Roman" w:eastAsia="NewtonC" w:hAnsi="Times New Roman" w:cs="Times New Roman"/>
          <w:sz w:val="28"/>
          <w:szCs w:val="28"/>
        </w:rPr>
      </w:pPr>
    </w:p>
    <w:p w14:paraId="70082CD8" w14:textId="4D94CABE" w:rsidR="009858A7" w:rsidRDefault="001D33E2" w:rsidP="00B30AFF">
      <w:pPr>
        <w:autoSpaceDE w:val="0"/>
        <w:autoSpaceDN w:val="0"/>
        <w:adjustRightInd w:val="0"/>
        <w:spacing w:after="0" w:line="240" w:lineRule="auto"/>
        <w:ind w:firstLine="709"/>
        <w:jc w:val="center"/>
        <w:rPr>
          <w:rFonts w:ascii="Times New Roman" w:eastAsia="Times New Roman" w:hAnsi="Times New Roman" w:cs="Times New Roman"/>
          <w:color w:val="000000"/>
          <w:sz w:val="28"/>
          <w:szCs w:val="28"/>
          <w:lang w:eastAsia="ru-RU"/>
        </w:rPr>
      </w:pPr>
      <w:r w:rsidRPr="00A43B9C">
        <w:rPr>
          <w:rFonts w:ascii="Times New Roman" w:eastAsia="NewtonC" w:hAnsi="Times New Roman" w:cs="Times New Roman"/>
          <w:sz w:val="28"/>
          <w:szCs w:val="28"/>
        </w:rPr>
        <w:t xml:space="preserve">Рисунок </w:t>
      </w:r>
      <w:r w:rsidR="00006C4D">
        <w:rPr>
          <w:rFonts w:ascii="Times New Roman" w:eastAsia="NewtonC" w:hAnsi="Times New Roman" w:cs="Times New Roman"/>
          <w:sz w:val="28"/>
          <w:szCs w:val="28"/>
        </w:rPr>
        <w:t>4</w:t>
      </w:r>
      <w:r w:rsidRPr="00A43B9C">
        <w:rPr>
          <w:rFonts w:ascii="Times New Roman" w:eastAsia="NewtonC" w:hAnsi="Times New Roman" w:cs="Times New Roman"/>
          <w:sz w:val="28"/>
          <w:szCs w:val="28"/>
        </w:rPr>
        <w:t xml:space="preserve"> -</w:t>
      </w:r>
      <w:r w:rsidR="00BA2DA0" w:rsidRPr="00A43B9C">
        <w:rPr>
          <w:rFonts w:ascii="Times New Roman" w:eastAsia="NewtonC" w:hAnsi="Times New Roman" w:cs="Times New Roman"/>
          <w:sz w:val="28"/>
          <w:szCs w:val="28"/>
        </w:rPr>
        <w:t xml:space="preserve"> Распределение обследованных пациентов с диагнозом ЭРЯ</w:t>
      </w:r>
      <w:r w:rsidR="009858A7">
        <w:rPr>
          <w:color w:val="000000"/>
          <w:sz w:val="28"/>
          <w:szCs w:val="28"/>
        </w:rPr>
        <w:br w:type="page"/>
      </w:r>
    </w:p>
    <w:tbl>
      <w:tblPr>
        <w:tblStyle w:val="ad"/>
        <w:tblW w:w="87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6"/>
      </w:tblGrid>
      <w:tr w:rsidR="00C911FB" w:rsidRPr="00A43B9C" w14:paraId="1FAF988F" w14:textId="77777777" w:rsidTr="006E2E0F">
        <w:tc>
          <w:tcPr>
            <w:tcW w:w="8736" w:type="dxa"/>
          </w:tcPr>
          <w:p w14:paraId="075BF1D8" w14:textId="7030C6E3" w:rsidR="00C911FB" w:rsidRPr="00A43B9C" w:rsidRDefault="00C911FB" w:rsidP="00BA2DA0">
            <w:pPr>
              <w:pStyle w:val="p"/>
              <w:spacing w:before="0" w:beforeAutospacing="0" w:after="0" w:afterAutospacing="0"/>
              <w:jc w:val="both"/>
              <w:rPr>
                <w:color w:val="000000"/>
                <w:sz w:val="28"/>
                <w:szCs w:val="28"/>
              </w:rPr>
            </w:pPr>
            <w:r w:rsidRPr="00A43B9C">
              <w:rPr>
                <w:noProof/>
              </w:rPr>
              <w:lastRenderedPageBreak/>
              <w:drawing>
                <wp:inline distT="0" distB="0" distL="0" distR="0" wp14:anchorId="1A4AEB7A" wp14:editId="042560D3">
                  <wp:extent cx="5400000" cy="1800000"/>
                  <wp:effectExtent l="0" t="0" r="10795" b="10160"/>
                  <wp:docPr id="268" name="Диаграмма 268">
                    <a:extLst xmlns:a="http://schemas.openxmlformats.org/drawingml/2006/main">
                      <a:ext uri="{FF2B5EF4-FFF2-40B4-BE49-F238E27FC236}">
                        <a16:creationId xmlns:a16="http://schemas.microsoft.com/office/drawing/2014/main" id="{20C74CE5-1F23-4D70-8D87-D3F14E11D5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c>
      </w:tr>
      <w:tr w:rsidR="00B30AFF" w:rsidRPr="00B30AFF" w14:paraId="2D52211B" w14:textId="77777777" w:rsidTr="006E2E0F">
        <w:tc>
          <w:tcPr>
            <w:tcW w:w="8736" w:type="dxa"/>
          </w:tcPr>
          <w:p w14:paraId="79C59E2D" w14:textId="7D09BE59" w:rsidR="00B30AFF" w:rsidRPr="00B30AFF" w:rsidRDefault="00B30AFF" w:rsidP="00B30AFF">
            <w:pPr>
              <w:autoSpaceDE w:val="0"/>
              <w:autoSpaceDN w:val="0"/>
              <w:adjustRightInd w:val="0"/>
              <w:spacing w:after="0" w:line="240" w:lineRule="auto"/>
              <w:ind w:firstLine="709"/>
              <w:jc w:val="center"/>
              <w:rPr>
                <w:noProof/>
                <w:sz w:val="24"/>
                <w:szCs w:val="24"/>
              </w:rPr>
            </w:pPr>
            <w:r w:rsidRPr="00B30AFF">
              <w:rPr>
                <w:rFonts w:ascii="Times New Roman" w:eastAsia="NewtonC" w:hAnsi="Times New Roman" w:cs="Times New Roman"/>
                <w:sz w:val="24"/>
                <w:szCs w:val="24"/>
              </w:rPr>
              <w:t xml:space="preserve">а) Доза активности введенного </w:t>
            </w:r>
            <w:r w:rsidRPr="00B30AFF">
              <w:rPr>
                <w:rFonts w:ascii="Times New Roman" w:eastAsia="NewtonC" w:hAnsi="Times New Roman" w:cs="Times New Roman"/>
                <w:sz w:val="24"/>
                <w:szCs w:val="24"/>
                <w:vertAlign w:val="superscript"/>
              </w:rPr>
              <w:t>18</w:t>
            </w:r>
            <w:r w:rsidRPr="00B30AFF">
              <w:rPr>
                <w:rFonts w:ascii="Times New Roman" w:eastAsia="NewtonC" w:hAnsi="Times New Roman" w:cs="Times New Roman"/>
                <w:sz w:val="24"/>
                <w:szCs w:val="24"/>
                <w:lang w:val="en-US"/>
              </w:rPr>
              <w:t>F</w:t>
            </w:r>
            <w:r w:rsidRPr="00B30AFF">
              <w:rPr>
                <w:rFonts w:ascii="Times New Roman" w:eastAsia="NewtonC" w:hAnsi="Times New Roman" w:cs="Times New Roman"/>
                <w:sz w:val="24"/>
                <w:szCs w:val="24"/>
              </w:rPr>
              <w:t>-</w:t>
            </w:r>
            <w:r w:rsidRPr="00B30AFF">
              <w:rPr>
                <w:rFonts w:ascii="Times New Roman" w:eastAsia="NewtonC" w:hAnsi="Times New Roman" w:cs="Times New Roman"/>
                <w:sz w:val="24"/>
                <w:szCs w:val="24"/>
                <w:lang w:val="en-US"/>
              </w:rPr>
              <w:t>FDG</w:t>
            </w:r>
            <w:r w:rsidRPr="00B30AFF">
              <w:rPr>
                <w:rFonts w:ascii="Times New Roman" w:eastAsia="NewtonC" w:hAnsi="Times New Roman" w:cs="Times New Roman"/>
                <w:sz w:val="24"/>
                <w:szCs w:val="24"/>
              </w:rPr>
              <w:t>)</w:t>
            </w:r>
          </w:p>
        </w:tc>
      </w:tr>
      <w:tr w:rsidR="00C911FB" w:rsidRPr="00A43B9C" w14:paraId="0C82D166" w14:textId="77777777" w:rsidTr="006E2E0F">
        <w:tc>
          <w:tcPr>
            <w:tcW w:w="8736" w:type="dxa"/>
          </w:tcPr>
          <w:p w14:paraId="2E7C5B86" w14:textId="608B1A9D" w:rsidR="00C911FB" w:rsidRPr="00A43B9C" w:rsidRDefault="00C911FB" w:rsidP="00BA2DA0">
            <w:pPr>
              <w:pStyle w:val="p"/>
              <w:spacing w:before="0" w:beforeAutospacing="0" w:after="0" w:afterAutospacing="0"/>
              <w:jc w:val="both"/>
              <w:rPr>
                <w:color w:val="000000"/>
                <w:sz w:val="28"/>
                <w:szCs w:val="28"/>
              </w:rPr>
            </w:pPr>
            <w:r w:rsidRPr="00A43B9C">
              <w:rPr>
                <w:noProof/>
              </w:rPr>
              <w:drawing>
                <wp:inline distT="0" distB="0" distL="0" distR="0" wp14:anchorId="5388E30F" wp14:editId="2F9B4A5F">
                  <wp:extent cx="5400000" cy="1800000"/>
                  <wp:effectExtent l="0" t="0" r="10795" b="10160"/>
                  <wp:docPr id="271" name="Диаграмма 271">
                    <a:extLst xmlns:a="http://schemas.openxmlformats.org/drawingml/2006/main">
                      <a:ext uri="{FF2B5EF4-FFF2-40B4-BE49-F238E27FC236}">
                        <a16:creationId xmlns:a16="http://schemas.microsoft.com/office/drawing/2014/main" id="{8DBC8AC3-49BB-454B-85B9-F41FAD6BE9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tc>
      </w:tr>
      <w:tr w:rsidR="00B30AFF" w:rsidRPr="00B30AFF" w14:paraId="4E56295D" w14:textId="77777777" w:rsidTr="006E2E0F">
        <w:tc>
          <w:tcPr>
            <w:tcW w:w="8736" w:type="dxa"/>
          </w:tcPr>
          <w:p w14:paraId="0F9E7E0B" w14:textId="27584A4E" w:rsidR="00B30AFF" w:rsidRPr="00B30AFF" w:rsidRDefault="00B30AFF" w:rsidP="00B30AFF">
            <w:pPr>
              <w:autoSpaceDE w:val="0"/>
              <w:autoSpaceDN w:val="0"/>
              <w:adjustRightInd w:val="0"/>
              <w:spacing w:after="0" w:line="240" w:lineRule="auto"/>
              <w:ind w:firstLine="709"/>
              <w:jc w:val="center"/>
              <w:rPr>
                <w:noProof/>
                <w:sz w:val="24"/>
                <w:szCs w:val="24"/>
              </w:rPr>
            </w:pPr>
            <w:r w:rsidRPr="00B30AFF">
              <w:rPr>
                <w:rFonts w:ascii="Times New Roman" w:eastAsia="NewtonC" w:hAnsi="Times New Roman" w:cs="Times New Roman"/>
                <w:sz w:val="24"/>
                <w:szCs w:val="24"/>
              </w:rPr>
              <w:t>б) Эффективная доза облучения</w:t>
            </w:r>
          </w:p>
        </w:tc>
      </w:tr>
    </w:tbl>
    <w:p w14:paraId="5E37857F" w14:textId="77777777" w:rsidR="00B30AFF" w:rsidRDefault="00B30AFF" w:rsidP="00BA2DA0">
      <w:pPr>
        <w:autoSpaceDE w:val="0"/>
        <w:autoSpaceDN w:val="0"/>
        <w:adjustRightInd w:val="0"/>
        <w:spacing w:after="0" w:line="240" w:lineRule="auto"/>
        <w:ind w:firstLine="709"/>
        <w:jc w:val="center"/>
        <w:rPr>
          <w:rFonts w:ascii="Times New Roman" w:eastAsia="NewtonC" w:hAnsi="Times New Roman" w:cs="Times New Roman"/>
          <w:sz w:val="28"/>
          <w:szCs w:val="28"/>
        </w:rPr>
      </w:pPr>
    </w:p>
    <w:p w14:paraId="33A9FBB6" w14:textId="4BABE207" w:rsidR="00BA2DA0" w:rsidRDefault="001D33E2" w:rsidP="00BA2DA0">
      <w:pPr>
        <w:autoSpaceDE w:val="0"/>
        <w:autoSpaceDN w:val="0"/>
        <w:adjustRightInd w:val="0"/>
        <w:spacing w:after="0" w:line="240" w:lineRule="auto"/>
        <w:ind w:firstLine="709"/>
        <w:jc w:val="center"/>
        <w:rPr>
          <w:rFonts w:ascii="Times New Roman" w:eastAsia="NewtonC" w:hAnsi="Times New Roman" w:cs="Times New Roman"/>
          <w:sz w:val="28"/>
          <w:szCs w:val="28"/>
        </w:rPr>
      </w:pPr>
      <w:r w:rsidRPr="00A43B9C">
        <w:rPr>
          <w:rFonts w:ascii="Times New Roman" w:eastAsia="NewtonC" w:hAnsi="Times New Roman" w:cs="Times New Roman"/>
          <w:sz w:val="28"/>
          <w:szCs w:val="28"/>
        </w:rPr>
        <w:t xml:space="preserve">Рисунок </w:t>
      </w:r>
      <w:r w:rsidR="00006C4D">
        <w:rPr>
          <w:rFonts w:ascii="Times New Roman" w:eastAsia="NewtonC" w:hAnsi="Times New Roman" w:cs="Times New Roman"/>
          <w:sz w:val="28"/>
          <w:szCs w:val="28"/>
        </w:rPr>
        <w:t>5</w:t>
      </w:r>
      <w:r w:rsidRPr="00A43B9C">
        <w:rPr>
          <w:rFonts w:ascii="Times New Roman" w:eastAsia="NewtonC" w:hAnsi="Times New Roman" w:cs="Times New Roman"/>
          <w:sz w:val="28"/>
          <w:szCs w:val="28"/>
        </w:rPr>
        <w:t xml:space="preserve"> -</w:t>
      </w:r>
      <w:r w:rsidR="00BA2DA0" w:rsidRPr="00A43B9C">
        <w:rPr>
          <w:rFonts w:ascii="Times New Roman" w:eastAsia="NewtonC" w:hAnsi="Times New Roman" w:cs="Times New Roman"/>
          <w:sz w:val="28"/>
          <w:szCs w:val="28"/>
        </w:rPr>
        <w:t xml:space="preserve"> Распределение обследованных пациентов с диагнозом КРР</w:t>
      </w:r>
    </w:p>
    <w:p w14:paraId="6EEC2C52" w14:textId="77777777" w:rsidR="00B30AFF" w:rsidRPr="00A43B9C" w:rsidRDefault="00B30AFF" w:rsidP="00BA2DA0">
      <w:pPr>
        <w:autoSpaceDE w:val="0"/>
        <w:autoSpaceDN w:val="0"/>
        <w:adjustRightInd w:val="0"/>
        <w:spacing w:after="0" w:line="240" w:lineRule="auto"/>
        <w:ind w:firstLine="709"/>
        <w:jc w:val="center"/>
        <w:rPr>
          <w:rFonts w:ascii="Times New Roman" w:eastAsia="NewtonC" w:hAnsi="Times New Roman" w:cs="Times New Roman"/>
          <w:sz w:val="28"/>
          <w:szCs w:val="28"/>
        </w:rPr>
      </w:pPr>
    </w:p>
    <w:p w14:paraId="3980016B" w14:textId="1241EA3E" w:rsidR="001C6451" w:rsidRPr="00A43B9C" w:rsidRDefault="001C6451" w:rsidP="003447F3">
      <w:pPr>
        <w:pStyle w:val="31"/>
        <w:spacing w:before="0" w:line="240" w:lineRule="auto"/>
        <w:ind w:left="709"/>
        <w:rPr>
          <w:rFonts w:ascii="Times New Roman" w:hAnsi="Times New Roman" w:cs="Times New Roman"/>
          <w:color w:val="auto"/>
          <w:sz w:val="28"/>
          <w:szCs w:val="28"/>
        </w:rPr>
      </w:pPr>
      <w:bookmarkStart w:id="43" w:name="_Toc101861813"/>
      <w:bookmarkStart w:id="44" w:name="_Toc102937616"/>
      <w:r w:rsidRPr="00A43B9C">
        <w:rPr>
          <w:rStyle w:val="a9"/>
          <w:rFonts w:ascii="Times New Roman" w:hAnsi="Times New Roman" w:cs="Times New Roman"/>
          <w:noProof/>
          <w:color w:val="auto"/>
          <w:sz w:val="28"/>
          <w:szCs w:val="28"/>
          <w:u w:val="none"/>
        </w:rPr>
        <w:t>2</w:t>
      </w:r>
      <w:hyperlink w:anchor="_Toc94099720" w:history="1">
        <w:r w:rsidRPr="00A43B9C">
          <w:rPr>
            <w:rFonts w:ascii="Times New Roman" w:hAnsi="Times New Roman" w:cs="Times New Roman"/>
            <w:color w:val="auto"/>
            <w:sz w:val="28"/>
            <w:szCs w:val="28"/>
          </w:rPr>
          <w:t>.2.2 Анализ и интерпретация изображений</w:t>
        </w:r>
        <w:bookmarkEnd w:id="43"/>
        <w:bookmarkEnd w:id="44"/>
      </w:hyperlink>
    </w:p>
    <w:p w14:paraId="7EC337C4" w14:textId="28EDE430" w:rsidR="001C6451" w:rsidRPr="00A43B9C" w:rsidRDefault="001C6451" w:rsidP="001C6451">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Анализ изображений был выполнен в интересующей области (ROI) с использованием расширенного рабочего пространства Siemens. Мы автоматически рассчитали </w:t>
      </w:r>
      <w:r w:rsidR="00290AA2">
        <w:rPr>
          <w:rFonts w:ascii="Times New Roman" w:hAnsi="Times New Roman" w:cs="Times New Roman"/>
          <w:sz w:val="28"/>
          <w:szCs w:val="28"/>
        </w:rPr>
        <w:t xml:space="preserve">уровень </w:t>
      </w:r>
      <w:r w:rsidRPr="00A43B9C">
        <w:rPr>
          <w:rFonts w:ascii="Times New Roman" w:hAnsi="Times New Roman" w:cs="Times New Roman"/>
          <w:sz w:val="28"/>
          <w:szCs w:val="28"/>
        </w:rPr>
        <w:t>накоплени</w:t>
      </w:r>
      <w:r w:rsidR="00290AA2">
        <w:rPr>
          <w:rFonts w:ascii="Times New Roman" w:hAnsi="Times New Roman" w:cs="Times New Roman"/>
          <w:sz w:val="28"/>
          <w:szCs w:val="28"/>
        </w:rPr>
        <w:t>я</w:t>
      </w:r>
      <w:r w:rsidRPr="00A43B9C">
        <w:rPr>
          <w:rFonts w:ascii="Times New Roman" w:hAnsi="Times New Roman" w:cs="Times New Roman"/>
          <w:sz w:val="28"/>
          <w:szCs w:val="28"/>
        </w:rPr>
        <w:t xml:space="preserve"> 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висцеральном жире с помощью </w:t>
      </w:r>
      <w:r w:rsidR="00F00280" w:rsidRPr="00A43B9C">
        <w:rPr>
          <w:rFonts w:ascii="Times New Roman" w:hAnsi="Times New Roman" w:cs="Times New Roman"/>
          <w:sz w:val="28"/>
          <w:szCs w:val="28"/>
        </w:rPr>
        <w:t xml:space="preserve">встроенной формулы </w:t>
      </w:r>
      <w:r w:rsidRPr="00A43B9C">
        <w:rPr>
          <w:rFonts w:ascii="Times New Roman" w:hAnsi="Times New Roman" w:cs="Times New Roman"/>
          <w:sz w:val="28"/>
          <w:szCs w:val="28"/>
        </w:rPr>
        <w:t>программного обеспе</w:t>
      </w:r>
      <w:r w:rsidR="00F00280" w:rsidRPr="00A43B9C">
        <w:rPr>
          <w:rFonts w:ascii="Times New Roman" w:hAnsi="Times New Roman" w:cs="Times New Roman"/>
          <w:sz w:val="28"/>
          <w:szCs w:val="28"/>
        </w:rPr>
        <w:t>чения</w:t>
      </w:r>
      <w:r w:rsidRPr="00A43B9C">
        <w:rPr>
          <w:rFonts w:ascii="Times New Roman" w:hAnsi="Times New Roman" w:cs="Times New Roman"/>
          <w:sz w:val="28"/>
          <w:szCs w:val="28"/>
        </w:rPr>
        <w:t>:</w:t>
      </w:r>
    </w:p>
    <w:p w14:paraId="223F4880" w14:textId="77777777" w:rsidR="001C6451" w:rsidRPr="00A43B9C" w:rsidRDefault="001C6451" w:rsidP="001C6451">
      <w:pPr>
        <w:spacing w:after="0" w:line="240" w:lineRule="auto"/>
        <w:ind w:firstLine="709"/>
        <w:jc w:val="both"/>
        <w:rPr>
          <w:rFonts w:ascii="Times New Roman" w:hAnsi="Times New Roman" w:cs="Times New Roman"/>
          <w:iCs/>
          <w:sz w:val="28"/>
          <w:szCs w:val="28"/>
        </w:rPr>
      </w:pPr>
      <w:r w:rsidRPr="00A43B9C">
        <w:rPr>
          <w:rFonts w:ascii="Times New Roman" w:hAnsi="Times New Roman" w:cs="Times New Roman"/>
          <w:iCs/>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iCs/>
          <w:sz w:val="28"/>
          <w:szCs w:val="28"/>
        </w:rPr>
        <w:t xml:space="preserve"> = [</w:t>
      </w:r>
      <w:r w:rsidRPr="00A43B9C">
        <w:rPr>
          <w:rFonts w:ascii="Times New Roman" w:hAnsi="Times New Roman" w:cs="Times New Roman"/>
          <w:iCs/>
          <w:sz w:val="28"/>
          <w:szCs w:val="28"/>
          <w:lang w:val="en-US"/>
        </w:rPr>
        <w:t>ROI</w:t>
      </w:r>
      <w:r w:rsidRPr="00A43B9C">
        <w:rPr>
          <w:rFonts w:ascii="Times New Roman" w:hAnsi="Times New Roman" w:cs="Times New Roman"/>
          <w:iCs/>
          <w:sz w:val="28"/>
          <w:szCs w:val="28"/>
        </w:rPr>
        <w:t xml:space="preserve"> (МБк/г)] / [введенная доза (МБк)] / [общая масса тела (г)]</w:t>
      </w:r>
    </w:p>
    <w:p w14:paraId="072C74AA" w14:textId="6C38B1D3" w:rsidR="001C6451" w:rsidRPr="00A43B9C" w:rsidRDefault="001C6451" w:rsidP="001C6451">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Области висцерального жира были определены с использованием предопределенных единиц </w:t>
      </w:r>
      <w:r w:rsidR="00F00280" w:rsidRPr="00A43B9C">
        <w:rPr>
          <w:rFonts w:ascii="Times New Roman" w:hAnsi="Times New Roman" w:cs="Times New Roman"/>
          <w:sz w:val="28"/>
          <w:szCs w:val="28"/>
        </w:rPr>
        <w:t xml:space="preserve">шкалы </w:t>
      </w:r>
      <w:r w:rsidRPr="00A43B9C">
        <w:rPr>
          <w:rFonts w:ascii="Times New Roman" w:hAnsi="Times New Roman" w:cs="Times New Roman"/>
          <w:sz w:val="28"/>
          <w:szCs w:val="28"/>
        </w:rPr>
        <w:t>Хаунсфилда (HU) в диапазоне от [-70] до</w:t>
      </w:r>
      <w:r w:rsidR="00006C4D">
        <w:rPr>
          <w:rFonts w:ascii="Times New Roman" w:hAnsi="Times New Roman" w:cs="Times New Roman"/>
          <w:sz w:val="28"/>
          <w:szCs w:val="28"/>
        </w:rPr>
        <w:br/>
      </w:r>
      <w:r w:rsidRPr="00A43B9C">
        <w:rPr>
          <w:rFonts w:ascii="Times New Roman" w:hAnsi="Times New Roman" w:cs="Times New Roman"/>
          <w:sz w:val="28"/>
          <w:szCs w:val="28"/>
        </w:rPr>
        <w:t>[-110] по фоновым компьютерным изображениям.</w:t>
      </w:r>
      <w:r w:rsidR="00AB51B0"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Для измерения </w:t>
      </w:r>
      <w:r w:rsidR="00EA5E8C">
        <w:rPr>
          <w:rFonts w:ascii="Times New Roman" w:hAnsi="Times New Roman" w:cs="Times New Roman"/>
          <w:sz w:val="28"/>
          <w:szCs w:val="28"/>
        </w:rPr>
        <w:t xml:space="preserve">функциональной </w:t>
      </w:r>
      <w:r w:rsidRPr="00A43B9C">
        <w:rPr>
          <w:rFonts w:ascii="Times New Roman" w:hAnsi="Times New Roman" w:cs="Times New Roman"/>
          <w:sz w:val="28"/>
          <w:szCs w:val="28"/>
        </w:rPr>
        <w:t xml:space="preserve">активности висцерального жира ROI (1,00 мм </w:t>
      </w:r>
      <w:r w:rsidR="00F00280" w:rsidRPr="00A43B9C">
        <w:rPr>
          <w:rFonts w:ascii="Times New Roman" w:hAnsi="Times New Roman" w:cs="Times New Roman"/>
          <w:sz w:val="28"/>
          <w:szCs w:val="28"/>
        </w:rPr>
        <w:t xml:space="preserve">в </w:t>
      </w:r>
      <w:r w:rsidRPr="00A43B9C">
        <w:rPr>
          <w:rFonts w:ascii="Times New Roman" w:hAnsi="Times New Roman" w:cs="Times New Roman"/>
          <w:sz w:val="28"/>
          <w:szCs w:val="28"/>
        </w:rPr>
        <w:t>кажд</w:t>
      </w:r>
      <w:r w:rsidR="00F00280" w:rsidRPr="00A43B9C">
        <w:rPr>
          <w:rFonts w:ascii="Times New Roman" w:hAnsi="Times New Roman" w:cs="Times New Roman"/>
          <w:sz w:val="28"/>
          <w:szCs w:val="28"/>
        </w:rPr>
        <w:t>ой</w:t>
      </w:r>
      <w:r w:rsidRPr="00A43B9C">
        <w:rPr>
          <w:rFonts w:ascii="Times New Roman" w:hAnsi="Times New Roman" w:cs="Times New Roman"/>
          <w:sz w:val="28"/>
          <w:szCs w:val="28"/>
        </w:rPr>
        <w:t xml:space="preserve"> измеренн</w:t>
      </w:r>
      <w:r w:rsidR="00F00280" w:rsidRPr="00A43B9C">
        <w:rPr>
          <w:rFonts w:ascii="Times New Roman" w:hAnsi="Times New Roman" w:cs="Times New Roman"/>
          <w:sz w:val="28"/>
          <w:szCs w:val="28"/>
        </w:rPr>
        <w:t>ой</w:t>
      </w:r>
      <w:r w:rsidRPr="00A43B9C">
        <w:rPr>
          <w:rFonts w:ascii="Times New Roman" w:hAnsi="Times New Roman" w:cs="Times New Roman"/>
          <w:sz w:val="28"/>
          <w:szCs w:val="28"/>
        </w:rPr>
        <w:t xml:space="preserve"> точк</w:t>
      </w:r>
      <w:r w:rsidR="00F00280" w:rsidRPr="00A43B9C">
        <w:rPr>
          <w:rFonts w:ascii="Times New Roman" w:hAnsi="Times New Roman" w:cs="Times New Roman"/>
          <w:sz w:val="28"/>
          <w:szCs w:val="28"/>
        </w:rPr>
        <w:t>е</w:t>
      </w:r>
      <w:r w:rsidRPr="00A43B9C">
        <w:rPr>
          <w:rFonts w:ascii="Times New Roman" w:hAnsi="Times New Roman" w:cs="Times New Roman"/>
          <w:sz w:val="28"/>
          <w:szCs w:val="28"/>
        </w:rPr>
        <w:t>) были разделены на области в соответствии с топографической структурой</w:t>
      </w:r>
      <w:r w:rsidR="00F90783" w:rsidRPr="00A43B9C">
        <w:rPr>
          <w:rFonts w:ascii="Times New Roman" w:hAnsi="Times New Roman" w:cs="Times New Roman"/>
          <w:sz w:val="28"/>
          <w:szCs w:val="28"/>
        </w:rPr>
        <w:t xml:space="preserve"> </w:t>
      </w:r>
      <w:r w:rsidRPr="00A43B9C">
        <w:rPr>
          <w:rFonts w:ascii="Times New Roman" w:hAnsi="Times New Roman" w:cs="Times New Roman"/>
          <w:sz w:val="28"/>
          <w:szCs w:val="28"/>
        </w:rPr>
        <w:t>брюшной полости</w:t>
      </w:r>
      <w:r w:rsidR="00F00280" w:rsidRPr="00A43B9C">
        <w:rPr>
          <w:rFonts w:ascii="Times New Roman" w:hAnsi="Times New Roman" w:cs="Times New Roman"/>
          <w:sz w:val="28"/>
          <w:szCs w:val="28"/>
        </w:rPr>
        <w:t xml:space="preserve"> и малого таза</w:t>
      </w:r>
      <w:r w:rsidR="00F90783" w:rsidRPr="00A43B9C">
        <w:rPr>
          <w:rFonts w:ascii="Times New Roman" w:hAnsi="Times New Roman" w:cs="Times New Roman"/>
          <w:sz w:val="28"/>
          <w:szCs w:val="28"/>
        </w:rPr>
        <w:t xml:space="preserve"> по областям </w:t>
      </w:r>
      <w:r w:rsidR="00AA4B46">
        <w:rPr>
          <w:rFonts w:ascii="Times New Roman" w:hAnsi="Times New Roman" w:cs="Times New Roman"/>
          <w:sz w:val="28"/>
          <w:szCs w:val="28"/>
        </w:rPr>
        <w:t xml:space="preserve">– </w:t>
      </w:r>
      <w:r w:rsidR="00AA4B46">
        <w:rPr>
          <w:rFonts w:ascii="Times New Roman" w:hAnsi="Times New Roman" w:cs="Times New Roman"/>
          <w:sz w:val="28"/>
          <w:szCs w:val="28"/>
          <w:lang w:val="en-US"/>
        </w:rPr>
        <w:t>RE</w:t>
      </w:r>
      <w:r w:rsidR="00AA4B46">
        <w:rPr>
          <w:rFonts w:ascii="Times New Roman" w:hAnsi="Times New Roman" w:cs="Times New Roman"/>
          <w:sz w:val="28"/>
          <w:szCs w:val="28"/>
        </w:rPr>
        <w:t>: собственно эпигастральная область</w:t>
      </w:r>
      <w:bookmarkStart w:id="45" w:name="_Hlk103251107"/>
      <w:r w:rsidRPr="00A43B9C">
        <w:rPr>
          <w:rFonts w:ascii="Times New Roman" w:hAnsi="Times New Roman" w:cs="Times New Roman"/>
          <w:sz w:val="28"/>
          <w:szCs w:val="28"/>
        </w:rPr>
        <w:t xml:space="preserve"> (</w:t>
      </w:r>
      <w:r w:rsidR="00D85264" w:rsidRPr="00A43B9C">
        <w:rPr>
          <w:rFonts w:ascii="Times New Roman" w:hAnsi="Times New Roman" w:cs="Times New Roman"/>
          <w:sz w:val="28"/>
          <w:szCs w:val="28"/>
          <w:lang w:val="en-US"/>
        </w:rPr>
        <w:t>Epigastric</w:t>
      </w:r>
      <w:r w:rsidR="00D85264" w:rsidRPr="00A43B9C">
        <w:rPr>
          <w:rFonts w:ascii="Times New Roman" w:hAnsi="Times New Roman" w:cs="Times New Roman"/>
          <w:sz w:val="28"/>
          <w:szCs w:val="28"/>
        </w:rPr>
        <w:t xml:space="preserve"> </w:t>
      </w:r>
      <w:r w:rsidR="00D85264" w:rsidRPr="00A43B9C">
        <w:rPr>
          <w:rFonts w:ascii="Times New Roman" w:hAnsi="Times New Roman" w:cs="Times New Roman"/>
          <w:sz w:val="28"/>
          <w:szCs w:val="28"/>
          <w:lang w:val="en-US"/>
        </w:rPr>
        <w:t>Region</w:t>
      </w:r>
      <w:r w:rsidR="00F00280" w:rsidRPr="00A43B9C">
        <w:rPr>
          <w:rFonts w:ascii="Times New Roman" w:hAnsi="Times New Roman" w:cs="Times New Roman"/>
          <w:sz w:val="28"/>
          <w:szCs w:val="28"/>
        </w:rPr>
        <w:t>);</w:t>
      </w:r>
      <w:r w:rsidR="00D85264" w:rsidRPr="00A43B9C">
        <w:rPr>
          <w:rFonts w:ascii="Times New Roman" w:hAnsi="Times New Roman" w:cs="Times New Roman"/>
          <w:sz w:val="28"/>
          <w:szCs w:val="28"/>
        </w:rPr>
        <w:t xml:space="preserve"> </w:t>
      </w:r>
      <w:r w:rsidRPr="00A43B9C">
        <w:rPr>
          <w:rFonts w:ascii="Times New Roman" w:hAnsi="Times New Roman" w:cs="Times New Roman"/>
          <w:sz w:val="28"/>
          <w:szCs w:val="28"/>
        </w:rPr>
        <w:t>RLH</w:t>
      </w:r>
      <w:r w:rsidR="00F00280" w:rsidRPr="00A43B9C">
        <w:rPr>
          <w:rFonts w:ascii="Times New Roman" w:hAnsi="Times New Roman" w:cs="Times New Roman"/>
          <w:sz w:val="28"/>
          <w:szCs w:val="28"/>
        </w:rPr>
        <w:t>:</w:t>
      </w:r>
      <w:r w:rsidRPr="00A43B9C">
        <w:rPr>
          <w:rFonts w:ascii="Times New Roman" w:hAnsi="Times New Roman" w:cs="Times New Roman"/>
          <w:sz w:val="28"/>
          <w:szCs w:val="28"/>
        </w:rPr>
        <w:t xml:space="preserve"> </w:t>
      </w:r>
      <w:r w:rsidR="00F00280" w:rsidRPr="00A43B9C">
        <w:rPr>
          <w:rFonts w:ascii="Times New Roman" w:hAnsi="Times New Roman" w:cs="Times New Roman"/>
          <w:sz w:val="28"/>
          <w:szCs w:val="28"/>
        </w:rPr>
        <w:t>л</w:t>
      </w:r>
      <w:r w:rsidRPr="00A43B9C">
        <w:rPr>
          <w:rFonts w:ascii="Times New Roman" w:hAnsi="Times New Roman" w:cs="Times New Roman"/>
          <w:sz w:val="28"/>
          <w:szCs w:val="28"/>
        </w:rPr>
        <w:t>евая подреберная область (</w:t>
      </w:r>
      <w:r w:rsidR="00D85264" w:rsidRPr="00A43B9C">
        <w:rPr>
          <w:rFonts w:ascii="Times New Roman" w:hAnsi="Times New Roman" w:cs="Times New Roman"/>
          <w:sz w:val="28"/>
          <w:szCs w:val="28"/>
          <w:lang w:val="en-US"/>
        </w:rPr>
        <w:t>Left</w:t>
      </w:r>
      <w:r w:rsidR="00D85264" w:rsidRPr="00A43B9C">
        <w:rPr>
          <w:rFonts w:ascii="Times New Roman" w:hAnsi="Times New Roman" w:cs="Times New Roman"/>
          <w:sz w:val="28"/>
          <w:szCs w:val="28"/>
        </w:rPr>
        <w:t xml:space="preserve"> </w:t>
      </w:r>
      <w:r w:rsidR="00D85264" w:rsidRPr="00A43B9C">
        <w:rPr>
          <w:rFonts w:ascii="Times New Roman" w:hAnsi="Times New Roman" w:cs="Times New Roman"/>
          <w:sz w:val="28"/>
          <w:szCs w:val="28"/>
          <w:lang w:val="en-US"/>
        </w:rPr>
        <w:t>Hypochondriac</w:t>
      </w:r>
      <w:r w:rsidR="00D85264" w:rsidRPr="00A43B9C">
        <w:rPr>
          <w:rFonts w:ascii="Times New Roman" w:hAnsi="Times New Roman" w:cs="Times New Roman"/>
          <w:sz w:val="28"/>
          <w:szCs w:val="28"/>
        </w:rPr>
        <w:t xml:space="preserve"> </w:t>
      </w:r>
      <w:r w:rsidR="00D85264" w:rsidRPr="00A43B9C">
        <w:rPr>
          <w:rFonts w:ascii="Times New Roman" w:hAnsi="Times New Roman" w:cs="Times New Roman"/>
          <w:sz w:val="28"/>
          <w:szCs w:val="28"/>
          <w:lang w:val="en-US"/>
        </w:rPr>
        <w:t>Region</w:t>
      </w:r>
      <w:r w:rsidRPr="00A43B9C">
        <w:rPr>
          <w:rFonts w:ascii="Times New Roman" w:hAnsi="Times New Roman" w:cs="Times New Roman"/>
          <w:sz w:val="28"/>
          <w:szCs w:val="28"/>
        </w:rPr>
        <w:t>)</w:t>
      </w:r>
      <w:r w:rsidR="00F00280" w:rsidRPr="00A43B9C">
        <w:rPr>
          <w:rFonts w:ascii="Times New Roman" w:hAnsi="Times New Roman" w:cs="Times New Roman"/>
          <w:sz w:val="28"/>
          <w:szCs w:val="28"/>
        </w:rPr>
        <w:t>;</w:t>
      </w:r>
      <w:r w:rsidR="00D85264" w:rsidRPr="00A43B9C">
        <w:rPr>
          <w:rFonts w:ascii="Times New Roman" w:hAnsi="Times New Roman" w:cs="Times New Roman"/>
          <w:sz w:val="28"/>
          <w:szCs w:val="28"/>
        </w:rPr>
        <w:t xml:space="preserve"> </w:t>
      </w:r>
      <w:r w:rsidRPr="00A43B9C">
        <w:rPr>
          <w:rFonts w:ascii="Times New Roman" w:hAnsi="Times New Roman" w:cs="Times New Roman"/>
          <w:sz w:val="28"/>
          <w:szCs w:val="28"/>
        </w:rPr>
        <w:t>RRL</w:t>
      </w:r>
      <w:r w:rsidR="00F00280" w:rsidRPr="00A43B9C">
        <w:rPr>
          <w:rFonts w:ascii="Times New Roman" w:hAnsi="Times New Roman" w:cs="Times New Roman"/>
          <w:sz w:val="28"/>
          <w:szCs w:val="28"/>
        </w:rPr>
        <w:t>:</w:t>
      </w:r>
      <w:r w:rsidRPr="00A43B9C">
        <w:rPr>
          <w:rFonts w:ascii="Times New Roman" w:hAnsi="Times New Roman" w:cs="Times New Roman"/>
          <w:sz w:val="28"/>
          <w:szCs w:val="28"/>
        </w:rPr>
        <w:t xml:space="preserve"> </w:t>
      </w:r>
      <w:r w:rsidR="00F00280" w:rsidRPr="00A43B9C">
        <w:rPr>
          <w:rFonts w:ascii="Times New Roman" w:hAnsi="Times New Roman" w:cs="Times New Roman"/>
          <w:sz w:val="28"/>
          <w:szCs w:val="28"/>
        </w:rPr>
        <w:t>п</w:t>
      </w:r>
      <w:r w:rsidRPr="00A43B9C">
        <w:rPr>
          <w:rFonts w:ascii="Times New Roman" w:hAnsi="Times New Roman" w:cs="Times New Roman"/>
          <w:sz w:val="28"/>
          <w:szCs w:val="28"/>
        </w:rPr>
        <w:t>равая боковая область (</w:t>
      </w:r>
      <w:r w:rsidR="00D85264" w:rsidRPr="00A43B9C">
        <w:rPr>
          <w:rFonts w:ascii="Times New Roman" w:hAnsi="Times New Roman" w:cs="Times New Roman"/>
          <w:sz w:val="28"/>
          <w:szCs w:val="28"/>
          <w:lang w:val="en-US"/>
        </w:rPr>
        <w:t>Right</w:t>
      </w:r>
      <w:r w:rsidR="00D85264" w:rsidRPr="00A43B9C">
        <w:rPr>
          <w:rFonts w:ascii="Times New Roman" w:hAnsi="Times New Roman" w:cs="Times New Roman"/>
          <w:sz w:val="28"/>
          <w:szCs w:val="28"/>
        </w:rPr>
        <w:t xml:space="preserve"> </w:t>
      </w:r>
      <w:r w:rsidR="00D85264" w:rsidRPr="00A43B9C">
        <w:rPr>
          <w:rFonts w:ascii="Times New Roman" w:hAnsi="Times New Roman" w:cs="Times New Roman"/>
          <w:sz w:val="28"/>
          <w:szCs w:val="28"/>
          <w:lang w:val="en-US"/>
        </w:rPr>
        <w:t>Lumbar</w:t>
      </w:r>
      <w:r w:rsidR="00D85264" w:rsidRPr="00A43B9C">
        <w:rPr>
          <w:rFonts w:ascii="Times New Roman" w:hAnsi="Times New Roman" w:cs="Times New Roman"/>
          <w:sz w:val="28"/>
          <w:szCs w:val="28"/>
        </w:rPr>
        <w:t xml:space="preserve"> </w:t>
      </w:r>
      <w:r w:rsidR="00D85264" w:rsidRPr="00A43B9C">
        <w:rPr>
          <w:rFonts w:ascii="Times New Roman" w:hAnsi="Times New Roman" w:cs="Times New Roman"/>
          <w:sz w:val="28"/>
          <w:szCs w:val="28"/>
          <w:lang w:val="en-US"/>
        </w:rPr>
        <w:t>Region</w:t>
      </w:r>
      <w:r w:rsidRPr="00A43B9C">
        <w:rPr>
          <w:rFonts w:ascii="Times New Roman" w:hAnsi="Times New Roman" w:cs="Times New Roman"/>
          <w:sz w:val="28"/>
          <w:szCs w:val="28"/>
        </w:rPr>
        <w:t>)</w:t>
      </w:r>
      <w:r w:rsidR="00F90783" w:rsidRPr="00A43B9C">
        <w:rPr>
          <w:rFonts w:ascii="Times New Roman" w:hAnsi="Times New Roman" w:cs="Times New Roman"/>
          <w:sz w:val="28"/>
          <w:szCs w:val="28"/>
        </w:rPr>
        <w:t>;</w:t>
      </w:r>
      <w:r w:rsidR="00D85264" w:rsidRPr="00A43B9C">
        <w:rPr>
          <w:rFonts w:ascii="Times New Roman" w:hAnsi="Times New Roman" w:cs="Times New Roman"/>
          <w:sz w:val="28"/>
          <w:szCs w:val="28"/>
        </w:rPr>
        <w:t xml:space="preserve"> </w:t>
      </w:r>
      <w:r w:rsidRPr="00A43B9C">
        <w:rPr>
          <w:rFonts w:ascii="Times New Roman" w:hAnsi="Times New Roman" w:cs="Times New Roman"/>
          <w:sz w:val="28"/>
          <w:szCs w:val="28"/>
        </w:rPr>
        <w:t>RU</w:t>
      </w:r>
      <w:r w:rsidR="00F00280" w:rsidRPr="00A43B9C">
        <w:rPr>
          <w:rFonts w:ascii="Times New Roman" w:hAnsi="Times New Roman" w:cs="Times New Roman"/>
          <w:sz w:val="28"/>
          <w:szCs w:val="28"/>
        </w:rPr>
        <w:t>:</w:t>
      </w:r>
      <w:r w:rsidRPr="00A43B9C">
        <w:rPr>
          <w:rFonts w:ascii="Times New Roman" w:hAnsi="Times New Roman" w:cs="Times New Roman"/>
          <w:sz w:val="28"/>
          <w:szCs w:val="28"/>
        </w:rPr>
        <w:t xml:space="preserve"> </w:t>
      </w:r>
      <w:r w:rsidR="00F00280" w:rsidRPr="00A43B9C">
        <w:rPr>
          <w:rFonts w:ascii="Times New Roman" w:hAnsi="Times New Roman" w:cs="Times New Roman"/>
          <w:sz w:val="28"/>
          <w:szCs w:val="28"/>
        </w:rPr>
        <w:t>п</w:t>
      </w:r>
      <w:r w:rsidRPr="00A43B9C">
        <w:rPr>
          <w:rFonts w:ascii="Times New Roman" w:hAnsi="Times New Roman" w:cs="Times New Roman"/>
          <w:sz w:val="28"/>
          <w:szCs w:val="28"/>
        </w:rPr>
        <w:t>упочная область (</w:t>
      </w:r>
      <w:r w:rsidR="00D85264" w:rsidRPr="00A43B9C">
        <w:rPr>
          <w:rFonts w:ascii="Times New Roman" w:hAnsi="Times New Roman" w:cs="Times New Roman"/>
          <w:sz w:val="28"/>
          <w:szCs w:val="28"/>
          <w:lang w:val="en-US"/>
        </w:rPr>
        <w:t>Umbilical</w:t>
      </w:r>
      <w:r w:rsidR="00D85264" w:rsidRPr="00A43B9C">
        <w:rPr>
          <w:rFonts w:ascii="Times New Roman" w:hAnsi="Times New Roman" w:cs="Times New Roman"/>
          <w:sz w:val="28"/>
          <w:szCs w:val="28"/>
        </w:rPr>
        <w:t xml:space="preserve"> </w:t>
      </w:r>
      <w:r w:rsidR="00D85264" w:rsidRPr="00A43B9C">
        <w:rPr>
          <w:rFonts w:ascii="Times New Roman" w:hAnsi="Times New Roman" w:cs="Times New Roman"/>
          <w:sz w:val="28"/>
          <w:szCs w:val="28"/>
          <w:lang w:val="en-US"/>
        </w:rPr>
        <w:t>Region</w:t>
      </w:r>
      <w:r w:rsidRPr="00A43B9C">
        <w:rPr>
          <w:rFonts w:ascii="Times New Roman" w:hAnsi="Times New Roman" w:cs="Times New Roman"/>
          <w:sz w:val="28"/>
          <w:szCs w:val="28"/>
        </w:rPr>
        <w:t>)</w:t>
      </w:r>
      <w:r w:rsidR="00F00280" w:rsidRPr="00A43B9C">
        <w:rPr>
          <w:rFonts w:ascii="Times New Roman" w:hAnsi="Times New Roman" w:cs="Times New Roman"/>
          <w:sz w:val="28"/>
          <w:szCs w:val="28"/>
        </w:rPr>
        <w:t>;</w:t>
      </w:r>
      <w:r w:rsidR="00D85264" w:rsidRPr="00A43B9C">
        <w:rPr>
          <w:rFonts w:ascii="Times New Roman" w:hAnsi="Times New Roman" w:cs="Times New Roman"/>
          <w:sz w:val="28"/>
          <w:szCs w:val="28"/>
        </w:rPr>
        <w:t xml:space="preserve"> </w:t>
      </w:r>
      <w:r w:rsidRPr="00A43B9C">
        <w:rPr>
          <w:rFonts w:ascii="Times New Roman" w:hAnsi="Times New Roman" w:cs="Times New Roman"/>
          <w:sz w:val="28"/>
          <w:szCs w:val="28"/>
        </w:rPr>
        <w:t>RLL</w:t>
      </w:r>
      <w:r w:rsidR="00F00280" w:rsidRPr="00A43B9C">
        <w:rPr>
          <w:rFonts w:ascii="Times New Roman" w:hAnsi="Times New Roman" w:cs="Times New Roman"/>
          <w:sz w:val="28"/>
          <w:szCs w:val="28"/>
        </w:rPr>
        <w:t>:</w:t>
      </w:r>
      <w:r w:rsidRPr="00A43B9C">
        <w:rPr>
          <w:rFonts w:ascii="Times New Roman" w:hAnsi="Times New Roman" w:cs="Times New Roman"/>
          <w:sz w:val="28"/>
          <w:szCs w:val="28"/>
        </w:rPr>
        <w:t xml:space="preserve"> </w:t>
      </w:r>
      <w:r w:rsidR="00F00280" w:rsidRPr="00A43B9C">
        <w:rPr>
          <w:rFonts w:ascii="Times New Roman" w:hAnsi="Times New Roman" w:cs="Times New Roman"/>
          <w:sz w:val="28"/>
          <w:szCs w:val="28"/>
        </w:rPr>
        <w:t>л</w:t>
      </w:r>
      <w:r w:rsidRPr="00A43B9C">
        <w:rPr>
          <w:rFonts w:ascii="Times New Roman" w:hAnsi="Times New Roman" w:cs="Times New Roman"/>
          <w:sz w:val="28"/>
          <w:szCs w:val="28"/>
        </w:rPr>
        <w:t>евая боковая область (</w:t>
      </w:r>
      <w:r w:rsidR="00D85264" w:rsidRPr="00A43B9C">
        <w:rPr>
          <w:rFonts w:ascii="Times New Roman" w:hAnsi="Times New Roman" w:cs="Times New Roman"/>
          <w:sz w:val="28"/>
          <w:szCs w:val="28"/>
          <w:lang w:val="en-US"/>
        </w:rPr>
        <w:t>Left</w:t>
      </w:r>
      <w:r w:rsidR="00D85264" w:rsidRPr="00A43B9C">
        <w:rPr>
          <w:rFonts w:ascii="Times New Roman" w:hAnsi="Times New Roman" w:cs="Times New Roman"/>
          <w:sz w:val="28"/>
          <w:szCs w:val="28"/>
        </w:rPr>
        <w:t xml:space="preserve"> </w:t>
      </w:r>
      <w:r w:rsidR="00D85264" w:rsidRPr="00A43B9C">
        <w:rPr>
          <w:rFonts w:ascii="Times New Roman" w:hAnsi="Times New Roman" w:cs="Times New Roman"/>
          <w:sz w:val="28"/>
          <w:szCs w:val="28"/>
          <w:lang w:val="en-US"/>
        </w:rPr>
        <w:t>Lumbar</w:t>
      </w:r>
      <w:r w:rsidR="00D85264" w:rsidRPr="00A43B9C">
        <w:rPr>
          <w:rFonts w:ascii="Times New Roman" w:hAnsi="Times New Roman" w:cs="Times New Roman"/>
          <w:sz w:val="28"/>
          <w:szCs w:val="28"/>
        </w:rPr>
        <w:t xml:space="preserve"> </w:t>
      </w:r>
      <w:r w:rsidR="00D85264" w:rsidRPr="00A43B9C">
        <w:rPr>
          <w:rFonts w:ascii="Times New Roman" w:hAnsi="Times New Roman" w:cs="Times New Roman"/>
          <w:sz w:val="28"/>
          <w:szCs w:val="28"/>
          <w:lang w:val="en-US"/>
        </w:rPr>
        <w:t>Region</w:t>
      </w:r>
      <w:r w:rsidRPr="00A43B9C">
        <w:rPr>
          <w:rFonts w:ascii="Times New Roman" w:hAnsi="Times New Roman" w:cs="Times New Roman"/>
          <w:sz w:val="28"/>
          <w:szCs w:val="28"/>
        </w:rPr>
        <w:t>)</w:t>
      </w:r>
      <w:r w:rsidR="00F90783" w:rsidRPr="00A43B9C">
        <w:rPr>
          <w:rFonts w:ascii="Times New Roman" w:hAnsi="Times New Roman" w:cs="Times New Roman"/>
          <w:sz w:val="28"/>
          <w:szCs w:val="28"/>
        </w:rPr>
        <w:t>;</w:t>
      </w:r>
      <w:r w:rsidR="00D85264" w:rsidRPr="00A43B9C">
        <w:rPr>
          <w:rFonts w:ascii="Times New Roman" w:hAnsi="Times New Roman" w:cs="Times New Roman"/>
          <w:sz w:val="28"/>
          <w:szCs w:val="28"/>
        </w:rPr>
        <w:t xml:space="preserve"> </w:t>
      </w:r>
      <w:r w:rsidRPr="00A43B9C">
        <w:rPr>
          <w:rFonts w:ascii="Times New Roman" w:hAnsi="Times New Roman" w:cs="Times New Roman"/>
          <w:sz w:val="28"/>
          <w:szCs w:val="28"/>
        </w:rPr>
        <w:t>RRI</w:t>
      </w:r>
      <w:r w:rsidR="00F00280" w:rsidRPr="00A43B9C">
        <w:rPr>
          <w:rFonts w:ascii="Times New Roman" w:hAnsi="Times New Roman" w:cs="Times New Roman"/>
          <w:sz w:val="28"/>
          <w:szCs w:val="28"/>
        </w:rPr>
        <w:t>:</w:t>
      </w:r>
      <w:r w:rsidRPr="00A43B9C">
        <w:rPr>
          <w:rFonts w:ascii="Times New Roman" w:hAnsi="Times New Roman" w:cs="Times New Roman"/>
          <w:sz w:val="28"/>
          <w:szCs w:val="28"/>
        </w:rPr>
        <w:t xml:space="preserve"> </w:t>
      </w:r>
      <w:r w:rsidR="00F00280" w:rsidRPr="00A43B9C">
        <w:rPr>
          <w:rFonts w:ascii="Times New Roman" w:hAnsi="Times New Roman" w:cs="Times New Roman"/>
          <w:sz w:val="28"/>
          <w:szCs w:val="28"/>
        </w:rPr>
        <w:t>п</w:t>
      </w:r>
      <w:r w:rsidRPr="00A43B9C">
        <w:rPr>
          <w:rFonts w:ascii="Times New Roman" w:hAnsi="Times New Roman" w:cs="Times New Roman"/>
          <w:sz w:val="28"/>
          <w:szCs w:val="28"/>
        </w:rPr>
        <w:t>равая подвздошно-паховая область (</w:t>
      </w:r>
      <w:r w:rsidR="00D85264" w:rsidRPr="00A43B9C">
        <w:rPr>
          <w:rFonts w:ascii="Times New Roman" w:hAnsi="Times New Roman" w:cs="Times New Roman"/>
          <w:sz w:val="28"/>
          <w:szCs w:val="28"/>
          <w:lang w:val="en-US"/>
        </w:rPr>
        <w:t>Right</w:t>
      </w:r>
      <w:r w:rsidR="00D85264" w:rsidRPr="00A43B9C">
        <w:rPr>
          <w:rFonts w:ascii="Times New Roman" w:hAnsi="Times New Roman" w:cs="Times New Roman"/>
          <w:sz w:val="28"/>
          <w:szCs w:val="28"/>
        </w:rPr>
        <w:t xml:space="preserve"> </w:t>
      </w:r>
      <w:r w:rsidR="00D85264" w:rsidRPr="00A43B9C">
        <w:rPr>
          <w:rFonts w:ascii="Times New Roman" w:hAnsi="Times New Roman" w:cs="Times New Roman"/>
          <w:sz w:val="28"/>
          <w:szCs w:val="28"/>
          <w:lang w:val="en-US"/>
        </w:rPr>
        <w:t>Inguinal</w:t>
      </w:r>
      <w:r w:rsidR="00D85264" w:rsidRPr="00A43B9C">
        <w:rPr>
          <w:rFonts w:ascii="Times New Roman" w:hAnsi="Times New Roman" w:cs="Times New Roman"/>
          <w:sz w:val="28"/>
          <w:szCs w:val="28"/>
        </w:rPr>
        <w:t xml:space="preserve"> </w:t>
      </w:r>
      <w:r w:rsidR="00D85264" w:rsidRPr="00A43B9C">
        <w:rPr>
          <w:rFonts w:ascii="Times New Roman" w:hAnsi="Times New Roman" w:cs="Times New Roman"/>
          <w:sz w:val="28"/>
          <w:szCs w:val="28"/>
          <w:lang w:val="en-US"/>
        </w:rPr>
        <w:t>Region</w:t>
      </w:r>
      <w:r w:rsidRPr="00A43B9C">
        <w:rPr>
          <w:rFonts w:ascii="Times New Roman" w:hAnsi="Times New Roman" w:cs="Times New Roman"/>
          <w:sz w:val="28"/>
          <w:szCs w:val="28"/>
        </w:rPr>
        <w:t>)</w:t>
      </w:r>
      <w:r w:rsidR="00F90783" w:rsidRPr="00A43B9C">
        <w:rPr>
          <w:rFonts w:ascii="Times New Roman" w:hAnsi="Times New Roman" w:cs="Times New Roman"/>
          <w:sz w:val="28"/>
          <w:szCs w:val="28"/>
        </w:rPr>
        <w:t>;</w:t>
      </w:r>
      <w:r w:rsidR="00D85264" w:rsidRPr="00A43B9C">
        <w:rPr>
          <w:rFonts w:ascii="Times New Roman" w:hAnsi="Times New Roman" w:cs="Times New Roman"/>
          <w:sz w:val="28"/>
          <w:szCs w:val="28"/>
        </w:rPr>
        <w:t xml:space="preserve"> </w:t>
      </w:r>
      <w:r w:rsidRPr="00A43B9C">
        <w:rPr>
          <w:rFonts w:ascii="Times New Roman" w:hAnsi="Times New Roman" w:cs="Times New Roman"/>
          <w:sz w:val="28"/>
          <w:szCs w:val="28"/>
        </w:rPr>
        <w:t>RP</w:t>
      </w:r>
      <w:r w:rsidR="00F00280" w:rsidRPr="00A43B9C">
        <w:rPr>
          <w:rFonts w:ascii="Times New Roman" w:hAnsi="Times New Roman" w:cs="Times New Roman"/>
          <w:sz w:val="28"/>
          <w:szCs w:val="28"/>
        </w:rPr>
        <w:t>:</w:t>
      </w:r>
      <w:r w:rsidRPr="00A43B9C">
        <w:rPr>
          <w:rFonts w:ascii="Times New Roman" w:hAnsi="Times New Roman" w:cs="Times New Roman"/>
          <w:sz w:val="28"/>
          <w:szCs w:val="28"/>
        </w:rPr>
        <w:t xml:space="preserve"> </w:t>
      </w:r>
      <w:r w:rsidR="00F00280" w:rsidRPr="00A43B9C">
        <w:rPr>
          <w:rFonts w:ascii="Times New Roman" w:hAnsi="Times New Roman" w:cs="Times New Roman"/>
          <w:sz w:val="28"/>
          <w:szCs w:val="28"/>
        </w:rPr>
        <w:t>н</w:t>
      </w:r>
      <w:r w:rsidRPr="00A43B9C">
        <w:rPr>
          <w:rFonts w:ascii="Times New Roman" w:hAnsi="Times New Roman" w:cs="Times New Roman"/>
          <w:sz w:val="28"/>
          <w:szCs w:val="28"/>
        </w:rPr>
        <w:t>адлобковая область (</w:t>
      </w:r>
      <w:r w:rsidR="00D85264" w:rsidRPr="00A43B9C">
        <w:rPr>
          <w:rFonts w:ascii="Times New Roman" w:hAnsi="Times New Roman" w:cs="Times New Roman"/>
          <w:sz w:val="28"/>
          <w:szCs w:val="28"/>
          <w:lang w:val="en-US"/>
        </w:rPr>
        <w:t>Hypogastric</w:t>
      </w:r>
      <w:r w:rsidR="00D85264" w:rsidRPr="00A43B9C">
        <w:rPr>
          <w:rFonts w:ascii="Times New Roman" w:hAnsi="Times New Roman" w:cs="Times New Roman"/>
          <w:sz w:val="28"/>
          <w:szCs w:val="28"/>
        </w:rPr>
        <w:t xml:space="preserve"> (</w:t>
      </w:r>
      <w:r w:rsidR="00D85264" w:rsidRPr="00A43B9C">
        <w:rPr>
          <w:rFonts w:ascii="Times New Roman" w:hAnsi="Times New Roman" w:cs="Times New Roman"/>
          <w:sz w:val="28"/>
          <w:szCs w:val="28"/>
          <w:lang w:val="en-US"/>
        </w:rPr>
        <w:t>Pubic</w:t>
      </w:r>
      <w:r w:rsidR="00D85264" w:rsidRPr="00A43B9C">
        <w:rPr>
          <w:rFonts w:ascii="Times New Roman" w:hAnsi="Times New Roman" w:cs="Times New Roman"/>
          <w:sz w:val="28"/>
          <w:szCs w:val="28"/>
        </w:rPr>
        <w:t xml:space="preserve">) </w:t>
      </w:r>
      <w:r w:rsidR="00D85264" w:rsidRPr="00A43B9C">
        <w:rPr>
          <w:rFonts w:ascii="Times New Roman" w:hAnsi="Times New Roman" w:cs="Times New Roman"/>
          <w:sz w:val="28"/>
          <w:szCs w:val="28"/>
          <w:lang w:val="en-US"/>
        </w:rPr>
        <w:t>Region</w:t>
      </w:r>
      <w:r w:rsidRPr="00A43B9C">
        <w:rPr>
          <w:rFonts w:ascii="Times New Roman" w:hAnsi="Times New Roman" w:cs="Times New Roman"/>
          <w:sz w:val="28"/>
          <w:szCs w:val="28"/>
        </w:rPr>
        <w:t>)</w:t>
      </w:r>
      <w:r w:rsidR="00F90783" w:rsidRPr="00A43B9C">
        <w:rPr>
          <w:rFonts w:ascii="Times New Roman" w:hAnsi="Times New Roman" w:cs="Times New Roman"/>
          <w:sz w:val="28"/>
          <w:szCs w:val="28"/>
        </w:rPr>
        <w:t>;</w:t>
      </w:r>
      <w:r w:rsidR="00D85264" w:rsidRPr="00A43B9C">
        <w:rPr>
          <w:rFonts w:ascii="Times New Roman" w:hAnsi="Times New Roman" w:cs="Times New Roman"/>
          <w:sz w:val="28"/>
          <w:szCs w:val="28"/>
        </w:rPr>
        <w:t xml:space="preserve"> </w:t>
      </w:r>
      <w:r w:rsidRPr="00A43B9C">
        <w:rPr>
          <w:rFonts w:ascii="Times New Roman" w:hAnsi="Times New Roman" w:cs="Times New Roman"/>
          <w:sz w:val="28"/>
          <w:szCs w:val="28"/>
        </w:rPr>
        <w:t>RLI</w:t>
      </w:r>
      <w:r w:rsidR="00F00280" w:rsidRPr="00A43B9C">
        <w:rPr>
          <w:rFonts w:ascii="Times New Roman" w:hAnsi="Times New Roman" w:cs="Times New Roman"/>
          <w:sz w:val="28"/>
          <w:szCs w:val="28"/>
        </w:rPr>
        <w:t>:</w:t>
      </w:r>
      <w:r w:rsidRPr="00A43B9C">
        <w:rPr>
          <w:rFonts w:ascii="Times New Roman" w:hAnsi="Times New Roman" w:cs="Times New Roman"/>
          <w:sz w:val="28"/>
          <w:szCs w:val="28"/>
        </w:rPr>
        <w:t xml:space="preserve"> </w:t>
      </w:r>
      <w:r w:rsidR="00F00280" w:rsidRPr="00A43B9C">
        <w:rPr>
          <w:rFonts w:ascii="Times New Roman" w:hAnsi="Times New Roman" w:cs="Times New Roman"/>
          <w:sz w:val="28"/>
          <w:szCs w:val="28"/>
        </w:rPr>
        <w:t>л</w:t>
      </w:r>
      <w:r w:rsidRPr="00A43B9C">
        <w:rPr>
          <w:rFonts w:ascii="Times New Roman" w:hAnsi="Times New Roman" w:cs="Times New Roman"/>
          <w:sz w:val="28"/>
          <w:szCs w:val="28"/>
        </w:rPr>
        <w:t>евая подвздошно-паховая область (</w:t>
      </w:r>
      <w:r w:rsidR="00D85264" w:rsidRPr="00A43B9C">
        <w:rPr>
          <w:rFonts w:ascii="Times New Roman" w:hAnsi="Times New Roman" w:cs="Times New Roman"/>
          <w:sz w:val="28"/>
          <w:szCs w:val="28"/>
          <w:lang w:val="en-US"/>
        </w:rPr>
        <w:t>Left</w:t>
      </w:r>
      <w:r w:rsidR="00D85264" w:rsidRPr="00A43B9C">
        <w:rPr>
          <w:rFonts w:ascii="Times New Roman" w:hAnsi="Times New Roman" w:cs="Times New Roman"/>
          <w:sz w:val="28"/>
          <w:szCs w:val="28"/>
        </w:rPr>
        <w:t xml:space="preserve"> </w:t>
      </w:r>
      <w:r w:rsidR="00D85264" w:rsidRPr="00A43B9C">
        <w:rPr>
          <w:rFonts w:ascii="Times New Roman" w:hAnsi="Times New Roman" w:cs="Times New Roman"/>
          <w:sz w:val="28"/>
          <w:szCs w:val="28"/>
          <w:lang w:val="en-US"/>
        </w:rPr>
        <w:t>Inguinal</w:t>
      </w:r>
      <w:r w:rsidR="00D85264" w:rsidRPr="00A43B9C">
        <w:rPr>
          <w:rFonts w:ascii="Times New Roman" w:hAnsi="Times New Roman" w:cs="Times New Roman"/>
          <w:sz w:val="28"/>
          <w:szCs w:val="28"/>
        </w:rPr>
        <w:t xml:space="preserve"> </w:t>
      </w:r>
      <w:r w:rsidR="00D85264" w:rsidRPr="00A43B9C">
        <w:rPr>
          <w:rFonts w:ascii="Times New Roman" w:hAnsi="Times New Roman" w:cs="Times New Roman"/>
          <w:sz w:val="28"/>
          <w:szCs w:val="28"/>
          <w:lang w:val="en-US"/>
        </w:rPr>
        <w:t>Region</w:t>
      </w:r>
      <w:r w:rsidRPr="00A43B9C">
        <w:rPr>
          <w:rFonts w:ascii="Times New Roman" w:hAnsi="Times New Roman" w:cs="Times New Roman"/>
          <w:sz w:val="28"/>
          <w:szCs w:val="28"/>
        </w:rPr>
        <w:t>)</w:t>
      </w:r>
      <w:r w:rsidR="00F00280" w:rsidRPr="00A43B9C">
        <w:rPr>
          <w:rFonts w:ascii="Times New Roman" w:hAnsi="Times New Roman" w:cs="Times New Roman"/>
          <w:sz w:val="28"/>
          <w:szCs w:val="28"/>
        </w:rPr>
        <w:t>;</w:t>
      </w:r>
      <w:r w:rsidR="00D85264" w:rsidRPr="00A43B9C">
        <w:rPr>
          <w:rFonts w:ascii="Times New Roman" w:hAnsi="Times New Roman" w:cs="Times New Roman"/>
          <w:sz w:val="28"/>
          <w:szCs w:val="28"/>
        </w:rPr>
        <w:t xml:space="preserve"> </w:t>
      </w:r>
      <w:r w:rsidRPr="00A43B9C">
        <w:rPr>
          <w:rFonts w:ascii="Times New Roman" w:hAnsi="Times New Roman" w:cs="Times New Roman"/>
          <w:sz w:val="28"/>
          <w:szCs w:val="28"/>
        </w:rPr>
        <w:t>P</w:t>
      </w:r>
      <w:r w:rsidR="00F00280" w:rsidRPr="00A43B9C">
        <w:rPr>
          <w:rFonts w:ascii="Times New Roman" w:hAnsi="Times New Roman" w:cs="Times New Roman"/>
          <w:sz w:val="28"/>
          <w:szCs w:val="28"/>
        </w:rPr>
        <w:t>:</w:t>
      </w:r>
      <w:r w:rsidRPr="00A43B9C">
        <w:rPr>
          <w:rFonts w:ascii="Times New Roman" w:hAnsi="Times New Roman" w:cs="Times New Roman"/>
          <w:sz w:val="28"/>
          <w:szCs w:val="28"/>
        </w:rPr>
        <w:t xml:space="preserve"> </w:t>
      </w:r>
      <w:r w:rsidR="00F00280" w:rsidRPr="00A43B9C">
        <w:rPr>
          <w:rFonts w:ascii="Times New Roman" w:hAnsi="Times New Roman" w:cs="Times New Roman"/>
          <w:sz w:val="28"/>
          <w:szCs w:val="28"/>
        </w:rPr>
        <w:t>п</w:t>
      </w:r>
      <w:r w:rsidRPr="00A43B9C">
        <w:rPr>
          <w:rFonts w:ascii="Times New Roman" w:hAnsi="Times New Roman" w:cs="Times New Roman"/>
          <w:sz w:val="28"/>
          <w:szCs w:val="28"/>
        </w:rPr>
        <w:t>олость малого таза (</w:t>
      </w:r>
      <w:r w:rsidR="00D85264" w:rsidRPr="00A43B9C">
        <w:rPr>
          <w:rFonts w:ascii="Times New Roman" w:hAnsi="Times New Roman" w:cs="Times New Roman"/>
          <w:sz w:val="28"/>
          <w:szCs w:val="28"/>
          <w:lang w:val="en-US"/>
        </w:rPr>
        <w:t>Pelvis</w:t>
      </w:r>
      <w:r w:rsidRPr="00A43B9C">
        <w:rPr>
          <w:rFonts w:ascii="Times New Roman" w:hAnsi="Times New Roman" w:cs="Times New Roman"/>
          <w:sz w:val="28"/>
          <w:szCs w:val="28"/>
        </w:rPr>
        <w:t>)</w:t>
      </w:r>
      <w:r w:rsidR="00497752" w:rsidRPr="00A43B9C">
        <w:rPr>
          <w:rFonts w:ascii="Times New Roman" w:hAnsi="Times New Roman" w:cs="Times New Roman"/>
          <w:sz w:val="28"/>
          <w:szCs w:val="28"/>
        </w:rPr>
        <w:t xml:space="preserve"> (рисунок </w:t>
      </w:r>
      <w:r w:rsidR="00006C4D">
        <w:rPr>
          <w:rFonts w:ascii="Times New Roman" w:hAnsi="Times New Roman" w:cs="Times New Roman"/>
          <w:sz w:val="28"/>
          <w:szCs w:val="28"/>
        </w:rPr>
        <w:t>6</w:t>
      </w:r>
      <w:r w:rsidR="00497752" w:rsidRPr="00A43B9C">
        <w:rPr>
          <w:rFonts w:ascii="Times New Roman" w:hAnsi="Times New Roman" w:cs="Times New Roman"/>
          <w:sz w:val="28"/>
          <w:szCs w:val="28"/>
        </w:rPr>
        <w:t>)</w:t>
      </w:r>
      <w:r w:rsidRPr="00A43B9C">
        <w:rPr>
          <w:rFonts w:ascii="Times New Roman" w:hAnsi="Times New Roman" w:cs="Times New Roman"/>
          <w:sz w:val="28"/>
          <w:szCs w:val="28"/>
        </w:rPr>
        <w:t>.</w:t>
      </w:r>
    </w:p>
    <w:bookmarkEnd w:id="45"/>
    <w:p w14:paraId="015C0528" w14:textId="77777777" w:rsidR="000648E2" w:rsidRDefault="000648E2" w:rsidP="001C6451">
      <w:pPr>
        <w:spacing w:after="0" w:line="240" w:lineRule="auto"/>
        <w:ind w:firstLine="709"/>
        <w:jc w:val="both"/>
        <w:rPr>
          <w:rFonts w:ascii="Times New Roman" w:hAnsi="Times New Roman" w:cs="Times New Roman"/>
          <w:sz w:val="28"/>
          <w:szCs w:val="28"/>
        </w:rPr>
        <w:sectPr w:rsidR="000648E2" w:rsidSect="0048283A">
          <w:pgSz w:w="11906" w:h="16838"/>
          <w:pgMar w:top="1134" w:right="851" w:bottom="1134" w:left="1701" w:header="709" w:footer="709" w:gutter="0"/>
          <w:cols w:space="708"/>
          <w:docGrid w:linePitch="360"/>
        </w:sectPr>
      </w:pP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496"/>
        <w:gridCol w:w="1488"/>
        <w:gridCol w:w="1788"/>
        <w:gridCol w:w="622"/>
        <w:gridCol w:w="2403"/>
      </w:tblGrid>
      <w:tr w:rsidR="003E3D13" w:rsidRPr="00A43B9C" w14:paraId="74ED097C" w14:textId="77777777" w:rsidTr="003E3D13">
        <w:trPr>
          <w:jc w:val="center"/>
        </w:trPr>
        <w:tc>
          <w:tcPr>
            <w:tcW w:w="3043" w:type="dxa"/>
            <w:gridSpan w:val="2"/>
            <w:vAlign w:val="center"/>
          </w:tcPr>
          <w:p w14:paraId="3AB22C39" w14:textId="77777777" w:rsidR="009858A7" w:rsidRPr="00A43B9C" w:rsidRDefault="009858A7" w:rsidP="009858A7">
            <w:pPr>
              <w:spacing w:after="0" w:line="240" w:lineRule="auto"/>
              <w:jc w:val="center"/>
              <w:rPr>
                <w:rFonts w:ascii="Times New Roman" w:hAnsi="Times New Roman" w:cs="Times New Roman"/>
                <w:noProof/>
                <w:sz w:val="28"/>
                <w:szCs w:val="28"/>
              </w:rPr>
            </w:pPr>
            <w:r w:rsidRPr="00A43B9C">
              <w:rPr>
                <w:rFonts w:ascii="Times New Roman" w:hAnsi="Times New Roman" w:cs="Times New Roman"/>
                <w:noProof/>
                <w:sz w:val="28"/>
                <w:szCs w:val="28"/>
                <w:lang w:eastAsia="ru-RU"/>
              </w:rPr>
              <w:lastRenderedPageBreak/>
              <w:drawing>
                <wp:inline distT="0" distB="0" distL="0" distR="0" wp14:anchorId="38A64637" wp14:editId="5DE08824">
                  <wp:extent cx="1469675" cy="982345"/>
                  <wp:effectExtent l="0" t="0" r="0" b="825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1024" t="15034" r="29886" b="18097"/>
                          <a:stretch/>
                        </pic:blipFill>
                        <pic:spPr bwMode="auto">
                          <a:xfrm>
                            <a:off x="0" y="0"/>
                            <a:ext cx="1471125" cy="9833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76" w:type="dxa"/>
            <w:gridSpan w:val="2"/>
            <w:vAlign w:val="center"/>
          </w:tcPr>
          <w:p w14:paraId="60574A24" w14:textId="77777777" w:rsidR="009858A7" w:rsidRPr="00A43B9C" w:rsidRDefault="009858A7" w:rsidP="009858A7">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09D3B6F5" wp14:editId="1A1E7B5F">
                  <wp:extent cx="1564005" cy="994611"/>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7223" t="18145" r="27354" b="18589"/>
                          <a:stretch/>
                        </pic:blipFill>
                        <pic:spPr bwMode="auto">
                          <a:xfrm>
                            <a:off x="0" y="0"/>
                            <a:ext cx="1564874" cy="9951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25" w:type="dxa"/>
            <w:gridSpan w:val="2"/>
            <w:vAlign w:val="center"/>
          </w:tcPr>
          <w:p w14:paraId="0FC43334" w14:textId="77777777" w:rsidR="009858A7" w:rsidRPr="00A43B9C" w:rsidRDefault="009858A7" w:rsidP="009858A7">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1E6F9EFD" wp14:editId="65FA2F88">
                  <wp:extent cx="1554922" cy="1001395"/>
                  <wp:effectExtent l="0" t="0" r="7620" b="825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8858" t="15976" r="27137" b="13951"/>
                          <a:stretch/>
                        </pic:blipFill>
                        <pic:spPr bwMode="auto">
                          <a:xfrm>
                            <a:off x="0" y="0"/>
                            <a:ext cx="1558975" cy="100400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E3D13" w:rsidRPr="00A43B9C" w14:paraId="17EBB8D3" w14:textId="77777777" w:rsidTr="003E3D13">
        <w:trPr>
          <w:jc w:val="center"/>
        </w:trPr>
        <w:tc>
          <w:tcPr>
            <w:tcW w:w="3043" w:type="dxa"/>
            <w:gridSpan w:val="2"/>
          </w:tcPr>
          <w:p w14:paraId="68BACDF2" w14:textId="5FD151DE" w:rsidR="004B7430" w:rsidRPr="008E32E0" w:rsidRDefault="004B7430" w:rsidP="004B7430">
            <w:pPr>
              <w:spacing w:after="0" w:line="240" w:lineRule="auto"/>
              <w:jc w:val="center"/>
              <w:rPr>
                <w:rFonts w:ascii="Times New Roman" w:hAnsi="Times New Roman" w:cs="Times New Roman"/>
                <w:noProof/>
                <w:sz w:val="24"/>
                <w:szCs w:val="28"/>
                <w:lang w:eastAsia="ru-RU"/>
              </w:rPr>
            </w:pPr>
            <w:r w:rsidRPr="008E32E0">
              <w:rPr>
                <w:rFonts w:ascii="Times New Roman" w:hAnsi="Times New Roman" w:cs="Times New Roman"/>
                <w:noProof/>
                <w:sz w:val="24"/>
                <w:szCs w:val="28"/>
                <w:lang w:eastAsia="ru-RU"/>
              </w:rPr>
              <w:t xml:space="preserve">а) </w:t>
            </w:r>
            <w:r w:rsidRPr="008E32E0">
              <w:rPr>
                <w:rFonts w:ascii="Times New Roman" w:eastAsia="NewtonC" w:hAnsi="Times New Roman" w:cs="Times New Roman"/>
                <w:sz w:val="24"/>
                <w:szCs w:val="28"/>
              </w:rPr>
              <w:t>А</w:t>
            </w:r>
            <w:r w:rsidRPr="008E32E0">
              <w:rPr>
                <w:rFonts w:ascii="Times New Roman" w:hAnsi="Times New Roman" w:cs="Times New Roman"/>
                <w:sz w:val="24"/>
                <w:szCs w:val="28"/>
              </w:rPr>
              <w:t>ксиальная плоскость, области RE и RLH, КТ снимок</w:t>
            </w:r>
          </w:p>
        </w:tc>
        <w:tc>
          <w:tcPr>
            <w:tcW w:w="3276" w:type="dxa"/>
            <w:gridSpan w:val="2"/>
          </w:tcPr>
          <w:p w14:paraId="617BA37D" w14:textId="0320316E" w:rsidR="004B7430" w:rsidRPr="008E32E0" w:rsidRDefault="004B7430" w:rsidP="004B7430">
            <w:pPr>
              <w:spacing w:after="0" w:line="240" w:lineRule="auto"/>
              <w:jc w:val="center"/>
              <w:rPr>
                <w:rFonts w:ascii="Times New Roman" w:hAnsi="Times New Roman" w:cs="Times New Roman"/>
                <w:noProof/>
                <w:sz w:val="24"/>
                <w:szCs w:val="28"/>
                <w:lang w:eastAsia="ru-RU"/>
              </w:rPr>
            </w:pPr>
            <w:r w:rsidRPr="008E32E0">
              <w:rPr>
                <w:rFonts w:ascii="Times New Roman" w:hAnsi="Times New Roman" w:cs="Times New Roman"/>
                <w:noProof/>
                <w:sz w:val="24"/>
                <w:szCs w:val="28"/>
                <w:lang w:eastAsia="ru-RU"/>
              </w:rPr>
              <w:t xml:space="preserve">б) </w:t>
            </w:r>
            <w:r w:rsidRPr="008E32E0">
              <w:rPr>
                <w:rFonts w:ascii="Times New Roman" w:eastAsia="NewtonC" w:hAnsi="Times New Roman" w:cs="Times New Roman"/>
                <w:sz w:val="24"/>
                <w:szCs w:val="28"/>
              </w:rPr>
              <w:t>А</w:t>
            </w:r>
            <w:r w:rsidRPr="008E32E0">
              <w:rPr>
                <w:rFonts w:ascii="Times New Roman" w:hAnsi="Times New Roman" w:cs="Times New Roman"/>
                <w:sz w:val="24"/>
                <w:szCs w:val="28"/>
              </w:rPr>
              <w:t>ксиальная плоскость, области RE и RLH, ПЭТ изображение</w:t>
            </w:r>
          </w:p>
        </w:tc>
        <w:tc>
          <w:tcPr>
            <w:tcW w:w="3025" w:type="dxa"/>
            <w:gridSpan w:val="2"/>
          </w:tcPr>
          <w:p w14:paraId="5F3BE5CC" w14:textId="0514F180" w:rsidR="004B7430" w:rsidRPr="008E32E0" w:rsidRDefault="004B7430" w:rsidP="004B7430">
            <w:pPr>
              <w:autoSpaceDE w:val="0"/>
              <w:autoSpaceDN w:val="0"/>
              <w:adjustRightInd w:val="0"/>
              <w:spacing w:after="0" w:line="240" w:lineRule="auto"/>
              <w:ind w:firstLine="709"/>
              <w:jc w:val="center"/>
              <w:rPr>
                <w:rFonts w:ascii="Times New Roman" w:hAnsi="Times New Roman" w:cs="Times New Roman"/>
                <w:noProof/>
                <w:sz w:val="24"/>
                <w:szCs w:val="28"/>
                <w:lang w:eastAsia="ru-RU"/>
              </w:rPr>
            </w:pPr>
            <w:r w:rsidRPr="008E32E0">
              <w:rPr>
                <w:rFonts w:ascii="Times New Roman" w:hAnsi="Times New Roman" w:cs="Times New Roman"/>
                <w:noProof/>
                <w:sz w:val="24"/>
                <w:szCs w:val="28"/>
                <w:lang w:eastAsia="ru-RU"/>
              </w:rPr>
              <w:t>в)</w:t>
            </w:r>
            <w:r w:rsidRPr="008E32E0">
              <w:rPr>
                <w:rFonts w:ascii="Times New Roman" w:eastAsia="NewtonC" w:hAnsi="Times New Roman" w:cs="Times New Roman"/>
                <w:sz w:val="24"/>
                <w:szCs w:val="28"/>
              </w:rPr>
              <w:t xml:space="preserve"> А</w:t>
            </w:r>
            <w:r w:rsidRPr="008E32E0">
              <w:rPr>
                <w:rFonts w:ascii="Times New Roman" w:hAnsi="Times New Roman" w:cs="Times New Roman"/>
                <w:sz w:val="24"/>
                <w:szCs w:val="28"/>
              </w:rPr>
              <w:t xml:space="preserve">ксиальная плоскость, области RE и RLH, с визуализацией накопления </w:t>
            </w:r>
            <w:r w:rsidRPr="008E32E0">
              <w:rPr>
                <w:rFonts w:ascii="Times New Roman" w:eastAsia="NewtonC" w:hAnsi="Times New Roman" w:cs="Times New Roman"/>
                <w:sz w:val="24"/>
                <w:szCs w:val="28"/>
                <w:vertAlign w:val="superscript"/>
              </w:rPr>
              <w:t>18</w:t>
            </w:r>
            <w:r w:rsidRPr="008E32E0">
              <w:rPr>
                <w:rFonts w:ascii="Times New Roman" w:eastAsia="NewtonC" w:hAnsi="Times New Roman" w:cs="Times New Roman"/>
                <w:sz w:val="24"/>
                <w:szCs w:val="28"/>
                <w:lang w:val="en-US"/>
              </w:rPr>
              <w:t>F</w:t>
            </w:r>
            <w:r w:rsidRPr="008E32E0">
              <w:rPr>
                <w:rFonts w:ascii="Times New Roman" w:eastAsia="NewtonC" w:hAnsi="Times New Roman" w:cs="Times New Roman"/>
                <w:sz w:val="24"/>
                <w:szCs w:val="28"/>
              </w:rPr>
              <w:t>-</w:t>
            </w:r>
            <w:r w:rsidRPr="008E32E0">
              <w:rPr>
                <w:rFonts w:ascii="Times New Roman" w:eastAsia="NewtonC" w:hAnsi="Times New Roman" w:cs="Times New Roman"/>
                <w:sz w:val="24"/>
                <w:szCs w:val="28"/>
                <w:lang w:val="en-US"/>
              </w:rPr>
              <w:t>FDG</w:t>
            </w:r>
          </w:p>
        </w:tc>
      </w:tr>
      <w:tr w:rsidR="003E3D13" w:rsidRPr="00A43B9C" w14:paraId="46E7675C" w14:textId="77777777" w:rsidTr="003E3D13">
        <w:trPr>
          <w:jc w:val="center"/>
        </w:trPr>
        <w:tc>
          <w:tcPr>
            <w:tcW w:w="3043" w:type="dxa"/>
            <w:gridSpan w:val="2"/>
            <w:vAlign w:val="center"/>
          </w:tcPr>
          <w:p w14:paraId="41E3A516" w14:textId="77777777" w:rsidR="004B7430" w:rsidRPr="00A43B9C" w:rsidRDefault="004B7430" w:rsidP="004B7430">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339C2A85" wp14:editId="0917FE8C">
                  <wp:extent cx="1447800" cy="1014087"/>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7054" t="17411" r="21039" b="15030"/>
                          <a:stretch/>
                        </pic:blipFill>
                        <pic:spPr bwMode="auto">
                          <a:xfrm>
                            <a:off x="0" y="0"/>
                            <a:ext cx="1449793" cy="101548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76" w:type="dxa"/>
            <w:gridSpan w:val="2"/>
            <w:vAlign w:val="center"/>
          </w:tcPr>
          <w:p w14:paraId="55410E70" w14:textId="77777777" w:rsidR="004B7430" w:rsidRPr="00A43B9C" w:rsidRDefault="004B7430" w:rsidP="004B7430">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788CE63F" wp14:editId="1D4CD9CD">
                  <wp:extent cx="1523829" cy="984250"/>
                  <wp:effectExtent l="0" t="0" r="635" b="635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7471" t="17727" r="21436" b="16915"/>
                          <a:stretch/>
                        </pic:blipFill>
                        <pic:spPr bwMode="auto">
                          <a:xfrm>
                            <a:off x="0" y="0"/>
                            <a:ext cx="1531924" cy="98947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25" w:type="dxa"/>
            <w:gridSpan w:val="2"/>
            <w:vAlign w:val="center"/>
          </w:tcPr>
          <w:p w14:paraId="3BD3C989" w14:textId="77777777" w:rsidR="004B7430" w:rsidRPr="00A43B9C" w:rsidRDefault="004B7430" w:rsidP="004B7430">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0B581F1B" wp14:editId="74B9299A">
                  <wp:extent cx="1557126" cy="983615"/>
                  <wp:effectExtent l="0" t="0" r="5080" b="6985"/>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5665" t="17372" r="21789" b="18631"/>
                          <a:stretch/>
                        </pic:blipFill>
                        <pic:spPr bwMode="auto">
                          <a:xfrm>
                            <a:off x="0" y="0"/>
                            <a:ext cx="1565595" cy="98896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E3D13" w:rsidRPr="00A43B9C" w14:paraId="6B439B7E" w14:textId="77777777" w:rsidTr="003E3D13">
        <w:trPr>
          <w:jc w:val="center"/>
        </w:trPr>
        <w:tc>
          <w:tcPr>
            <w:tcW w:w="3043" w:type="dxa"/>
            <w:gridSpan w:val="2"/>
          </w:tcPr>
          <w:p w14:paraId="756E2B59" w14:textId="722C5F02" w:rsidR="003E3D13" w:rsidRPr="008E32E0" w:rsidRDefault="004B7430" w:rsidP="003E3D13">
            <w:pPr>
              <w:spacing w:after="0" w:line="240" w:lineRule="auto"/>
              <w:jc w:val="center"/>
              <w:rPr>
                <w:rFonts w:ascii="Times New Roman" w:hAnsi="Times New Roman" w:cs="Times New Roman"/>
                <w:noProof/>
                <w:sz w:val="24"/>
                <w:szCs w:val="28"/>
                <w:lang w:eastAsia="ru-RU"/>
              </w:rPr>
            </w:pPr>
            <w:r w:rsidRPr="008E32E0">
              <w:rPr>
                <w:rFonts w:ascii="Times New Roman" w:hAnsi="Times New Roman" w:cs="Times New Roman"/>
                <w:noProof/>
                <w:sz w:val="24"/>
                <w:szCs w:val="28"/>
                <w:lang w:eastAsia="ru-RU"/>
              </w:rPr>
              <w:t>г)</w:t>
            </w:r>
            <w:r w:rsidR="003E3D13" w:rsidRPr="008E32E0">
              <w:rPr>
                <w:rFonts w:ascii="Times New Roman" w:hAnsi="Times New Roman" w:cs="Times New Roman"/>
                <w:noProof/>
                <w:sz w:val="24"/>
                <w:szCs w:val="28"/>
                <w:lang w:eastAsia="ru-RU"/>
              </w:rPr>
              <w:t xml:space="preserve"> </w:t>
            </w:r>
            <w:r w:rsidR="003E3D13" w:rsidRPr="008E32E0">
              <w:rPr>
                <w:rFonts w:ascii="Times New Roman" w:eastAsia="NewtonC" w:hAnsi="Times New Roman" w:cs="Times New Roman"/>
                <w:sz w:val="24"/>
                <w:szCs w:val="28"/>
              </w:rPr>
              <w:t>А</w:t>
            </w:r>
            <w:r w:rsidRPr="008E32E0">
              <w:rPr>
                <w:rFonts w:ascii="Times New Roman" w:hAnsi="Times New Roman" w:cs="Times New Roman"/>
                <w:sz w:val="24"/>
                <w:szCs w:val="28"/>
              </w:rPr>
              <w:t>ксиальная плоскость</w:t>
            </w:r>
            <w:r w:rsidR="003E3D13" w:rsidRPr="008E32E0">
              <w:rPr>
                <w:rFonts w:ascii="Times New Roman" w:hAnsi="Times New Roman" w:cs="Times New Roman"/>
                <w:sz w:val="24"/>
                <w:szCs w:val="28"/>
              </w:rPr>
              <w:t xml:space="preserve">, </w:t>
            </w:r>
            <w:r w:rsidRPr="008E32E0">
              <w:rPr>
                <w:rFonts w:ascii="Times New Roman" w:eastAsia="NewtonC" w:hAnsi="Times New Roman" w:cs="Times New Roman"/>
                <w:sz w:val="24"/>
                <w:szCs w:val="28"/>
              </w:rPr>
              <w:t>о</w:t>
            </w:r>
            <w:r w:rsidRPr="008E32E0">
              <w:rPr>
                <w:rFonts w:ascii="Times New Roman" w:hAnsi="Times New Roman" w:cs="Times New Roman"/>
                <w:sz w:val="24"/>
                <w:szCs w:val="28"/>
              </w:rPr>
              <w:t>бласти RRL, RU и RLL</w:t>
            </w:r>
            <w:r w:rsidR="003E3D13" w:rsidRPr="008E32E0">
              <w:rPr>
                <w:rFonts w:ascii="Times New Roman" w:hAnsi="Times New Roman" w:cs="Times New Roman"/>
                <w:sz w:val="24"/>
                <w:szCs w:val="28"/>
              </w:rPr>
              <w:t>, КТ снимок</w:t>
            </w:r>
          </w:p>
        </w:tc>
        <w:tc>
          <w:tcPr>
            <w:tcW w:w="3276" w:type="dxa"/>
            <w:gridSpan w:val="2"/>
          </w:tcPr>
          <w:p w14:paraId="1E81EF3E" w14:textId="2C2FCC18" w:rsidR="003E3D13" w:rsidRPr="008E32E0" w:rsidRDefault="004B7430" w:rsidP="003E3D13">
            <w:pPr>
              <w:spacing w:after="0" w:line="240" w:lineRule="auto"/>
              <w:jc w:val="center"/>
              <w:rPr>
                <w:rFonts w:ascii="Times New Roman" w:hAnsi="Times New Roman" w:cs="Times New Roman"/>
                <w:noProof/>
                <w:sz w:val="24"/>
                <w:szCs w:val="28"/>
                <w:lang w:eastAsia="ru-RU"/>
              </w:rPr>
            </w:pPr>
            <w:r w:rsidRPr="008E32E0">
              <w:rPr>
                <w:rFonts w:ascii="Times New Roman" w:hAnsi="Times New Roman" w:cs="Times New Roman"/>
                <w:noProof/>
                <w:sz w:val="24"/>
                <w:szCs w:val="28"/>
                <w:lang w:eastAsia="ru-RU"/>
              </w:rPr>
              <w:t>д)</w:t>
            </w:r>
            <w:r w:rsidR="003E3D13" w:rsidRPr="008E32E0">
              <w:rPr>
                <w:rFonts w:ascii="Times New Roman" w:hAnsi="Times New Roman" w:cs="Times New Roman"/>
                <w:noProof/>
                <w:sz w:val="24"/>
                <w:szCs w:val="28"/>
                <w:lang w:eastAsia="ru-RU"/>
              </w:rPr>
              <w:t xml:space="preserve"> </w:t>
            </w:r>
            <w:r w:rsidR="003E3D13" w:rsidRPr="008E32E0">
              <w:rPr>
                <w:rFonts w:ascii="Times New Roman" w:eastAsia="NewtonC" w:hAnsi="Times New Roman" w:cs="Times New Roman"/>
                <w:sz w:val="24"/>
                <w:szCs w:val="28"/>
              </w:rPr>
              <w:t>А</w:t>
            </w:r>
            <w:r w:rsidR="003E3D13" w:rsidRPr="008E32E0">
              <w:rPr>
                <w:rFonts w:ascii="Times New Roman" w:hAnsi="Times New Roman" w:cs="Times New Roman"/>
                <w:sz w:val="24"/>
                <w:szCs w:val="28"/>
              </w:rPr>
              <w:t xml:space="preserve">ксиальная </w:t>
            </w:r>
            <w:r w:rsidRPr="008E32E0">
              <w:rPr>
                <w:rFonts w:ascii="Times New Roman" w:hAnsi="Times New Roman" w:cs="Times New Roman"/>
                <w:sz w:val="24"/>
                <w:szCs w:val="28"/>
              </w:rPr>
              <w:t>плоскость</w:t>
            </w:r>
            <w:r w:rsidR="003E3D13" w:rsidRPr="008E32E0">
              <w:rPr>
                <w:rFonts w:ascii="Times New Roman" w:hAnsi="Times New Roman" w:cs="Times New Roman"/>
                <w:sz w:val="24"/>
                <w:szCs w:val="28"/>
              </w:rPr>
              <w:t xml:space="preserve">, </w:t>
            </w:r>
            <w:r w:rsidRPr="008E32E0">
              <w:rPr>
                <w:rFonts w:ascii="Times New Roman" w:eastAsia="NewtonC" w:hAnsi="Times New Roman" w:cs="Times New Roman"/>
                <w:sz w:val="24"/>
                <w:szCs w:val="28"/>
              </w:rPr>
              <w:t>о</w:t>
            </w:r>
            <w:r w:rsidRPr="008E32E0">
              <w:rPr>
                <w:rFonts w:ascii="Times New Roman" w:hAnsi="Times New Roman" w:cs="Times New Roman"/>
                <w:sz w:val="24"/>
                <w:szCs w:val="28"/>
              </w:rPr>
              <w:t>бласти RRL, RU и RLL</w:t>
            </w:r>
            <w:r w:rsidR="003E3D13" w:rsidRPr="008E32E0">
              <w:rPr>
                <w:rFonts w:ascii="Times New Roman" w:hAnsi="Times New Roman" w:cs="Times New Roman"/>
                <w:sz w:val="24"/>
                <w:szCs w:val="28"/>
              </w:rPr>
              <w:t>, ПЭТ изображение</w:t>
            </w:r>
          </w:p>
        </w:tc>
        <w:tc>
          <w:tcPr>
            <w:tcW w:w="3025" w:type="dxa"/>
            <w:gridSpan w:val="2"/>
          </w:tcPr>
          <w:p w14:paraId="79C3E560" w14:textId="100E16EB" w:rsidR="003E3D13" w:rsidRPr="008E32E0" w:rsidRDefault="004B7430" w:rsidP="003E3D13">
            <w:pPr>
              <w:spacing w:after="0" w:line="240" w:lineRule="auto"/>
              <w:jc w:val="center"/>
              <w:rPr>
                <w:rFonts w:ascii="Times New Roman" w:hAnsi="Times New Roman" w:cs="Times New Roman"/>
                <w:noProof/>
                <w:sz w:val="24"/>
                <w:szCs w:val="28"/>
                <w:lang w:eastAsia="ru-RU"/>
              </w:rPr>
            </w:pPr>
            <w:r w:rsidRPr="008E32E0">
              <w:rPr>
                <w:rFonts w:ascii="Times New Roman" w:hAnsi="Times New Roman" w:cs="Times New Roman"/>
                <w:noProof/>
                <w:sz w:val="24"/>
                <w:szCs w:val="28"/>
                <w:lang w:eastAsia="ru-RU"/>
              </w:rPr>
              <w:t>е)</w:t>
            </w:r>
            <w:r w:rsidR="003E3D13" w:rsidRPr="008E32E0">
              <w:rPr>
                <w:rFonts w:ascii="Times New Roman" w:hAnsi="Times New Roman" w:cs="Times New Roman"/>
                <w:noProof/>
                <w:sz w:val="24"/>
                <w:szCs w:val="28"/>
                <w:lang w:eastAsia="ru-RU"/>
              </w:rPr>
              <w:t xml:space="preserve"> </w:t>
            </w:r>
            <w:r w:rsidR="003E3D13" w:rsidRPr="008E32E0">
              <w:rPr>
                <w:rFonts w:ascii="Times New Roman" w:eastAsia="NewtonC" w:hAnsi="Times New Roman" w:cs="Times New Roman"/>
                <w:sz w:val="24"/>
                <w:szCs w:val="28"/>
              </w:rPr>
              <w:t>А</w:t>
            </w:r>
            <w:r w:rsidR="003E3D13" w:rsidRPr="008E32E0">
              <w:rPr>
                <w:rFonts w:ascii="Times New Roman" w:hAnsi="Times New Roman" w:cs="Times New Roman"/>
                <w:sz w:val="24"/>
                <w:szCs w:val="28"/>
              </w:rPr>
              <w:t xml:space="preserve">ксиальная </w:t>
            </w:r>
            <w:r w:rsidRPr="008E32E0">
              <w:rPr>
                <w:rFonts w:ascii="Times New Roman" w:hAnsi="Times New Roman" w:cs="Times New Roman"/>
                <w:sz w:val="24"/>
                <w:szCs w:val="28"/>
              </w:rPr>
              <w:t>плоскость</w:t>
            </w:r>
            <w:r w:rsidR="003E3D13" w:rsidRPr="008E32E0">
              <w:rPr>
                <w:rFonts w:ascii="Times New Roman" w:hAnsi="Times New Roman" w:cs="Times New Roman"/>
                <w:sz w:val="24"/>
                <w:szCs w:val="28"/>
              </w:rPr>
              <w:t xml:space="preserve">, </w:t>
            </w:r>
            <w:r w:rsidRPr="008E32E0">
              <w:rPr>
                <w:rFonts w:ascii="Times New Roman" w:eastAsia="NewtonC" w:hAnsi="Times New Roman" w:cs="Times New Roman"/>
                <w:sz w:val="24"/>
                <w:szCs w:val="28"/>
              </w:rPr>
              <w:t>о</w:t>
            </w:r>
            <w:r w:rsidRPr="008E32E0">
              <w:rPr>
                <w:rFonts w:ascii="Times New Roman" w:hAnsi="Times New Roman" w:cs="Times New Roman"/>
                <w:sz w:val="24"/>
                <w:szCs w:val="28"/>
              </w:rPr>
              <w:t>бласти RRL, RU и RLL</w:t>
            </w:r>
            <w:r w:rsidR="003E3D13" w:rsidRPr="008E32E0">
              <w:rPr>
                <w:rFonts w:ascii="Times New Roman" w:hAnsi="Times New Roman" w:cs="Times New Roman"/>
                <w:sz w:val="24"/>
                <w:szCs w:val="28"/>
              </w:rPr>
              <w:t xml:space="preserve">, с визуализацией накопления </w:t>
            </w:r>
            <w:r w:rsidR="003E3D13" w:rsidRPr="008E32E0">
              <w:rPr>
                <w:rFonts w:ascii="Times New Roman" w:eastAsia="NewtonC" w:hAnsi="Times New Roman" w:cs="Times New Roman"/>
                <w:sz w:val="24"/>
                <w:szCs w:val="28"/>
                <w:vertAlign w:val="superscript"/>
              </w:rPr>
              <w:t>18</w:t>
            </w:r>
            <w:r w:rsidR="003E3D13" w:rsidRPr="008E32E0">
              <w:rPr>
                <w:rFonts w:ascii="Times New Roman" w:eastAsia="NewtonC" w:hAnsi="Times New Roman" w:cs="Times New Roman"/>
                <w:sz w:val="24"/>
                <w:szCs w:val="28"/>
                <w:lang w:val="en-US"/>
              </w:rPr>
              <w:t>F</w:t>
            </w:r>
            <w:r w:rsidR="003E3D13" w:rsidRPr="008E32E0">
              <w:rPr>
                <w:rFonts w:ascii="Times New Roman" w:eastAsia="NewtonC" w:hAnsi="Times New Roman" w:cs="Times New Roman"/>
                <w:sz w:val="24"/>
                <w:szCs w:val="28"/>
              </w:rPr>
              <w:t>-</w:t>
            </w:r>
            <w:r w:rsidR="003E3D13" w:rsidRPr="008E32E0">
              <w:rPr>
                <w:rFonts w:ascii="Times New Roman" w:eastAsia="NewtonC" w:hAnsi="Times New Roman" w:cs="Times New Roman"/>
                <w:sz w:val="24"/>
                <w:szCs w:val="28"/>
                <w:lang w:val="en-US"/>
              </w:rPr>
              <w:t>FDG</w:t>
            </w:r>
          </w:p>
        </w:tc>
      </w:tr>
      <w:tr w:rsidR="003E3D13" w:rsidRPr="00A43B9C" w14:paraId="4802E683" w14:textId="77777777" w:rsidTr="003E3D13">
        <w:trPr>
          <w:jc w:val="center"/>
        </w:trPr>
        <w:tc>
          <w:tcPr>
            <w:tcW w:w="3043" w:type="dxa"/>
            <w:gridSpan w:val="2"/>
            <w:vAlign w:val="center"/>
          </w:tcPr>
          <w:p w14:paraId="1EF7207E" w14:textId="77777777" w:rsidR="004B7430" w:rsidRPr="00A43B9C" w:rsidRDefault="004B7430" w:rsidP="004B7430">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05E50D53" wp14:editId="16811723">
                  <wp:extent cx="1447800" cy="975995"/>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2262" t="15218" r="27236" b="24196"/>
                          <a:stretch/>
                        </pic:blipFill>
                        <pic:spPr bwMode="auto">
                          <a:xfrm>
                            <a:off x="0" y="0"/>
                            <a:ext cx="1453151" cy="9796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76" w:type="dxa"/>
            <w:gridSpan w:val="2"/>
            <w:vAlign w:val="center"/>
          </w:tcPr>
          <w:p w14:paraId="09A64F07" w14:textId="77777777" w:rsidR="004B7430" w:rsidRPr="00A43B9C" w:rsidRDefault="004B7430" w:rsidP="004B7430">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1ACF5659" wp14:editId="25ABFA6C">
                  <wp:extent cx="1539056" cy="953135"/>
                  <wp:effectExtent l="0" t="0" r="4445"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9223" t="12935" r="24817" b="27258"/>
                          <a:stretch/>
                        </pic:blipFill>
                        <pic:spPr bwMode="auto">
                          <a:xfrm>
                            <a:off x="0" y="0"/>
                            <a:ext cx="1553821" cy="96227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25" w:type="dxa"/>
            <w:gridSpan w:val="2"/>
            <w:vAlign w:val="center"/>
          </w:tcPr>
          <w:p w14:paraId="4C327D6F" w14:textId="77777777" w:rsidR="004B7430" w:rsidRPr="00A43B9C" w:rsidRDefault="004B7430" w:rsidP="004B7430">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1AAFBCD4" wp14:editId="03E10047">
                  <wp:extent cx="1568116" cy="990517"/>
                  <wp:effectExtent l="0" t="0" r="0" b="63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9797" t="16450" r="21221" b="22243"/>
                          <a:stretch/>
                        </pic:blipFill>
                        <pic:spPr bwMode="auto">
                          <a:xfrm>
                            <a:off x="0" y="0"/>
                            <a:ext cx="1569864" cy="99162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E3D13" w:rsidRPr="00A43B9C" w14:paraId="0B65C20F" w14:textId="77777777" w:rsidTr="003E3D13">
        <w:trPr>
          <w:jc w:val="center"/>
        </w:trPr>
        <w:tc>
          <w:tcPr>
            <w:tcW w:w="3043" w:type="dxa"/>
            <w:gridSpan w:val="2"/>
          </w:tcPr>
          <w:p w14:paraId="54A69300" w14:textId="0D8B8D99" w:rsidR="003E3D13" w:rsidRPr="008E32E0" w:rsidRDefault="004B7430" w:rsidP="003E3D13">
            <w:pPr>
              <w:spacing w:after="0" w:line="240" w:lineRule="auto"/>
              <w:jc w:val="center"/>
              <w:rPr>
                <w:rFonts w:ascii="Times New Roman" w:hAnsi="Times New Roman" w:cs="Times New Roman"/>
                <w:noProof/>
                <w:sz w:val="24"/>
                <w:szCs w:val="24"/>
                <w:lang w:eastAsia="ru-RU"/>
              </w:rPr>
            </w:pPr>
            <w:r w:rsidRPr="008E32E0">
              <w:rPr>
                <w:rFonts w:ascii="Times New Roman" w:hAnsi="Times New Roman" w:cs="Times New Roman"/>
                <w:noProof/>
                <w:sz w:val="24"/>
                <w:szCs w:val="24"/>
                <w:lang w:eastAsia="ru-RU"/>
              </w:rPr>
              <w:t>ж)</w:t>
            </w:r>
            <w:r w:rsidR="003E3D13" w:rsidRPr="008E32E0">
              <w:rPr>
                <w:rFonts w:ascii="Times New Roman" w:hAnsi="Times New Roman" w:cs="Times New Roman"/>
                <w:noProof/>
                <w:sz w:val="24"/>
                <w:szCs w:val="24"/>
                <w:lang w:eastAsia="ru-RU"/>
              </w:rPr>
              <w:t xml:space="preserve"> </w:t>
            </w:r>
            <w:r w:rsidR="003E3D13" w:rsidRPr="008E32E0">
              <w:rPr>
                <w:rFonts w:ascii="Times New Roman" w:eastAsia="NewtonC" w:hAnsi="Times New Roman" w:cs="Times New Roman"/>
                <w:sz w:val="24"/>
                <w:szCs w:val="24"/>
              </w:rPr>
              <w:t>А</w:t>
            </w:r>
            <w:r w:rsidR="003E3D13" w:rsidRPr="008E32E0">
              <w:rPr>
                <w:rFonts w:ascii="Times New Roman" w:hAnsi="Times New Roman" w:cs="Times New Roman"/>
                <w:sz w:val="24"/>
                <w:szCs w:val="24"/>
              </w:rPr>
              <w:t>ксиальная плоскость, области RRI, RP и RLI, КТ снимок</w:t>
            </w:r>
          </w:p>
        </w:tc>
        <w:tc>
          <w:tcPr>
            <w:tcW w:w="3276" w:type="dxa"/>
            <w:gridSpan w:val="2"/>
          </w:tcPr>
          <w:p w14:paraId="156259F1" w14:textId="4119BAAE" w:rsidR="003E3D13" w:rsidRPr="008E32E0" w:rsidRDefault="004B7430" w:rsidP="003E3D13">
            <w:pPr>
              <w:spacing w:after="0" w:line="240" w:lineRule="auto"/>
              <w:jc w:val="center"/>
              <w:rPr>
                <w:rFonts w:ascii="Times New Roman" w:hAnsi="Times New Roman" w:cs="Times New Roman"/>
                <w:noProof/>
                <w:sz w:val="24"/>
                <w:szCs w:val="24"/>
                <w:lang w:eastAsia="ru-RU"/>
              </w:rPr>
            </w:pPr>
            <w:r w:rsidRPr="008E32E0">
              <w:rPr>
                <w:rFonts w:ascii="Times New Roman" w:hAnsi="Times New Roman" w:cs="Times New Roman"/>
                <w:noProof/>
                <w:sz w:val="24"/>
                <w:szCs w:val="24"/>
                <w:lang w:eastAsia="ru-RU"/>
              </w:rPr>
              <w:t>к)</w:t>
            </w:r>
            <w:r w:rsidR="003E3D13" w:rsidRPr="008E32E0">
              <w:rPr>
                <w:rFonts w:ascii="Times New Roman" w:hAnsi="Times New Roman" w:cs="Times New Roman"/>
                <w:noProof/>
                <w:sz w:val="24"/>
                <w:szCs w:val="24"/>
                <w:lang w:eastAsia="ru-RU"/>
              </w:rPr>
              <w:t xml:space="preserve"> </w:t>
            </w:r>
            <w:r w:rsidR="003E3D13" w:rsidRPr="008E32E0">
              <w:rPr>
                <w:rFonts w:ascii="Times New Roman" w:eastAsia="NewtonC" w:hAnsi="Times New Roman" w:cs="Times New Roman"/>
                <w:sz w:val="24"/>
                <w:szCs w:val="24"/>
              </w:rPr>
              <w:t>А</w:t>
            </w:r>
            <w:r w:rsidR="003E3D13" w:rsidRPr="008E32E0">
              <w:rPr>
                <w:rFonts w:ascii="Times New Roman" w:hAnsi="Times New Roman" w:cs="Times New Roman"/>
                <w:sz w:val="24"/>
                <w:szCs w:val="24"/>
              </w:rPr>
              <w:t>ксиальная плоскость, области RRI, RP и RLI, ПЭТ изображение</w:t>
            </w:r>
          </w:p>
        </w:tc>
        <w:tc>
          <w:tcPr>
            <w:tcW w:w="3025" w:type="dxa"/>
            <w:gridSpan w:val="2"/>
          </w:tcPr>
          <w:p w14:paraId="79213E73" w14:textId="7746F20C" w:rsidR="003E3D13" w:rsidRPr="008E32E0" w:rsidRDefault="004B7430" w:rsidP="003E3D13">
            <w:pPr>
              <w:spacing w:after="0" w:line="240" w:lineRule="auto"/>
              <w:jc w:val="center"/>
              <w:rPr>
                <w:rFonts w:ascii="Times New Roman" w:hAnsi="Times New Roman" w:cs="Times New Roman"/>
                <w:noProof/>
                <w:sz w:val="24"/>
                <w:szCs w:val="24"/>
                <w:lang w:eastAsia="ru-RU"/>
              </w:rPr>
            </w:pPr>
            <w:r w:rsidRPr="008E32E0">
              <w:rPr>
                <w:rFonts w:ascii="Times New Roman" w:hAnsi="Times New Roman" w:cs="Times New Roman"/>
                <w:noProof/>
                <w:sz w:val="24"/>
                <w:szCs w:val="24"/>
                <w:lang w:eastAsia="ru-RU"/>
              </w:rPr>
              <w:t>л)</w:t>
            </w:r>
            <w:r w:rsidR="003E3D13" w:rsidRPr="008E32E0">
              <w:rPr>
                <w:rFonts w:ascii="Times New Roman" w:hAnsi="Times New Roman" w:cs="Times New Roman"/>
                <w:noProof/>
                <w:sz w:val="24"/>
                <w:szCs w:val="24"/>
                <w:lang w:eastAsia="ru-RU"/>
              </w:rPr>
              <w:t xml:space="preserve"> </w:t>
            </w:r>
            <w:r w:rsidR="003E3D13" w:rsidRPr="008E32E0">
              <w:rPr>
                <w:rFonts w:ascii="Times New Roman" w:eastAsia="NewtonC" w:hAnsi="Times New Roman" w:cs="Times New Roman"/>
                <w:sz w:val="24"/>
                <w:szCs w:val="24"/>
              </w:rPr>
              <w:t>А</w:t>
            </w:r>
            <w:r w:rsidR="003E3D13" w:rsidRPr="008E32E0">
              <w:rPr>
                <w:rFonts w:ascii="Times New Roman" w:hAnsi="Times New Roman" w:cs="Times New Roman"/>
                <w:sz w:val="24"/>
                <w:szCs w:val="24"/>
              </w:rPr>
              <w:t xml:space="preserve">ксиальная плоскость, области RRI, RP и RLI, с визуализацией накопления </w:t>
            </w:r>
            <w:r w:rsidR="003E3D13" w:rsidRPr="008E32E0">
              <w:rPr>
                <w:rFonts w:ascii="Times New Roman" w:eastAsia="NewtonC" w:hAnsi="Times New Roman" w:cs="Times New Roman"/>
                <w:sz w:val="24"/>
                <w:szCs w:val="24"/>
                <w:vertAlign w:val="superscript"/>
              </w:rPr>
              <w:t>18</w:t>
            </w:r>
            <w:r w:rsidR="003E3D13" w:rsidRPr="008E32E0">
              <w:rPr>
                <w:rFonts w:ascii="Times New Roman" w:eastAsia="NewtonC" w:hAnsi="Times New Roman" w:cs="Times New Roman"/>
                <w:sz w:val="24"/>
                <w:szCs w:val="24"/>
                <w:lang w:val="en-US"/>
              </w:rPr>
              <w:t>F</w:t>
            </w:r>
            <w:r w:rsidR="003E3D13" w:rsidRPr="008E32E0">
              <w:rPr>
                <w:rFonts w:ascii="Times New Roman" w:eastAsia="NewtonC" w:hAnsi="Times New Roman" w:cs="Times New Roman"/>
                <w:sz w:val="24"/>
                <w:szCs w:val="24"/>
              </w:rPr>
              <w:t>-</w:t>
            </w:r>
            <w:r w:rsidR="003E3D13" w:rsidRPr="008E32E0">
              <w:rPr>
                <w:rFonts w:ascii="Times New Roman" w:eastAsia="NewtonC" w:hAnsi="Times New Roman" w:cs="Times New Roman"/>
                <w:sz w:val="24"/>
                <w:szCs w:val="24"/>
                <w:lang w:val="en-US"/>
              </w:rPr>
              <w:t>FDG</w:t>
            </w:r>
          </w:p>
        </w:tc>
      </w:tr>
      <w:tr w:rsidR="003E3D13" w:rsidRPr="00A43B9C" w14:paraId="215A7C34" w14:textId="77777777" w:rsidTr="003E3D13">
        <w:trPr>
          <w:jc w:val="center"/>
        </w:trPr>
        <w:tc>
          <w:tcPr>
            <w:tcW w:w="3043" w:type="dxa"/>
            <w:gridSpan w:val="2"/>
            <w:vAlign w:val="center"/>
          </w:tcPr>
          <w:p w14:paraId="2C11A934" w14:textId="77777777" w:rsidR="004B7430" w:rsidRPr="00A43B9C" w:rsidRDefault="004B7430" w:rsidP="004B7430">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0E75928E" wp14:editId="112BCB9C">
                  <wp:extent cx="1260000" cy="935348"/>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3770" t="29454" r="24991" b="9372"/>
                          <a:stretch/>
                        </pic:blipFill>
                        <pic:spPr bwMode="auto">
                          <a:xfrm>
                            <a:off x="0" y="0"/>
                            <a:ext cx="1260000" cy="93534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76" w:type="dxa"/>
            <w:gridSpan w:val="2"/>
            <w:vAlign w:val="center"/>
          </w:tcPr>
          <w:p w14:paraId="3C950C21" w14:textId="77777777" w:rsidR="004B7430" w:rsidRPr="00A43B9C" w:rsidRDefault="004B7430" w:rsidP="004B7430">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1710A4FF" wp14:editId="7D44FD95">
                  <wp:extent cx="1260000" cy="880615"/>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5432" t="15238" r="20996" b="23150"/>
                          <a:stretch/>
                        </pic:blipFill>
                        <pic:spPr bwMode="auto">
                          <a:xfrm>
                            <a:off x="0" y="0"/>
                            <a:ext cx="1260000" cy="8806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25" w:type="dxa"/>
            <w:gridSpan w:val="2"/>
            <w:vAlign w:val="center"/>
          </w:tcPr>
          <w:p w14:paraId="3CFF1878" w14:textId="77777777" w:rsidR="004B7430" w:rsidRPr="00A43B9C" w:rsidRDefault="004B7430" w:rsidP="004B7430">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4CF24A63" wp14:editId="7328BF6F">
                  <wp:extent cx="1260000" cy="904260"/>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0226" t="24529" r="25122" b="10876"/>
                          <a:stretch/>
                        </pic:blipFill>
                        <pic:spPr bwMode="auto">
                          <a:xfrm>
                            <a:off x="0" y="0"/>
                            <a:ext cx="1260000" cy="90426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E3D13" w:rsidRPr="00A43B9C" w14:paraId="2F018920" w14:textId="77777777" w:rsidTr="003E3D13">
        <w:trPr>
          <w:jc w:val="center"/>
        </w:trPr>
        <w:tc>
          <w:tcPr>
            <w:tcW w:w="3043" w:type="dxa"/>
            <w:gridSpan w:val="2"/>
          </w:tcPr>
          <w:p w14:paraId="2AF48110" w14:textId="015CC03C" w:rsidR="003E3D13" w:rsidRPr="008E32E0" w:rsidRDefault="004B7430" w:rsidP="003E3D13">
            <w:pPr>
              <w:spacing w:after="0" w:line="240" w:lineRule="auto"/>
              <w:jc w:val="center"/>
              <w:rPr>
                <w:rFonts w:ascii="Times New Roman" w:hAnsi="Times New Roman" w:cs="Times New Roman"/>
                <w:noProof/>
                <w:sz w:val="24"/>
                <w:szCs w:val="24"/>
                <w:lang w:eastAsia="ru-RU"/>
              </w:rPr>
            </w:pPr>
            <w:r w:rsidRPr="008E32E0">
              <w:rPr>
                <w:rFonts w:ascii="Times New Roman" w:hAnsi="Times New Roman" w:cs="Times New Roman"/>
                <w:noProof/>
                <w:sz w:val="24"/>
                <w:szCs w:val="24"/>
                <w:lang w:eastAsia="ru-RU"/>
              </w:rPr>
              <w:t>м)</w:t>
            </w:r>
            <w:r w:rsidR="003E3D13" w:rsidRPr="008E32E0">
              <w:rPr>
                <w:rFonts w:ascii="Times New Roman" w:hAnsi="Times New Roman" w:cs="Times New Roman"/>
                <w:noProof/>
                <w:sz w:val="24"/>
                <w:szCs w:val="24"/>
                <w:lang w:eastAsia="ru-RU"/>
              </w:rPr>
              <w:t xml:space="preserve"> </w:t>
            </w:r>
            <w:r w:rsidR="003E3D13" w:rsidRPr="008E32E0">
              <w:rPr>
                <w:rFonts w:ascii="Times New Roman" w:eastAsia="NewtonC" w:hAnsi="Times New Roman" w:cs="Times New Roman"/>
                <w:sz w:val="24"/>
                <w:szCs w:val="24"/>
              </w:rPr>
              <w:t>А</w:t>
            </w:r>
            <w:r w:rsidR="003E3D13" w:rsidRPr="008E32E0">
              <w:rPr>
                <w:rFonts w:ascii="Times New Roman" w:hAnsi="Times New Roman" w:cs="Times New Roman"/>
                <w:sz w:val="24"/>
                <w:szCs w:val="24"/>
              </w:rPr>
              <w:t>ксиальная плоскость, область P, КТ снимок</w:t>
            </w:r>
          </w:p>
        </w:tc>
        <w:tc>
          <w:tcPr>
            <w:tcW w:w="3276" w:type="dxa"/>
            <w:gridSpan w:val="2"/>
          </w:tcPr>
          <w:p w14:paraId="01080128" w14:textId="29AA0CCE" w:rsidR="003E3D13" w:rsidRPr="008E32E0" w:rsidRDefault="004B7430" w:rsidP="003E3D13">
            <w:pPr>
              <w:spacing w:after="0" w:line="240" w:lineRule="auto"/>
              <w:jc w:val="center"/>
              <w:rPr>
                <w:rFonts w:ascii="Times New Roman" w:hAnsi="Times New Roman" w:cs="Times New Roman"/>
                <w:noProof/>
                <w:sz w:val="24"/>
                <w:szCs w:val="24"/>
                <w:lang w:eastAsia="ru-RU"/>
              </w:rPr>
            </w:pPr>
            <w:r w:rsidRPr="008E32E0">
              <w:rPr>
                <w:rFonts w:ascii="Times New Roman" w:hAnsi="Times New Roman" w:cs="Times New Roman"/>
                <w:noProof/>
                <w:sz w:val="24"/>
                <w:szCs w:val="24"/>
                <w:lang w:eastAsia="ru-RU"/>
              </w:rPr>
              <w:t>н)</w:t>
            </w:r>
            <w:r w:rsidR="003E3D13" w:rsidRPr="008E32E0">
              <w:rPr>
                <w:rFonts w:ascii="Times New Roman" w:hAnsi="Times New Roman" w:cs="Times New Roman"/>
                <w:noProof/>
                <w:sz w:val="24"/>
                <w:szCs w:val="24"/>
                <w:lang w:eastAsia="ru-RU"/>
              </w:rPr>
              <w:t xml:space="preserve"> </w:t>
            </w:r>
            <w:r w:rsidR="003E3D13" w:rsidRPr="008E32E0">
              <w:rPr>
                <w:rFonts w:ascii="Times New Roman" w:eastAsia="NewtonC" w:hAnsi="Times New Roman" w:cs="Times New Roman"/>
                <w:sz w:val="24"/>
                <w:szCs w:val="24"/>
              </w:rPr>
              <w:t>А</w:t>
            </w:r>
            <w:r w:rsidR="003E3D13" w:rsidRPr="008E32E0">
              <w:rPr>
                <w:rFonts w:ascii="Times New Roman" w:hAnsi="Times New Roman" w:cs="Times New Roman"/>
                <w:sz w:val="24"/>
                <w:szCs w:val="24"/>
              </w:rPr>
              <w:t>ксиальная плоскость, область P, ПЭТ изображение</w:t>
            </w:r>
          </w:p>
        </w:tc>
        <w:tc>
          <w:tcPr>
            <w:tcW w:w="3025" w:type="dxa"/>
            <w:gridSpan w:val="2"/>
          </w:tcPr>
          <w:p w14:paraId="2B2113CE" w14:textId="0468A113" w:rsidR="003E3D13" w:rsidRPr="008E32E0" w:rsidRDefault="004B7430" w:rsidP="003E3D13">
            <w:pPr>
              <w:spacing w:after="0" w:line="240" w:lineRule="auto"/>
              <w:jc w:val="center"/>
              <w:rPr>
                <w:rFonts w:ascii="Times New Roman" w:hAnsi="Times New Roman" w:cs="Times New Roman"/>
                <w:noProof/>
                <w:sz w:val="24"/>
                <w:szCs w:val="24"/>
                <w:lang w:eastAsia="ru-RU"/>
              </w:rPr>
            </w:pPr>
            <w:r w:rsidRPr="008E32E0">
              <w:rPr>
                <w:rFonts w:ascii="Times New Roman" w:hAnsi="Times New Roman" w:cs="Times New Roman"/>
                <w:noProof/>
                <w:sz w:val="24"/>
                <w:szCs w:val="24"/>
                <w:lang w:eastAsia="ru-RU"/>
              </w:rPr>
              <w:t>п)</w:t>
            </w:r>
            <w:r w:rsidR="003E3D13" w:rsidRPr="008E32E0">
              <w:rPr>
                <w:rFonts w:ascii="Times New Roman" w:hAnsi="Times New Roman" w:cs="Times New Roman"/>
                <w:noProof/>
                <w:sz w:val="24"/>
                <w:szCs w:val="24"/>
                <w:lang w:eastAsia="ru-RU"/>
              </w:rPr>
              <w:t xml:space="preserve"> </w:t>
            </w:r>
            <w:r w:rsidR="003E3D13" w:rsidRPr="008E32E0">
              <w:rPr>
                <w:rFonts w:ascii="Times New Roman" w:eastAsia="NewtonC" w:hAnsi="Times New Roman" w:cs="Times New Roman"/>
                <w:sz w:val="24"/>
                <w:szCs w:val="24"/>
              </w:rPr>
              <w:t>А</w:t>
            </w:r>
            <w:r w:rsidR="003E3D13" w:rsidRPr="008E32E0">
              <w:rPr>
                <w:rFonts w:ascii="Times New Roman" w:hAnsi="Times New Roman" w:cs="Times New Roman"/>
                <w:sz w:val="24"/>
                <w:szCs w:val="24"/>
              </w:rPr>
              <w:t xml:space="preserve">ксиальная плоскость, область P, с визуализацией накопления </w:t>
            </w:r>
            <w:r w:rsidR="003E3D13" w:rsidRPr="008E32E0">
              <w:rPr>
                <w:rFonts w:ascii="Times New Roman" w:eastAsia="NewtonC" w:hAnsi="Times New Roman" w:cs="Times New Roman"/>
                <w:sz w:val="24"/>
                <w:szCs w:val="24"/>
                <w:vertAlign w:val="superscript"/>
              </w:rPr>
              <w:t>18</w:t>
            </w:r>
            <w:r w:rsidR="003E3D13" w:rsidRPr="008E32E0">
              <w:rPr>
                <w:rFonts w:ascii="Times New Roman" w:eastAsia="NewtonC" w:hAnsi="Times New Roman" w:cs="Times New Roman"/>
                <w:sz w:val="24"/>
                <w:szCs w:val="24"/>
                <w:lang w:val="en-US"/>
              </w:rPr>
              <w:t>F</w:t>
            </w:r>
            <w:r w:rsidR="003E3D13" w:rsidRPr="008E32E0">
              <w:rPr>
                <w:rFonts w:ascii="Times New Roman" w:eastAsia="NewtonC" w:hAnsi="Times New Roman" w:cs="Times New Roman"/>
                <w:sz w:val="24"/>
                <w:szCs w:val="24"/>
              </w:rPr>
              <w:t>-</w:t>
            </w:r>
            <w:r w:rsidR="003E3D13" w:rsidRPr="008E32E0">
              <w:rPr>
                <w:rFonts w:ascii="Times New Roman" w:eastAsia="NewtonC" w:hAnsi="Times New Roman" w:cs="Times New Roman"/>
                <w:sz w:val="24"/>
                <w:szCs w:val="24"/>
                <w:lang w:val="en-US"/>
              </w:rPr>
              <w:t>FDG</w:t>
            </w:r>
          </w:p>
        </w:tc>
      </w:tr>
      <w:tr w:rsidR="003E3D13" w:rsidRPr="00A43B9C" w14:paraId="761994A3" w14:textId="77777777" w:rsidTr="003E3D13">
        <w:trPr>
          <w:jc w:val="center"/>
        </w:trPr>
        <w:tc>
          <w:tcPr>
            <w:tcW w:w="2547" w:type="dxa"/>
          </w:tcPr>
          <w:p w14:paraId="02A60C08" w14:textId="77777777" w:rsidR="004B7430" w:rsidRPr="00A43B9C" w:rsidRDefault="004B7430" w:rsidP="004B7430">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11F8532A" wp14:editId="37DEA33A">
                  <wp:extent cx="900000" cy="1579950"/>
                  <wp:effectExtent l="0" t="0" r="0" b="127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5060" t="2544" r="15736" b="1338"/>
                          <a:stretch/>
                        </pic:blipFill>
                        <pic:spPr bwMode="auto">
                          <a:xfrm>
                            <a:off x="0" y="0"/>
                            <a:ext cx="900000" cy="15799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4" w:type="dxa"/>
            <w:gridSpan w:val="2"/>
          </w:tcPr>
          <w:p w14:paraId="37283858" w14:textId="77777777" w:rsidR="004B7430" w:rsidRPr="00A43B9C" w:rsidRDefault="004B7430" w:rsidP="004B7430">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234814D9" wp14:editId="4FAAA57D">
                  <wp:extent cx="972000" cy="1607192"/>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1818" r="10000"/>
                          <a:stretch/>
                        </pic:blipFill>
                        <pic:spPr bwMode="auto">
                          <a:xfrm>
                            <a:off x="0" y="0"/>
                            <a:ext cx="972000" cy="16071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gridSpan w:val="2"/>
          </w:tcPr>
          <w:p w14:paraId="1D064C9C" w14:textId="77777777" w:rsidR="004B7430" w:rsidRPr="00A43B9C" w:rsidRDefault="004B7430" w:rsidP="004B7430">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08DB213C" wp14:editId="40A33164">
                  <wp:extent cx="612000" cy="1614536"/>
                  <wp:effectExtent l="0" t="0" r="0" b="508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7988" t="2164" r="3658"/>
                          <a:stretch/>
                        </pic:blipFill>
                        <pic:spPr bwMode="auto">
                          <a:xfrm>
                            <a:off x="0" y="0"/>
                            <a:ext cx="612000" cy="161453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3" w:type="dxa"/>
          </w:tcPr>
          <w:p w14:paraId="15B5AF7A" w14:textId="77777777" w:rsidR="004B7430" w:rsidRPr="00A43B9C" w:rsidRDefault="004B7430" w:rsidP="004B7430">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052CBF28" wp14:editId="2C8D423C">
                  <wp:extent cx="612000" cy="1544464"/>
                  <wp:effectExtent l="0" t="0" r="0"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2634" r="26345"/>
                          <a:stretch/>
                        </pic:blipFill>
                        <pic:spPr bwMode="auto">
                          <a:xfrm>
                            <a:off x="0" y="0"/>
                            <a:ext cx="612000" cy="154446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E3D13" w:rsidRPr="00A43B9C" w14:paraId="7741DA4E" w14:textId="77777777" w:rsidTr="003E3D13">
        <w:trPr>
          <w:jc w:val="center"/>
        </w:trPr>
        <w:tc>
          <w:tcPr>
            <w:tcW w:w="2547" w:type="dxa"/>
          </w:tcPr>
          <w:p w14:paraId="29C71799" w14:textId="6C7D8D45" w:rsidR="003E3D13" w:rsidRPr="008E32E0" w:rsidRDefault="004B7430" w:rsidP="003E3D13">
            <w:pPr>
              <w:spacing w:after="0" w:line="240" w:lineRule="auto"/>
              <w:jc w:val="center"/>
              <w:rPr>
                <w:rFonts w:ascii="Times New Roman" w:hAnsi="Times New Roman" w:cs="Times New Roman"/>
                <w:noProof/>
                <w:sz w:val="24"/>
                <w:szCs w:val="28"/>
                <w:lang w:eastAsia="ru-RU"/>
              </w:rPr>
            </w:pPr>
            <w:r w:rsidRPr="008E32E0">
              <w:rPr>
                <w:rFonts w:ascii="Times New Roman" w:hAnsi="Times New Roman" w:cs="Times New Roman"/>
                <w:noProof/>
                <w:sz w:val="24"/>
                <w:szCs w:val="28"/>
                <w:lang w:eastAsia="ru-RU"/>
              </w:rPr>
              <w:t>р)</w:t>
            </w:r>
            <w:r w:rsidR="003E3D13" w:rsidRPr="008E32E0">
              <w:rPr>
                <w:rFonts w:ascii="Times New Roman" w:hAnsi="Times New Roman" w:cs="Times New Roman"/>
                <w:noProof/>
                <w:sz w:val="24"/>
                <w:szCs w:val="28"/>
                <w:lang w:eastAsia="ru-RU"/>
              </w:rPr>
              <w:t xml:space="preserve"> </w:t>
            </w:r>
            <w:r w:rsidR="003E3D13" w:rsidRPr="008E32E0">
              <w:rPr>
                <w:rFonts w:ascii="Times New Roman" w:hAnsi="Times New Roman" w:cs="Times New Roman"/>
                <w:sz w:val="24"/>
                <w:szCs w:val="28"/>
              </w:rPr>
              <w:t>Корональная плоскость, КТ снимок</w:t>
            </w:r>
          </w:p>
        </w:tc>
        <w:tc>
          <w:tcPr>
            <w:tcW w:w="1984" w:type="dxa"/>
            <w:gridSpan w:val="2"/>
          </w:tcPr>
          <w:p w14:paraId="55E1178E" w14:textId="775FEFE7" w:rsidR="003E3D13" w:rsidRPr="008E32E0" w:rsidRDefault="004B7430" w:rsidP="003E3D13">
            <w:pPr>
              <w:spacing w:after="0" w:line="240" w:lineRule="auto"/>
              <w:jc w:val="center"/>
              <w:rPr>
                <w:rFonts w:ascii="Times New Roman" w:hAnsi="Times New Roman" w:cs="Times New Roman"/>
                <w:noProof/>
                <w:sz w:val="24"/>
                <w:szCs w:val="28"/>
                <w:lang w:eastAsia="ru-RU"/>
              </w:rPr>
            </w:pPr>
            <w:r w:rsidRPr="008E32E0">
              <w:rPr>
                <w:rFonts w:ascii="Times New Roman" w:hAnsi="Times New Roman" w:cs="Times New Roman"/>
                <w:noProof/>
                <w:sz w:val="24"/>
                <w:szCs w:val="28"/>
                <w:lang w:eastAsia="ru-RU"/>
              </w:rPr>
              <w:t>с)</w:t>
            </w:r>
            <w:r w:rsidR="003E3D13" w:rsidRPr="008E32E0">
              <w:rPr>
                <w:rFonts w:ascii="Times New Roman" w:hAnsi="Times New Roman" w:cs="Times New Roman"/>
                <w:noProof/>
                <w:sz w:val="24"/>
                <w:szCs w:val="28"/>
                <w:lang w:eastAsia="ru-RU"/>
              </w:rPr>
              <w:t xml:space="preserve"> </w:t>
            </w:r>
            <w:r w:rsidR="003E3D13" w:rsidRPr="008E32E0">
              <w:rPr>
                <w:rFonts w:ascii="Times New Roman" w:hAnsi="Times New Roman" w:cs="Times New Roman"/>
                <w:sz w:val="24"/>
                <w:szCs w:val="28"/>
              </w:rPr>
              <w:t>Корональная плоскость, ПЭТ изображение</w:t>
            </w:r>
          </w:p>
        </w:tc>
        <w:tc>
          <w:tcPr>
            <w:tcW w:w="2410" w:type="dxa"/>
            <w:gridSpan w:val="2"/>
          </w:tcPr>
          <w:p w14:paraId="37518DA9" w14:textId="6B32E875" w:rsidR="003E3D13" w:rsidRPr="008E32E0" w:rsidRDefault="004B7430" w:rsidP="003E3D13">
            <w:pPr>
              <w:spacing w:after="0" w:line="240" w:lineRule="auto"/>
              <w:jc w:val="center"/>
              <w:rPr>
                <w:rFonts w:ascii="Times New Roman" w:hAnsi="Times New Roman" w:cs="Times New Roman"/>
                <w:noProof/>
                <w:sz w:val="24"/>
                <w:szCs w:val="28"/>
                <w:lang w:eastAsia="ru-RU"/>
              </w:rPr>
            </w:pPr>
            <w:r w:rsidRPr="008E32E0">
              <w:rPr>
                <w:rFonts w:ascii="Times New Roman" w:hAnsi="Times New Roman" w:cs="Times New Roman"/>
                <w:noProof/>
                <w:sz w:val="24"/>
                <w:szCs w:val="28"/>
                <w:lang w:eastAsia="ru-RU"/>
              </w:rPr>
              <w:t>т)</w:t>
            </w:r>
            <w:r w:rsidR="003E3D13" w:rsidRPr="008E32E0">
              <w:rPr>
                <w:rFonts w:ascii="Times New Roman" w:hAnsi="Times New Roman" w:cs="Times New Roman"/>
                <w:noProof/>
                <w:sz w:val="24"/>
                <w:szCs w:val="28"/>
                <w:lang w:eastAsia="ru-RU"/>
              </w:rPr>
              <w:t xml:space="preserve"> </w:t>
            </w:r>
            <w:r w:rsidR="003E3D13" w:rsidRPr="008E32E0">
              <w:rPr>
                <w:rFonts w:ascii="Times New Roman" w:hAnsi="Times New Roman" w:cs="Times New Roman"/>
                <w:sz w:val="24"/>
                <w:szCs w:val="28"/>
              </w:rPr>
              <w:t>Сагиттальная плоскость, КТ снимок</w:t>
            </w:r>
          </w:p>
        </w:tc>
        <w:tc>
          <w:tcPr>
            <w:tcW w:w="2403" w:type="dxa"/>
          </w:tcPr>
          <w:p w14:paraId="4EB45586" w14:textId="543CB242" w:rsidR="003E3D13" w:rsidRPr="008E32E0" w:rsidRDefault="004B7430" w:rsidP="003E3D13">
            <w:pPr>
              <w:spacing w:after="0" w:line="240" w:lineRule="auto"/>
              <w:jc w:val="center"/>
              <w:rPr>
                <w:rFonts w:ascii="Times New Roman" w:hAnsi="Times New Roman" w:cs="Times New Roman"/>
                <w:noProof/>
                <w:sz w:val="24"/>
                <w:szCs w:val="28"/>
                <w:lang w:eastAsia="ru-RU"/>
              </w:rPr>
            </w:pPr>
            <w:r w:rsidRPr="008E32E0">
              <w:rPr>
                <w:rFonts w:ascii="Times New Roman" w:hAnsi="Times New Roman" w:cs="Times New Roman"/>
                <w:noProof/>
                <w:sz w:val="24"/>
                <w:szCs w:val="28"/>
                <w:lang w:eastAsia="ru-RU"/>
              </w:rPr>
              <w:t>у)</w:t>
            </w:r>
            <w:r w:rsidR="003E3D13" w:rsidRPr="008E32E0">
              <w:rPr>
                <w:rFonts w:ascii="Times New Roman" w:hAnsi="Times New Roman" w:cs="Times New Roman"/>
                <w:noProof/>
                <w:sz w:val="24"/>
                <w:szCs w:val="28"/>
                <w:lang w:eastAsia="ru-RU"/>
              </w:rPr>
              <w:t xml:space="preserve"> </w:t>
            </w:r>
            <w:r w:rsidR="003E3D13" w:rsidRPr="008E32E0">
              <w:rPr>
                <w:rFonts w:ascii="Times New Roman" w:hAnsi="Times New Roman" w:cs="Times New Roman"/>
                <w:sz w:val="24"/>
                <w:szCs w:val="28"/>
              </w:rPr>
              <w:t>Сагиттальная плоскость, ПЭТ изображение</w:t>
            </w:r>
          </w:p>
        </w:tc>
      </w:tr>
    </w:tbl>
    <w:p w14:paraId="140EFB47" w14:textId="77777777" w:rsidR="003E3D13" w:rsidRDefault="003E3D13" w:rsidP="0033500B">
      <w:pPr>
        <w:autoSpaceDE w:val="0"/>
        <w:autoSpaceDN w:val="0"/>
        <w:adjustRightInd w:val="0"/>
        <w:spacing w:after="0" w:line="240" w:lineRule="auto"/>
        <w:ind w:firstLine="709"/>
        <w:jc w:val="center"/>
        <w:rPr>
          <w:rFonts w:ascii="Times New Roman" w:eastAsia="NewtonC" w:hAnsi="Times New Roman" w:cs="Times New Roman"/>
          <w:sz w:val="28"/>
          <w:szCs w:val="28"/>
        </w:rPr>
      </w:pPr>
    </w:p>
    <w:p w14:paraId="2055943C" w14:textId="22F36A59" w:rsidR="005E7848" w:rsidRPr="00A43B9C" w:rsidRDefault="001D33E2" w:rsidP="0033500B">
      <w:pPr>
        <w:autoSpaceDE w:val="0"/>
        <w:autoSpaceDN w:val="0"/>
        <w:adjustRightInd w:val="0"/>
        <w:spacing w:after="0" w:line="240" w:lineRule="auto"/>
        <w:ind w:firstLine="709"/>
        <w:jc w:val="center"/>
        <w:rPr>
          <w:rFonts w:ascii="Times New Roman" w:eastAsia="NewtonC" w:hAnsi="Times New Roman" w:cs="Times New Roman"/>
          <w:sz w:val="28"/>
          <w:szCs w:val="28"/>
        </w:rPr>
      </w:pPr>
      <w:r w:rsidRPr="00A43B9C">
        <w:rPr>
          <w:rFonts w:ascii="Times New Roman" w:eastAsia="NewtonC" w:hAnsi="Times New Roman" w:cs="Times New Roman"/>
          <w:sz w:val="28"/>
          <w:szCs w:val="28"/>
        </w:rPr>
        <w:t xml:space="preserve">Рисунок </w:t>
      </w:r>
      <w:r w:rsidR="00006C4D">
        <w:rPr>
          <w:rFonts w:ascii="Times New Roman" w:eastAsia="NewtonC" w:hAnsi="Times New Roman" w:cs="Times New Roman"/>
          <w:sz w:val="28"/>
          <w:szCs w:val="28"/>
        </w:rPr>
        <w:t>6</w:t>
      </w:r>
      <w:r w:rsidRPr="00A43B9C">
        <w:rPr>
          <w:rFonts w:ascii="Times New Roman" w:eastAsia="NewtonC" w:hAnsi="Times New Roman" w:cs="Times New Roman"/>
          <w:sz w:val="28"/>
          <w:szCs w:val="28"/>
        </w:rPr>
        <w:t xml:space="preserve"> -</w:t>
      </w:r>
      <w:r w:rsidR="00981D39" w:rsidRPr="00A43B9C">
        <w:rPr>
          <w:rFonts w:ascii="Times New Roman" w:eastAsia="NewtonC" w:hAnsi="Times New Roman" w:cs="Times New Roman"/>
          <w:sz w:val="28"/>
          <w:szCs w:val="28"/>
        </w:rPr>
        <w:t xml:space="preserve"> Топографическ</w:t>
      </w:r>
      <w:r w:rsidR="0033500B" w:rsidRPr="00A43B9C">
        <w:rPr>
          <w:rFonts w:ascii="Times New Roman" w:eastAsia="NewtonC" w:hAnsi="Times New Roman" w:cs="Times New Roman"/>
          <w:sz w:val="28"/>
          <w:szCs w:val="28"/>
        </w:rPr>
        <w:t xml:space="preserve">ая реконструкция </w:t>
      </w:r>
      <w:r w:rsidR="00981D39" w:rsidRPr="00A43B9C">
        <w:rPr>
          <w:rFonts w:ascii="Times New Roman" w:eastAsia="NewtonC" w:hAnsi="Times New Roman" w:cs="Times New Roman"/>
          <w:sz w:val="28"/>
          <w:szCs w:val="28"/>
        </w:rPr>
        <w:t>изображени</w:t>
      </w:r>
      <w:r w:rsidR="0033500B" w:rsidRPr="00A43B9C">
        <w:rPr>
          <w:rFonts w:ascii="Times New Roman" w:eastAsia="NewtonC" w:hAnsi="Times New Roman" w:cs="Times New Roman"/>
          <w:sz w:val="28"/>
          <w:szCs w:val="28"/>
        </w:rPr>
        <w:t>й</w:t>
      </w:r>
    </w:p>
    <w:p w14:paraId="3A0D10A8" w14:textId="56D6AE43" w:rsidR="001C6451" w:rsidRPr="00A43B9C" w:rsidRDefault="001C6451" w:rsidP="001C6451">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lastRenderedPageBreak/>
        <w:t xml:space="preserve">Области располагались на трех последовательных участках брюшной полости, чтобы исключить чрезмерное физиологическое поглощение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rPr>
        <w:t xml:space="preserve">F-FDG почками. Были измерены </w:t>
      </w:r>
      <w:r w:rsidR="000A69C1" w:rsidRPr="00A43B9C">
        <w:rPr>
          <w:rFonts w:ascii="Times New Roman" w:hAnsi="Times New Roman" w:cs="Times New Roman"/>
          <w:sz w:val="28"/>
          <w:szCs w:val="28"/>
        </w:rPr>
        <w:t xml:space="preserve">уровни накопления </w:t>
      </w:r>
      <w:r w:rsidRPr="00A43B9C">
        <w:rPr>
          <w:rFonts w:ascii="Times New Roman" w:hAnsi="Times New Roman" w:cs="Times New Roman"/>
          <w:sz w:val="28"/>
          <w:szCs w:val="28"/>
        </w:rPr>
        <w:t>SUV</w:t>
      </w:r>
      <w:r w:rsidRPr="00A43B9C">
        <w:rPr>
          <w:rFonts w:ascii="Times New Roman" w:hAnsi="Times New Roman" w:cs="Times New Roman"/>
          <w:sz w:val="28"/>
          <w:szCs w:val="28"/>
          <w:vertAlign w:val="subscript"/>
        </w:rPr>
        <w:t>max</w:t>
      </w:r>
      <w:r w:rsidRPr="00A43B9C">
        <w:rPr>
          <w:rFonts w:ascii="Times New Roman" w:hAnsi="Times New Roman" w:cs="Times New Roman"/>
          <w:sz w:val="28"/>
          <w:szCs w:val="28"/>
        </w:rPr>
        <w:t xml:space="preserve"> в аксиальной плоскости для каждой области в </w:t>
      </w:r>
      <w:r w:rsidR="000A69C1" w:rsidRPr="00A43B9C">
        <w:rPr>
          <w:rFonts w:ascii="Times New Roman" w:hAnsi="Times New Roman" w:cs="Times New Roman"/>
          <w:sz w:val="28"/>
          <w:szCs w:val="28"/>
        </w:rPr>
        <w:t>местах</w:t>
      </w:r>
      <w:r w:rsidRPr="00A43B9C">
        <w:rPr>
          <w:rFonts w:ascii="Times New Roman" w:hAnsi="Times New Roman" w:cs="Times New Roman"/>
          <w:sz w:val="28"/>
          <w:szCs w:val="28"/>
        </w:rPr>
        <w:t xml:space="preserve"> наибольшего накопления </w:t>
      </w:r>
      <w:r w:rsidR="009D1282" w:rsidRPr="00A43B9C">
        <w:rPr>
          <w:rFonts w:ascii="Times New Roman" w:hAnsi="Times New Roman" w:cs="Times New Roman"/>
          <w:sz w:val="28"/>
          <w:szCs w:val="28"/>
          <w:vertAlign w:val="superscript"/>
        </w:rPr>
        <w:t>18</w:t>
      </w:r>
      <w:r w:rsidR="009D1282" w:rsidRPr="00A43B9C">
        <w:rPr>
          <w:rFonts w:ascii="Times New Roman" w:hAnsi="Times New Roman" w:cs="Times New Roman"/>
          <w:sz w:val="28"/>
          <w:szCs w:val="28"/>
        </w:rPr>
        <w:t>F-FDG,</w:t>
      </w:r>
      <w:r w:rsidRPr="00A43B9C">
        <w:rPr>
          <w:rFonts w:ascii="Times New Roman" w:hAnsi="Times New Roman" w:cs="Times New Roman"/>
          <w:sz w:val="28"/>
          <w:szCs w:val="28"/>
        </w:rPr>
        <w:t xml:space="preserve"> </w:t>
      </w:r>
      <w:r w:rsidR="00AB51B0" w:rsidRPr="00A43B9C">
        <w:rPr>
          <w:rFonts w:ascii="Times New Roman" w:hAnsi="Times New Roman" w:cs="Times New Roman"/>
          <w:sz w:val="28"/>
          <w:szCs w:val="28"/>
        </w:rPr>
        <w:t>а</w:t>
      </w:r>
      <w:r w:rsidRPr="00A43B9C">
        <w:rPr>
          <w:rFonts w:ascii="Times New Roman" w:hAnsi="Times New Roman" w:cs="Times New Roman"/>
          <w:sz w:val="28"/>
          <w:szCs w:val="28"/>
        </w:rPr>
        <w:t xml:space="preserve"> среднее значение </w:t>
      </w:r>
      <w:r w:rsidR="000A69C1" w:rsidRPr="00A43B9C">
        <w:rPr>
          <w:rFonts w:ascii="Times New Roman" w:hAnsi="Times New Roman" w:cs="Times New Roman"/>
          <w:sz w:val="28"/>
          <w:szCs w:val="28"/>
        </w:rPr>
        <w:t>уровня накоплени</w:t>
      </w:r>
      <w:r w:rsidR="006E2E0F" w:rsidRPr="00A43B9C">
        <w:rPr>
          <w:rFonts w:ascii="Times New Roman" w:hAnsi="Times New Roman" w:cs="Times New Roman"/>
          <w:sz w:val="28"/>
          <w:szCs w:val="28"/>
        </w:rPr>
        <w:t>я</w:t>
      </w:r>
      <w:r w:rsidR="000A69C1" w:rsidRPr="00A43B9C">
        <w:rPr>
          <w:rFonts w:ascii="Times New Roman" w:hAnsi="Times New Roman" w:cs="Times New Roman"/>
          <w:sz w:val="28"/>
          <w:szCs w:val="28"/>
        </w:rPr>
        <w:t xml:space="preserve"> </w:t>
      </w:r>
      <w:r w:rsidRPr="00A43B9C">
        <w:rPr>
          <w:rFonts w:ascii="Times New Roman" w:hAnsi="Times New Roman" w:cs="Times New Roman"/>
          <w:sz w:val="28"/>
          <w:szCs w:val="28"/>
        </w:rPr>
        <w:t>SUV</w:t>
      </w:r>
      <w:r w:rsidRPr="00A43B9C">
        <w:rPr>
          <w:rFonts w:ascii="Times New Roman" w:hAnsi="Times New Roman" w:cs="Times New Roman"/>
          <w:sz w:val="28"/>
          <w:szCs w:val="28"/>
          <w:vertAlign w:val="subscript"/>
        </w:rPr>
        <w:t>max</w:t>
      </w:r>
      <w:r w:rsidRPr="00A43B9C">
        <w:rPr>
          <w:rFonts w:ascii="Times New Roman" w:hAnsi="Times New Roman" w:cs="Times New Roman"/>
          <w:sz w:val="28"/>
          <w:szCs w:val="28"/>
        </w:rPr>
        <w:t xml:space="preserve"> для каждой области было рассчитано отдельно. Все изображения были реконструированы в аксиальной, сагиттальной и корональной мультипланарных плоскостях и считаны визуально. С учетом этих функциональных параметров анализ проводился в соответствии со статусом метастатического поражения </w:t>
      </w:r>
      <w:r w:rsidR="00FD5F23" w:rsidRPr="00A43B9C">
        <w:rPr>
          <w:rFonts w:ascii="Times New Roman" w:hAnsi="Times New Roman" w:cs="Times New Roman"/>
          <w:sz w:val="28"/>
          <w:szCs w:val="28"/>
        </w:rPr>
        <w:t>ЛУ</w:t>
      </w:r>
      <w:r w:rsidRPr="00A43B9C">
        <w:rPr>
          <w:rFonts w:ascii="Times New Roman" w:hAnsi="Times New Roman" w:cs="Times New Roman"/>
          <w:sz w:val="28"/>
          <w:szCs w:val="28"/>
        </w:rPr>
        <w:t>.</w:t>
      </w:r>
    </w:p>
    <w:p w14:paraId="2244CCAF" w14:textId="25E02E14" w:rsidR="001C6451" w:rsidRPr="00A43B9C" w:rsidRDefault="001C6451" w:rsidP="001C6451">
      <w:pPr>
        <w:spacing w:after="0" w:line="240" w:lineRule="auto"/>
        <w:ind w:firstLine="708"/>
        <w:jc w:val="both"/>
        <w:rPr>
          <w:rFonts w:ascii="Times New Roman" w:hAnsi="Times New Roman" w:cs="Times New Roman"/>
          <w:sz w:val="28"/>
          <w:szCs w:val="28"/>
        </w:rPr>
      </w:pPr>
      <w:r w:rsidRPr="00A43B9C">
        <w:rPr>
          <w:rFonts w:ascii="Times New Roman" w:hAnsi="Times New Roman" w:cs="Times New Roman"/>
          <w:sz w:val="28"/>
          <w:szCs w:val="28"/>
        </w:rPr>
        <w:t xml:space="preserve">Основной конечной точкой анализа было определение </w:t>
      </w:r>
      <w:r w:rsidR="000A69C1" w:rsidRPr="00A43B9C">
        <w:rPr>
          <w:rFonts w:ascii="Times New Roman" w:hAnsi="Times New Roman" w:cs="Times New Roman"/>
          <w:sz w:val="28"/>
          <w:szCs w:val="28"/>
        </w:rPr>
        <w:t>уровня накоплени</w:t>
      </w:r>
      <w:r w:rsidR="006E2E0F" w:rsidRPr="00A43B9C">
        <w:rPr>
          <w:rFonts w:ascii="Times New Roman" w:hAnsi="Times New Roman" w:cs="Times New Roman"/>
          <w:sz w:val="28"/>
          <w:szCs w:val="28"/>
        </w:rPr>
        <w:t>я</w:t>
      </w:r>
      <w:r w:rsidR="000A69C1" w:rsidRPr="00A43B9C">
        <w:rPr>
          <w:rFonts w:ascii="Times New Roman" w:hAnsi="Times New Roman" w:cs="Times New Roman"/>
          <w:sz w:val="28"/>
          <w:szCs w:val="28"/>
        </w:rPr>
        <w:t xml:space="preserve"> </w:t>
      </w:r>
      <w:r w:rsidRPr="00A43B9C">
        <w:rPr>
          <w:rFonts w:ascii="Times New Roman" w:hAnsi="Times New Roman" w:cs="Times New Roman"/>
          <w:sz w:val="28"/>
          <w:szCs w:val="28"/>
        </w:rPr>
        <w:t>SUV</w:t>
      </w:r>
      <w:r w:rsidRPr="00A43B9C">
        <w:rPr>
          <w:rFonts w:ascii="Times New Roman" w:hAnsi="Times New Roman" w:cs="Times New Roman"/>
          <w:sz w:val="28"/>
          <w:szCs w:val="28"/>
          <w:vertAlign w:val="subscript"/>
        </w:rPr>
        <w:t>max</w:t>
      </w:r>
      <w:r w:rsidRPr="00A43B9C">
        <w:rPr>
          <w:rFonts w:ascii="Times New Roman" w:hAnsi="Times New Roman" w:cs="Times New Roman"/>
          <w:sz w:val="28"/>
          <w:szCs w:val="28"/>
        </w:rPr>
        <w:t xml:space="preserve"> выбранных девяти локализаций при исходном базовом уровне и при последующем обследовании. Анализ изображений проводился путем определения </w:t>
      </w:r>
      <w:r w:rsidR="000A69C1" w:rsidRPr="00A43B9C">
        <w:rPr>
          <w:rFonts w:ascii="Times New Roman" w:hAnsi="Times New Roman" w:cs="Times New Roman"/>
          <w:sz w:val="28"/>
          <w:szCs w:val="28"/>
        </w:rPr>
        <w:t xml:space="preserve">уровня </w:t>
      </w:r>
      <w:r w:rsidRPr="00A43B9C">
        <w:rPr>
          <w:rFonts w:ascii="Times New Roman" w:hAnsi="Times New Roman" w:cs="Times New Roman"/>
          <w:sz w:val="28"/>
          <w:szCs w:val="28"/>
        </w:rPr>
        <w:t>накоплени</w:t>
      </w:r>
      <w:r w:rsidR="006E2E0F" w:rsidRPr="00A43B9C">
        <w:rPr>
          <w:rFonts w:ascii="Times New Roman" w:hAnsi="Times New Roman" w:cs="Times New Roman"/>
          <w:sz w:val="28"/>
          <w:szCs w:val="28"/>
        </w:rPr>
        <w:t>я</w:t>
      </w:r>
      <w:r w:rsidRPr="00A43B9C">
        <w:rPr>
          <w:rFonts w:ascii="Times New Roman" w:hAnsi="Times New Roman" w:cs="Times New Roman"/>
          <w:sz w:val="28"/>
          <w:szCs w:val="28"/>
        </w:rPr>
        <w:t xml:space="preserve"> SUV</w:t>
      </w:r>
      <w:r w:rsidRPr="00A43B9C">
        <w:rPr>
          <w:rFonts w:ascii="Times New Roman" w:hAnsi="Times New Roman" w:cs="Times New Roman"/>
          <w:sz w:val="28"/>
          <w:szCs w:val="28"/>
          <w:vertAlign w:val="subscript"/>
        </w:rPr>
        <w:t>max</w:t>
      </w:r>
      <w:r w:rsidRPr="00A43B9C">
        <w:rPr>
          <w:rFonts w:ascii="Times New Roman" w:hAnsi="Times New Roman" w:cs="Times New Roman"/>
          <w:sz w:val="28"/>
          <w:szCs w:val="28"/>
        </w:rPr>
        <w:t xml:space="preserve"> в</w:t>
      </w:r>
      <w:r w:rsidR="009D1282" w:rsidRPr="00A43B9C">
        <w:rPr>
          <w:rFonts w:ascii="Times New Roman" w:hAnsi="Times New Roman" w:cs="Times New Roman"/>
          <w:sz w:val="28"/>
          <w:szCs w:val="28"/>
        </w:rPr>
        <w:t xml:space="preserve"> </w:t>
      </w:r>
      <w:r w:rsidR="000A69C1" w:rsidRPr="00A43B9C">
        <w:rPr>
          <w:rFonts w:ascii="Times New Roman" w:hAnsi="Times New Roman" w:cs="Times New Roman"/>
          <w:sz w:val="28"/>
          <w:szCs w:val="28"/>
          <w:lang w:val="en-US"/>
        </w:rPr>
        <w:t>VAT</w:t>
      </w:r>
      <w:r w:rsidRPr="00A43B9C">
        <w:rPr>
          <w:rFonts w:ascii="Times New Roman" w:hAnsi="Times New Roman" w:cs="Times New Roman"/>
          <w:sz w:val="28"/>
          <w:szCs w:val="28"/>
        </w:rPr>
        <w:t xml:space="preserve"> в каждой точке брюшной полости и полости малого таза. Каждая измеренная точка составляла 1,00 мм и варьировала в зависимости от объема </w:t>
      </w:r>
      <w:r w:rsidR="000A69C1" w:rsidRPr="00A43B9C">
        <w:rPr>
          <w:rFonts w:ascii="Times New Roman" w:hAnsi="Times New Roman" w:cs="Times New Roman"/>
          <w:sz w:val="28"/>
          <w:szCs w:val="28"/>
          <w:lang w:val="en-US"/>
        </w:rPr>
        <w:t>VAT</w:t>
      </w:r>
      <w:r w:rsidRPr="00A43B9C">
        <w:rPr>
          <w:rFonts w:ascii="Times New Roman" w:hAnsi="Times New Roman" w:cs="Times New Roman"/>
          <w:sz w:val="28"/>
          <w:szCs w:val="28"/>
        </w:rPr>
        <w:t xml:space="preserve"> измеряемой области. Области </w:t>
      </w:r>
      <w:r w:rsidR="000A69C1" w:rsidRPr="00A43B9C">
        <w:rPr>
          <w:rFonts w:ascii="Times New Roman" w:hAnsi="Times New Roman" w:cs="Times New Roman"/>
          <w:sz w:val="28"/>
          <w:szCs w:val="28"/>
          <w:lang w:val="en-US"/>
        </w:rPr>
        <w:t>VAT</w:t>
      </w:r>
      <w:r w:rsidRPr="00A43B9C">
        <w:rPr>
          <w:rFonts w:ascii="Times New Roman" w:hAnsi="Times New Roman" w:cs="Times New Roman"/>
          <w:sz w:val="28"/>
          <w:szCs w:val="28"/>
        </w:rPr>
        <w:t xml:space="preserve"> были идентифицированы по фоновым изображениям КТ, а </w:t>
      </w:r>
      <w:r w:rsidR="000A69C1" w:rsidRPr="00A43B9C">
        <w:rPr>
          <w:rFonts w:ascii="Times New Roman" w:hAnsi="Times New Roman" w:cs="Times New Roman"/>
          <w:sz w:val="28"/>
          <w:szCs w:val="28"/>
        </w:rPr>
        <w:t>уровня накоплени</w:t>
      </w:r>
      <w:r w:rsidR="006E2E0F" w:rsidRPr="00A43B9C">
        <w:rPr>
          <w:rFonts w:ascii="Times New Roman" w:hAnsi="Times New Roman" w:cs="Times New Roman"/>
          <w:sz w:val="28"/>
          <w:szCs w:val="28"/>
        </w:rPr>
        <w:t>я</w:t>
      </w:r>
      <w:r w:rsidR="000A69C1" w:rsidRPr="00A43B9C">
        <w:rPr>
          <w:rFonts w:ascii="Times New Roman" w:hAnsi="Times New Roman" w:cs="Times New Roman"/>
          <w:sz w:val="28"/>
          <w:szCs w:val="28"/>
        </w:rPr>
        <w:t xml:space="preserve"> </w:t>
      </w:r>
      <w:r w:rsidRPr="00A43B9C">
        <w:rPr>
          <w:rFonts w:ascii="Times New Roman" w:hAnsi="Times New Roman" w:cs="Times New Roman"/>
          <w:sz w:val="28"/>
          <w:szCs w:val="28"/>
        </w:rPr>
        <w:t>SUV</w:t>
      </w:r>
      <w:r w:rsidR="006E2E0F" w:rsidRPr="00A43B9C">
        <w:rPr>
          <w:rFonts w:ascii="Times New Roman" w:hAnsi="Times New Roman" w:cs="Times New Roman"/>
          <w:sz w:val="28"/>
          <w:szCs w:val="28"/>
          <w:vertAlign w:val="subscript"/>
        </w:rPr>
        <w:t>max</w:t>
      </w:r>
      <w:r w:rsidRPr="00A43B9C">
        <w:rPr>
          <w:rFonts w:ascii="Times New Roman" w:hAnsi="Times New Roman" w:cs="Times New Roman"/>
          <w:sz w:val="28"/>
          <w:szCs w:val="28"/>
        </w:rPr>
        <w:t xml:space="preserve"> был определен на изображениях ПЭТ, включая гиперметаболический фокус на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FDG</w:t>
      </w:r>
      <w:r w:rsidRPr="00A43B9C">
        <w:rPr>
          <w:rFonts w:ascii="Times New Roman" w:hAnsi="Times New Roman" w:cs="Times New Roman"/>
          <w:sz w:val="28"/>
          <w:szCs w:val="28"/>
        </w:rPr>
        <w:t xml:space="preserve"> ПЭТ/КТ. Даны значения </w:t>
      </w:r>
      <w:r w:rsidR="000A69C1" w:rsidRPr="00A43B9C">
        <w:rPr>
          <w:rFonts w:ascii="Times New Roman" w:hAnsi="Times New Roman" w:cs="Times New Roman"/>
          <w:sz w:val="28"/>
          <w:szCs w:val="28"/>
        </w:rPr>
        <w:t>уровня накоплени</w:t>
      </w:r>
      <w:r w:rsidR="006E2E0F" w:rsidRPr="00A43B9C">
        <w:rPr>
          <w:rFonts w:ascii="Times New Roman" w:hAnsi="Times New Roman" w:cs="Times New Roman"/>
          <w:sz w:val="28"/>
          <w:szCs w:val="28"/>
        </w:rPr>
        <w:t>я</w:t>
      </w:r>
      <w:r w:rsidR="000A69C1" w:rsidRPr="00A43B9C">
        <w:rPr>
          <w:rFonts w:ascii="Times New Roman" w:hAnsi="Times New Roman" w:cs="Times New Roman"/>
          <w:sz w:val="28"/>
          <w:szCs w:val="28"/>
        </w:rPr>
        <w:t xml:space="preserve"> </w:t>
      </w:r>
      <w:r w:rsidRPr="00A43B9C">
        <w:rPr>
          <w:rFonts w:ascii="Times New Roman" w:hAnsi="Times New Roman" w:cs="Times New Roman"/>
          <w:sz w:val="28"/>
          <w:szCs w:val="28"/>
        </w:rPr>
        <w:t>SUV</w:t>
      </w:r>
      <w:r w:rsidRPr="00A43B9C">
        <w:rPr>
          <w:rFonts w:ascii="Times New Roman" w:hAnsi="Times New Roman" w:cs="Times New Roman"/>
          <w:sz w:val="28"/>
          <w:szCs w:val="28"/>
          <w:vertAlign w:val="subscript"/>
        </w:rPr>
        <w:t>max</w:t>
      </w:r>
      <w:r w:rsidRPr="00A43B9C">
        <w:rPr>
          <w:rFonts w:ascii="Times New Roman" w:hAnsi="Times New Roman" w:cs="Times New Roman"/>
          <w:sz w:val="28"/>
          <w:szCs w:val="28"/>
        </w:rPr>
        <w:t xml:space="preserve"> для девяти локализаций </w:t>
      </w:r>
      <w:r w:rsidR="000A69C1" w:rsidRPr="00A43B9C">
        <w:rPr>
          <w:rFonts w:ascii="Times New Roman" w:hAnsi="Times New Roman" w:cs="Times New Roman"/>
          <w:sz w:val="28"/>
          <w:szCs w:val="28"/>
          <w:lang w:val="en-US"/>
        </w:rPr>
        <w:t>VAT</w:t>
      </w:r>
      <w:r w:rsidRPr="00A43B9C">
        <w:rPr>
          <w:rFonts w:ascii="Times New Roman" w:hAnsi="Times New Roman" w:cs="Times New Roman"/>
          <w:sz w:val="28"/>
          <w:szCs w:val="28"/>
        </w:rPr>
        <w:t>, тогда как значение SUV</w:t>
      </w:r>
      <w:r w:rsidRPr="00A43B9C">
        <w:rPr>
          <w:rFonts w:ascii="Times New Roman" w:hAnsi="Times New Roman" w:cs="Times New Roman"/>
          <w:sz w:val="28"/>
          <w:szCs w:val="28"/>
          <w:vertAlign w:val="subscript"/>
        </w:rPr>
        <w:t>max</w:t>
      </w:r>
      <w:r w:rsidRPr="00A43B9C">
        <w:rPr>
          <w:rFonts w:ascii="Times New Roman" w:hAnsi="Times New Roman" w:cs="Times New Roman"/>
          <w:sz w:val="28"/>
          <w:szCs w:val="28"/>
        </w:rPr>
        <w:t xml:space="preserve"> на исходном уровне и при последующем наблюдени</w:t>
      </w:r>
      <w:r w:rsidR="006E2E0F" w:rsidRPr="00A43B9C">
        <w:rPr>
          <w:rFonts w:ascii="Times New Roman" w:hAnsi="Times New Roman" w:cs="Times New Roman"/>
          <w:sz w:val="28"/>
          <w:szCs w:val="28"/>
        </w:rPr>
        <w:t>ях</w:t>
      </w:r>
      <w:r w:rsidRPr="00A43B9C">
        <w:rPr>
          <w:rFonts w:ascii="Times New Roman" w:hAnsi="Times New Roman" w:cs="Times New Roman"/>
          <w:sz w:val="28"/>
          <w:szCs w:val="28"/>
        </w:rPr>
        <w:t xml:space="preserve"> были средним значением числа локализаций для каждой локации со сдвигом на 1 мм.</w:t>
      </w:r>
    </w:p>
    <w:p w14:paraId="446D0C46" w14:textId="77777777" w:rsidR="001C6451" w:rsidRPr="00A43B9C" w:rsidRDefault="001C6451" w:rsidP="001C6451">
      <w:pPr>
        <w:autoSpaceDE w:val="0"/>
        <w:autoSpaceDN w:val="0"/>
        <w:adjustRightInd w:val="0"/>
        <w:spacing w:after="0" w:line="240" w:lineRule="auto"/>
        <w:jc w:val="center"/>
        <w:rPr>
          <w:rFonts w:ascii="Times New Roman" w:eastAsia="NewtonC" w:hAnsi="Times New Roman" w:cs="Times New Roman"/>
          <w:sz w:val="28"/>
          <w:szCs w:val="28"/>
        </w:rPr>
      </w:pPr>
    </w:p>
    <w:p w14:paraId="267CA3D6" w14:textId="77777777" w:rsidR="001C6451" w:rsidRPr="00BE40BB" w:rsidRDefault="001C6451" w:rsidP="003447F3">
      <w:pPr>
        <w:pStyle w:val="1"/>
        <w:spacing w:line="240" w:lineRule="auto"/>
        <w:ind w:left="709"/>
        <w:jc w:val="both"/>
        <w:rPr>
          <w:rFonts w:cs="Times New Roman"/>
        </w:rPr>
      </w:pPr>
      <w:bookmarkStart w:id="46" w:name="_Toc94112684"/>
      <w:bookmarkStart w:id="47" w:name="_Toc101861814"/>
      <w:bookmarkStart w:id="48" w:name="_Toc102937617"/>
      <w:r w:rsidRPr="00BE40BB">
        <w:rPr>
          <w:rStyle w:val="a9"/>
          <w:rFonts w:cs="Times New Roman"/>
          <w:noProof/>
          <w:color w:val="auto"/>
          <w:szCs w:val="32"/>
          <w:u w:val="none"/>
        </w:rPr>
        <w:t>2</w:t>
      </w:r>
      <w:hyperlink w:anchor="_Toc94099720" w:history="1">
        <w:r w:rsidRPr="00BE40BB">
          <w:rPr>
            <w:rFonts w:cs="Times New Roman"/>
          </w:rPr>
          <w:t>.3 Статистический анализ</w:t>
        </w:r>
        <w:bookmarkEnd w:id="46"/>
        <w:bookmarkEnd w:id="47"/>
        <w:bookmarkEnd w:id="48"/>
      </w:hyperlink>
    </w:p>
    <w:p w14:paraId="6E000377" w14:textId="2CFBC3E8" w:rsidR="00B979BB" w:rsidRPr="00A43B9C" w:rsidRDefault="001C6451" w:rsidP="001C6451">
      <w:pPr>
        <w:spacing w:after="0" w:line="240" w:lineRule="auto"/>
        <w:ind w:firstLine="709"/>
        <w:jc w:val="both"/>
        <w:rPr>
          <w:rFonts w:ascii="Times New Roman" w:eastAsia="Times New Roman" w:hAnsi="Times New Roman" w:cs="Times New Roman"/>
          <w:sz w:val="28"/>
          <w:szCs w:val="28"/>
        </w:rPr>
      </w:pPr>
      <w:r w:rsidRPr="00A43B9C">
        <w:rPr>
          <w:rFonts w:ascii="Times New Roman" w:eastAsia="Times New Roman" w:hAnsi="Times New Roman" w:cs="Times New Roman"/>
          <w:sz w:val="28"/>
          <w:szCs w:val="28"/>
        </w:rPr>
        <w:t>Все переменные проверены на нормальность распределения, используя тест Колмогорова-Смирнова. Количественные переменные, соответствующие закономерности нормального распределения, были описаны с использованием среднего значения (М), медианы (</w:t>
      </w:r>
      <w:r w:rsidRPr="00A43B9C">
        <w:rPr>
          <w:rFonts w:ascii="Times New Roman" w:eastAsia="Times New Roman" w:hAnsi="Times New Roman" w:cs="Times New Roman"/>
          <w:sz w:val="28"/>
          <w:szCs w:val="28"/>
          <w:lang w:val="en-US"/>
        </w:rPr>
        <w:t>Me</w:t>
      </w:r>
      <w:r w:rsidRPr="00A43B9C">
        <w:rPr>
          <w:rFonts w:ascii="Times New Roman" w:eastAsia="Times New Roman" w:hAnsi="Times New Roman" w:cs="Times New Roman"/>
          <w:sz w:val="28"/>
          <w:szCs w:val="28"/>
        </w:rPr>
        <w:t>) и стандартного отклонения (</w:t>
      </w:r>
      <w:r w:rsidRPr="00A43B9C">
        <w:rPr>
          <w:rFonts w:ascii="Times New Roman" w:eastAsia="Times New Roman" w:hAnsi="Times New Roman" w:cs="Times New Roman"/>
          <w:sz w:val="28"/>
          <w:szCs w:val="28"/>
          <w:lang w:val="en-US"/>
        </w:rPr>
        <w:t>SD</w:t>
      </w:r>
      <w:r w:rsidRPr="00A43B9C">
        <w:rPr>
          <w:rFonts w:ascii="Times New Roman" w:eastAsia="Times New Roman" w:hAnsi="Times New Roman" w:cs="Times New Roman"/>
          <w:sz w:val="28"/>
          <w:szCs w:val="28"/>
        </w:rPr>
        <w:t>); в качестве альтернативы приведены медианы с соответствующими межквартильным</w:t>
      </w:r>
      <w:r w:rsidR="00B979BB" w:rsidRPr="00A43B9C">
        <w:rPr>
          <w:rFonts w:ascii="Times New Roman" w:eastAsia="Times New Roman" w:hAnsi="Times New Roman" w:cs="Times New Roman"/>
          <w:sz w:val="28"/>
          <w:szCs w:val="28"/>
        </w:rPr>
        <w:t xml:space="preserve"> интервалом</w:t>
      </w:r>
      <w:r w:rsidRPr="00A43B9C">
        <w:rPr>
          <w:rFonts w:ascii="Times New Roman" w:eastAsia="Times New Roman" w:hAnsi="Times New Roman" w:cs="Times New Roman"/>
          <w:sz w:val="28"/>
          <w:szCs w:val="28"/>
        </w:rPr>
        <w:t xml:space="preserve"> (</w:t>
      </w:r>
      <w:r w:rsidR="00B979BB" w:rsidRPr="00A43B9C">
        <w:rPr>
          <w:rFonts w:ascii="Times New Roman" w:eastAsia="Times New Roman" w:hAnsi="Times New Roman" w:cs="Times New Roman"/>
          <w:sz w:val="28"/>
          <w:szCs w:val="28"/>
        </w:rPr>
        <w:t>МКИ</w:t>
      </w:r>
      <w:r w:rsidRPr="00A43B9C">
        <w:rPr>
          <w:rFonts w:ascii="Times New Roman" w:eastAsia="Times New Roman" w:hAnsi="Times New Roman" w:cs="Times New Roman"/>
          <w:sz w:val="28"/>
          <w:szCs w:val="28"/>
        </w:rPr>
        <w:t xml:space="preserve">). </w:t>
      </w:r>
      <w:r w:rsidR="000A69C1" w:rsidRPr="00A43B9C">
        <w:rPr>
          <w:rFonts w:ascii="Times New Roman" w:eastAsia="Times New Roman" w:hAnsi="Times New Roman" w:cs="Times New Roman"/>
          <w:sz w:val="28"/>
          <w:szCs w:val="28"/>
        </w:rPr>
        <w:t>Значения уровня накоплени</w:t>
      </w:r>
      <w:r w:rsidR="006E2E0F" w:rsidRPr="00A43B9C">
        <w:rPr>
          <w:rFonts w:ascii="Times New Roman" w:eastAsia="Times New Roman" w:hAnsi="Times New Roman" w:cs="Times New Roman"/>
          <w:sz w:val="28"/>
          <w:szCs w:val="28"/>
        </w:rPr>
        <w:t>я</w:t>
      </w:r>
      <w:r w:rsidR="000A69C1" w:rsidRPr="00A43B9C">
        <w:rPr>
          <w:rFonts w:ascii="Times New Roman" w:eastAsia="Times New Roman" w:hAnsi="Times New Roman" w:cs="Times New Roman"/>
          <w:sz w:val="28"/>
          <w:szCs w:val="28"/>
        </w:rPr>
        <w:t xml:space="preserve"> </w:t>
      </w:r>
      <w:r w:rsidRPr="00A43B9C">
        <w:rPr>
          <w:rFonts w:ascii="Times New Roman" w:eastAsia="Times New Roman" w:hAnsi="Times New Roman" w:cs="Times New Roman"/>
          <w:sz w:val="28"/>
          <w:szCs w:val="28"/>
          <w:lang w:val="en-US"/>
        </w:rPr>
        <w:t>SUV</w:t>
      </w:r>
      <w:r w:rsidRPr="00A43B9C">
        <w:rPr>
          <w:rFonts w:ascii="Times New Roman" w:eastAsia="Times New Roman" w:hAnsi="Times New Roman" w:cs="Times New Roman"/>
          <w:sz w:val="28"/>
          <w:szCs w:val="28"/>
          <w:vertAlign w:val="subscript"/>
          <w:lang w:val="en-US"/>
        </w:rPr>
        <w:t>max</w:t>
      </w:r>
      <w:r w:rsidRPr="00A43B9C">
        <w:rPr>
          <w:rFonts w:ascii="Times New Roman" w:eastAsia="Times New Roman" w:hAnsi="Times New Roman" w:cs="Times New Roman"/>
          <w:sz w:val="28"/>
          <w:szCs w:val="28"/>
        </w:rPr>
        <w:t xml:space="preserve"> для разных локализаций и в разные периоды времени обследований (базовый или последующее наблюдение) были сравнены с помощью непараметрических тестов, таких как </w:t>
      </w:r>
      <w:r w:rsidRPr="00A43B9C">
        <w:rPr>
          <w:rFonts w:ascii="Times New Roman" w:eastAsia="Times New Roman" w:hAnsi="Times New Roman" w:cs="Times New Roman"/>
          <w:sz w:val="28"/>
          <w:szCs w:val="28"/>
          <w:lang w:val="en-US"/>
        </w:rPr>
        <w:t>U</w:t>
      </w:r>
      <w:r w:rsidRPr="00A43B9C">
        <w:rPr>
          <w:rFonts w:ascii="Times New Roman" w:eastAsia="Times New Roman" w:hAnsi="Times New Roman" w:cs="Times New Roman"/>
          <w:sz w:val="28"/>
          <w:szCs w:val="28"/>
        </w:rPr>
        <w:t xml:space="preserve">-критерий Манна-Уитни, критерий Уилкоксона, в зависимости от </w:t>
      </w:r>
      <w:r w:rsidR="00B979BB" w:rsidRPr="00A43B9C">
        <w:rPr>
          <w:rFonts w:ascii="Times New Roman" w:eastAsia="Times New Roman" w:hAnsi="Times New Roman" w:cs="Times New Roman"/>
          <w:sz w:val="28"/>
          <w:szCs w:val="28"/>
        </w:rPr>
        <w:t>групп сравнения</w:t>
      </w:r>
      <w:r w:rsidRPr="00A43B9C">
        <w:rPr>
          <w:rFonts w:ascii="Times New Roman" w:eastAsia="Times New Roman" w:hAnsi="Times New Roman" w:cs="Times New Roman"/>
          <w:sz w:val="28"/>
          <w:szCs w:val="28"/>
        </w:rPr>
        <w:t>.</w:t>
      </w:r>
    </w:p>
    <w:p w14:paraId="1C2B9414" w14:textId="05EBF82C" w:rsidR="00605B19" w:rsidRDefault="001C6451" w:rsidP="00605B19">
      <w:pPr>
        <w:spacing w:after="0" w:line="240" w:lineRule="auto"/>
        <w:ind w:firstLine="709"/>
        <w:jc w:val="both"/>
        <w:rPr>
          <w:rFonts w:ascii="Times New Roman" w:eastAsia="Times New Roman" w:hAnsi="Times New Roman" w:cs="Times New Roman"/>
          <w:sz w:val="28"/>
          <w:szCs w:val="28"/>
        </w:rPr>
      </w:pPr>
      <w:r w:rsidRPr="00A43B9C">
        <w:rPr>
          <w:rFonts w:ascii="Times New Roman" w:eastAsia="Times New Roman" w:hAnsi="Times New Roman" w:cs="Times New Roman"/>
          <w:sz w:val="28"/>
          <w:szCs w:val="28"/>
        </w:rPr>
        <w:t xml:space="preserve">Т.к. были выбраны в общей сложности девять локализаций для измерений </w:t>
      </w:r>
      <w:r w:rsidR="000A69C1" w:rsidRPr="00A43B9C">
        <w:rPr>
          <w:rFonts w:ascii="Times New Roman" w:eastAsia="Times New Roman" w:hAnsi="Times New Roman" w:cs="Times New Roman"/>
          <w:sz w:val="28"/>
          <w:szCs w:val="28"/>
        </w:rPr>
        <w:t xml:space="preserve">уровня </w:t>
      </w:r>
      <w:r w:rsidR="006E2E0F" w:rsidRPr="00A43B9C">
        <w:rPr>
          <w:rFonts w:ascii="Times New Roman" w:eastAsia="Times New Roman" w:hAnsi="Times New Roman" w:cs="Times New Roman"/>
          <w:sz w:val="28"/>
          <w:szCs w:val="28"/>
        </w:rPr>
        <w:t xml:space="preserve">накопления </w:t>
      </w:r>
      <w:r w:rsidR="000A69C1" w:rsidRPr="00A43B9C">
        <w:rPr>
          <w:rFonts w:ascii="Times New Roman" w:eastAsia="Times New Roman" w:hAnsi="Times New Roman" w:cs="Times New Roman"/>
          <w:sz w:val="28"/>
          <w:szCs w:val="28"/>
          <w:lang w:val="en-US"/>
        </w:rPr>
        <w:t>SUV</w:t>
      </w:r>
      <w:r w:rsidR="000A69C1" w:rsidRPr="00A43B9C">
        <w:rPr>
          <w:rFonts w:ascii="Times New Roman" w:eastAsia="Times New Roman" w:hAnsi="Times New Roman" w:cs="Times New Roman"/>
          <w:sz w:val="28"/>
          <w:szCs w:val="28"/>
          <w:vertAlign w:val="subscript"/>
          <w:lang w:val="en-US"/>
        </w:rPr>
        <w:t>max</w:t>
      </w:r>
      <w:r w:rsidRPr="00A43B9C">
        <w:rPr>
          <w:rFonts w:ascii="Times New Roman" w:eastAsia="Times New Roman" w:hAnsi="Times New Roman" w:cs="Times New Roman"/>
          <w:sz w:val="28"/>
          <w:szCs w:val="28"/>
        </w:rPr>
        <w:t xml:space="preserve">, были протестированы значения для каждой локализации с использованием однофакторного анализа с учетом пола, локализации первичной опухоли и других переменных с помощью критерия Манна-Уитни (для двух групп) или критерия Крускала-Уоллиса (для трех или более групп), </w:t>
      </w:r>
      <w:r w:rsidRPr="00A43B9C">
        <w:rPr>
          <w:rFonts w:ascii="Times New Roman" w:hAnsi="Times New Roman" w:cs="Times New Roman"/>
          <w:sz w:val="28"/>
          <w:szCs w:val="28"/>
        </w:rPr>
        <w:t>апостериорные сравнения – с помощью критерия Данна с поправкой Холма</w:t>
      </w:r>
      <w:r w:rsidRPr="00A43B9C">
        <w:rPr>
          <w:rFonts w:ascii="Times New Roman" w:eastAsia="Times New Roman" w:hAnsi="Times New Roman" w:cs="Times New Roman"/>
          <w:sz w:val="28"/>
          <w:szCs w:val="28"/>
        </w:rPr>
        <w:t>. Также были использованы аналогичный подход для сравнения групп в зависимости от статуса метастазирования</w:t>
      </w:r>
      <w:r w:rsidR="006E2E0F" w:rsidRPr="00A43B9C">
        <w:rPr>
          <w:rFonts w:ascii="Times New Roman" w:eastAsia="Times New Roman" w:hAnsi="Times New Roman" w:cs="Times New Roman"/>
          <w:sz w:val="28"/>
          <w:szCs w:val="28"/>
        </w:rPr>
        <w:t xml:space="preserve"> в </w:t>
      </w:r>
      <w:r w:rsidR="00D83043">
        <w:rPr>
          <w:rFonts w:ascii="Times New Roman" w:eastAsia="Times New Roman" w:hAnsi="Times New Roman" w:cs="Times New Roman"/>
          <w:sz w:val="28"/>
          <w:szCs w:val="28"/>
        </w:rPr>
        <w:t>брюшину</w:t>
      </w:r>
      <w:r w:rsidR="006E2E0F" w:rsidRPr="00A43B9C">
        <w:rPr>
          <w:rFonts w:ascii="Times New Roman" w:eastAsia="Times New Roman" w:hAnsi="Times New Roman" w:cs="Times New Roman"/>
          <w:sz w:val="28"/>
          <w:szCs w:val="28"/>
        </w:rPr>
        <w:t xml:space="preserve"> (</w:t>
      </w:r>
      <w:r w:rsidR="006E2E0F" w:rsidRPr="00A43B9C">
        <w:rPr>
          <w:rFonts w:ascii="Times New Roman" w:eastAsia="Times New Roman" w:hAnsi="Times New Roman" w:cs="Times New Roman"/>
          <w:sz w:val="28"/>
          <w:szCs w:val="28"/>
          <w:lang w:val="en-US"/>
        </w:rPr>
        <w:t>LM</w:t>
      </w:r>
      <w:r w:rsidR="006E2E0F" w:rsidRPr="00A43B9C">
        <w:rPr>
          <w:rFonts w:ascii="Times New Roman" w:eastAsia="Times New Roman" w:hAnsi="Times New Roman" w:cs="Times New Roman"/>
          <w:sz w:val="28"/>
          <w:szCs w:val="28"/>
        </w:rPr>
        <w:t>)</w:t>
      </w:r>
      <w:r w:rsidRPr="00A43B9C">
        <w:rPr>
          <w:rFonts w:ascii="Times New Roman" w:eastAsia="Times New Roman" w:hAnsi="Times New Roman" w:cs="Times New Roman"/>
          <w:sz w:val="28"/>
          <w:szCs w:val="28"/>
        </w:rPr>
        <w:t>, включая положительных (</w:t>
      </w:r>
      <w:r w:rsidRPr="00A43B9C">
        <w:rPr>
          <w:rFonts w:ascii="Times New Roman" w:eastAsia="Times New Roman" w:hAnsi="Times New Roman" w:cs="Times New Roman"/>
          <w:sz w:val="28"/>
          <w:szCs w:val="28"/>
          <w:lang w:val="en-US"/>
        </w:rPr>
        <w:t>pLM</w:t>
      </w:r>
      <w:r w:rsidRPr="00A43B9C">
        <w:rPr>
          <w:rFonts w:ascii="Times New Roman" w:eastAsia="Times New Roman" w:hAnsi="Times New Roman" w:cs="Times New Roman"/>
          <w:sz w:val="28"/>
          <w:szCs w:val="28"/>
        </w:rPr>
        <w:t>) пациентов, у которых метастазы были обнаружены при последующем обследовании, и отрицательных (</w:t>
      </w:r>
      <w:r w:rsidRPr="00A43B9C">
        <w:rPr>
          <w:rFonts w:ascii="Times New Roman" w:eastAsia="Times New Roman" w:hAnsi="Times New Roman" w:cs="Times New Roman"/>
          <w:sz w:val="28"/>
          <w:szCs w:val="28"/>
          <w:lang w:val="en-US"/>
        </w:rPr>
        <w:t>nLM</w:t>
      </w:r>
      <w:r w:rsidRPr="00A43B9C">
        <w:rPr>
          <w:rFonts w:ascii="Times New Roman" w:eastAsia="Times New Roman" w:hAnsi="Times New Roman" w:cs="Times New Roman"/>
          <w:sz w:val="28"/>
          <w:szCs w:val="28"/>
        </w:rPr>
        <w:t xml:space="preserve">), у которых не было метастазов. В таком анализе были сравнены уровень </w:t>
      </w:r>
      <w:r w:rsidR="000A69C1" w:rsidRPr="00A43B9C">
        <w:rPr>
          <w:rFonts w:ascii="Times New Roman" w:eastAsia="Times New Roman" w:hAnsi="Times New Roman" w:cs="Times New Roman"/>
          <w:sz w:val="28"/>
          <w:szCs w:val="28"/>
        </w:rPr>
        <w:t>накоплени</w:t>
      </w:r>
      <w:r w:rsidR="006E2E0F" w:rsidRPr="00A43B9C">
        <w:rPr>
          <w:rFonts w:ascii="Times New Roman" w:eastAsia="Times New Roman" w:hAnsi="Times New Roman" w:cs="Times New Roman"/>
          <w:sz w:val="28"/>
          <w:szCs w:val="28"/>
        </w:rPr>
        <w:t>я</w:t>
      </w:r>
      <w:r w:rsidR="000A69C1" w:rsidRPr="00A43B9C">
        <w:rPr>
          <w:rFonts w:ascii="Times New Roman" w:eastAsia="Times New Roman" w:hAnsi="Times New Roman" w:cs="Times New Roman"/>
          <w:sz w:val="28"/>
          <w:szCs w:val="28"/>
        </w:rPr>
        <w:t xml:space="preserve"> </w:t>
      </w:r>
      <w:r w:rsidRPr="00A43B9C">
        <w:rPr>
          <w:rFonts w:ascii="Times New Roman" w:eastAsia="Times New Roman" w:hAnsi="Times New Roman" w:cs="Times New Roman"/>
          <w:sz w:val="28"/>
          <w:szCs w:val="28"/>
          <w:lang w:val="en-US"/>
        </w:rPr>
        <w:t>SUV</w:t>
      </w:r>
      <w:r w:rsidRPr="00A43B9C">
        <w:rPr>
          <w:rFonts w:ascii="Times New Roman" w:eastAsia="Times New Roman" w:hAnsi="Times New Roman" w:cs="Times New Roman"/>
          <w:sz w:val="28"/>
          <w:szCs w:val="28"/>
          <w:vertAlign w:val="subscript"/>
          <w:lang w:val="en-US"/>
        </w:rPr>
        <w:t>max</w:t>
      </w:r>
      <w:r w:rsidRPr="00A43B9C">
        <w:rPr>
          <w:rFonts w:ascii="Times New Roman" w:eastAsia="Times New Roman" w:hAnsi="Times New Roman" w:cs="Times New Roman"/>
          <w:sz w:val="28"/>
          <w:szCs w:val="28"/>
        </w:rPr>
        <w:t xml:space="preserve"> в качестве базового значения. Кроме того, были проверены </w:t>
      </w:r>
      <w:r w:rsidRPr="00A43B9C">
        <w:rPr>
          <w:rFonts w:ascii="Times New Roman" w:eastAsia="Times New Roman" w:hAnsi="Times New Roman" w:cs="Times New Roman"/>
          <w:sz w:val="28"/>
          <w:szCs w:val="28"/>
        </w:rPr>
        <w:lastRenderedPageBreak/>
        <w:t xml:space="preserve">возраст и пол как переменная проявления </w:t>
      </w:r>
      <w:r w:rsidRPr="00A43B9C">
        <w:rPr>
          <w:rFonts w:ascii="Times New Roman" w:eastAsia="Times New Roman" w:hAnsi="Times New Roman" w:cs="Times New Roman"/>
          <w:sz w:val="28"/>
          <w:szCs w:val="28"/>
          <w:lang w:val="en-US"/>
        </w:rPr>
        <w:t>pLM</w:t>
      </w:r>
      <w:r w:rsidRPr="00A43B9C">
        <w:rPr>
          <w:rFonts w:ascii="Times New Roman" w:eastAsia="Times New Roman" w:hAnsi="Times New Roman" w:cs="Times New Roman"/>
          <w:sz w:val="28"/>
          <w:szCs w:val="28"/>
        </w:rPr>
        <w:t xml:space="preserve"> при последующем обследовании. Локализации, в которых имеются значительные различия между группами в отношении </w:t>
      </w:r>
      <w:r w:rsidR="000A69C1" w:rsidRPr="00A43B9C">
        <w:rPr>
          <w:rFonts w:ascii="Times New Roman" w:eastAsia="Times New Roman" w:hAnsi="Times New Roman" w:cs="Times New Roman"/>
          <w:sz w:val="28"/>
          <w:szCs w:val="28"/>
        </w:rPr>
        <w:t>уровня накоплени</w:t>
      </w:r>
      <w:r w:rsidR="006E2E0F" w:rsidRPr="00A43B9C">
        <w:rPr>
          <w:rFonts w:ascii="Times New Roman" w:eastAsia="Times New Roman" w:hAnsi="Times New Roman" w:cs="Times New Roman"/>
          <w:sz w:val="28"/>
          <w:szCs w:val="28"/>
        </w:rPr>
        <w:t>я</w:t>
      </w:r>
      <w:r w:rsidR="000A69C1" w:rsidRPr="00A43B9C">
        <w:rPr>
          <w:rFonts w:ascii="Times New Roman" w:eastAsia="Times New Roman" w:hAnsi="Times New Roman" w:cs="Times New Roman"/>
          <w:sz w:val="28"/>
          <w:szCs w:val="28"/>
        </w:rPr>
        <w:t xml:space="preserve"> </w:t>
      </w:r>
      <w:r w:rsidRPr="00A43B9C">
        <w:rPr>
          <w:rFonts w:ascii="Times New Roman" w:eastAsia="Times New Roman" w:hAnsi="Times New Roman" w:cs="Times New Roman"/>
          <w:sz w:val="28"/>
          <w:szCs w:val="28"/>
          <w:lang w:val="en-US"/>
        </w:rPr>
        <w:t>SUV</w:t>
      </w:r>
      <w:r w:rsidRPr="00A43B9C">
        <w:rPr>
          <w:rFonts w:ascii="Times New Roman" w:eastAsia="Times New Roman" w:hAnsi="Times New Roman" w:cs="Times New Roman"/>
          <w:sz w:val="28"/>
          <w:szCs w:val="28"/>
          <w:vertAlign w:val="subscript"/>
          <w:lang w:val="en-US"/>
        </w:rPr>
        <w:t>max</w:t>
      </w:r>
      <w:r w:rsidRPr="00A43B9C">
        <w:rPr>
          <w:rFonts w:ascii="Times New Roman" w:eastAsia="Times New Roman" w:hAnsi="Times New Roman" w:cs="Times New Roman"/>
          <w:sz w:val="28"/>
          <w:szCs w:val="28"/>
        </w:rPr>
        <w:t xml:space="preserve"> и других переменных (возраст, пол и др.), показывая значимые различия со статусом метастазирования </w:t>
      </w:r>
      <w:r w:rsidR="00D83043">
        <w:rPr>
          <w:rFonts w:ascii="Times New Roman" w:eastAsia="Times New Roman" w:hAnsi="Times New Roman" w:cs="Times New Roman"/>
          <w:sz w:val="28"/>
          <w:szCs w:val="28"/>
        </w:rPr>
        <w:t>брюшины</w:t>
      </w:r>
      <w:r w:rsidRPr="00A43B9C">
        <w:rPr>
          <w:rFonts w:ascii="Times New Roman" w:eastAsia="Times New Roman" w:hAnsi="Times New Roman" w:cs="Times New Roman"/>
          <w:sz w:val="28"/>
          <w:szCs w:val="28"/>
        </w:rPr>
        <w:t xml:space="preserve">, были затем протестированы с помощью логистического регрессионного анализа, сначала без коррекции, а затем с коррекцией </w:t>
      </w:r>
      <w:r w:rsidR="00B979BB" w:rsidRPr="00A43B9C">
        <w:rPr>
          <w:rFonts w:ascii="Times New Roman" w:eastAsia="Times New Roman" w:hAnsi="Times New Roman" w:cs="Times New Roman"/>
          <w:sz w:val="28"/>
          <w:szCs w:val="28"/>
        </w:rPr>
        <w:t xml:space="preserve">с учётом </w:t>
      </w:r>
      <w:r w:rsidRPr="00A43B9C">
        <w:rPr>
          <w:rFonts w:ascii="Times New Roman" w:eastAsia="Times New Roman" w:hAnsi="Times New Roman" w:cs="Times New Roman"/>
          <w:sz w:val="28"/>
          <w:szCs w:val="28"/>
        </w:rPr>
        <w:t xml:space="preserve">других значимых переменных, </w:t>
      </w:r>
      <w:r w:rsidR="00B979BB" w:rsidRPr="00A43B9C">
        <w:rPr>
          <w:rFonts w:ascii="Times New Roman" w:eastAsia="Times New Roman" w:hAnsi="Times New Roman" w:cs="Times New Roman"/>
          <w:sz w:val="28"/>
          <w:szCs w:val="28"/>
        </w:rPr>
        <w:t>результатом которых было определение вероятности</w:t>
      </w:r>
      <w:r w:rsidRPr="00A43B9C">
        <w:rPr>
          <w:rFonts w:ascii="Times New Roman" w:eastAsia="Times New Roman" w:hAnsi="Times New Roman" w:cs="Times New Roman"/>
          <w:sz w:val="28"/>
          <w:szCs w:val="28"/>
        </w:rPr>
        <w:t xml:space="preserve"> (ОШ) развития метастазов при последующем наблюдении с соответствующими уровнем 95% ДИ.</w:t>
      </w:r>
    </w:p>
    <w:p w14:paraId="728F1125" w14:textId="175CB7C3" w:rsidR="00605B19" w:rsidRPr="00605B19" w:rsidRDefault="00605B19" w:rsidP="00605B19">
      <w:pPr>
        <w:spacing w:after="0" w:line="240" w:lineRule="auto"/>
        <w:ind w:firstLine="709"/>
        <w:jc w:val="both"/>
        <w:rPr>
          <w:rFonts w:ascii="Times New Roman" w:hAnsi="Times New Roman" w:cs="Times New Roman"/>
          <w:color w:val="000000"/>
          <w:sz w:val="28"/>
          <w:szCs w:val="28"/>
        </w:rPr>
      </w:pPr>
      <w:r w:rsidRPr="00605B19">
        <w:rPr>
          <w:rFonts w:ascii="Times New Roman" w:hAnsi="Times New Roman" w:cs="Times New Roman"/>
          <w:color w:val="000000"/>
          <w:sz w:val="28"/>
          <w:szCs w:val="28"/>
        </w:rPr>
        <w:t>Направление и теснота корреляционной связи между двумя количественными показателями оценивались с помощью шкалы Чеддока с определением коэффициента корреляции (</w:t>
      </w:r>
      <w:r>
        <w:rPr>
          <w:rFonts w:ascii="Times New Roman" w:hAnsi="Times New Roman" w:cs="Times New Roman"/>
          <w:color w:val="000000"/>
          <w:sz w:val="28"/>
          <w:szCs w:val="28"/>
        </w:rPr>
        <w:t>ρ</w:t>
      </w:r>
      <w:r w:rsidRPr="00605B19">
        <w:rPr>
          <w:rFonts w:ascii="Times New Roman" w:hAnsi="Times New Roman" w:cs="Times New Roman"/>
          <w:color w:val="000000"/>
          <w:sz w:val="28"/>
          <w:szCs w:val="28"/>
        </w:rPr>
        <w:t xml:space="preserve">) между полученными показателями и силы </w:t>
      </w:r>
      <w:r>
        <w:rPr>
          <w:rFonts w:ascii="Times New Roman" w:hAnsi="Times New Roman" w:cs="Times New Roman"/>
          <w:color w:val="000000"/>
          <w:sz w:val="28"/>
          <w:szCs w:val="28"/>
        </w:rPr>
        <w:t>ассоциации</w:t>
      </w:r>
      <w:r w:rsidRPr="00605B19">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нет ассоциации </w:t>
      </w:r>
      <w:r w:rsidRPr="00605B19">
        <w:rPr>
          <w:rFonts w:ascii="Times New Roman" w:hAnsi="Times New Roman" w:cs="Times New Roman"/>
          <w:color w:val="000000"/>
          <w:sz w:val="28"/>
          <w:szCs w:val="28"/>
        </w:rPr>
        <w:t>(</w:t>
      </w:r>
      <w:r>
        <w:rPr>
          <w:rFonts w:ascii="Times New Roman" w:hAnsi="Times New Roman" w:cs="Times New Roman"/>
          <w:color w:val="000000"/>
          <w:sz w:val="28"/>
          <w:szCs w:val="28"/>
        </w:rPr>
        <w:t>ρ</w:t>
      </w:r>
      <w:r w:rsidRPr="00605B19">
        <w:rPr>
          <w:rFonts w:ascii="Times New Roman" w:hAnsi="Times New Roman" w:cs="Times New Roman"/>
          <w:color w:val="000000"/>
          <w:sz w:val="28"/>
          <w:szCs w:val="28"/>
        </w:rPr>
        <w:t xml:space="preserve"> </w:t>
      </w:r>
      <w:proofErr w:type="gramStart"/>
      <w:r w:rsidRPr="00A43B9C">
        <w:rPr>
          <w:rFonts w:ascii="Times New Roman" w:eastAsia="Times New Roman" w:hAnsi="Times New Roman" w:cs="Times New Roman"/>
          <w:sz w:val="28"/>
          <w:szCs w:val="28"/>
        </w:rPr>
        <w:t>&lt;</w:t>
      </w:r>
      <w:r w:rsidR="008C3DFB">
        <w:rPr>
          <w:rFonts w:ascii="Times New Roman" w:eastAsia="Times New Roman" w:hAnsi="Times New Roman" w:cs="Times New Roman"/>
          <w:sz w:val="28"/>
          <w:szCs w:val="28"/>
        </w:rPr>
        <w:t xml:space="preserve"> </w:t>
      </w:r>
      <w:r w:rsidRPr="00605B19">
        <w:rPr>
          <w:rFonts w:ascii="Times New Roman" w:hAnsi="Times New Roman" w:cs="Times New Roman"/>
          <w:color w:val="000000"/>
          <w:sz w:val="28"/>
          <w:szCs w:val="28"/>
        </w:rPr>
        <w:t>0</w:t>
      </w:r>
      <w:proofErr w:type="gramEnd"/>
      <w:r w:rsidRPr="00605B19">
        <w:rPr>
          <w:rFonts w:ascii="Times New Roman" w:hAnsi="Times New Roman" w:cs="Times New Roman"/>
          <w:color w:val="000000"/>
          <w:sz w:val="28"/>
          <w:szCs w:val="28"/>
        </w:rPr>
        <w:t>,</w:t>
      </w:r>
      <w:r>
        <w:rPr>
          <w:rFonts w:ascii="Times New Roman" w:hAnsi="Times New Roman" w:cs="Times New Roman"/>
          <w:color w:val="000000"/>
          <w:sz w:val="28"/>
          <w:szCs w:val="28"/>
        </w:rPr>
        <w:t>1</w:t>
      </w:r>
      <w:r w:rsidRPr="00605B19">
        <w:rPr>
          <w:rFonts w:ascii="Times New Roman" w:hAnsi="Times New Roman" w:cs="Times New Roman"/>
          <w:color w:val="000000"/>
          <w:sz w:val="28"/>
          <w:szCs w:val="28"/>
        </w:rPr>
        <w:t xml:space="preserve">), </w:t>
      </w:r>
      <w:r>
        <w:rPr>
          <w:rFonts w:ascii="Times New Roman" w:hAnsi="Times New Roman" w:cs="Times New Roman"/>
          <w:color w:val="000000"/>
          <w:sz w:val="28"/>
          <w:szCs w:val="28"/>
        </w:rPr>
        <w:t>слабая ассоциация (ρ</w:t>
      </w:r>
      <w:r w:rsidRPr="00A43B9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0,1 – 0,3</w:t>
      </w:r>
      <w:r>
        <w:rPr>
          <w:rFonts w:ascii="Times New Roman" w:hAnsi="Times New Roman" w:cs="Times New Roman"/>
          <w:color w:val="000000"/>
          <w:sz w:val="28"/>
          <w:szCs w:val="28"/>
        </w:rPr>
        <w:t>), умеренная ассоциация (ρ = 0,3-0,5).</w:t>
      </w:r>
    </w:p>
    <w:p w14:paraId="403C8229" w14:textId="457E5EC9" w:rsidR="00F4733A" w:rsidRPr="00A43B9C" w:rsidRDefault="00B979BB" w:rsidP="00F4733A">
      <w:pPr>
        <w:spacing w:after="0" w:line="240" w:lineRule="auto"/>
        <w:ind w:firstLine="709"/>
        <w:jc w:val="both"/>
        <w:rPr>
          <w:rFonts w:ascii="Times New Roman" w:hAnsi="Times New Roman" w:cs="Times New Roman"/>
          <w:sz w:val="28"/>
          <w:szCs w:val="28"/>
        </w:rPr>
      </w:pPr>
      <w:r w:rsidRPr="00A43B9C">
        <w:rPr>
          <w:rFonts w:ascii="Times New Roman" w:eastAsia="Times New Roman" w:hAnsi="Times New Roman" w:cs="Times New Roman"/>
          <w:sz w:val="28"/>
          <w:szCs w:val="28"/>
        </w:rPr>
        <w:t>Мы также использовали</w:t>
      </w:r>
      <w:r w:rsidR="001C6451" w:rsidRPr="00A43B9C">
        <w:rPr>
          <w:rFonts w:ascii="Times New Roman" w:eastAsia="Times New Roman" w:hAnsi="Times New Roman" w:cs="Times New Roman"/>
          <w:sz w:val="28"/>
          <w:szCs w:val="28"/>
        </w:rPr>
        <w:t xml:space="preserve"> </w:t>
      </w:r>
      <w:r w:rsidR="001C6451" w:rsidRPr="00A43B9C">
        <w:rPr>
          <w:rFonts w:ascii="Times New Roman" w:eastAsia="Times New Roman" w:hAnsi="Times New Roman" w:cs="Times New Roman"/>
          <w:sz w:val="28"/>
          <w:szCs w:val="28"/>
          <w:lang w:val="en-US"/>
        </w:rPr>
        <w:t>ROC</w:t>
      </w:r>
      <w:r w:rsidR="001C6451" w:rsidRPr="00A43B9C">
        <w:rPr>
          <w:rFonts w:ascii="Times New Roman" w:eastAsia="Times New Roman" w:hAnsi="Times New Roman" w:cs="Times New Roman"/>
          <w:sz w:val="28"/>
          <w:szCs w:val="28"/>
        </w:rPr>
        <w:t xml:space="preserve">-анализ для оценки прогностической ценности количественных переменных при прогнозировании категориального результата в качестве прогностической модели. Оптимальное значение точки </w:t>
      </w:r>
      <w:r w:rsidRPr="00A43B9C">
        <w:rPr>
          <w:rFonts w:ascii="Times New Roman" w:eastAsia="Times New Roman" w:hAnsi="Times New Roman" w:cs="Times New Roman"/>
          <w:sz w:val="28"/>
          <w:szCs w:val="28"/>
        </w:rPr>
        <w:t>отсечения</w:t>
      </w:r>
      <w:r w:rsidR="001C6451" w:rsidRPr="00A43B9C">
        <w:rPr>
          <w:rFonts w:ascii="Times New Roman" w:eastAsia="Times New Roman" w:hAnsi="Times New Roman" w:cs="Times New Roman"/>
          <w:sz w:val="28"/>
          <w:szCs w:val="28"/>
        </w:rPr>
        <w:t xml:space="preserve"> количественной переменной было оценено с использованием </w:t>
      </w:r>
      <w:r w:rsidR="001C6451" w:rsidRPr="00A43B9C">
        <w:rPr>
          <w:rFonts w:ascii="Times New Roman" w:eastAsia="Times New Roman" w:hAnsi="Times New Roman" w:cs="Times New Roman"/>
          <w:sz w:val="28"/>
          <w:szCs w:val="28"/>
          <w:lang w:val="en-US"/>
        </w:rPr>
        <w:t>J</w:t>
      </w:r>
      <w:r w:rsidR="001C6451" w:rsidRPr="00A43B9C">
        <w:rPr>
          <w:rFonts w:ascii="Times New Roman" w:eastAsia="Times New Roman" w:hAnsi="Times New Roman" w:cs="Times New Roman"/>
          <w:sz w:val="28"/>
          <w:szCs w:val="28"/>
        </w:rPr>
        <w:t xml:space="preserve">-статистики Юдена. </w:t>
      </w:r>
      <w:r w:rsidR="005214EB" w:rsidRPr="00A43B9C">
        <w:rPr>
          <w:rFonts w:ascii="Times New Roman" w:eastAsia="Times New Roman" w:hAnsi="Times New Roman" w:cs="Times New Roman"/>
          <w:sz w:val="28"/>
          <w:szCs w:val="28"/>
        </w:rPr>
        <w:t>Для оценки статистической достоверности рассчитанных критериев применялись показатели и таблицы критических значений для приемлемых уровней (</w:t>
      </w:r>
      <w:r w:rsidR="005214EB" w:rsidRPr="00A43B9C">
        <w:rPr>
          <w:rFonts w:ascii="Times New Roman" w:eastAsia="Times New Roman" w:hAnsi="Times New Roman" w:cs="Times New Roman"/>
          <w:sz w:val="28"/>
          <w:szCs w:val="28"/>
          <w:lang w:val="en-US"/>
        </w:rPr>
        <w:t>p</w:t>
      </w:r>
      <w:r w:rsidR="005214EB" w:rsidRPr="00A43B9C">
        <w:rPr>
          <w:rFonts w:ascii="Times New Roman" w:eastAsia="Times New Roman" w:hAnsi="Times New Roman" w:cs="Times New Roman"/>
          <w:sz w:val="28"/>
          <w:szCs w:val="28"/>
        </w:rPr>
        <w:t>)</w:t>
      </w:r>
      <w:r w:rsidR="005214EB" w:rsidRPr="00A43B9C">
        <w:rPr>
          <w:rFonts w:ascii="Times New Roman" w:eastAsia="Times New Roman" w:hAnsi="Times New Roman" w:cs="Times New Roman"/>
          <w:sz w:val="28"/>
          <w:szCs w:val="28"/>
          <w:lang w:val="kk-KZ"/>
        </w:rPr>
        <w:t xml:space="preserve"> достоверност</w:t>
      </w:r>
      <w:r w:rsidR="005214EB" w:rsidRPr="00A43B9C">
        <w:rPr>
          <w:rFonts w:ascii="Times New Roman" w:eastAsia="Times New Roman" w:hAnsi="Times New Roman" w:cs="Times New Roman"/>
          <w:sz w:val="28"/>
          <w:szCs w:val="28"/>
        </w:rPr>
        <w:t>и: высокий (</w:t>
      </w:r>
      <w:proofErr w:type="gramStart"/>
      <w:r w:rsidR="00F4733A" w:rsidRPr="00A43B9C">
        <w:rPr>
          <w:rFonts w:ascii="Times New Roman" w:eastAsia="Times New Roman" w:hAnsi="Times New Roman" w:cs="Times New Roman"/>
          <w:sz w:val="28"/>
          <w:szCs w:val="28"/>
          <w:lang w:val="en-US"/>
        </w:rPr>
        <w:t>p</w:t>
      </w:r>
      <w:r w:rsidR="00F4733A" w:rsidRPr="00A43B9C">
        <w:rPr>
          <w:rFonts w:ascii="Times New Roman" w:eastAsia="Times New Roman" w:hAnsi="Times New Roman" w:cs="Times New Roman"/>
          <w:sz w:val="28"/>
          <w:szCs w:val="28"/>
        </w:rPr>
        <w:t>&lt;</w:t>
      </w:r>
      <w:r w:rsidR="008C3DFB">
        <w:rPr>
          <w:rFonts w:ascii="Times New Roman" w:eastAsia="Times New Roman" w:hAnsi="Times New Roman" w:cs="Times New Roman"/>
          <w:sz w:val="28"/>
          <w:szCs w:val="28"/>
        </w:rPr>
        <w:t xml:space="preserve"> </w:t>
      </w:r>
      <w:r w:rsidR="00E65B30" w:rsidRPr="00A43B9C">
        <w:rPr>
          <w:rFonts w:ascii="Times New Roman" w:eastAsia="Times New Roman" w:hAnsi="Times New Roman" w:cs="Times New Roman"/>
          <w:sz w:val="28"/>
          <w:szCs w:val="28"/>
        </w:rPr>
        <w:t>0,001</w:t>
      </w:r>
      <w:proofErr w:type="gramEnd"/>
      <w:r w:rsidR="005214EB" w:rsidRPr="00A43B9C">
        <w:rPr>
          <w:rFonts w:ascii="Times New Roman" w:eastAsia="Times New Roman" w:hAnsi="Times New Roman" w:cs="Times New Roman"/>
          <w:sz w:val="28"/>
          <w:szCs w:val="28"/>
        </w:rPr>
        <w:t>)</w:t>
      </w:r>
      <w:r w:rsidR="00E65B30" w:rsidRPr="00A43B9C">
        <w:rPr>
          <w:rFonts w:ascii="Times New Roman" w:eastAsia="Times New Roman" w:hAnsi="Times New Roman" w:cs="Times New Roman"/>
          <w:sz w:val="28"/>
          <w:szCs w:val="28"/>
        </w:rPr>
        <w:t xml:space="preserve">, </w:t>
      </w:r>
      <w:r w:rsidR="006C3E40" w:rsidRPr="00A43B9C">
        <w:rPr>
          <w:rFonts w:ascii="Times New Roman" w:eastAsia="Times New Roman" w:hAnsi="Times New Roman" w:cs="Times New Roman"/>
          <w:sz w:val="28"/>
          <w:szCs w:val="28"/>
        </w:rPr>
        <w:t>значимый</w:t>
      </w:r>
      <w:r w:rsidR="008C3DFB">
        <w:rPr>
          <w:rFonts w:ascii="Times New Roman" w:eastAsia="Times New Roman" w:hAnsi="Times New Roman" w:cs="Times New Roman"/>
          <w:sz w:val="28"/>
          <w:szCs w:val="28"/>
        </w:rPr>
        <w:br/>
      </w:r>
      <w:r w:rsidR="00E65B30" w:rsidRPr="00A43B9C">
        <w:rPr>
          <w:rFonts w:ascii="Times New Roman" w:eastAsia="Times New Roman" w:hAnsi="Times New Roman" w:cs="Times New Roman"/>
          <w:sz w:val="28"/>
          <w:szCs w:val="28"/>
        </w:rPr>
        <w:t>(</w:t>
      </w:r>
      <w:r w:rsidR="00F4733A" w:rsidRPr="00A43B9C">
        <w:rPr>
          <w:rFonts w:ascii="Times New Roman" w:eastAsia="Times New Roman" w:hAnsi="Times New Roman" w:cs="Times New Roman"/>
          <w:sz w:val="28"/>
          <w:szCs w:val="28"/>
          <w:lang w:val="en-US"/>
        </w:rPr>
        <w:t>p</w:t>
      </w:r>
      <w:r w:rsidR="008C3DFB">
        <w:rPr>
          <w:rFonts w:ascii="Times New Roman" w:eastAsia="Times New Roman" w:hAnsi="Times New Roman" w:cs="Times New Roman"/>
          <w:sz w:val="28"/>
          <w:szCs w:val="28"/>
        </w:rPr>
        <w:t xml:space="preserve"> </w:t>
      </w:r>
      <w:r w:rsidR="00F4733A" w:rsidRPr="00A43B9C">
        <w:rPr>
          <w:rFonts w:ascii="Times New Roman" w:eastAsia="Times New Roman" w:hAnsi="Times New Roman" w:cs="Times New Roman"/>
          <w:sz w:val="28"/>
          <w:szCs w:val="28"/>
        </w:rPr>
        <w:t>&lt;</w:t>
      </w:r>
      <w:r w:rsidR="008C3DFB">
        <w:rPr>
          <w:rFonts w:ascii="Times New Roman" w:eastAsia="Times New Roman" w:hAnsi="Times New Roman" w:cs="Times New Roman"/>
          <w:sz w:val="28"/>
          <w:szCs w:val="28"/>
        </w:rPr>
        <w:t xml:space="preserve"> </w:t>
      </w:r>
      <w:r w:rsidR="00E65B30" w:rsidRPr="00A43B9C">
        <w:rPr>
          <w:rFonts w:ascii="Times New Roman" w:eastAsia="Times New Roman" w:hAnsi="Times New Roman" w:cs="Times New Roman"/>
          <w:sz w:val="28"/>
          <w:szCs w:val="28"/>
        </w:rPr>
        <w:t>0,050), незначимый (недостоверный) (</w:t>
      </w:r>
      <w:r w:rsidR="00A3050F" w:rsidRPr="00A43B9C">
        <w:rPr>
          <w:rFonts w:ascii="Times New Roman" w:eastAsia="Times New Roman" w:hAnsi="Times New Roman" w:cs="Times New Roman"/>
          <w:sz w:val="28"/>
          <w:szCs w:val="28"/>
          <w:lang w:val="en-US"/>
        </w:rPr>
        <w:t>p</w:t>
      </w:r>
      <w:r w:rsidR="008C3DFB">
        <w:rPr>
          <w:rFonts w:ascii="Times New Roman" w:eastAsia="Times New Roman" w:hAnsi="Times New Roman" w:cs="Times New Roman"/>
          <w:sz w:val="28"/>
          <w:szCs w:val="28"/>
        </w:rPr>
        <w:t xml:space="preserve"> </w:t>
      </w:r>
      <w:r w:rsidR="00A3050F" w:rsidRPr="00A43B9C">
        <w:rPr>
          <w:rFonts w:ascii="Times New Roman" w:eastAsia="Times New Roman" w:hAnsi="Times New Roman" w:cs="Times New Roman"/>
          <w:sz w:val="28"/>
          <w:szCs w:val="28"/>
        </w:rPr>
        <w:t>&gt;</w:t>
      </w:r>
      <w:r w:rsidR="008C3DFB">
        <w:rPr>
          <w:rFonts w:ascii="Times New Roman" w:eastAsia="Times New Roman" w:hAnsi="Times New Roman" w:cs="Times New Roman"/>
          <w:sz w:val="28"/>
          <w:szCs w:val="28"/>
        </w:rPr>
        <w:t xml:space="preserve"> </w:t>
      </w:r>
      <w:r w:rsidR="00E65B30" w:rsidRPr="00A43B9C">
        <w:rPr>
          <w:rFonts w:ascii="Times New Roman" w:eastAsia="Times New Roman" w:hAnsi="Times New Roman" w:cs="Times New Roman"/>
          <w:sz w:val="28"/>
          <w:szCs w:val="28"/>
        </w:rPr>
        <w:t>0,050).</w:t>
      </w:r>
      <w:r w:rsidR="005214EB" w:rsidRPr="00A43B9C">
        <w:rPr>
          <w:rFonts w:ascii="Times New Roman" w:eastAsia="Times New Roman" w:hAnsi="Times New Roman" w:cs="Times New Roman"/>
          <w:sz w:val="28"/>
          <w:szCs w:val="28"/>
          <w:lang w:val="kk-KZ"/>
        </w:rPr>
        <w:t xml:space="preserve"> </w:t>
      </w:r>
      <w:r w:rsidR="001C6451" w:rsidRPr="00A43B9C">
        <w:rPr>
          <w:rFonts w:ascii="Times New Roman" w:eastAsia="Times New Roman" w:hAnsi="Times New Roman" w:cs="Times New Roman"/>
          <w:sz w:val="28"/>
          <w:szCs w:val="28"/>
        </w:rPr>
        <w:t xml:space="preserve">Все статистические анализы были выполнены с использованием программных </w:t>
      </w:r>
      <w:r w:rsidRPr="00A43B9C">
        <w:rPr>
          <w:rFonts w:ascii="Times New Roman" w:eastAsia="Times New Roman" w:hAnsi="Times New Roman" w:cs="Times New Roman"/>
          <w:sz w:val="28"/>
          <w:szCs w:val="28"/>
        </w:rPr>
        <w:t>продуктов</w:t>
      </w:r>
      <w:r w:rsidR="009D1282" w:rsidRPr="00A43B9C">
        <w:rPr>
          <w:rFonts w:ascii="Times New Roman" w:eastAsia="Times New Roman" w:hAnsi="Times New Roman" w:cs="Times New Roman"/>
          <w:sz w:val="28"/>
          <w:szCs w:val="28"/>
        </w:rPr>
        <w:t xml:space="preserve"> </w:t>
      </w:r>
      <w:r w:rsidR="005A051A" w:rsidRPr="00A43B9C">
        <w:rPr>
          <w:rFonts w:ascii="Times New Roman" w:eastAsia="Times New Roman" w:hAnsi="Times New Roman" w:cs="Times New Roman"/>
          <w:sz w:val="28"/>
          <w:szCs w:val="28"/>
          <w:lang w:val="en-US"/>
        </w:rPr>
        <w:t>NCSS</w:t>
      </w:r>
      <w:r w:rsidR="005A051A" w:rsidRPr="00A43B9C">
        <w:rPr>
          <w:rFonts w:ascii="Times New Roman" w:eastAsia="Times New Roman" w:hAnsi="Times New Roman" w:cs="Times New Roman"/>
          <w:sz w:val="28"/>
          <w:szCs w:val="28"/>
        </w:rPr>
        <w:t xml:space="preserve"> 2021, </w:t>
      </w:r>
      <w:r w:rsidR="005A051A" w:rsidRPr="00A43B9C">
        <w:rPr>
          <w:rFonts w:ascii="Times New Roman" w:eastAsia="Times New Roman" w:hAnsi="Times New Roman" w:cs="Times New Roman"/>
          <w:sz w:val="28"/>
          <w:szCs w:val="28"/>
          <w:lang w:val="en-US"/>
        </w:rPr>
        <w:t>v</w:t>
      </w:r>
      <w:r w:rsidR="005A051A" w:rsidRPr="00A43B9C">
        <w:rPr>
          <w:rFonts w:ascii="Times New Roman" w:eastAsia="Times New Roman" w:hAnsi="Times New Roman" w:cs="Times New Roman"/>
          <w:sz w:val="28"/>
          <w:szCs w:val="28"/>
        </w:rPr>
        <w:t>. 21.0.2 (</w:t>
      </w:r>
      <w:r w:rsidR="005A051A" w:rsidRPr="00A43B9C">
        <w:rPr>
          <w:rFonts w:ascii="Times New Roman" w:eastAsia="Times New Roman" w:hAnsi="Times New Roman" w:cs="Times New Roman"/>
          <w:sz w:val="28"/>
          <w:szCs w:val="28"/>
          <w:lang w:val="en-US"/>
        </w:rPr>
        <w:t>NCSS</w:t>
      </w:r>
      <w:r w:rsidR="005A051A" w:rsidRPr="00A43B9C">
        <w:rPr>
          <w:rFonts w:ascii="Times New Roman" w:eastAsia="Times New Roman" w:hAnsi="Times New Roman" w:cs="Times New Roman"/>
          <w:sz w:val="28"/>
          <w:szCs w:val="28"/>
        </w:rPr>
        <w:t xml:space="preserve">, </w:t>
      </w:r>
      <w:r w:rsidR="005A051A" w:rsidRPr="00A43B9C">
        <w:rPr>
          <w:rFonts w:ascii="Times New Roman" w:eastAsia="Times New Roman" w:hAnsi="Times New Roman" w:cs="Times New Roman"/>
          <w:sz w:val="28"/>
          <w:szCs w:val="28"/>
          <w:lang w:val="en-US"/>
        </w:rPr>
        <w:t>LLC</w:t>
      </w:r>
      <w:r w:rsidR="005A051A" w:rsidRPr="00A43B9C">
        <w:rPr>
          <w:rFonts w:ascii="Times New Roman" w:eastAsia="Times New Roman" w:hAnsi="Times New Roman" w:cs="Times New Roman"/>
          <w:sz w:val="28"/>
          <w:szCs w:val="28"/>
        </w:rPr>
        <w:t xml:space="preserve">, США) и </w:t>
      </w:r>
      <w:r w:rsidR="001C6451" w:rsidRPr="00A43B9C">
        <w:rPr>
          <w:rFonts w:ascii="Times New Roman" w:eastAsia="Times New Roman" w:hAnsi="Times New Roman" w:cs="Times New Roman"/>
          <w:sz w:val="28"/>
          <w:szCs w:val="28"/>
          <w:lang w:val="en-US"/>
        </w:rPr>
        <w:t>StatTech</w:t>
      </w:r>
      <w:r w:rsidR="001C6451" w:rsidRPr="00A43B9C">
        <w:rPr>
          <w:rFonts w:ascii="Times New Roman" w:eastAsia="Times New Roman" w:hAnsi="Times New Roman" w:cs="Times New Roman"/>
          <w:sz w:val="28"/>
          <w:szCs w:val="28"/>
        </w:rPr>
        <w:t xml:space="preserve"> </w:t>
      </w:r>
      <w:r w:rsidR="001C6451" w:rsidRPr="00A43B9C">
        <w:rPr>
          <w:rFonts w:ascii="Times New Roman" w:eastAsia="Times New Roman" w:hAnsi="Times New Roman" w:cs="Times New Roman"/>
          <w:sz w:val="28"/>
          <w:szCs w:val="28"/>
          <w:lang w:val="en-US"/>
        </w:rPr>
        <w:t>v</w:t>
      </w:r>
      <w:r w:rsidR="001C6451" w:rsidRPr="00A43B9C">
        <w:rPr>
          <w:rFonts w:ascii="Times New Roman" w:eastAsia="Times New Roman" w:hAnsi="Times New Roman" w:cs="Times New Roman"/>
          <w:sz w:val="28"/>
          <w:szCs w:val="28"/>
        </w:rPr>
        <w:t>. 2.</w:t>
      </w:r>
      <w:r w:rsidR="005A051A" w:rsidRPr="00A43B9C">
        <w:rPr>
          <w:rFonts w:ascii="Times New Roman" w:eastAsia="Times New Roman" w:hAnsi="Times New Roman" w:cs="Times New Roman"/>
          <w:sz w:val="28"/>
          <w:szCs w:val="28"/>
        </w:rPr>
        <w:t>7</w:t>
      </w:r>
      <w:r w:rsidR="001C6451" w:rsidRPr="00A43B9C">
        <w:rPr>
          <w:rFonts w:ascii="Times New Roman" w:eastAsia="Times New Roman" w:hAnsi="Times New Roman" w:cs="Times New Roman"/>
          <w:sz w:val="28"/>
          <w:szCs w:val="28"/>
        </w:rPr>
        <w:t>.</w:t>
      </w:r>
      <w:r w:rsidR="00541E46" w:rsidRPr="00A43B9C">
        <w:rPr>
          <w:rFonts w:ascii="Times New Roman" w:eastAsia="Times New Roman" w:hAnsi="Times New Roman" w:cs="Times New Roman"/>
          <w:sz w:val="28"/>
          <w:szCs w:val="28"/>
        </w:rPr>
        <w:t>1</w:t>
      </w:r>
      <w:r w:rsidR="001C6451" w:rsidRPr="00A43B9C">
        <w:rPr>
          <w:rFonts w:ascii="Times New Roman" w:eastAsia="Times New Roman" w:hAnsi="Times New Roman" w:cs="Times New Roman"/>
          <w:sz w:val="28"/>
          <w:szCs w:val="28"/>
        </w:rPr>
        <w:t xml:space="preserve"> (</w:t>
      </w:r>
      <w:r w:rsidR="001C6451" w:rsidRPr="00A43B9C">
        <w:rPr>
          <w:rFonts w:ascii="Times New Roman" w:eastAsia="Times New Roman" w:hAnsi="Times New Roman" w:cs="Times New Roman"/>
          <w:sz w:val="28"/>
          <w:szCs w:val="28"/>
          <w:lang w:val="en-US"/>
        </w:rPr>
        <w:t>StatTech</w:t>
      </w:r>
      <w:r w:rsidR="001C6451" w:rsidRPr="00A43B9C">
        <w:rPr>
          <w:rFonts w:ascii="Times New Roman" w:eastAsia="Times New Roman" w:hAnsi="Times New Roman" w:cs="Times New Roman"/>
          <w:sz w:val="28"/>
          <w:szCs w:val="28"/>
        </w:rPr>
        <w:t xml:space="preserve"> </w:t>
      </w:r>
      <w:r w:rsidR="001C6451" w:rsidRPr="00A43B9C">
        <w:rPr>
          <w:rFonts w:ascii="Times New Roman" w:eastAsia="Times New Roman" w:hAnsi="Times New Roman" w:cs="Times New Roman"/>
          <w:sz w:val="28"/>
          <w:szCs w:val="28"/>
          <w:lang w:val="en-US"/>
        </w:rPr>
        <w:t>LLC</w:t>
      </w:r>
      <w:r w:rsidR="001C6451" w:rsidRPr="00A43B9C">
        <w:rPr>
          <w:rFonts w:ascii="Times New Roman" w:eastAsia="Times New Roman" w:hAnsi="Times New Roman" w:cs="Times New Roman"/>
          <w:sz w:val="28"/>
          <w:szCs w:val="28"/>
        </w:rPr>
        <w:t>, Россия).</w:t>
      </w:r>
      <w:r w:rsidR="00F4733A" w:rsidRPr="00A43B9C">
        <w:rPr>
          <w:rFonts w:ascii="Times New Roman" w:hAnsi="Times New Roman" w:cs="Times New Roman"/>
          <w:sz w:val="28"/>
          <w:szCs w:val="28"/>
        </w:rPr>
        <w:br w:type="page"/>
      </w:r>
    </w:p>
    <w:p w14:paraId="4D28129B" w14:textId="345F8D03" w:rsidR="00D26255" w:rsidRPr="00A43B9C" w:rsidRDefault="0039678B" w:rsidP="003447F3">
      <w:pPr>
        <w:pStyle w:val="1"/>
        <w:spacing w:line="240" w:lineRule="auto"/>
        <w:ind w:left="709"/>
        <w:jc w:val="both"/>
        <w:rPr>
          <w:rFonts w:eastAsia="Times New Roman"/>
          <w:lang w:val="kk-KZ" w:eastAsia="ru-RU"/>
        </w:rPr>
      </w:pPr>
      <w:bookmarkStart w:id="49" w:name="_Toc94105251"/>
      <w:bookmarkStart w:id="50" w:name="_Toc101861815"/>
      <w:bookmarkStart w:id="51" w:name="_Toc102937618"/>
      <w:r w:rsidRPr="00A43B9C">
        <w:rPr>
          <w:rFonts w:eastAsia="Times New Roman"/>
          <w:lang w:eastAsia="ru-RU"/>
        </w:rPr>
        <w:lastRenderedPageBreak/>
        <w:t>3 РЕЗУЛЬТАТЫ СОБСТВЕННЫХ ИССЛЕДОВАНИЙ</w:t>
      </w:r>
      <w:bookmarkEnd w:id="49"/>
      <w:bookmarkEnd w:id="50"/>
      <w:bookmarkEnd w:id="51"/>
    </w:p>
    <w:p w14:paraId="19CEA93B" w14:textId="77777777" w:rsidR="003447F3" w:rsidRPr="00A43B9C" w:rsidRDefault="003447F3" w:rsidP="00AE28CD">
      <w:pPr>
        <w:spacing w:after="0" w:line="240" w:lineRule="auto"/>
        <w:ind w:firstLine="709"/>
        <w:rPr>
          <w:rStyle w:val="a9"/>
          <w:rFonts w:ascii="Times New Roman" w:hAnsi="Times New Roman" w:cs="Times New Roman"/>
          <w:noProof/>
          <w:color w:val="auto"/>
          <w:sz w:val="28"/>
          <w:szCs w:val="28"/>
          <w:u w:val="none"/>
        </w:rPr>
      </w:pPr>
      <w:bookmarkStart w:id="52" w:name="_Toc94105253"/>
      <w:bookmarkStart w:id="53" w:name="_Toc101861816"/>
      <w:bookmarkStart w:id="54" w:name="_Toc102937619"/>
    </w:p>
    <w:p w14:paraId="14128C97" w14:textId="288F3AC7" w:rsidR="00040E82" w:rsidRPr="00A10517" w:rsidRDefault="00040E82" w:rsidP="003447F3">
      <w:pPr>
        <w:pStyle w:val="1"/>
        <w:spacing w:line="240" w:lineRule="auto"/>
        <w:ind w:left="709"/>
        <w:jc w:val="both"/>
        <w:rPr>
          <w:rStyle w:val="a9"/>
          <w:rFonts w:cs="Times New Roman"/>
          <w:noProof/>
          <w:color w:val="auto"/>
          <w:szCs w:val="32"/>
          <w:u w:val="none"/>
        </w:rPr>
      </w:pPr>
      <w:r w:rsidRPr="00A10517">
        <w:rPr>
          <w:rStyle w:val="a9"/>
          <w:rFonts w:cs="Times New Roman"/>
          <w:noProof/>
          <w:color w:val="auto"/>
          <w:szCs w:val="32"/>
          <w:u w:val="none"/>
        </w:rPr>
        <w:t>3</w:t>
      </w:r>
      <w:hyperlink w:anchor="_Toc94099720" w:history="1">
        <w:r w:rsidRPr="00A10517">
          <w:rPr>
            <w:rStyle w:val="a9"/>
            <w:rFonts w:cs="Times New Roman"/>
            <w:noProof/>
            <w:color w:val="auto"/>
            <w:szCs w:val="32"/>
            <w:u w:val="none"/>
          </w:rPr>
          <w:t>.1 Эпителиальный рак яичников</w:t>
        </w:r>
      </w:hyperlink>
    </w:p>
    <w:p w14:paraId="3CACBED4" w14:textId="607D7865" w:rsidR="00D26255" w:rsidRPr="00A43B9C" w:rsidRDefault="00D26255" w:rsidP="006E2E0F">
      <w:pPr>
        <w:pStyle w:val="31"/>
        <w:spacing w:line="240" w:lineRule="auto"/>
        <w:ind w:firstLine="709"/>
        <w:jc w:val="both"/>
        <w:rPr>
          <w:rStyle w:val="a9"/>
          <w:rFonts w:ascii="Times New Roman" w:hAnsi="Times New Roman" w:cs="Times New Roman"/>
          <w:noProof/>
          <w:color w:val="auto"/>
          <w:sz w:val="28"/>
          <w:szCs w:val="28"/>
          <w:u w:val="none"/>
        </w:rPr>
      </w:pPr>
      <w:r w:rsidRPr="00A43B9C">
        <w:rPr>
          <w:rStyle w:val="a9"/>
          <w:rFonts w:ascii="Times New Roman" w:hAnsi="Times New Roman" w:cs="Times New Roman"/>
          <w:noProof/>
          <w:color w:val="auto"/>
          <w:sz w:val="28"/>
          <w:szCs w:val="28"/>
          <w:u w:val="none"/>
        </w:rPr>
        <w:t>3</w:t>
      </w:r>
      <w:hyperlink w:anchor="_Toc94099720" w:history="1">
        <w:r w:rsidRPr="00A43B9C">
          <w:rPr>
            <w:rStyle w:val="a9"/>
            <w:rFonts w:ascii="Times New Roman" w:eastAsia="Times New Roman" w:hAnsi="Times New Roman" w:cs="Times New Roman"/>
            <w:noProof/>
            <w:color w:val="auto"/>
            <w:sz w:val="28"/>
            <w:szCs w:val="28"/>
            <w:u w:val="none"/>
            <w:lang w:eastAsia="ru-RU"/>
          </w:rPr>
          <w:t>.</w:t>
        </w:r>
        <w:r w:rsidR="00B674B1" w:rsidRPr="00A43B9C">
          <w:rPr>
            <w:rStyle w:val="a9"/>
            <w:rFonts w:ascii="Times New Roman" w:eastAsia="Times New Roman" w:hAnsi="Times New Roman" w:cs="Times New Roman"/>
            <w:noProof/>
            <w:color w:val="auto"/>
            <w:sz w:val="28"/>
            <w:szCs w:val="28"/>
            <w:u w:val="none"/>
            <w:lang w:eastAsia="ru-RU"/>
          </w:rPr>
          <w:t>1</w:t>
        </w:r>
        <w:r w:rsidR="00040E82" w:rsidRPr="00A43B9C">
          <w:rPr>
            <w:rStyle w:val="a9"/>
            <w:rFonts w:ascii="Times New Roman" w:eastAsia="Times New Roman" w:hAnsi="Times New Roman" w:cs="Times New Roman"/>
            <w:noProof/>
            <w:color w:val="auto"/>
            <w:sz w:val="28"/>
            <w:szCs w:val="28"/>
            <w:u w:val="none"/>
            <w:lang w:eastAsia="ru-RU"/>
          </w:rPr>
          <w:t>.1</w:t>
        </w:r>
        <w:r w:rsidRPr="00A43B9C">
          <w:rPr>
            <w:rStyle w:val="a9"/>
            <w:rFonts w:ascii="Times New Roman" w:eastAsia="Times New Roman" w:hAnsi="Times New Roman" w:cs="Times New Roman"/>
            <w:noProof/>
            <w:color w:val="auto"/>
            <w:sz w:val="28"/>
            <w:szCs w:val="28"/>
            <w:u w:val="none"/>
            <w:lang w:eastAsia="ru-RU"/>
          </w:rPr>
          <w:t xml:space="preserve"> </w:t>
        </w:r>
        <w:r w:rsidR="0075659D" w:rsidRPr="0075659D">
          <w:rPr>
            <w:rStyle w:val="a9"/>
            <w:rFonts w:ascii="Times New Roman" w:eastAsia="Times New Roman" w:hAnsi="Times New Roman" w:cs="Times New Roman"/>
            <w:noProof/>
            <w:color w:val="auto"/>
            <w:sz w:val="28"/>
            <w:szCs w:val="28"/>
            <w:u w:val="none"/>
            <w:lang w:eastAsia="ru-RU"/>
          </w:rPr>
          <w:t xml:space="preserve">Уровень накопления </w:t>
        </w:r>
        <w:r w:rsidRPr="00A43B9C">
          <w:rPr>
            <w:rStyle w:val="a9"/>
            <w:rFonts w:ascii="Times New Roman" w:eastAsia="Times New Roman" w:hAnsi="Times New Roman" w:cs="Times New Roman"/>
            <w:noProof/>
            <w:color w:val="auto"/>
            <w:sz w:val="28"/>
            <w:szCs w:val="28"/>
            <w:u w:val="none"/>
            <w:lang w:val="en-US" w:eastAsia="ru-RU"/>
          </w:rPr>
          <w:t>SUV</w:t>
        </w:r>
        <w:r w:rsidRPr="00A43B9C">
          <w:rPr>
            <w:rStyle w:val="a9"/>
            <w:rFonts w:ascii="Times New Roman" w:eastAsia="Times New Roman" w:hAnsi="Times New Roman" w:cs="Times New Roman"/>
            <w:noProof/>
            <w:color w:val="auto"/>
            <w:sz w:val="28"/>
            <w:szCs w:val="28"/>
            <w:u w:val="none"/>
            <w:vertAlign w:val="subscript"/>
            <w:lang w:val="en-US" w:eastAsia="ru-RU"/>
          </w:rPr>
          <w:t>max</w:t>
        </w:r>
        <w:r w:rsidRPr="00A43B9C">
          <w:rPr>
            <w:rStyle w:val="a9"/>
            <w:rFonts w:ascii="Times New Roman" w:eastAsia="Times New Roman" w:hAnsi="Times New Roman" w:cs="Times New Roman"/>
            <w:noProof/>
            <w:color w:val="auto"/>
            <w:sz w:val="28"/>
            <w:szCs w:val="28"/>
            <w:u w:val="none"/>
            <w:lang w:eastAsia="ru-RU"/>
          </w:rPr>
          <w:t xml:space="preserve"> </w:t>
        </w:r>
        <w:r w:rsidR="00821C28" w:rsidRPr="00A43B9C">
          <w:rPr>
            <w:rStyle w:val="a9"/>
            <w:rFonts w:ascii="Times New Roman" w:eastAsia="Times New Roman" w:hAnsi="Times New Roman" w:cs="Times New Roman"/>
            <w:noProof/>
            <w:color w:val="auto"/>
            <w:sz w:val="28"/>
            <w:szCs w:val="28"/>
            <w:u w:val="none"/>
            <w:lang w:eastAsia="ru-RU"/>
          </w:rPr>
          <w:t>в висцеральном жире</w:t>
        </w:r>
        <w:bookmarkEnd w:id="52"/>
        <w:bookmarkEnd w:id="53"/>
        <w:bookmarkEnd w:id="54"/>
      </w:hyperlink>
    </w:p>
    <w:p w14:paraId="4837B92E" w14:textId="6D3C5EAB" w:rsidR="00DE7880" w:rsidRPr="00A43B9C" w:rsidRDefault="00DE7880" w:rsidP="00DE7880">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Для определения уровня накоплени</w:t>
      </w:r>
      <w:r w:rsidR="009307C9" w:rsidRP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8F33DC" w:rsidRPr="00A43B9C">
        <w:rPr>
          <w:rFonts w:ascii="Times New Roman" w:hAnsi="Times New Roman" w:cs="Times New Roman"/>
          <w:sz w:val="28"/>
          <w:szCs w:val="28"/>
          <w:lang w:val="en-US"/>
        </w:rPr>
        <w:t>VAT</w:t>
      </w:r>
      <w:r w:rsidRPr="00A43B9C">
        <w:rPr>
          <w:rFonts w:ascii="Times New Roman" w:hAnsi="Times New Roman" w:cs="Times New Roman"/>
          <w:sz w:val="28"/>
          <w:szCs w:val="28"/>
        </w:rPr>
        <w:t xml:space="preserve"> с использованием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FDG</w:t>
      </w:r>
      <w:r w:rsidRPr="00A43B9C">
        <w:rPr>
          <w:rFonts w:ascii="Times New Roman" w:hAnsi="Times New Roman" w:cs="Times New Roman"/>
          <w:sz w:val="28"/>
          <w:szCs w:val="28"/>
        </w:rPr>
        <w:t xml:space="preserve"> при ПЭТ/КТ исследовании была проведена стратификация накоплени</w:t>
      </w:r>
      <w:r w:rsidR="009307C9" w:rsidRPr="00A43B9C">
        <w:rPr>
          <w:rFonts w:ascii="Times New Roman" w:hAnsi="Times New Roman" w:cs="Times New Roman"/>
          <w:sz w:val="28"/>
          <w:szCs w:val="28"/>
        </w:rPr>
        <w:t>я</w:t>
      </w:r>
      <w:r w:rsidR="00D35E11" w:rsidRPr="00A43B9C">
        <w:rPr>
          <w:rFonts w:ascii="Times New Roman" w:hAnsi="Times New Roman" w:cs="Times New Roman"/>
          <w:sz w:val="28"/>
          <w:szCs w:val="28"/>
        </w:rPr>
        <w:t xml:space="preserve"> (таблица 6)</w:t>
      </w:r>
      <w:r w:rsidRPr="00A43B9C">
        <w:rPr>
          <w:rFonts w:ascii="Times New Roman" w:hAnsi="Times New Roman" w:cs="Times New Roman"/>
          <w:sz w:val="28"/>
          <w:szCs w:val="28"/>
        </w:rPr>
        <w:t xml:space="preserve"> в различных локализациях брюшной полости и малого таза по полу, </w:t>
      </w:r>
      <w:r w:rsidR="008F33DC" w:rsidRPr="00A43B9C">
        <w:rPr>
          <w:rFonts w:ascii="Times New Roman" w:hAnsi="Times New Roman" w:cs="Times New Roman"/>
          <w:sz w:val="28"/>
          <w:szCs w:val="28"/>
        </w:rPr>
        <w:t>локализации первичной опухоли</w:t>
      </w:r>
      <w:r w:rsidRPr="00A43B9C">
        <w:rPr>
          <w:rFonts w:ascii="Times New Roman" w:hAnsi="Times New Roman" w:cs="Times New Roman"/>
          <w:sz w:val="28"/>
          <w:szCs w:val="28"/>
        </w:rPr>
        <w:t xml:space="preserve">, классификации </w:t>
      </w:r>
      <w:r w:rsidRPr="00A43B9C">
        <w:rPr>
          <w:rFonts w:ascii="Times New Roman" w:hAnsi="Times New Roman" w:cs="Times New Roman"/>
          <w:sz w:val="28"/>
          <w:szCs w:val="28"/>
          <w:lang w:val="en-US"/>
        </w:rPr>
        <w:t>TNM</w:t>
      </w:r>
      <w:r w:rsidRPr="00A43B9C">
        <w:rPr>
          <w:rFonts w:ascii="Times New Roman" w:hAnsi="Times New Roman" w:cs="Times New Roman"/>
          <w:sz w:val="28"/>
          <w:szCs w:val="28"/>
        </w:rPr>
        <w:t xml:space="preserve"> и стадии </w:t>
      </w:r>
      <w:r w:rsidRPr="00A43B9C">
        <w:rPr>
          <w:rFonts w:ascii="Times New Roman" w:hAnsi="Times New Roman" w:cs="Times New Roman"/>
          <w:sz w:val="28"/>
          <w:szCs w:val="28"/>
          <w:lang w:val="en-US"/>
        </w:rPr>
        <w:t>FIGO</w:t>
      </w:r>
      <w:r w:rsidRPr="00A43B9C">
        <w:rPr>
          <w:rFonts w:ascii="Times New Roman" w:hAnsi="Times New Roman" w:cs="Times New Roman"/>
          <w:sz w:val="28"/>
          <w:szCs w:val="28"/>
        </w:rPr>
        <w:t>.</w:t>
      </w:r>
    </w:p>
    <w:p w14:paraId="1CC7EC5C" w14:textId="77777777" w:rsidR="00DE7880" w:rsidRPr="00A43B9C" w:rsidRDefault="00DE7880" w:rsidP="00DE7880">
      <w:pPr>
        <w:spacing w:after="0" w:line="240" w:lineRule="auto"/>
        <w:jc w:val="center"/>
        <w:rPr>
          <w:rFonts w:ascii="Times New Roman" w:hAnsi="Times New Roman" w:cs="Times New Roman"/>
          <w:sz w:val="28"/>
          <w:szCs w:val="28"/>
        </w:rPr>
      </w:pPr>
    </w:p>
    <w:p w14:paraId="3CC3464F" w14:textId="4008AFFF" w:rsidR="00DE7880" w:rsidRPr="00A43B9C" w:rsidRDefault="00DE7880" w:rsidP="00D12CD6">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 xml:space="preserve">Таблица </w:t>
      </w:r>
      <w:r w:rsidR="00676870" w:rsidRPr="00A43B9C">
        <w:rPr>
          <w:rFonts w:ascii="Times New Roman" w:hAnsi="Times New Roman" w:cs="Times New Roman"/>
          <w:sz w:val="28"/>
          <w:szCs w:val="28"/>
        </w:rPr>
        <w:t>6</w:t>
      </w:r>
      <w:r w:rsidR="000A6F86" w:rsidRPr="00A43B9C">
        <w:rPr>
          <w:rFonts w:ascii="Times New Roman" w:hAnsi="Times New Roman" w:cs="Times New Roman"/>
          <w:sz w:val="28"/>
          <w:szCs w:val="28"/>
        </w:rPr>
        <w:t xml:space="preserve"> - </w:t>
      </w:r>
      <w:r w:rsidRPr="00A43B9C">
        <w:rPr>
          <w:rFonts w:ascii="Times New Roman" w:hAnsi="Times New Roman" w:cs="Times New Roman"/>
          <w:sz w:val="28"/>
          <w:szCs w:val="28"/>
        </w:rPr>
        <w:t>Общая характеристика уровня накоплени</w:t>
      </w:r>
      <w:r w:rsidR="009307C9" w:rsidRP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у первичных пациентов</w:t>
      </w:r>
    </w:p>
    <w:p w14:paraId="3F5734EC" w14:textId="77777777" w:rsidR="00D12CD6" w:rsidRPr="00A43B9C" w:rsidRDefault="00D12CD6" w:rsidP="00D12CD6">
      <w:pPr>
        <w:spacing w:after="0" w:line="240" w:lineRule="auto"/>
        <w:jc w:val="both"/>
        <w:rPr>
          <w:rFonts w:ascii="Times New Roman" w:hAnsi="Times New Roman" w:cs="Times New Roman"/>
          <w:sz w:val="28"/>
          <w:szCs w:val="28"/>
        </w:rPr>
      </w:pPr>
    </w:p>
    <w:tbl>
      <w:tblPr>
        <w:tblStyle w:val="ad"/>
        <w:tblW w:w="5000" w:type="pct"/>
        <w:tblLook w:val="04A0" w:firstRow="1" w:lastRow="0" w:firstColumn="1" w:lastColumn="0" w:noHBand="0" w:noVBand="1"/>
      </w:tblPr>
      <w:tblGrid>
        <w:gridCol w:w="1468"/>
        <w:gridCol w:w="1261"/>
        <w:gridCol w:w="716"/>
        <w:gridCol w:w="787"/>
        <w:gridCol w:w="772"/>
        <w:gridCol w:w="716"/>
        <w:gridCol w:w="755"/>
        <w:gridCol w:w="716"/>
        <w:gridCol w:w="716"/>
        <w:gridCol w:w="716"/>
        <w:gridCol w:w="721"/>
      </w:tblGrid>
      <w:tr w:rsidR="00DE7880" w:rsidRPr="00A43B9C" w14:paraId="09D0E386" w14:textId="77777777" w:rsidTr="00F87FE6">
        <w:tc>
          <w:tcPr>
            <w:tcW w:w="786" w:type="pct"/>
            <w:vMerge w:val="restart"/>
            <w:vAlign w:val="center"/>
          </w:tcPr>
          <w:p w14:paraId="2A6D2A14" w14:textId="77777777" w:rsidR="00DE7880" w:rsidRPr="00A43B9C" w:rsidRDefault="00DE7880" w:rsidP="007E4204">
            <w:pPr>
              <w:spacing w:after="0" w:line="240" w:lineRule="auto"/>
              <w:jc w:val="center"/>
              <w:rPr>
                <w:rFonts w:ascii="Times New Roman" w:hAnsi="Times New Roman" w:cs="Times New Roman"/>
                <w:bCs/>
                <w:sz w:val="28"/>
                <w:szCs w:val="28"/>
                <w:lang w:val="en-US"/>
              </w:rPr>
            </w:pPr>
            <w:bookmarkStart w:id="55" w:name="_Hlk134453729"/>
            <w:r w:rsidRPr="00A43B9C">
              <w:rPr>
                <w:rFonts w:ascii="Times New Roman" w:hAnsi="Times New Roman" w:cs="Times New Roman"/>
                <w:bCs/>
                <w:sz w:val="28"/>
                <w:szCs w:val="28"/>
              </w:rPr>
              <w:t>Категория</w:t>
            </w:r>
          </w:p>
        </w:tc>
        <w:tc>
          <w:tcPr>
            <w:tcW w:w="675" w:type="pct"/>
            <w:vMerge w:val="restart"/>
            <w:vAlign w:val="center"/>
          </w:tcPr>
          <w:p w14:paraId="38F411E4" w14:textId="77777777" w:rsidR="00DE7880" w:rsidRPr="00A43B9C" w:rsidRDefault="00DE7880"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n (%)</w:t>
            </w:r>
          </w:p>
        </w:tc>
        <w:tc>
          <w:tcPr>
            <w:tcW w:w="3539" w:type="pct"/>
            <w:gridSpan w:val="9"/>
            <w:vAlign w:val="center"/>
          </w:tcPr>
          <w:p w14:paraId="065F1C64" w14:textId="77777777" w:rsidR="00DE7880" w:rsidRPr="00A43B9C" w:rsidRDefault="00DE7880"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SUV</w:t>
            </w:r>
            <w:r w:rsidRPr="00A43B9C">
              <w:rPr>
                <w:rFonts w:ascii="Times New Roman" w:hAnsi="Times New Roman" w:cs="Times New Roman"/>
                <w:bCs/>
                <w:sz w:val="28"/>
                <w:szCs w:val="28"/>
                <w:vertAlign w:val="subscript"/>
                <w:lang w:val="en-US"/>
              </w:rPr>
              <w:t>max</w:t>
            </w:r>
          </w:p>
        </w:tc>
      </w:tr>
      <w:tr w:rsidR="00A43B9C" w:rsidRPr="00A43B9C" w14:paraId="2657049C" w14:textId="77777777" w:rsidTr="00F87FE6">
        <w:tc>
          <w:tcPr>
            <w:tcW w:w="786" w:type="pct"/>
            <w:vMerge/>
            <w:vAlign w:val="center"/>
          </w:tcPr>
          <w:p w14:paraId="2DB55230" w14:textId="77777777" w:rsidR="00DE7880" w:rsidRPr="00A43B9C" w:rsidRDefault="00DE7880" w:rsidP="007E4204">
            <w:pPr>
              <w:spacing w:after="0" w:line="240" w:lineRule="auto"/>
              <w:rPr>
                <w:rFonts w:ascii="Times New Roman" w:hAnsi="Times New Roman" w:cs="Times New Roman"/>
                <w:sz w:val="28"/>
                <w:szCs w:val="28"/>
                <w:lang w:val="en-US"/>
              </w:rPr>
            </w:pPr>
          </w:p>
        </w:tc>
        <w:tc>
          <w:tcPr>
            <w:tcW w:w="675" w:type="pct"/>
            <w:vMerge/>
            <w:vAlign w:val="center"/>
          </w:tcPr>
          <w:p w14:paraId="201ED25B" w14:textId="77777777" w:rsidR="00DE7880" w:rsidRPr="00A43B9C" w:rsidRDefault="00DE7880" w:rsidP="007E4204">
            <w:pPr>
              <w:spacing w:after="0" w:line="240" w:lineRule="auto"/>
              <w:rPr>
                <w:rFonts w:ascii="Times New Roman" w:hAnsi="Times New Roman" w:cs="Times New Roman"/>
                <w:sz w:val="28"/>
                <w:szCs w:val="28"/>
                <w:lang w:val="en-US"/>
              </w:rPr>
            </w:pPr>
          </w:p>
        </w:tc>
        <w:tc>
          <w:tcPr>
            <w:tcW w:w="383" w:type="pct"/>
            <w:vAlign w:val="center"/>
          </w:tcPr>
          <w:p w14:paraId="5978BB82" w14:textId="77777777" w:rsidR="00DE7880" w:rsidRPr="00A43B9C" w:rsidRDefault="00DE7880"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RE</w:t>
            </w:r>
          </w:p>
        </w:tc>
        <w:tc>
          <w:tcPr>
            <w:tcW w:w="421" w:type="pct"/>
            <w:vAlign w:val="center"/>
          </w:tcPr>
          <w:p w14:paraId="07BE4AE3" w14:textId="77777777" w:rsidR="00DE7880" w:rsidRPr="00A43B9C" w:rsidRDefault="00DE7880"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RLH</w:t>
            </w:r>
          </w:p>
        </w:tc>
        <w:tc>
          <w:tcPr>
            <w:tcW w:w="413" w:type="pct"/>
            <w:vAlign w:val="center"/>
          </w:tcPr>
          <w:p w14:paraId="2A4BA615" w14:textId="77777777" w:rsidR="00DE7880" w:rsidRPr="00A43B9C" w:rsidRDefault="00DE7880"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RRL</w:t>
            </w:r>
          </w:p>
        </w:tc>
        <w:tc>
          <w:tcPr>
            <w:tcW w:w="383" w:type="pct"/>
            <w:vAlign w:val="center"/>
          </w:tcPr>
          <w:p w14:paraId="332F2F46" w14:textId="77777777" w:rsidR="00DE7880" w:rsidRPr="00A43B9C" w:rsidRDefault="00DE7880"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RU</w:t>
            </w:r>
          </w:p>
        </w:tc>
        <w:tc>
          <w:tcPr>
            <w:tcW w:w="404" w:type="pct"/>
            <w:vAlign w:val="center"/>
          </w:tcPr>
          <w:p w14:paraId="34355A63" w14:textId="77777777" w:rsidR="00DE7880" w:rsidRPr="00A43B9C" w:rsidRDefault="00DE7880"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RLL</w:t>
            </w:r>
          </w:p>
        </w:tc>
        <w:tc>
          <w:tcPr>
            <w:tcW w:w="383" w:type="pct"/>
            <w:vAlign w:val="center"/>
          </w:tcPr>
          <w:p w14:paraId="7DD94627" w14:textId="77777777" w:rsidR="00DE7880" w:rsidRPr="00A43B9C" w:rsidRDefault="00DE7880"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RRI</w:t>
            </w:r>
          </w:p>
        </w:tc>
        <w:tc>
          <w:tcPr>
            <w:tcW w:w="383" w:type="pct"/>
            <w:vAlign w:val="center"/>
          </w:tcPr>
          <w:p w14:paraId="13653D3B" w14:textId="77777777" w:rsidR="00DE7880" w:rsidRPr="00A43B9C" w:rsidRDefault="00DE7880"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RP</w:t>
            </w:r>
          </w:p>
        </w:tc>
        <w:tc>
          <w:tcPr>
            <w:tcW w:w="383" w:type="pct"/>
            <w:vAlign w:val="center"/>
          </w:tcPr>
          <w:p w14:paraId="2DEACC0A" w14:textId="77777777" w:rsidR="00DE7880" w:rsidRPr="00A43B9C" w:rsidRDefault="00DE7880"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RLI</w:t>
            </w:r>
          </w:p>
        </w:tc>
        <w:tc>
          <w:tcPr>
            <w:tcW w:w="383" w:type="pct"/>
            <w:vAlign w:val="center"/>
          </w:tcPr>
          <w:p w14:paraId="23A259AD" w14:textId="77777777" w:rsidR="00DE7880" w:rsidRPr="00A43B9C" w:rsidRDefault="00DE7880"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P</w:t>
            </w:r>
          </w:p>
        </w:tc>
      </w:tr>
      <w:tr w:rsidR="00DE7880" w:rsidRPr="00A43B9C" w14:paraId="2B42D3BD" w14:textId="77777777" w:rsidTr="00F87FE6">
        <w:tc>
          <w:tcPr>
            <w:tcW w:w="5000" w:type="pct"/>
            <w:gridSpan w:val="11"/>
            <w:vAlign w:val="center"/>
          </w:tcPr>
          <w:p w14:paraId="7358A870" w14:textId="77777777" w:rsidR="00DE7880" w:rsidRPr="00A43B9C" w:rsidRDefault="00DE7880"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rPr>
              <w:t>Пол</w:t>
            </w:r>
          </w:p>
        </w:tc>
      </w:tr>
      <w:tr w:rsidR="00A43B9C" w:rsidRPr="00A43B9C" w14:paraId="76DA0C17" w14:textId="77777777" w:rsidTr="00F87FE6">
        <w:tc>
          <w:tcPr>
            <w:tcW w:w="786" w:type="pct"/>
            <w:vAlign w:val="center"/>
          </w:tcPr>
          <w:p w14:paraId="3DC1C7A9" w14:textId="77777777" w:rsidR="00DE7880" w:rsidRPr="00A43B9C" w:rsidRDefault="00DE7880"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rPr>
              <w:t>Женщины</w:t>
            </w:r>
          </w:p>
        </w:tc>
        <w:tc>
          <w:tcPr>
            <w:tcW w:w="675" w:type="pct"/>
            <w:vAlign w:val="center"/>
          </w:tcPr>
          <w:p w14:paraId="4E157B9B"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53 (100)</w:t>
            </w:r>
          </w:p>
        </w:tc>
        <w:tc>
          <w:tcPr>
            <w:tcW w:w="383" w:type="pct"/>
            <w:vAlign w:val="center"/>
          </w:tcPr>
          <w:p w14:paraId="2933C1A7"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81</w:t>
            </w:r>
          </w:p>
        </w:tc>
        <w:tc>
          <w:tcPr>
            <w:tcW w:w="421" w:type="pct"/>
            <w:vAlign w:val="center"/>
          </w:tcPr>
          <w:p w14:paraId="4198DD10"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75</w:t>
            </w:r>
          </w:p>
        </w:tc>
        <w:tc>
          <w:tcPr>
            <w:tcW w:w="413" w:type="pct"/>
            <w:vAlign w:val="center"/>
          </w:tcPr>
          <w:p w14:paraId="20658DE6"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96</w:t>
            </w:r>
          </w:p>
        </w:tc>
        <w:tc>
          <w:tcPr>
            <w:tcW w:w="383" w:type="pct"/>
            <w:vAlign w:val="center"/>
          </w:tcPr>
          <w:p w14:paraId="73017749"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76</w:t>
            </w:r>
          </w:p>
        </w:tc>
        <w:tc>
          <w:tcPr>
            <w:tcW w:w="404" w:type="pct"/>
            <w:vAlign w:val="center"/>
          </w:tcPr>
          <w:p w14:paraId="1A4A1758"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94</w:t>
            </w:r>
          </w:p>
        </w:tc>
        <w:tc>
          <w:tcPr>
            <w:tcW w:w="383" w:type="pct"/>
            <w:vAlign w:val="center"/>
          </w:tcPr>
          <w:p w14:paraId="276E4D22"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55</w:t>
            </w:r>
          </w:p>
        </w:tc>
        <w:tc>
          <w:tcPr>
            <w:tcW w:w="383" w:type="pct"/>
            <w:vAlign w:val="center"/>
          </w:tcPr>
          <w:p w14:paraId="4D91D3BD"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85</w:t>
            </w:r>
          </w:p>
        </w:tc>
        <w:tc>
          <w:tcPr>
            <w:tcW w:w="383" w:type="pct"/>
            <w:vAlign w:val="center"/>
          </w:tcPr>
          <w:p w14:paraId="6E74D0F3"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57</w:t>
            </w:r>
          </w:p>
        </w:tc>
        <w:tc>
          <w:tcPr>
            <w:tcW w:w="383" w:type="pct"/>
            <w:vAlign w:val="center"/>
          </w:tcPr>
          <w:p w14:paraId="1280EB92"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89</w:t>
            </w:r>
          </w:p>
        </w:tc>
      </w:tr>
      <w:tr w:rsidR="00DE7880" w:rsidRPr="00A43B9C" w14:paraId="1D70DFCE" w14:textId="77777777" w:rsidTr="00F87FE6">
        <w:tc>
          <w:tcPr>
            <w:tcW w:w="5000" w:type="pct"/>
            <w:gridSpan w:val="11"/>
            <w:vAlign w:val="center"/>
          </w:tcPr>
          <w:p w14:paraId="260EB635" w14:textId="77777777" w:rsidR="00DE7880" w:rsidRPr="00A43B9C" w:rsidRDefault="00DE7880"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rPr>
              <w:t>Локализация первичной опухоли</w:t>
            </w:r>
          </w:p>
        </w:tc>
      </w:tr>
      <w:tr w:rsidR="00A43B9C" w:rsidRPr="00A43B9C" w14:paraId="564C3CA6" w14:textId="77777777" w:rsidTr="00F87FE6">
        <w:tc>
          <w:tcPr>
            <w:tcW w:w="786" w:type="pct"/>
            <w:vAlign w:val="center"/>
          </w:tcPr>
          <w:p w14:paraId="0E469F6E" w14:textId="77777777" w:rsidR="00DE7880" w:rsidRPr="00A43B9C" w:rsidRDefault="00DE7880"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rPr>
              <w:t>Яичники</w:t>
            </w:r>
          </w:p>
        </w:tc>
        <w:tc>
          <w:tcPr>
            <w:tcW w:w="675" w:type="pct"/>
            <w:vAlign w:val="center"/>
          </w:tcPr>
          <w:p w14:paraId="465EFE46"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53 (100)</w:t>
            </w:r>
          </w:p>
        </w:tc>
        <w:tc>
          <w:tcPr>
            <w:tcW w:w="383" w:type="pct"/>
            <w:vAlign w:val="center"/>
          </w:tcPr>
          <w:p w14:paraId="454DAFED"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81</w:t>
            </w:r>
          </w:p>
        </w:tc>
        <w:tc>
          <w:tcPr>
            <w:tcW w:w="421" w:type="pct"/>
            <w:vAlign w:val="center"/>
          </w:tcPr>
          <w:p w14:paraId="5062F189"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75</w:t>
            </w:r>
          </w:p>
        </w:tc>
        <w:tc>
          <w:tcPr>
            <w:tcW w:w="413" w:type="pct"/>
            <w:vAlign w:val="center"/>
          </w:tcPr>
          <w:p w14:paraId="7ED8F7D2"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96</w:t>
            </w:r>
          </w:p>
        </w:tc>
        <w:tc>
          <w:tcPr>
            <w:tcW w:w="383" w:type="pct"/>
            <w:vAlign w:val="center"/>
          </w:tcPr>
          <w:p w14:paraId="64A8386F"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76</w:t>
            </w:r>
          </w:p>
        </w:tc>
        <w:tc>
          <w:tcPr>
            <w:tcW w:w="404" w:type="pct"/>
            <w:vAlign w:val="center"/>
          </w:tcPr>
          <w:p w14:paraId="2489F1FD"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94</w:t>
            </w:r>
          </w:p>
        </w:tc>
        <w:tc>
          <w:tcPr>
            <w:tcW w:w="383" w:type="pct"/>
            <w:vAlign w:val="center"/>
          </w:tcPr>
          <w:p w14:paraId="5B152D75"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55</w:t>
            </w:r>
          </w:p>
        </w:tc>
        <w:tc>
          <w:tcPr>
            <w:tcW w:w="383" w:type="pct"/>
            <w:vAlign w:val="center"/>
          </w:tcPr>
          <w:p w14:paraId="567DC455"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85</w:t>
            </w:r>
          </w:p>
        </w:tc>
        <w:tc>
          <w:tcPr>
            <w:tcW w:w="383" w:type="pct"/>
            <w:vAlign w:val="center"/>
          </w:tcPr>
          <w:p w14:paraId="31E1E11F"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57</w:t>
            </w:r>
          </w:p>
        </w:tc>
        <w:tc>
          <w:tcPr>
            <w:tcW w:w="383" w:type="pct"/>
            <w:vAlign w:val="center"/>
          </w:tcPr>
          <w:p w14:paraId="41863FD9"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89</w:t>
            </w:r>
          </w:p>
        </w:tc>
      </w:tr>
      <w:tr w:rsidR="00DE7880" w:rsidRPr="00A43B9C" w14:paraId="6316623F" w14:textId="77777777" w:rsidTr="00F87FE6">
        <w:tc>
          <w:tcPr>
            <w:tcW w:w="5000" w:type="pct"/>
            <w:gridSpan w:val="11"/>
            <w:vAlign w:val="center"/>
          </w:tcPr>
          <w:p w14:paraId="45BF9DD2" w14:textId="77777777" w:rsidR="00DE7880" w:rsidRPr="00A43B9C" w:rsidRDefault="00DE7880"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T</w:t>
            </w:r>
            <w:r w:rsidRPr="00A43B9C">
              <w:rPr>
                <w:rFonts w:ascii="Times New Roman" w:hAnsi="Times New Roman" w:cs="Times New Roman"/>
                <w:sz w:val="28"/>
                <w:szCs w:val="28"/>
              </w:rPr>
              <w:t xml:space="preserve"> стадия</w:t>
            </w:r>
          </w:p>
        </w:tc>
      </w:tr>
      <w:tr w:rsidR="00A43B9C" w:rsidRPr="00A43B9C" w14:paraId="23D78D4A" w14:textId="77777777" w:rsidTr="00F87FE6">
        <w:tc>
          <w:tcPr>
            <w:tcW w:w="786" w:type="pct"/>
            <w:vAlign w:val="center"/>
          </w:tcPr>
          <w:p w14:paraId="6CC3E65F" w14:textId="77777777" w:rsidR="00DE7880" w:rsidRPr="00A43B9C" w:rsidRDefault="00DE7880"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T</w:t>
            </w:r>
            <w:r w:rsidRPr="00A43B9C">
              <w:rPr>
                <w:rFonts w:ascii="Times New Roman" w:hAnsi="Times New Roman" w:cs="Times New Roman"/>
                <w:sz w:val="28"/>
                <w:szCs w:val="28"/>
                <w:vertAlign w:val="subscript"/>
              </w:rPr>
              <w:t>1</w:t>
            </w:r>
          </w:p>
        </w:tc>
        <w:tc>
          <w:tcPr>
            <w:tcW w:w="675" w:type="pct"/>
            <w:vAlign w:val="center"/>
          </w:tcPr>
          <w:p w14:paraId="3269C266"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 (15,1)</w:t>
            </w:r>
          </w:p>
        </w:tc>
        <w:tc>
          <w:tcPr>
            <w:tcW w:w="383" w:type="pct"/>
            <w:vAlign w:val="center"/>
          </w:tcPr>
          <w:p w14:paraId="1E538E83"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79</w:t>
            </w:r>
          </w:p>
        </w:tc>
        <w:tc>
          <w:tcPr>
            <w:tcW w:w="421" w:type="pct"/>
            <w:vAlign w:val="center"/>
          </w:tcPr>
          <w:p w14:paraId="068EE7B3"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81</w:t>
            </w:r>
          </w:p>
        </w:tc>
        <w:tc>
          <w:tcPr>
            <w:tcW w:w="413" w:type="pct"/>
            <w:vAlign w:val="center"/>
          </w:tcPr>
          <w:p w14:paraId="335B62AB"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72</w:t>
            </w:r>
          </w:p>
        </w:tc>
        <w:tc>
          <w:tcPr>
            <w:tcW w:w="383" w:type="pct"/>
            <w:vAlign w:val="center"/>
          </w:tcPr>
          <w:p w14:paraId="53E50D24"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81</w:t>
            </w:r>
          </w:p>
        </w:tc>
        <w:tc>
          <w:tcPr>
            <w:tcW w:w="404" w:type="pct"/>
            <w:vAlign w:val="center"/>
          </w:tcPr>
          <w:p w14:paraId="153601D0"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88</w:t>
            </w:r>
          </w:p>
        </w:tc>
        <w:tc>
          <w:tcPr>
            <w:tcW w:w="383" w:type="pct"/>
            <w:vAlign w:val="center"/>
          </w:tcPr>
          <w:p w14:paraId="53F032F9"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54</w:t>
            </w:r>
          </w:p>
        </w:tc>
        <w:tc>
          <w:tcPr>
            <w:tcW w:w="383" w:type="pct"/>
            <w:vAlign w:val="center"/>
          </w:tcPr>
          <w:p w14:paraId="40E04CF4"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78</w:t>
            </w:r>
          </w:p>
        </w:tc>
        <w:tc>
          <w:tcPr>
            <w:tcW w:w="383" w:type="pct"/>
            <w:vAlign w:val="center"/>
          </w:tcPr>
          <w:p w14:paraId="77F505F4"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58</w:t>
            </w:r>
          </w:p>
        </w:tc>
        <w:tc>
          <w:tcPr>
            <w:tcW w:w="383" w:type="pct"/>
            <w:vAlign w:val="center"/>
          </w:tcPr>
          <w:p w14:paraId="0DF24F44"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95</w:t>
            </w:r>
          </w:p>
        </w:tc>
      </w:tr>
      <w:tr w:rsidR="00A43B9C" w:rsidRPr="00A43B9C" w14:paraId="4CB89C7B" w14:textId="77777777" w:rsidTr="00F87FE6">
        <w:tc>
          <w:tcPr>
            <w:tcW w:w="786" w:type="pct"/>
            <w:vAlign w:val="center"/>
          </w:tcPr>
          <w:p w14:paraId="1F542275" w14:textId="77777777" w:rsidR="00DE7880" w:rsidRPr="00A43B9C" w:rsidRDefault="00DE7880"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T</w:t>
            </w:r>
            <w:r w:rsidRPr="00A43B9C">
              <w:rPr>
                <w:rFonts w:ascii="Times New Roman" w:hAnsi="Times New Roman" w:cs="Times New Roman"/>
                <w:sz w:val="28"/>
                <w:szCs w:val="28"/>
                <w:vertAlign w:val="subscript"/>
              </w:rPr>
              <w:t>2</w:t>
            </w:r>
          </w:p>
        </w:tc>
        <w:tc>
          <w:tcPr>
            <w:tcW w:w="675" w:type="pct"/>
            <w:vAlign w:val="center"/>
          </w:tcPr>
          <w:p w14:paraId="79BA9C6C"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 (28,3)</w:t>
            </w:r>
          </w:p>
        </w:tc>
        <w:tc>
          <w:tcPr>
            <w:tcW w:w="383" w:type="pct"/>
            <w:vAlign w:val="center"/>
          </w:tcPr>
          <w:p w14:paraId="070FC4BD"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79</w:t>
            </w:r>
          </w:p>
        </w:tc>
        <w:tc>
          <w:tcPr>
            <w:tcW w:w="421" w:type="pct"/>
            <w:vAlign w:val="center"/>
          </w:tcPr>
          <w:p w14:paraId="02FB308D"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74</w:t>
            </w:r>
          </w:p>
        </w:tc>
        <w:tc>
          <w:tcPr>
            <w:tcW w:w="413" w:type="pct"/>
            <w:vAlign w:val="center"/>
          </w:tcPr>
          <w:p w14:paraId="798232F0"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92</w:t>
            </w:r>
          </w:p>
        </w:tc>
        <w:tc>
          <w:tcPr>
            <w:tcW w:w="383" w:type="pct"/>
            <w:vAlign w:val="center"/>
          </w:tcPr>
          <w:p w14:paraId="12E9175B"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69</w:t>
            </w:r>
          </w:p>
        </w:tc>
        <w:tc>
          <w:tcPr>
            <w:tcW w:w="404" w:type="pct"/>
            <w:vAlign w:val="center"/>
          </w:tcPr>
          <w:p w14:paraId="1331B356"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87</w:t>
            </w:r>
          </w:p>
        </w:tc>
        <w:tc>
          <w:tcPr>
            <w:tcW w:w="383" w:type="pct"/>
            <w:vAlign w:val="center"/>
          </w:tcPr>
          <w:p w14:paraId="74B9A356"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49</w:t>
            </w:r>
          </w:p>
        </w:tc>
        <w:tc>
          <w:tcPr>
            <w:tcW w:w="383" w:type="pct"/>
            <w:vAlign w:val="center"/>
          </w:tcPr>
          <w:p w14:paraId="10BC03D2"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77</w:t>
            </w:r>
          </w:p>
        </w:tc>
        <w:tc>
          <w:tcPr>
            <w:tcW w:w="383" w:type="pct"/>
            <w:vAlign w:val="center"/>
          </w:tcPr>
          <w:p w14:paraId="17EB4038"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52</w:t>
            </w:r>
          </w:p>
        </w:tc>
        <w:tc>
          <w:tcPr>
            <w:tcW w:w="383" w:type="pct"/>
            <w:vAlign w:val="center"/>
          </w:tcPr>
          <w:p w14:paraId="370B6F46"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82</w:t>
            </w:r>
          </w:p>
        </w:tc>
      </w:tr>
      <w:tr w:rsidR="00A43B9C" w:rsidRPr="00A43B9C" w14:paraId="5813E30C" w14:textId="77777777" w:rsidTr="00F87FE6">
        <w:tc>
          <w:tcPr>
            <w:tcW w:w="786" w:type="pct"/>
            <w:vAlign w:val="center"/>
          </w:tcPr>
          <w:p w14:paraId="61580288" w14:textId="77777777" w:rsidR="00DE7880" w:rsidRPr="00A43B9C" w:rsidRDefault="00DE7880"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T</w:t>
            </w:r>
            <w:r w:rsidRPr="00A43B9C">
              <w:rPr>
                <w:rFonts w:ascii="Times New Roman" w:hAnsi="Times New Roman" w:cs="Times New Roman"/>
                <w:sz w:val="28"/>
                <w:szCs w:val="28"/>
                <w:vertAlign w:val="subscript"/>
              </w:rPr>
              <w:t>3</w:t>
            </w:r>
          </w:p>
        </w:tc>
        <w:tc>
          <w:tcPr>
            <w:tcW w:w="675" w:type="pct"/>
            <w:vAlign w:val="center"/>
          </w:tcPr>
          <w:p w14:paraId="0866122C"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28 (52,8)</w:t>
            </w:r>
          </w:p>
        </w:tc>
        <w:tc>
          <w:tcPr>
            <w:tcW w:w="383" w:type="pct"/>
            <w:vAlign w:val="center"/>
          </w:tcPr>
          <w:p w14:paraId="4ED3D1A3"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83</w:t>
            </w:r>
          </w:p>
        </w:tc>
        <w:tc>
          <w:tcPr>
            <w:tcW w:w="421" w:type="pct"/>
            <w:vAlign w:val="center"/>
          </w:tcPr>
          <w:p w14:paraId="2F1E4823" w14:textId="51E0E618"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000170A7">
              <w:rPr>
                <w:rFonts w:ascii="Times New Roman" w:hAnsi="Times New Roman" w:cs="Times New Roman"/>
                <w:sz w:val="28"/>
                <w:szCs w:val="28"/>
              </w:rPr>
              <w:t>,</w:t>
            </w:r>
            <w:r w:rsidRPr="00A43B9C">
              <w:rPr>
                <w:rFonts w:ascii="Times New Roman" w:hAnsi="Times New Roman" w:cs="Times New Roman"/>
                <w:sz w:val="28"/>
                <w:szCs w:val="28"/>
                <w:lang w:val="en-US"/>
              </w:rPr>
              <w:t>72</w:t>
            </w:r>
          </w:p>
        </w:tc>
        <w:tc>
          <w:tcPr>
            <w:tcW w:w="413" w:type="pct"/>
            <w:vAlign w:val="center"/>
          </w:tcPr>
          <w:p w14:paraId="37C22C19"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97</w:t>
            </w:r>
          </w:p>
        </w:tc>
        <w:tc>
          <w:tcPr>
            <w:tcW w:w="383" w:type="pct"/>
            <w:vAlign w:val="center"/>
          </w:tcPr>
          <w:p w14:paraId="2F229C91"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81</w:t>
            </w:r>
          </w:p>
        </w:tc>
        <w:tc>
          <w:tcPr>
            <w:tcW w:w="404" w:type="pct"/>
            <w:vAlign w:val="center"/>
          </w:tcPr>
          <w:p w14:paraId="5DDD2637"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99</w:t>
            </w:r>
          </w:p>
        </w:tc>
        <w:tc>
          <w:tcPr>
            <w:tcW w:w="383" w:type="pct"/>
            <w:vAlign w:val="center"/>
          </w:tcPr>
          <w:p w14:paraId="080FE706"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64</w:t>
            </w:r>
          </w:p>
        </w:tc>
        <w:tc>
          <w:tcPr>
            <w:tcW w:w="383" w:type="pct"/>
            <w:vAlign w:val="center"/>
          </w:tcPr>
          <w:p w14:paraId="651E78E4"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94</w:t>
            </w:r>
          </w:p>
        </w:tc>
        <w:tc>
          <w:tcPr>
            <w:tcW w:w="383" w:type="pct"/>
            <w:vAlign w:val="center"/>
          </w:tcPr>
          <w:p w14:paraId="5D10A701" w14:textId="51BFF936"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000170A7">
              <w:rPr>
                <w:rFonts w:ascii="Times New Roman" w:hAnsi="Times New Roman" w:cs="Times New Roman"/>
                <w:sz w:val="28"/>
                <w:szCs w:val="28"/>
              </w:rPr>
              <w:t>,</w:t>
            </w:r>
            <w:r w:rsidRPr="00A43B9C">
              <w:rPr>
                <w:rFonts w:ascii="Times New Roman" w:hAnsi="Times New Roman" w:cs="Times New Roman"/>
                <w:sz w:val="28"/>
                <w:szCs w:val="28"/>
                <w:lang w:val="en-US"/>
              </w:rPr>
              <w:t>58</w:t>
            </w:r>
          </w:p>
        </w:tc>
        <w:tc>
          <w:tcPr>
            <w:tcW w:w="383" w:type="pct"/>
            <w:vAlign w:val="center"/>
          </w:tcPr>
          <w:p w14:paraId="62E3CBF2"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w:t>
            </w:r>
          </w:p>
        </w:tc>
      </w:tr>
      <w:tr w:rsidR="00A43B9C" w:rsidRPr="00A43B9C" w14:paraId="6A56B304" w14:textId="77777777" w:rsidTr="00F87FE6">
        <w:tc>
          <w:tcPr>
            <w:tcW w:w="786" w:type="pct"/>
            <w:vAlign w:val="center"/>
          </w:tcPr>
          <w:p w14:paraId="0DFA1EED" w14:textId="77777777" w:rsidR="00DE7880" w:rsidRPr="00A43B9C" w:rsidRDefault="00DE7880"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T</w:t>
            </w:r>
            <w:r w:rsidRPr="00A43B9C">
              <w:rPr>
                <w:rFonts w:ascii="Times New Roman" w:hAnsi="Times New Roman" w:cs="Times New Roman"/>
                <w:sz w:val="28"/>
                <w:szCs w:val="28"/>
                <w:vertAlign w:val="subscript"/>
                <w:lang w:val="en-US"/>
              </w:rPr>
              <w:t>4</w:t>
            </w:r>
          </w:p>
        </w:tc>
        <w:tc>
          <w:tcPr>
            <w:tcW w:w="675" w:type="pct"/>
            <w:vAlign w:val="center"/>
          </w:tcPr>
          <w:p w14:paraId="4F811C39"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 (3,8)</w:t>
            </w:r>
          </w:p>
        </w:tc>
        <w:tc>
          <w:tcPr>
            <w:tcW w:w="383" w:type="pct"/>
            <w:vAlign w:val="center"/>
          </w:tcPr>
          <w:p w14:paraId="2724A467"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1</w:t>
            </w:r>
          </w:p>
        </w:tc>
        <w:tc>
          <w:tcPr>
            <w:tcW w:w="421" w:type="pct"/>
            <w:vAlign w:val="center"/>
          </w:tcPr>
          <w:p w14:paraId="43C3DA43"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47</w:t>
            </w:r>
          </w:p>
        </w:tc>
        <w:tc>
          <w:tcPr>
            <w:tcW w:w="413" w:type="pct"/>
            <w:vAlign w:val="center"/>
          </w:tcPr>
          <w:p w14:paraId="4B9903D2"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09</w:t>
            </w:r>
          </w:p>
        </w:tc>
        <w:tc>
          <w:tcPr>
            <w:tcW w:w="383" w:type="pct"/>
            <w:vAlign w:val="center"/>
          </w:tcPr>
          <w:p w14:paraId="48347411"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95</w:t>
            </w:r>
          </w:p>
        </w:tc>
        <w:tc>
          <w:tcPr>
            <w:tcW w:w="404" w:type="pct"/>
            <w:vAlign w:val="center"/>
          </w:tcPr>
          <w:p w14:paraId="1F5595C8"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26</w:t>
            </w:r>
          </w:p>
        </w:tc>
        <w:tc>
          <w:tcPr>
            <w:tcW w:w="383" w:type="pct"/>
            <w:vAlign w:val="center"/>
          </w:tcPr>
          <w:p w14:paraId="315FD8D2"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64</w:t>
            </w:r>
          </w:p>
        </w:tc>
        <w:tc>
          <w:tcPr>
            <w:tcW w:w="383" w:type="pct"/>
            <w:vAlign w:val="center"/>
          </w:tcPr>
          <w:p w14:paraId="450DCED9"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92</w:t>
            </w:r>
          </w:p>
        </w:tc>
        <w:tc>
          <w:tcPr>
            <w:tcW w:w="383" w:type="pct"/>
            <w:vAlign w:val="center"/>
          </w:tcPr>
          <w:p w14:paraId="3DC53D83"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83</w:t>
            </w:r>
          </w:p>
        </w:tc>
        <w:tc>
          <w:tcPr>
            <w:tcW w:w="383" w:type="pct"/>
            <w:vAlign w:val="center"/>
          </w:tcPr>
          <w:p w14:paraId="52D5ACE5"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38</w:t>
            </w:r>
          </w:p>
        </w:tc>
      </w:tr>
      <w:tr w:rsidR="00DE7880" w:rsidRPr="00A43B9C" w14:paraId="0028C8AA" w14:textId="77777777" w:rsidTr="00F87FE6">
        <w:tc>
          <w:tcPr>
            <w:tcW w:w="5000" w:type="pct"/>
            <w:gridSpan w:val="11"/>
            <w:vAlign w:val="center"/>
          </w:tcPr>
          <w:p w14:paraId="1B1E9AE3" w14:textId="77777777" w:rsidR="00DE7880" w:rsidRPr="00A43B9C" w:rsidRDefault="00DE7880"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 xml:space="preserve">N </w:t>
            </w:r>
            <w:r w:rsidRPr="00A43B9C">
              <w:rPr>
                <w:rFonts w:ascii="Times New Roman" w:hAnsi="Times New Roman" w:cs="Times New Roman"/>
                <w:sz w:val="28"/>
                <w:szCs w:val="28"/>
              </w:rPr>
              <w:t>стадия</w:t>
            </w:r>
          </w:p>
        </w:tc>
      </w:tr>
      <w:tr w:rsidR="00A43B9C" w:rsidRPr="00A43B9C" w14:paraId="4EC5337F" w14:textId="77777777" w:rsidTr="00F87FE6">
        <w:tc>
          <w:tcPr>
            <w:tcW w:w="786" w:type="pct"/>
            <w:vAlign w:val="center"/>
          </w:tcPr>
          <w:p w14:paraId="37A6DF33" w14:textId="77777777" w:rsidR="00DE7880" w:rsidRPr="00A43B9C" w:rsidRDefault="00DE7880"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vertAlign w:val="subscript"/>
                <w:lang w:val="en-US"/>
              </w:rPr>
              <w:t>0</w:t>
            </w:r>
          </w:p>
        </w:tc>
        <w:tc>
          <w:tcPr>
            <w:tcW w:w="675" w:type="pct"/>
            <w:vAlign w:val="center"/>
          </w:tcPr>
          <w:p w14:paraId="17CD7F46"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19</w:t>
            </w:r>
            <w:r w:rsidRPr="00A43B9C">
              <w:rPr>
                <w:rFonts w:ascii="Times New Roman" w:hAnsi="Times New Roman" w:cs="Times New Roman"/>
                <w:sz w:val="28"/>
                <w:szCs w:val="28"/>
                <w:lang w:val="en-US"/>
              </w:rPr>
              <w:t xml:space="preserve"> (35</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w:t>
            </w:r>
          </w:p>
        </w:tc>
        <w:tc>
          <w:tcPr>
            <w:tcW w:w="383" w:type="pct"/>
            <w:vAlign w:val="center"/>
          </w:tcPr>
          <w:p w14:paraId="419856D4"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81</w:t>
            </w:r>
          </w:p>
        </w:tc>
        <w:tc>
          <w:tcPr>
            <w:tcW w:w="421" w:type="pct"/>
            <w:vAlign w:val="center"/>
          </w:tcPr>
          <w:p w14:paraId="0C47D7EA"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68</w:t>
            </w:r>
          </w:p>
        </w:tc>
        <w:tc>
          <w:tcPr>
            <w:tcW w:w="413" w:type="pct"/>
            <w:vAlign w:val="center"/>
          </w:tcPr>
          <w:p w14:paraId="3B32D7C4" w14:textId="3F8B029D"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000170A7">
              <w:rPr>
                <w:rFonts w:ascii="Times New Roman" w:hAnsi="Times New Roman" w:cs="Times New Roman"/>
                <w:sz w:val="28"/>
                <w:szCs w:val="28"/>
              </w:rPr>
              <w:t>,</w:t>
            </w:r>
            <w:r w:rsidRPr="00A43B9C">
              <w:rPr>
                <w:rFonts w:ascii="Times New Roman" w:hAnsi="Times New Roman" w:cs="Times New Roman"/>
                <w:sz w:val="28"/>
                <w:szCs w:val="28"/>
                <w:lang w:val="en-US"/>
              </w:rPr>
              <w:t>79</w:t>
            </w:r>
          </w:p>
        </w:tc>
        <w:tc>
          <w:tcPr>
            <w:tcW w:w="383" w:type="pct"/>
            <w:vAlign w:val="center"/>
          </w:tcPr>
          <w:p w14:paraId="288C570B"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69</w:t>
            </w:r>
          </w:p>
        </w:tc>
        <w:tc>
          <w:tcPr>
            <w:tcW w:w="404" w:type="pct"/>
            <w:vAlign w:val="center"/>
          </w:tcPr>
          <w:p w14:paraId="2AF3F67F"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86</w:t>
            </w:r>
          </w:p>
        </w:tc>
        <w:tc>
          <w:tcPr>
            <w:tcW w:w="383" w:type="pct"/>
            <w:vAlign w:val="center"/>
          </w:tcPr>
          <w:p w14:paraId="6C443422"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52</w:t>
            </w:r>
          </w:p>
        </w:tc>
        <w:tc>
          <w:tcPr>
            <w:tcW w:w="383" w:type="pct"/>
            <w:vAlign w:val="center"/>
          </w:tcPr>
          <w:p w14:paraId="0F90FFEE"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78</w:t>
            </w:r>
          </w:p>
        </w:tc>
        <w:tc>
          <w:tcPr>
            <w:tcW w:w="383" w:type="pct"/>
            <w:vAlign w:val="center"/>
          </w:tcPr>
          <w:p w14:paraId="48B6FF70"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53</w:t>
            </w:r>
          </w:p>
        </w:tc>
        <w:tc>
          <w:tcPr>
            <w:tcW w:w="383" w:type="pct"/>
            <w:vAlign w:val="center"/>
          </w:tcPr>
          <w:p w14:paraId="2F724B72"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77</w:t>
            </w:r>
          </w:p>
        </w:tc>
      </w:tr>
      <w:tr w:rsidR="00A43B9C" w:rsidRPr="00A43B9C" w14:paraId="504BF658" w14:textId="77777777" w:rsidTr="00F87FE6">
        <w:tc>
          <w:tcPr>
            <w:tcW w:w="786" w:type="pct"/>
            <w:vAlign w:val="center"/>
          </w:tcPr>
          <w:p w14:paraId="7E557C3B" w14:textId="77777777" w:rsidR="00DE7880" w:rsidRPr="00A43B9C" w:rsidRDefault="00DE7880"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vertAlign w:val="subscript"/>
                <w:lang w:val="en-US"/>
              </w:rPr>
              <w:t>1</w:t>
            </w:r>
          </w:p>
        </w:tc>
        <w:tc>
          <w:tcPr>
            <w:tcW w:w="675" w:type="pct"/>
            <w:vAlign w:val="center"/>
          </w:tcPr>
          <w:p w14:paraId="308BCF42" w14:textId="4957C979" w:rsidR="00DE7880" w:rsidRPr="00290AA2"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w:t>
            </w:r>
            <w:r w:rsidRPr="00A43B9C">
              <w:rPr>
                <w:rFonts w:ascii="Times New Roman" w:hAnsi="Times New Roman" w:cs="Times New Roman"/>
                <w:sz w:val="28"/>
                <w:szCs w:val="28"/>
                <w:lang w:val="en-US"/>
              </w:rPr>
              <w:t xml:space="preserve"> (17</w:t>
            </w:r>
            <w:r w:rsidR="00290AA2">
              <w:rPr>
                <w:rFonts w:ascii="Times New Roman" w:hAnsi="Times New Roman" w:cs="Times New Roman"/>
                <w:sz w:val="28"/>
                <w:szCs w:val="28"/>
              </w:rPr>
              <w:t>)</w:t>
            </w:r>
          </w:p>
        </w:tc>
        <w:tc>
          <w:tcPr>
            <w:tcW w:w="383" w:type="pct"/>
            <w:vAlign w:val="center"/>
          </w:tcPr>
          <w:p w14:paraId="7E9AD922"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87</w:t>
            </w:r>
          </w:p>
        </w:tc>
        <w:tc>
          <w:tcPr>
            <w:tcW w:w="421" w:type="pct"/>
            <w:vAlign w:val="center"/>
          </w:tcPr>
          <w:p w14:paraId="1588FC78"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78</w:t>
            </w:r>
          </w:p>
        </w:tc>
        <w:tc>
          <w:tcPr>
            <w:tcW w:w="413" w:type="pct"/>
            <w:vAlign w:val="center"/>
          </w:tcPr>
          <w:p w14:paraId="434A38AC"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w:t>
            </w:r>
          </w:p>
        </w:tc>
        <w:tc>
          <w:tcPr>
            <w:tcW w:w="383" w:type="pct"/>
            <w:vAlign w:val="center"/>
          </w:tcPr>
          <w:p w14:paraId="116CF75A"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86</w:t>
            </w:r>
          </w:p>
        </w:tc>
        <w:tc>
          <w:tcPr>
            <w:tcW w:w="404" w:type="pct"/>
            <w:vAlign w:val="center"/>
          </w:tcPr>
          <w:p w14:paraId="1C59FB82"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19</w:t>
            </w:r>
          </w:p>
        </w:tc>
        <w:tc>
          <w:tcPr>
            <w:tcW w:w="383" w:type="pct"/>
            <w:vAlign w:val="center"/>
          </w:tcPr>
          <w:p w14:paraId="43126C77"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58</w:t>
            </w:r>
          </w:p>
        </w:tc>
        <w:tc>
          <w:tcPr>
            <w:tcW w:w="383" w:type="pct"/>
            <w:vAlign w:val="center"/>
          </w:tcPr>
          <w:p w14:paraId="34D7DA96"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92</w:t>
            </w:r>
          </w:p>
        </w:tc>
        <w:tc>
          <w:tcPr>
            <w:tcW w:w="383" w:type="pct"/>
            <w:vAlign w:val="center"/>
          </w:tcPr>
          <w:p w14:paraId="57E97FA9"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56</w:t>
            </w:r>
          </w:p>
        </w:tc>
        <w:tc>
          <w:tcPr>
            <w:tcW w:w="383" w:type="pct"/>
            <w:vAlign w:val="center"/>
          </w:tcPr>
          <w:p w14:paraId="33D36810"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17</w:t>
            </w:r>
          </w:p>
        </w:tc>
      </w:tr>
      <w:tr w:rsidR="00A43B9C" w:rsidRPr="00A43B9C" w14:paraId="2ABFE012" w14:textId="77777777" w:rsidTr="00F87FE6">
        <w:tc>
          <w:tcPr>
            <w:tcW w:w="786" w:type="pct"/>
            <w:vAlign w:val="center"/>
          </w:tcPr>
          <w:p w14:paraId="0D366138" w14:textId="77777777" w:rsidR="00DE7880" w:rsidRPr="00A43B9C" w:rsidRDefault="00DE7880"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vertAlign w:val="subscript"/>
                <w:lang w:val="en-US"/>
              </w:rPr>
              <w:t>x</w:t>
            </w:r>
          </w:p>
        </w:tc>
        <w:tc>
          <w:tcPr>
            <w:tcW w:w="675" w:type="pct"/>
            <w:vAlign w:val="center"/>
          </w:tcPr>
          <w:p w14:paraId="7A3C4D40"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25</w:t>
            </w:r>
            <w:r w:rsidRPr="00A43B9C">
              <w:rPr>
                <w:rFonts w:ascii="Times New Roman" w:hAnsi="Times New Roman" w:cs="Times New Roman"/>
                <w:sz w:val="28"/>
                <w:szCs w:val="28"/>
                <w:lang w:val="en-US"/>
              </w:rPr>
              <w:t xml:space="preserve"> (47</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2)</w:t>
            </w:r>
          </w:p>
        </w:tc>
        <w:tc>
          <w:tcPr>
            <w:tcW w:w="383" w:type="pct"/>
            <w:vAlign w:val="center"/>
          </w:tcPr>
          <w:p w14:paraId="766C7B05"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73</w:t>
            </w:r>
          </w:p>
        </w:tc>
        <w:tc>
          <w:tcPr>
            <w:tcW w:w="421" w:type="pct"/>
            <w:vAlign w:val="center"/>
          </w:tcPr>
          <w:p w14:paraId="3AB868E0"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78</w:t>
            </w:r>
          </w:p>
        </w:tc>
        <w:tc>
          <w:tcPr>
            <w:tcW w:w="413" w:type="pct"/>
            <w:vAlign w:val="center"/>
          </w:tcPr>
          <w:p w14:paraId="4F9C2F2B"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02</w:t>
            </w:r>
          </w:p>
        </w:tc>
        <w:tc>
          <w:tcPr>
            <w:tcW w:w="383" w:type="pct"/>
            <w:vAlign w:val="center"/>
          </w:tcPr>
          <w:p w14:paraId="35CA5DA3"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75</w:t>
            </w:r>
          </w:p>
        </w:tc>
        <w:tc>
          <w:tcPr>
            <w:tcW w:w="404" w:type="pct"/>
            <w:vAlign w:val="center"/>
          </w:tcPr>
          <w:p w14:paraId="2F7707F7"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97</w:t>
            </w:r>
          </w:p>
        </w:tc>
        <w:tc>
          <w:tcPr>
            <w:tcW w:w="383" w:type="pct"/>
            <w:vAlign w:val="center"/>
          </w:tcPr>
          <w:p w14:paraId="047948BB"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66</w:t>
            </w:r>
          </w:p>
        </w:tc>
        <w:tc>
          <w:tcPr>
            <w:tcW w:w="383" w:type="pct"/>
            <w:vAlign w:val="center"/>
          </w:tcPr>
          <w:p w14:paraId="3BE7D1AD"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00</w:t>
            </w:r>
          </w:p>
        </w:tc>
        <w:tc>
          <w:tcPr>
            <w:tcW w:w="383" w:type="pct"/>
            <w:vAlign w:val="center"/>
          </w:tcPr>
          <w:p w14:paraId="4763A5FA"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60</w:t>
            </w:r>
          </w:p>
        </w:tc>
        <w:tc>
          <w:tcPr>
            <w:tcW w:w="383" w:type="pct"/>
            <w:vAlign w:val="center"/>
          </w:tcPr>
          <w:p w14:paraId="54E33046"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86</w:t>
            </w:r>
          </w:p>
        </w:tc>
      </w:tr>
      <w:tr w:rsidR="00DE7880" w:rsidRPr="00A43B9C" w14:paraId="170BDCDD" w14:textId="77777777" w:rsidTr="00F87FE6">
        <w:tc>
          <w:tcPr>
            <w:tcW w:w="5000" w:type="pct"/>
            <w:gridSpan w:val="11"/>
            <w:vAlign w:val="center"/>
          </w:tcPr>
          <w:p w14:paraId="1E03E8EF" w14:textId="77777777" w:rsidR="00DE7880" w:rsidRPr="00A43B9C" w:rsidRDefault="00DE7880"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 xml:space="preserve">M </w:t>
            </w:r>
            <w:r w:rsidRPr="00A43B9C">
              <w:rPr>
                <w:rFonts w:ascii="Times New Roman" w:hAnsi="Times New Roman" w:cs="Times New Roman"/>
                <w:sz w:val="28"/>
                <w:szCs w:val="28"/>
              </w:rPr>
              <w:t>стадия</w:t>
            </w:r>
          </w:p>
        </w:tc>
      </w:tr>
      <w:tr w:rsidR="00A43B9C" w:rsidRPr="00A43B9C" w14:paraId="58711A1D" w14:textId="77777777" w:rsidTr="00F87FE6">
        <w:tc>
          <w:tcPr>
            <w:tcW w:w="786" w:type="pct"/>
            <w:vAlign w:val="center"/>
          </w:tcPr>
          <w:p w14:paraId="3D24BB10" w14:textId="77777777" w:rsidR="00DE7880" w:rsidRPr="00A43B9C" w:rsidRDefault="00DE7880"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M</w:t>
            </w:r>
            <w:r w:rsidRPr="00A43B9C">
              <w:rPr>
                <w:rFonts w:ascii="Times New Roman" w:hAnsi="Times New Roman" w:cs="Times New Roman"/>
                <w:sz w:val="28"/>
                <w:szCs w:val="28"/>
                <w:vertAlign w:val="subscript"/>
                <w:lang w:val="en-US"/>
              </w:rPr>
              <w:t>0</w:t>
            </w:r>
          </w:p>
        </w:tc>
        <w:tc>
          <w:tcPr>
            <w:tcW w:w="675" w:type="pct"/>
            <w:vAlign w:val="center"/>
          </w:tcPr>
          <w:p w14:paraId="4529382B"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53 (100)</w:t>
            </w:r>
          </w:p>
        </w:tc>
        <w:tc>
          <w:tcPr>
            <w:tcW w:w="383" w:type="pct"/>
            <w:vAlign w:val="center"/>
          </w:tcPr>
          <w:p w14:paraId="595C9DEA"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81</w:t>
            </w:r>
          </w:p>
        </w:tc>
        <w:tc>
          <w:tcPr>
            <w:tcW w:w="421" w:type="pct"/>
            <w:vAlign w:val="center"/>
          </w:tcPr>
          <w:p w14:paraId="5123011C"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75</w:t>
            </w:r>
          </w:p>
        </w:tc>
        <w:tc>
          <w:tcPr>
            <w:tcW w:w="413" w:type="pct"/>
            <w:vAlign w:val="center"/>
          </w:tcPr>
          <w:p w14:paraId="46EE669D"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96</w:t>
            </w:r>
          </w:p>
        </w:tc>
        <w:tc>
          <w:tcPr>
            <w:tcW w:w="383" w:type="pct"/>
            <w:vAlign w:val="center"/>
          </w:tcPr>
          <w:p w14:paraId="42E36DE6"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76</w:t>
            </w:r>
          </w:p>
        </w:tc>
        <w:tc>
          <w:tcPr>
            <w:tcW w:w="404" w:type="pct"/>
            <w:vAlign w:val="center"/>
          </w:tcPr>
          <w:p w14:paraId="29FBFABB"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94</w:t>
            </w:r>
          </w:p>
        </w:tc>
        <w:tc>
          <w:tcPr>
            <w:tcW w:w="383" w:type="pct"/>
            <w:vAlign w:val="center"/>
          </w:tcPr>
          <w:p w14:paraId="42CE9A2C"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55</w:t>
            </w:r>
          </w:p>
        </w:tc>
        <w:tc>
          <w:tcPr>
            <w:tcW w:w="383" w:type="pct"/>
            <w:vAlign w:val="center"/>
          </w:tcPr>
          <w:p w14:paraId="0AFD5358"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85</w:t>
            </w:r>
          </w:p>
        </w:tc>
        <w:tc>
          <w:tcPr>
            <w:tcW w:w="383" w:type="pct"/>
            <w:vAlign w:val="center"/>
          </w:tcPr>
          <w:p w14:paraId="337303C7"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57</w:t>
            </w:r>
          </w:p>
        </w:tc>
        <w:tc>
          <w:tcPr>
            <w:tcW w:w="383" w:type="pct"/>
            <w:vAlign w:val="center"/>
          </w:tcPr>
          <w:p w14:paraId="5E64B498"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89</w:t>
            </w:r>
          </w:p>
        </w:tc>
      </w:tr>
      <w:tr w:rsidR="00DE7880" w:rsidRPr="00A43B9C" w14:paraId="53C8D3ED" w14:textId="77777777" w:rsidTr="00F87FE6">
        <w:tc>
          <w:tcPr>
            <w:tcW w:w="5000" w:type="pct"/>
            <w:gridSpan w:val="11"/>
            <w:vAlign w:val="center"/>
          </w:tcPr>
          <w:p w14:paraId="06039DC9" w14:textId="77777777" w:rsidR="00DE7880" w:rsidRPr="00A43B9C" w:rsidRDefault="00DE7880"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 xml:space="preserve">FIGO </w:t>
            </w:r>
            <w:r w:rsidRPr="00A43B9C">
              <w:rPr>
                <w:rFonts w:ascii="Times New Roman" w:hAnsi="Times New Roman" w:cs="Times New Roman"/>
                <w:sz w:val="28"/>
                <w:szCs w:val="28"/>
              </w:rPr>
              <w:t>стадия</w:t>
            </w:r>
          </w:p>
        </w:tc>
      </w:tr>
      <w:tr w:rsidR="00A43B9C" w:rsidRPr="00A43B9C" w14:paraId="1856FD97" w14:textId="77777777" w:rsidTr="00F87FE6">
        <w:tc>
          <w:tcPr>
            <w:tcW w:w="786" w:type="pct"/>
            <w:vAlign w:val="center"/>
          </w:tcPr>
          <w:p w14:paraId="5A7715DF" w14:textId="77777777" w:rsidR="00DE7880" w:rsidRPr="00A43B9C" w:rsidRDefault="00DE7880"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I</w:t>
            </w:r>
          </w:p>
        </w:tc>
        <w:tc>
          <w:tcPr>
            <w:tcW w:w="675" w:type="pct"/>
            <w:vAlign w:val="center"/>
          </w:tcPr>
          <w:p w14:paraId="258EDFA2"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8</w:t>
            </w:r>
            <w:r w:rsidRPr="00A43B9C">
              <w:rPr>
                <w:rFonts w:ascii="Times New Roman" w:hAnsi="Times New Roman" w:cs="Times New Roman"/>
                <w:sz w:val="28"/>
                <w:szCs w:val="28"/>
                <w:lang w:val="en-US"/>
              </w:rPr>
              <w:t xml:space="preserve"> (15</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1)</w:t>
            </w:r>
          </w:p>
        </w:tc>
        <w:tc>
          <w:tcPr>
            <w:tcW w:w="383" w:type="pct"/>
            <w:vAlign w:val="center"/>
          </w:tcPr>
          <w:p w14:paraId="75261899"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79</w:t>
            </w:r>
          </w:p>
        </w:tc>
        <w:tc>
          <w:tcPr>
            <w:tcW w:w="421" w:type="pct"/>
            <w:vAlign w:val="center"/>
          </w:tcPr>
          <w:p w14:paraId="518AA21D"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81</w:t>
            </w:r>
          </w:p>
        </w:tc>
        <w:tc>
          <w:tcPr>
            <w:tcW w:w="413" w:type="pct"/>
            <w:vAlign w:val="center"/>
          </w:tcPr>
          <w:p w14:paraId="4E7A082D"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72</w:t>
            </w:r>
          </w:p>
        </w:tc>
        <w:tc>
          <w:tcPr>
            <w:tcW w:w="383" w:type="pct"/>
            <w:vAlign w:val="center"/>
          </w:tcPr>
          <w:p w14:paraId="3A9897CA"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81</w:t>
            </w:r>
          </w:p>
        </w:tc>
        <w:tc>
          <w:tcPr>
            <w:tcW w:w="404" w:type="pct"/>
            <w:vAlign w:val="center"/>
          </w:tcPr>
          <w:p w14:paraId="0B03FA60" w14:textId="62631C9A"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000170A7">
              <w:rPr>
                <w:rFonts w:ascii="Times New Roman" w:hAnsi="Times New Roman" w:cs="Times New Roman"/>
                <w:sz w:val="28"/>
                <w:szCs w:val="28"/>
              </w:rPr>
              <w:t>,</w:t>
            </w:r>
            <w:r w:rsidRPr="00A43B9C">
              <w:rPr>
                <w:rFonts w:ascii="Times New Roman" w:hAnsi="Times New Roman" w:cs="Times New Roman"/>
                <w:sz w:val="28"/>
                <w:szCs w:val="28"/>
                <w:lang w:val="en-US"/>
              </w:rPr>
              <w:t>88</w:t>
            </w:r>
          </w:p>
        </w:tc>
        <w:tc>
          <w:tcPr>
            <w:tcW w:w="383" w:type="pct"/>
            <w:vAlign w:val="center"/>
          </w:tcPr>
          <w:p w14:paraId="32A8EE1F"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54</w:t>
            </w:r>
          </w:p>
        </w:tc>
        <w:tc>
          <w:tcPr>
            <w:tcW w:w="383" w:type="pct"/>
            <w:vAlign w:val="center"/>
          </w:tcPr>
          <w:p w14:paraId="15C3EC69"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78</w:t>
            </w:r>
          </w:p>
        </w:tc>
        <w:tc>
          <w:tcPr>
            <w:tcW w:w="383" w:type="pct"/>
            <w:vAlign w:val="center"/>
          </w:tcPr>
          <w:p w14:paraId="1851471F"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58</w:t>
            </w:r>
          </w:p>
        </w:tc>
        <w:tc>
          <w:tcPr>
            <w:tcW w:w="383" w:type="pct"/>
            <w:vAlign w:val="center"/>
          </w:tcPr>
          <w:p w14:paraId="012234FA"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95</w:t>
            </w:r>
          </w:p>
        </w:tc>
      </w:tr>
      <w:tr w:rsidR="00A43B9C" w:rsidRPr="00A43B9C" w14:paraId="1D53E5D7" w14:textId="77777777" w:rsidTr="00F87FE6">
        <w:tc>
          <w:tcPr>
            <w:tcW w:w="786" w:type="pct"/>
            <w:vAlign w:val="center"/>
          </w:tcPr>
          <w:p w14:paraId="5C4B481F" w14:textId="77777777" w:rsidR="00DE7880" w:rsidRPr="00A43B9C" w:rsidRDefault="00DE7880"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II</w:t>
            </w:r>
          </w:p>
        </w:tc>
        <w:tc>
          <w:tcPr>
            <w:tcW w:w="675" w:type="pct"/>
            <w:vAlign w:val="center"/>
          </w:tcPr>
          <w:p w14:paraId="4F1AB06E"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13</w:t>
            </w:r>
            <w:r w:rsidRPr="00A43B9C">
              <w:rPr>
                <w:rFonts w:ascii="Times New Roman" w:hAnsi="Times New Roman" w:cs="Times New Roman"/>
                <w:sz w:val="28"/>
                <w:szCs w:val="28"/>
                <w:lang w:val="en-US"/>
              </w:rPr>
              <w:t xml:space="preserve"> (24</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w:t>
            </w:r>
          </w:p>
        </w:tc>
        <w:tc>
          <w:tcPr>
            <w:tcW w:w="383" w:type="pct"/>
            <w:vAlign w:val="center"/>
          </w:tcPr>
          <w:p w14:paraId="4DEF41FA"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77</w:t>
            </w:r>
          </w:p>
        </w:tc>
        <w:tc>
          <w:tcPr>
            <w:tcW w:w="421" w:type="pct"/>
            <w:vAlign w:val="center"/>
          </w:tcPr>
          <w:p w14:paraId="6EC301BD"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62</w:t>
            </w:r>
          </w:p>
        </w:tc>
        <w:tc>
          <w:tcPr>
            <w:tcW w:w="413" w:type="pct"/>
            <w:vAlign w:val="center"/>
          </w:tcPr>
          <w:p w14:paraId="4A269B68"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82</w:t>
            </w:r>
          </w:p>
        </w:tc>
        <w:tc>
          <w:tcPr>
            <w:tcW w:w="383" w:type="pct"/>
            <w:vAlign w:val="center"/>
          </w:tcPr>
          <w:p w14:paraId="4624C66A"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68</w:t>
            </w:r>
          </w:p>
        </w:tc>
        <w:tc>
          <w:tcPr>
            <w:tcW w:w="404" w:type="pct"/>
            <w:vAlign w:val="center"/>
          </w:tcPr>
          <w:p w14:paraId="0BDC9DFD"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86</w:t>
            </w:r>
          </w:p>
        </w:tc>
        <w:tc>
          <w:tcPr>
            <w:tcW w:w="383" w:type="pct"/>
            <w:vAlign w:val="center"/>
          </w:tcPr>
          <w:p w14:paraId="29A59F58"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45</w:t>
            </w:r>
          </w:p>
        </w:tc>
        <w:tc>
          <w:tcPr>
            <w:tcW w:w="383" w:type="pct"/>
            <w:vAlign w:val="center"/>
          </w:tcPr>
          <w:p w14:paraId="51DEC1CB"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74</w:t>
            </w:r>
          </w:p>
        </w:tc>
        <w:tc>
          <w:tcPr>
            <w:tcW w:w="383" w:type="pct"/>
            <w:vAlign w:val="center"/>
          </w:tcPr>
          <w:p w14:paraId="69BD65E1"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51</w:t>
            </w:r>
          </w:p>
        </w:tc>
        <w:tc>
          <w:tcPr>
            <w:tcW w:w="383" w:type="pct"/>
            <w:vAlign w:val="center"/>
          </w:tcPr>
          <w:p w14:paraId="21FA607A"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78</w:t>
            </w:r>
          </w:p>
        </w:tc>
      </w:tr>
      <w:tr w:rsidR="00A43B9C" w:rsidRPr="00A43B9C" w14:paraId="5743651A" w14:textId="77777777" w:rsidTr="00F87FE6">
        <w:tc>
          <w:tcPr>
            <w:tcW w:w="786" w:type="pct"/>
            <w:vAlign w:val="center"/>
          </w:tcPr>
          <w:p w14:paraId="36A52174" w14:textId="77777777" w:rsidR="00DE7880" w:rsidRPr="00A43B9C" w:rsidRDefault="00DE7880"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III</w:t>
            </w:r>
          </w:p>
        </w:tc>
        <w:tc>
          <w:tcPr>
            <w:tcW w:w="675" w:type="pct"/>
            <w:vAlign w:val="center"/>
          </w:tcPr>
          <w:p w14:paraId="78012964"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32</w:t>
            </w:r>
            <w:r w:rsidRPr="00A43B9C">
              <w:rPr>
                <w:rFonts w:ascii="Times New Roman" w:hAnsi="Times New Roman" w:cs="Times New Roman"/>
                <w:sz w:val="28"/>
                <w:szCs w:val="28"/>
                <w:lang w:val="en-US"/>
              </w:rPr>
              <w:t xml:space="preserve"> (60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4)</w:t>
            </w:r>
          </w:p>
        </w:tc>
        <w:tc>
          <w:tcPr>
            <w:tcW w:w="383" w:type="pct"/>
            <w:vAlign w:val="center"/>
          </w:tcPr>
          <w:p w14:paraId="5F9DE1C1"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85</w:t>
            </w:r>
          </w:p>
        </w:tc>
        <w:tc>
          <w:tcPr>
            <w:tcW w:w="421" w:type="pct"/>
            <w:vAlign w:val="center"/>
          </w:tcPr>
          <w:p w14:paraId="46EA8FD7"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78</w:t>
            </w:r>
          </w:p>
        </w:tc>
        <w:tc>
          <w:tcPr>
            <w:tcW w:w="413" w:type="pct"/>
            <w:vAlign w:val="center"/>
          </w:tcPr>
          <w:p w14:paraId="2F9D0612"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04</w:t>
            </w:r>
          </w:p>
        </w:tc>
        <w:tc>
          <w:tcPr>
            <w:tcW w:w="383" w:type="pct"/>
            <w:vAlign w:val="center"/>
          </w:tcPr>
          <w:p w14:paraId="35FEA7A6"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90</w:t>
            </w:r>
          </w:p>
        </w:tc>
        <w:tc>
          <w:tcPr>
            <w:tcW w:w="404" w:type="pct"/>
            <w:vAlign w:val="center"/>
          </w:tcPr>
          <w:p w14:paraId="05724D3F"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0</w:t>
            </w:r>
          </w:p>
        </w:tc>
        <w:tc>
          <w:tcPr>
            <w:tcW w:w="383" w:type="pct"/>
            <w:vAlign w:val="center"/>
          </w:tcPr>
          <w:p w14:paraId="0D0A175F"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w:t>
            </w:r>
          </w:p>
        </w:tc>
        <w:tc>
          <w:tcPr>
            <w:tcW w:w="383" w:type="pct"/>
            <w:vAlign w:val="center"/>
          </w:tcPr>
          <w:p w14:paraId="572F54CD"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96</w:t>
            </w:r>
          </w:p>
        </w:tc>
        <w:tc>
          <w:tcPr>
            <w:tcW w:w="383" w:type="pct"/>
            <w:vAlign w:val="center"/>
          </w:tcPr>
          <w:p w14:paraId="4DD52CA4"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6</w:t>
            </w:r>
          </w:p>
        </w:tc>
        <w:tc>
          <w:tcPr>
            <w:tcW w:w="383" w:type="pct"/>
            <w:vAlign w:val="center"/>
          </w:tcPr>
          <w:p w14:paraId="061E6633"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93</w:t>
            </w:r>
          </w:p>
        </w:tc>
      </w:tr>
      <w:tr w:rsidR="00DE7880" w:rsidRPr="00A43B9C" w14:paraId="108069F9" w14:textId="77777777" w:rsidTr="00F87FE6">
        <w:tc>
          <w:tcPr>
            <w:tcW w:w="5000" w:type="pct"/>
            <w:gridSpan w:val="11"/>
            <w:vAlign w:val="center"/>
          </w:tcPr>
          <w:p w14:paraId="4F8A8796" w14:textId="669DEB5C" w:rsidR="00DE7880" w:rsidRPr="00A43B9C" w:rsidRDefault="00DE7880"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rPr>
              <w:t>Гистология</w:t>
            </w:r>
            <w:r w:rsidR="006E2E0F" w:rsidRPr="00A43B9C">
              <w:rPr>
                <w:rFonts w:ascii="Times New Roman" w:hAnsi="Times New Roman" w:cs="Times New Roman"/>
                <w:sz w:val="28"/>
                <w:szCs w:val="28"/>
              </w:rPr>
              <w:t>*</w:t>
            </w:r>
          </w:p>
        </w:tc>
      </w:tr>
      <w:tr w:rsidR="00A43B9C" w:rsidRPr="00A43B9C" w14:paraId="7C836507" w14:textId="77777777" w:rsidTr="00F87FE6">
        <w:tc>
          <w:tcPr>
            <w:tcW w:w="786" w:type="pct"/>
            <w:vAlign w:val="center"/>
          </w:tcPr>
          <w:p w14:paraId="296E3F30" w14:textId="52363D80" w:rsidR="00DE7880" w:rsidRPr="00A43B9C" w:rsidRDefault="00F810DF" w:rsidP="00F810DF">
            <w:pPr>
              <w:spacing w:after="0" w:line="240" w:lineRule="auto"/>
              <w:jc w:val="both"/>
              <w:rPr>
                <w:rFonts w:ascii="Times New Roman" w:hAnsi="Times New Roman" w:cs="Times New Roman"/>
                <w:iCs/>
                <w:sz w:val="28"/>
                <w:szCs w:val="28"/>
                <w:lang w:val="en-US"/>
              </w:rPr>
            </w:pPr>
            <w:r w:rsidRPr="00A43B9C">
              <w:rPr>
                <w:rFonts w:ascii="Times New Roman" w:hAnsi="Times New Roman" w:cs="Times New Roman"/>
                <w:bCs/>
                <w:iCs/>
                <w:sz w:val="28"/>
                <w:szCs w:val="28"/>
                <w:lang w:val="en-US"/>
              </w:rPr>
              <w:t>I</w:t>
            </w:r>
          </w:p>
        </w:tc>
        <w:tc>
          <w:tcPr>
            <w:tcW w:w="675" w:type="pct"/>
            <w:vAlign w:val="center"/>
          </w:tcPr>
          <w:p w14:paraId="057AE417"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21</w:t>
            </w:r>
            <w:r w:rsidRPr="00A43B9C">
              <w:rPr>
                <w:rFonts w:ascii="Times New Roman" w:hAnsi="Times New Roman" w:cs="Times New Roman"/>
                <w:sz w:val="28"/>
                <w:szCs w:val="28"/>
                <w:lang w:val="en-US"/>
              </w:rPr>
              <w:t xml:space="preserve"> (39</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6)</w:t>
            </w:r>
          </w:p>
        </w:tc>
        <w:tc>
          <w:tcPr>
            <w:tcW w:w="383" w:type="pct"/>
            <w:vAlign w:val="center"/>
          </w:tcPr>
          <w:p w14:paraId="568CFD0D"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73</w:t>
            </w:r>
          </w:p>
        </w:tc>
        <w:tc>
          <w:tcPr>
            <w:tcW w:w="421" w:type="pct"/>
            <w:vAlign w:val="center"/>
          </w:tcPr>
          <w:p w14:paraId="79D4CC7D"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75</w:t>
            </w:r>
          </w:p>
        </w:tc>
        <w:tc>
          <w:tcPr>
            <w:tcW w:w="413" w:type="pct"/>
            <w:vAlign w:val="center"/>
          </w:tcPr>
          <w:p w14:paraId="73B5BF68"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w:t>
            </w:r>
          </w:p>
        </w:tc>
        <w:tc>
          <w:tcPr>
            <w:tcW w:w="383" w:type="pct"/>
            <w:vAlign w:val="center"/>
          </w:tcPr>
          <w:p w14:paraId="1E7CFD7B"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75</w:t>
            </w:r>
          </w:p>
        </w:tc>
        <w:tc>
          <w:tcPr>
            <w:tcW w:w="404" w:type="pct"/>
            <w:vAlign w:val="center"/>
          </w:tcPr>
          <w:p w14:paraId="3C152589"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w:t>
            </w:r>
          </w:p>
        </w:tc>
        <w:tc>
          <w:tcPr>
            <w:tcW w:w="383" w:type="pct"/>
            <w:vAlign w:val="center"/>
          </w:tcPr>
          <w:p w14:paraId="124DC80C"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52</w:t>
            </w:r>
          </w:p>
        </w:tc>
        <w:tc>
          <w:tcPr>
            <w:tcW w:w="383" w:type="pct"/>
            <w:vAlign w:val="center"/>
          </w:tcPr>
          <w:p w14:paraId="4D002E94"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82</w:t>
            </w:r>
          </w:p>
        </w:tc>
        <w:tc>
          <w:tcPr>
            <w:tcW w:w="383" w:type="pct"/>
            <w:vAlign w:val="center"/>
          </w:tcPr>
          <w:p w14:paraId="1B07C2C7"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59</w:t>
            </w:r>
          </w:p>
        </w:tc>
        <w:tc>
          <w:tcPr>
            <w:tcW w:w="383" w:type="pct"/>
            <w:vAlign w:val="center"/>
          </w:tcPr>
          <w:p w14:paraId="13C80C0F"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79</w:t>
            </w:r>
          </w:p>
        </w:tc>
      </w:tr>
      <w:tr w:rsidR="00A43B9C" w:rsidRPr="00A43B9C" w14:paraId="67E30DCD" w14:textId="77777777" w:rsidTr="00F87FE6">
        <w:tc>
          <w:tcPr>
            <w:tcW w:w="786" w:type="pct"/>
            <w:vAlign w:val="center"/>
          </w:tcPr>
          <w:p w14:paraId="57C7A59E" w14:textId="3355D0C5" w:rsidR="00DE7880" w:rsidRPr="00A43B9C" w:rsidRDefault="00F810DF" w:rsidP="00F810DF">
            <w:pPr>
              <w:spacing w:after="0" w:line="240" w:lineRule="auto"/>
              <w:jc w:val="both"/>
              <w:rPr>
                <w:rFonts w:ascii="Times New Roman" w:hAnsi="Times New Roman" w:cs="Times New Roman"/>
                <w:iCs/>
                <w:sz w:val="28"/>
                <w:szCs w:val="28"/>
                <w:lang w:val="en-US"/>
              </w:rPr>
            </w:pPr>
            <w:r w:rsidRPr="00A43B9C">
              <w:rPr>
                <w:rFonts w:ascii="Times New Roman" w:hAnsi="Times New Roman" w:cs="Times New Roman"/>
                <w:bCs/>
                <w:iCs/>
                <w:sz w:val="28"/>
                <w:szCs w:val="28"/>
                <w:lang w:val="en-US"/>
              </w:rPr>
              <w:t>II</w:t>
            </w:r>
          </w:p>
        </w:tc>
        <w:tc>
          <w:tcPr>
            <w:tcW w:w="675" w:type="pct"/>
            <w:vAlign w:val="center"/>
          </w:tcPr>
          <w:p w14:paraId="212983C7"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15</w:t>
            </w:r>
            <w:r w:rsidRPr="00A43B9C">
              <w:rPr>
                <w:rFonts w:ascii="Times New Roman" w:hAnsi="Times New Roman" w:cs="Times New Roman"/>
                <w:sz w:val="28"/>
                <w:szCs w:val="28"/>
                <w:lang w:val="en-US"/>
              </w:rPr>
              <w:t xml:space="preserve"> (28</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3)</w:t>
            </w:r>
          </w:p>
        </w:tc>
        <w:tc>
          <w:tcPr>
            <w:tcW w:w="383" w:type="pct"/>
            <w:vAlign w:val="center"/>
          </w:tcPr>
          <w:p w14:paraId="50B139EA"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94</w:t>
            </w:r>
          </w:p>
        </w:tc>
        <w:tc>
          <w:tcPr>
            <w:tcW w:w="421" w:type="pct"/>
            <w:vAlign w:val="center"/>
          </w:tcPr>
          <w:p w14:paraId="3A07B0EE"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97</w:t>
            </w:r>
          </w:p>
        </w:tc>
        <w:tc>
          <w:tcPr>
            <w:tcW w:w="413" w:type="pct"/>
            <w:vAlign w:val="center"/>
          </w:tcPr>
          <w:p w14:paraId="541B7C04"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06</w:t>
            </w:r>
          </w:p>
        </w:tc>
        <w:tc>
          <w:tcPr>
            <w:tcW w:w="383" w:type="pct"/>
            <w:vAlign w:val="center"/>
          </w:tcPr>
          <w:p w14:paraId="3D719253"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83</w:t>
            </w:r>
          </w:p>
        </w:tc>
        <w:tc>
          <w:tcPr>
            <w:tcW w:w="404" w:type="pct"/>
            <w:vAlign w:val="center"/>
          </w:tcPr>
          <w:p w14:paraId="49075112"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92</w:t>
            </w:r>
          </w:p>
        </w:tc>
        <w:tc>
          <w:tcPr>
            <w:tcW w:w="383" w:type="pct"/>
            <w:vAlign w:val="center"/>
          </w:tcPr>
          <w:p w14:paraId="38BDEDFD"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58</w:t>
            </w:r>
          </w:p>
        </w:tc>
        <w:tc>
          <w:tcPr>
            <w:tcW w:w="383" w:type="pct"/>
            <w:vAlign w:val="center"/>
          </w:tcPr>
          <w:p w14:paraId="695FE391"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92</w:t>
            </w:r>
          </w:p>
        </w:tc>
        <w:tc>
          <w:tcPr>
            <w:tcW w:w="383" w:type="pct"/>
            <w:vAlign w:val="center"/>
          </w:tcPr>
          <w:p w14:paraId="1EAA17A8"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58</w:t>
            </w:r>
          </w:p>
        </w:tc>
        <w:tc>
          <w:tcPr>
            <w:tcW w:w="383" w:type="pct"/>
            <w:vAlign w:val="center"/>
          </w:tcPr>
          <w:p w14:paraId="7E5A43AC"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98</w:t>
            </w:r>
          </w:p>
        </w:tc>
      </w:tr>
      <w:tr w:rsidR="00A43B9C" w:rsidRPr="00A43B9C" w14:paraId="0B32639A" w14:textId="77777777" w:rsidTr="00F87FE6">
        <w:tc>
          <w:tcPr>
            <w:tcW w:w="786" w:type="pct"/>
            <w:vAlign w:val="center"/>
          </w:tcPr>
          <w:p w14:paraId="0C95561B" w14:textId="7BD49A71" w:rsidR="00DE7880" w:rsidRPr="00A43B9C" w:rsidRDefault="00F810DF" w:rsidP="00F810DF">
            <w:pPr>
              <w:spacing w:after="0" w:line="240" w:lineRule="auto"/>
              <w:jc w:val="both"/>
              <w:rPr>
                <w:rFonts w:ascii="Times New Roman" w:hAnsi="Times New Roman" w:cs="Times New Roman"/>
                <w:iCs/>
                <w:sz w:val="28"/>
                <w:szCs w:val="28"/>
                <w:lang w:val="en-US"/>
              </w:rPr>
            </w:pPr>
            <w:r w:rsidRPr="00A43B9C">
              <w:rPr>
                <w:rFonts w:ascii="Times New Roman" w:hAnsi="Times New Roman" w:cs="Times New Roman"/>
                <w:bCs/>
                <w:iCs/>
                <w:sz w:val="28"/>
                <w:szCs w:val="28"/>
                <w:lang w:val="en-US"/>
              </w:rPr>
              <w:t>III</w:t>
            </w:r>
          </w:p>
        </w:tc>
        <w:tc>
          <w:tcPr>
            <w:tcW w:w="675" w:type="pct"/>
            <w:vAlign w:val="center"/>
          </w:tcPr>
          <w:p w14:paraId="5814FB1C"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17</w:t>
            </w:r>
            <w:r w:rsidRPr="00A43B9C">
              <w:rPr>
                <w:rFonts w:ascii="Times New Roman" w:hAnsi="Times New Roman" w:cs="Times New Roman"/>
                <w:sz w:val="28"/>
                <w:szCs w:val="28"/>
                <w:lang w:val="en-US"/>
              </w:rPr>
              <w:t xml:space="preserve"> (32</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1)</w:t>
            </w:r>
          </w:p>
        </w:tc>
        <w:tc>
          <w:tcPr>
            <w:tcW w:w="383" w:type="pct"/>
            <w:vAlign w:val="center"/>
          </w:tcPr>
          <w:p w14:paraId="37F24EF1"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79</w:t>
            </w:r>
          </w:p>
        </w:tc>
        <w:tc>
          <w:tcPr>
            <w:tcW w:w="421" w:type="pct"/>
            <w:vAlign w:val="center"/>
          </w:tcPr>
          <w:p w14:paraId="65CB515C"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68</w:t>
            </w:r>
          </w:p>
        </w:tc>
        <w:tc>
          <w:tcPr>
            <w:tcW w:w="413" w:type="pct"/>
            <w:vAlign w:val="center"/>
          </w:tcPr>
          <w:p w14:paraId="43FD2025"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96</w:t>
            </w:r>
          </w:p>
        </w:tc>
        <w:tc>
          <w:tcPr>
            <w:tcW w:w="383" w:type="pct"/>
            <w:vAlign w:val="center"/>
          </w:tcPr>
          <w:p w14:paraId="60C71098"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72</w:t>
            </w:r>
          </w:p>
        </w:tc>
        <w:tc>
          <w:tcPr>
            <w:tcW w:w="404" w:type="pct"/>
            <w:vAlign w:val="center"/>
          </w:tcPr>
          <w:p w14:paraId="4FD4794D"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01</w:t>
            </w:r>
          </w:p>
        </w:tc>
        <w:tc>
          <w:tcPr>
            <w:tcW w:w="383" w:type="pct"/>
            <w:vAlign w:val="center"/>
          </w:tcPr>
          <w:p w14:paraId="253E4FE6"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55</w:t>
            </w:r>
          </w:p>
        </w:tc>
        <w:tc>
          <w:tcPr>
            <w:tcW w:w="383" w:type="pct"/>
            <w:vAlign w:val="center"/>
          </w:tcPr>
          <w:p w14:paraId="628BE49F"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83</w:t>
            </w:r>
          </w:p>
        </w:tc>
        <w:tc>
          <w:tcPr>
            <w:tcW w:w="383" w:type="pct"/>
            <w:vAlign w:val="center"/>
          </w:tcPr>
          <w:p w14:paraId="2BCE9F33"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56</w:t>
            </w:r>
          </w:p>
        </w:tc>
        <w:tc>
          <w:tcPr>
            <w:tcW w:w="383" w:type="pct"/>
            <w:vAlign w:val="center"/>
          </w:tcPr>
          <w:p w14:paraId="30BE2F89"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95</w:t>
            </w:r>
          </w:p>
        </w:tc>
      </w:tr>
      <w:tr w:rsidR="00105031" w:rsidRPr="00A43B9C" w14:paraId="6D07355B" w14:textId="77777777" w:rsidTr="00F87FE6">
        <w:tc>
          <w:tcPr>
            <w:tcW w:w="5000" w:type="pct"/>
            <w:gridSpan w:val="11"/>
            <w:vAlign w:val="center"/>
          </w:tcPr>
          <w:p w14:paraId="626C3A58" w14:textId="73994EFC" w:rsidR="00105031" w:rsidRPr="00A43B9C" w:rsidRDefault="00105031" w:rsidP="000048BD">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iCs/>
                <w:sz w:val="24"/>
                <w:szCs w:val="24"/>
              </w:rPr>
              <w:t xml:space="preserve">Примечания: </w:t>
            </w:r>
            <w:r w:rsidR="006E2E0F" w:rsidRPr="00A43B9C">
              <w:rPr>
                <w:rFonts w:ascii="Times New Roman" w:hAnsi="Times New Roman" w:cs="Times New Roman"/>
                <w:iCs/>
                <w:sz w:val="24"/>
                <w:szCs w:val="24"/>
              </w:rPr>
              <w:t>*</w:t>
            </w:r>
            <w:r w:rsidRPr="00A43B9C">
              <w:rPr>
                <w:rFonts w:ascii="Times New Roman" w:hAnsi="Times New Roman" w:cs="Times New Roman"/>
                <w:bCs/>
                <w:iCs/>
                <w:sz w:val="24"/>
                <w:szCs w:val="24"/>
                <w:lang w:val="en-US"/>
              </w:rPr>
              <w:t>I</w:t>
            </w:r>
            <w:r w:rsidRPr="00A43B9C">
              <w:rPr>
                <w:rFonts w:ascii="Times New Roman" w:hAnsi="Times New Roman" w:cs="Times New Roman"/>
                <w:bCs/>
                <w:iCs/>
                <w:sz w:val="24"/>
                <w:szCs w:val="24"/>
              </w:rPr>
              <w:t xml:space="preserve"> – Аденокарцинома; </w:t>
            </w:r>
            <w:r w:rsidRPr="00A43B9C">
              <w:rPr>
                <w:rFonts w:ascii="Times New Roman" w:hAnsi="Times New Roman" w:cs="Times New Roman"/>
                <w:bCs/>
                <w:iCs/>
                <w:sz w:val="24"/>
                <w:szCs w:val="24"/>
                <w:lang w:val="en-US"/>
              </w:rPr>
              <w:t>II</w:t>
            </w:r>
            <w:r w:rsidRPr="00A43B9C">
              <w:rPr>
                <w:rFonts w:ascii="Times New Roman" w:hAnsi="Times New Roman" w:cs="Times New Roman"/>
                <w:bCs/>
                <w:iCs/>
                <w:sz w:val="24"/>
                <w:szCs w:val="24"/>
              </w:rPr>
              <w:t xml:space="preserve"> – Карцинома; </w:t>
            </w:r>
            <w:r w:rsidRPr="00A43B9C">
              <w:rPr>
                <w:rFonts w:ascii="Times New Roman" w:hAnsi="Times New Roman" w:cs="Times New Roman"/>
                <w:bCs/>
                <w:iCs/>
                <w:sz w:val="24"/>
                <w:szCs w:val="24"/>
                <w:lang w:val="en-US"/>
              </w:rPr>
              <w:t>III</w:t>
            </w:r>
            <w:r w:rsidRPr="00A43B9C">
              <w:rPr>
                <w:rFonts w:ascii="Times New Roman" w:hAnsi="Times New Roman" w:cs="Times New Roman"/>
                <w:bCs/>
                <w:iCs/>
                <w:sz w:val="24"/>
                <w:szCs w:val="24"/>
              </w:rPr>
              <w:t xml:space="preserve"> – Цистаденокарцинома.</w:t>
            </w:r>
          </w:p>
        </w:tc>
      </w:tr>
      <w:bookmarkEnd w:id="55"/>
    </w:tbl>
    <w:p w14:paraId="652CD8C7" w14:textId="577F18F5" w:rsidR="00E0794E" w:rsidRDefault="00E0794E" w:rsidP="00DE7880">
      <w:pPr>
        <w:spacing w:after="0" w:line="240" w:lineRule="auto"/>
        <w:rPr>
          <w:rFonts w:ascii="Times New Roman" w:hAnsi="Times New Roman" w:cs="Times New Roman"/>
          <w:sz w:val="28"/>
          <w:szCs w:val="28"/>
        </w:rPr>
      </w:pPr>
    </w:p>
    <w:p w14:paraId="247D622E" w14:textId="1BBDCF67" w:rsidR="00DE7880" w:rsidRPr="00A43B9C" w:rsidRDefault="00DE7880" w:rsidP="00DE7880">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Анализ уровня накоплени</w:t>
      </w:r>
      <w:r w:rsidR="009307C9" w:rsidRP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8F33DC" w:rsidRPr="00A43B9C">
        <w:rPr>
          <w:rFonts w:ascii="Times New Roman" w:hAnsi="Times New Roman" w:cs="Times New Roman"/>
          <w:sz w:val="28"/>
          <w:szCs w:val="28"/>
          <w:lang w:val="en-US"/>
        </w:rPr>
        <w:t>VAT</w:t>
      </w:r>
      <w:r w:rsidRPr="00A43B9C">
        <w:rPr>
          <w:rFonts w:ascii="Times New Roman" w:hAnsi="Times New Roman" w:cs="Times New Roman"/>
          <w:sz w:val="28"/>
          <w:szCs w:val="28"/>
        </w:rPr>
        <w:t xml:space="preserve"> по </w:t>
      </w:r>
      <w:r w:rsidR="001C40D1" w:rsidRPr="00A43B9C">
        <w:rPr>
          <w:rFonts w:ascii="Times New Roman" w:hAnsi="Times New Roman" w:cs="Times New Roman"/>
          <w:sz w:val="28"/>
          <w:szCs w:val="28"/>
          <w:lang w:val="en-US"/>
        </w:rPr>
        <w:t>PTL</w:t>
      </w:r>
      <w:r w:rsidRPr="00A43B9C">
        <w:rPr>
          <w:rFonts w:ascii="Times New Roman" w:hAnsi="Times New Roman" w:cs="Times New Roman"/>
          <w:sz w:val="28"/>
          <w:szCs w:val="28"/>
        </w:rPr>
        <w:t xml:space="preserve"> и стадии </w:t>
      </w:r>
      <w:r w:rsidR="001C40D1" w:rsidRPr="00A43B9C">
        <w:rPr>
          <w:rFonts w:ascii="Times New Roman" w:hAnsi="Times New Roman" w:cs="Times New Roman"/>
          <w:sz w:val="28"/>
          <w:szCs w:val="28"/>
          <w:lang w:val="en-US"/>
        </w:rPr>
        <w:t>M</w:t>
      </w:r>
      <w:r w:rsidR="008F33DC" w:rsidRPr="00A43B9C">
        <w:rPr>
          <w:rFonts w:ascii="Times New Roman" w:hAnsi="Times New Roman" w:cs="Times New Roman"/>
          <w:sz w:val="28"/>
          <w:szCs w:val="28"/>
        </w:rPr>
        <w:t xml:space="preserve"> </w:t>
      </w:r>
      <w:r w:rsidRPr="00A43B9C">
        <w:rPr>
          <w:rFonts w:ascii="Times New Roman" w:hAnsi="Times New Roman" w:cs="Times New Roman"/>
          <w:sz w:val="28"/>
          <w:szCs w:val="28"/>
        </w:rPr>
        <w:t>не показал зависимых связей ввиду отсутствия признаков сравнения</w:t>
      </w:r>
      <w:r w:rsidR="00E25E21" w:rsidRPr="00A43B9C">
        <w:rPr>
          <w:rFonts w:ascii="Times New Roman" w:hAnsi="Times New Roman" w:cs="Times New Roman"/>
          <w:sz w:val="28"/>
          <w:szCs w:val="28"/>
        </w:rPr>
        <w:t xml:space="preserve"> (рисунок </w:t>
      </w:r>
      <w:r w:rsidR="00006C4D">
        <w:rPr>
          <w:rFonts w:ascii="Times New Roman" w:hAnsi="Times New Roman" w:cs="Times New Roman"/>
          <w:sz w:val="28"/>
          <w:szCs w:val="28"/>
        </w:rPr>
        <w:t>7</w:t>
      </w:r>
      <w:r w:rsidR="00E25E21" w:rsidRPr="00A43B9C">
        <w:rPr>
          <w:rFonts w:ascii="Times New Roman" w:hAnsi="Times New Roman" w:cs="Times New Roman"/>
          <w:sz w:val="28"/>
          <w:szCs w:val="28"/>
        </w:rPr>
        <w:t>)</w:t>
      </w:r>
      <w:r w:rsidRPr="00A43B9C">
        <w:rPr>
          <w:rFonts w:ascii="Times New Roman" w:hAnsi="Times New Roman" w:cs="Times New Roman"/>
          <w:sz w:val="28"/>
          <w:szCs w:val="28"/>
        </w:rPr>
        <w:t>.</w:t>
      </w:r>
    </w:p>
    <w:p w14:paraId="792C449E" w14:textId="77777777" w:rsidR="00DE7880" w:rsidRPr="00A43B9C" w:rsidRDefault="00DE7880" w:rsidP="00DE7880">
      <w:pPr>
        <w:spacing w:after="0" w:line="240" w:lineRule="auto"/>
        <w:jc w:val="center"/>
        <w:rPr>
          <w:rFonts w:ascii="Times New Roman" w:hAnsi="Times New Roman" w:cs="Times New Roman"/>
          <w:sz w:val="28"/>
          <w:szCs w:val="28"/>
        </w:rPr>
      </w:pPr>
      <w:r w:rsidRPr="00A43B9C">
        <w:rPr>
          <w:noProof/>
          <w:lang w:eastAsia="ru-RU"/>
        </w:rPr>
        <w:lastRenderedPageBreak/>
        <mc:AlternateContent>
          <mc:Choice Requires="cx1">
            <w:drawing>
              <wp:inline distT="0" distB="0" distL="0" distR="0" wp14:anchorId="3BD14B7D" wp14:editId="2B4AB910">
                <wp:extent cx="5940425" cy="3240000"/>
                <wp:effectExtent l="0" t="0" r="3175" b="17780"/>
                <wp:docPr id="64" name="Диаграмма 64">
                  <a:extLst xmlns:a="http://schemas.openxmlformats.org/drawingml/2006/main">
                    <a:ext uri="{FF2B5EF4-FFF2-40B4-BE49-F238E27FC236}">
                      <a16:creationId xmlns:a16="http://schemas.microsoft.com/office/drawing/2014/main" id="{E7172217-4416-4394-932F-FAA7389852BC}"/>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42"/>
                  </a:graphicData>
                </a:graphic>
              </wp:inline>
            </w:drawing>
          </mc:Choice>
          <mc:Fallback>
            <w:drawing>
              <wp:inline distT="0" distB="0" distL="0" distR="0" wp14:anchorId="3BD14B7D" wp14:editId="2B4AB910">
                <wp:extent cx="5940425" cy="3240000"/>
                <wp:effectExtent l="0" t="0" r="3175" b="17780"/>
                <wp:docPr id="64" name="Диаграмма 64">
                  <a:extLst xmlns:a="http://schemas.openxmlformats.org/drawingml/2006/main">
                    <a:ext uri="{FF2B5EF4-FFF2-40B4-BE49-F238E27FC236}">
                      <a16:creationId xmlns:a16="http://schemas.microsoft.com/office/drawing/2014/main" id="{E7172217-4416-4394-932F-FAA7389852BC}"/>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64" name="Диаграмма 64">
                          <a:extLst>
                            <a:ext uri="{FF2B5EF4-FFF2-40B4-BE49-F238E27FC236}">
                              <a16:creationId xmlns:a16="http://schemas.microsoft.com/office/drawing/2014/main" id="{E7172217-4416-4394-932F-FAA7389852BC}"/>
                            </a:ext>
                          </a:extLst>
                        </pic:cNvPr>
                        <pic:cNvPicPr>
                          <a:picLocks noGrp="1" noRot="1" noChangeAspect="1" noMove="1" noResize="1" noEditPoints="1" noAdjustHandles="1" noChangeArrowheads="1" noChangeShapeType="1"/>
                        </pic:cNvPicPr>
                      </pic:nvPicPr>
                      <pic:blipFill>
                        <a:blip r:embed="rId47"/>
                        <a:stretch>
                          <a:fillRect/>
                        </a:stretch>
                      </pic:blipFill>
                      <pic:spPr>
                        <a:xfrm>
                          <a:off x="0" y="0"/>
                          <a:ext cx="5940425" cy="3239770"/>
                        </a:xfrm>
                        <a:prstGeom prst="rect">
                          <a:avLst/>
                        </a:prstGeom>
                      </pic:spPr>
                    </pic:pic>
                  </a:graphicData>
                </a:graphic>
              </wp:inline>
            </w:drawing>
          </mc:Fallback>
        </mc:AlternateContent>
      </w:r>
    </w:p>
    <w:p w14:paraId="32514D4C" w14:textId="0568F4E4" w:rsidR="00DE7880" w:rsidRPr="00A43B9C" w:rsidRDefault="00763F0C" w:rsidP="00DE7880">
      <w:pPr>
        <w:spacing w:after="0" w:line="240" w:lineRule="auto"/>
        <w:ind w:firstLine="709"/>
        <w:jc w:val="center"/>
        <w:rPr>
          <w:rFonts w:ascii="Times New Roman" w:hAnsi="Times New Roman" w:cs="Times New Roman"/>
          <w:sz w:val="28"/>
          <w:szCs w:val="28"/>
        </w:rPr>
      </w:pPr>
      <w:r w:rsidRPr="00A43B9C">
        <w:rPr>
          <w:rFonts w:ascii="Times New Roman" w:hAnsi="Times New Roman" w:cs="Times New Roman"/>
          <w:sz w:val="28"/>
          <w:szCs w:val="28"/>
        </w:rPr>
        <w:t>Рисунок</w:t>
      </w:r>
      <w:r w:rsidR="00DE7880" w:rsidRPr="00A43B9C">
        <w:rPr>
          <w:rFonts w:ascii="Times New Roman" w:hAnsi="Times New Roman" w:cs="Times New Roman"/>
          <w:sz w:val="28"/>
          <w:szCs w:val="28"/>
        </w:rPr>
        <w:t xml:space="preserve"> </w:t>
      </w:r>
      <w:r w:rsidR="00006C4D">
        <w:rPr>
          <w:rFonts w:ascii="Times New Roman" w:hAnsi="Times New Roman" w:cs="Times New Roman"/>
          <w:sz w:val="28"/>
          <w:szCs w:val="28"/>
        </w:rPr>
        <w:t>7</w:t>
      </w:r>
      <w:r w:rsidR="001D33E2" w:rsidRPr="00A43B9C">
        <w:rPr>
          <w:rFonts w:ascii="Times New Roman" w:hAnsi="Times New Roman" w:cs="Times New Roman"/>
          <w:sz w:val="28"/>
          <w:szCs w:val="28"/>
        </w:rPr>
        <w:t xml:space="preserve"> - </w:t>
      </w:r>
      <w:r w:rsidR="00DE7880" w:rsidRPr="00A43B9C">
        <w:rPr>
          <w:rFonts w:ascii="Times New Roman" w:hAnsi="Times New Roman" w:cs="Times New Roman"/>
          <w:sz w:val="28"/>
          <w:szCs w:val="28"/>
        </w:rPr>
        <w:t>Анализ распределений уровня накоплени</w:t>
      </w:r>
      <w:r w:rsidR="009307C9" w:rsidRPr="00A43B9C">
        <w:rPr>
          <w:rFonts w:ascii="Times New Roman" w:hAnsi="Times New Roman" w:cs="Times New Roman"/>
          <w:sz w:val="28"/>
          <w:szCs w:val="28"/>
        </w:rPr>
        <w:t>я</w:t>
      </w:r>
      <w:r w:rsidR="00DE7880" w:rsidRPr="00A43B9C">
        <w:rPr>
          <w:rFonts w:ascii="Times New Roman" w:hAnsi="Times New Roman" w:cs="Times New Roman"/>
          <w:sz w:val="28"/>
          <w:szCs w:val="28"/>
        </w:rPr>
        <w:t xml:space="preserve"> </w:t>
      </w:r>
      <w:r w:rsidR="00DE7880" w:rsidRPr="00A43B9C">
        <w:rPr>
          <w:rFonts w:ascii="Times New Roman" w:hAnsi="Times New Roman" w:cs="Times New Roman"/>
          <w:sz w:val="28"/>
          <w:szCs w:val="28"/>
          <w:lang w:val="en-US"/>
        </w:rPr>
        <w:t>SUV</w:t>
      </w:r>
      <w:r w:rsidR="00DE7880" w:rsidRPr="00A43B9C">
        <w:rPr>
          <w:rFonts w:ascii="Times New Roman" w:hAnsi="Times New Roman" w:cs="Times New Roman"/>
          <w:sz w:val="28"/>
          <w:szCs w:val="28"/>
          <w:vertAlign w:val="subscript"/>
          <w:lang w:val="en-US"/>
        </w:rPr>
        <w:t>max</w:t>
      </w:r>
      <w:r w:rsidR="00DE7880" w:rsidRPr="00A43B9C">
        <w:rPr>
          <w:rFonts w:ascii="Times New Roman" w:hAnsi="Times New Roman" w:cs="Times New Roman"/>
          <w:sz w:val="28"/>
          <w:szCs w:val="28"/>
        </w:rPr>
        <w:t xml:space="preserve"> в зависимости от </w:t>
      </w:r>
      <w:r w:rsidR="0097135F" w:rsidRPr="00A43B9C">
        <w:rPr>
          <w:rFonts w:ascii="Times New Roman" w:hAnsi="Times New Roman" w:cs="Times New Roman"/>
          <w:sz w:val="28"/>
          <w:szCs w:val="28"/>
          <w:lang w:val="en-US"/>
        </w:rPr>
        <w:t>PTL</w:t>
      </w:r>
      <w:r w:rsidR="00DE7880" w:rsidRPr="00A43B9C">
        <w:rPr>
          <w:rFonts w:ascii="Times New Roman" w:hAnsi="Times New Roman" w:cs="Times New Roman"/>
          <w:sz w:val="28"/>
          <w:szCs w:val="28"/>
        </w:rPr>
        <w:t xml:space="preserve"> и </w:t>
      </w:r>
      <w:r w:rsidR="00DE62CB" w:rsidRPr="00A43B9C">
        <w:rPr>
          <w:rFonts w:ascii="Times New Roman" w:hAnsi="Times New Roman" w:cs="Times New Roman"/>
          <w:sz w:val="28"/>
          <w:szCs w:val="28"/>
        </w:rPr>
        <w:t xml:space="preserve">стадии </w:t>
      </w:r>
      <w:r w:rsidR="0097135F" w:rsidRPr="00A43B9C">
        <w:rPr>
          <w:rFonts w:ascii="Times New Roman" w:hAnsi="Times New Roman" w:cs="Times New Roman"/>
          <w:sz w:val="28"/>
          <w:szCs w:val="28"/>
          <w:lang w:val="en-US"/>
        </w:rPr>
        <w:t>M</w:t>
      </w:r>
    </w:p>
    <w:p w14:paraId="72BEDAB3" w14:textId="77777777" w:rsidR="000648E2" w:rsidRDefault="000648E2" w:rsidP="00DE7880">
      <w:pPr>
        <w:spacing w:after="0" w:line="240" w:lineRule="auto"/>
        <w:ind w:firstLine="709"/>
        <w:jc w:val="both"/>
        <w:rPr>
          <w:rFonts w:ascii="Times New Roman" w:hAnsi="Times New Roman" w:cs="Times New Roman"/>
          <w:sz w:val="28"/>
          <w:szCs w:val="28"/>
          <w:lang w:val="kk-KZ"/>
        </w:rPr>
      </w:pPr>
    </w:p>
    <w:p w14:paraId="0424C86C" w14:textId="423E7FEF" w:rsidR="00DE7880" w:rsidRPr="00A43B9C" w:rsidRDefault="00E11C40" w:rsidP="00DE7880">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lang w:val="kk-KZ"/>
        </w:rPr>
        <w:t xml:space="preserve">Сравнение </w:t>
      </w:r>
      <w:r w:rsidR="00DE7880" w:rsidRPr="00A43B9C">
        <w:rPr>
          <w:rFonts w:ascii="Times New Roman" w:hAnsi="Times New Roman" w:cs="Times New Roman"/>
          <w:sz w:val="28"/>
          <w:szCs w:val="28"/>
        </w:rPr>
        <w:t>уровня накоплени</w:t>
      </w:r>
      <w:r w:rsidR="009307C9" w:rsidRPr="00A43B9C">
        <w:rPr>
          <w:rFonts w:ascii="Times New Roman" w:hAnsi="Times New Roman" w:cs="Times New Roman"/>
          <w:sz w:val="28"/>
          <w:szCs w:val="28"/>
        </w:rPr>
        <w:t>я</w:t>
      </w:r>
      <w:r w:rsidR="00DE7880" w:rsidRPr="00A43B9C">
        <w:rPr>
          <w:rFonts w:ascii="Times New Roman" w:hAnsi="Times New Roman" w:cs="Times New Roman"/>
          <w:sz w:val="28"/>
          <w:szCs w:val="28"/>
        </w:rPr>
        <w:t xml:space="preserve"> </w:t>
      </w:r>
      <w:r w:rsidR="00DE7880" w:rsidRPr="00A43B9C">
        <w:rPr>
          <w:rFonts w:ascii="Times New Roman" w:hAnsi="Times New Roman" w:cs="Times New Roman"/>
          <w:sz w:val="28"/>
          <w:szCs w:val="28"/>
          <w:lang w:val="en-US"/>
        </w:rPr>
        <w:t>SUV</w:t>
      </w:r>
      <w:r w:rsidR="00DE7880" w:rsidRPr="00A43B9C">
        <w:rPr>
          <w:rFonts w:ascii="Times New Roman" w:hAnsi="Times New Roman" w:cs="Times New Roman"/>
          <w:sz w:val="28"/>
          <w:szCs w:val="28"/>
          <w:vertAlign w:val="subscript"/>
          <w:lang w:val="en-US"/>
        </w:rPr>
        <w:t>max</w:t>
      </w:r>
      <w:r w:rsidR="00DE7880" w:rsidRPr="00A43B9C">
        <w:rPr>
          <w:rFonts w:ascii="Times New Roman" w:hAnsi="Times New Roman" w:cs="Times New Roman"/>
          <w:sz w:val="28"/>
          <w:szCs w:val="28"/>
          <w:lang w:val="kk-KZ"/>
        </w:rPr>
        <w:t xml:space="preserve"> в </w:t>
      </w:r>
      <w:r w:rsidR="008F33DC" w:rsidRPr="00A43B9C">
        <w:rPr>
          <w:rFonts w:ascii="Times New Roman" w:hAnsi="Times New Roman" w:cs="Times New Roman"/>
          <w:sz w:val="28"/>
          <w:szCs w:val="28"/>
          <w:lang w:val="en-US"/>
        </w:rPr>
        <w:t>VAT</w:t>
      </w:r>
      <w:r w:rsidR="008F33DC" w:rsidRPr="00A43B9C">
        <w:rPr>
          <w:rFonts w:ascii="Times New Roman" w:hAnsi="Times New Roman" w:cs="Times New Roman"/>
          <w:sz w:val="28"/>
          <w:szCs w:val="28"/>
        </w:rPr>
        <w:t xml:space="preserve"> в </w:t>
      </w:r>
      <w:r w:rsidR="00DE7880" w:rsidRPr="00A43B9C">
        <w:rPr>
          <w:rFonts w:ascii="Times New Roman" w:hAnsi="Times New Roman" w:cs="Times New Roman"/>
          <w:sz w:val="28"/>
          <w:szCs w:val="28"/>
          <w:lang w:val="kk-KZ"/>
        </w:rPr>
        <w:t xml:space="preserve">зависимости от стадии </w:t>
      </w:r>
      <w:r w:rsidR="001C40D1" w:rsidRPr="00A43B9C">
        <w:rPr>
          <w:rFonts w:ascii="Times New Roman" w:hAnsi="Times New Roman" w:cs="Times New Roman"/>
          <w:sz w:val="28"/>
          <w:szCs w:val="28"/>
          <w:lang w:val="en-US"/>
        </w:rPr>
        <w:t>T</w:t>
      </w:r>
      <w:r w:rsidR="008F33DC" w:rsidRPr="00A43B9C">
        <w:rPr>
          <w:rFonts w:ascii="Times New Roman" w:hAnsi="Times New Roman" w:cs="Times New Roman"/>
          <w:sz w:val="28"/>
          <w:szCs w:val="28"/>
          <w:lang w:val="kk-KZ"/>
        </w:rPr>
        <w:t xml:space="preserve"> </w:t>
      </w:r>
      <w:r w:rsidR="00BF0309" w:rsidRPr="00A43B9C">
        <w:rPr>
          <w:rFonts w:ascii="Times New Roman" w:hAnsi="Times New Roman" w:cs="Times New Roman"/>
          <w:sz w:val="28"/>
          <w:szCs w:val="28"/>
        </w:rPr>
        <w:t xml:space="preserve">(таблица 7) </w:t>
      </w:r>
      <w:r w:rsidR="00DE7880" w:rsidRPr="00A43B9C">
        <w:rPr>
          <w:rFonts w:ascii="Times New Roman" w:hAnsi="Times New Roman" w:cs="Times New Roman"/>
          <w:sz w:val="28"/>
          <w:szCs w:val="28"/>
          <w:lang w:val="kk-KZ"/>
        </w:rPr>
        <w:t xml:space="preserve">статистически значимых различий не </w:t>
      </w:r>
      <w:r w:rsidRPr="00A43B9C">
        <w:rPr>
          <w:rFonts w:ascii="Times New Roman" w:hAnsi="Times New Roman" w:cs="Times New Roman"/>
          <w:sz w:val="28"/>
          <w:szCs w:val="28"/>
          <w:lang w:val="kk-KZ"/>
        </w:rPr>
        <w:t xml:space="preserve">выявило </w:t>
      </w:r>
      <w:r w:rsidR="00DE7880" w:rsidRPr="00A43B9C">
        <w:rPr>
          <w:rFonts w:ascii="Times New Roman" w:hAnsi="Times New Roman" w:cs="Times New Roman"/>
          <w:sz w:val="28"/>
          <w:szCs w:val="28"/>
          <w:lang w:val="kk-KZ"/>
        </w:rPr>
        <w:t>для всех локализаций</w:t>
      </w:r>
      <w:r w:rsidR="00E25E21" w:rsidRPr="00A43B9C">
        <w:rPr>
          <w:rFonts w:ascii="Times New Roman" w:hAnsi="Times New Roman" w:cs="Times New Roman"/>
          <w:sz w:val="28"/>
          <w:szCs w:val="28"/>
          <w:lang w:val="kk-KZ"/>
        </w:rPr>
        <w:t>:</w:t>
      </w:r>
      <w:r w:rsidR="00DE7880" w:rsidRPr="00A43B9C">
        <w:rPr>
          <w:rFonts w:ascii="Times New Roman" w:hAnsi="Times New Roman" w:cs="Times New Roman"/>
          <w:sz w:val="28"/>
          <w:szCs w:val="28"/>
          <w:lang w:val="kk-KZ"/>
        </w:rPr>
        <w:t xml:space="preserve"> </w:t>
      </w:r>
      <w:r w:rsidR="00DE7880" w:rsidRPr="00A43B9C">
        <w:rPr>
          <w:rFonts w:ascii="Times New Roman" w:hAnsi="Times New Roman" w:cs="Times New Roman"/>
          <w:sz w:val="28"/>
          <w:szCs w:val="28"/>
        </w:rPr>
        <w:t>RE (p = 0,832), RLH (p = 0,237), RRL (p = 0,660), RU (p = 0,762), RLL (p = 0,702), RRI (p = 0,318), RP (p = 0,855), RLI (p = 0,648), P (p = 0,337)</w:t>
      </w:r>
      <w:r w:rsidR="00EA5E8C">
        <w:rPr>
          <w:rFonts w:ascii="Times New Roman" w:hAnsi="Times New Roman" w:cs="Times New Roman"/>
          <w:sz w:val="28"/>
          <w:szCs w:val="28"/>
        </w:rPr>
        <w:t xml:space="preserve"> </w:t>
      </w:r>
      <w:r w:rsidR="00EA5E8C" w:rsidRPr="00A43B9C">
        <w:rPr>
          <w:rFonts w:ascii="Times New Roman" w:hAnsi="Times New Roman" w:cs="Times New Roman"/>
          <w:sz w:val="28"/>
          <w:szCs w:val="28"/>
        </w:rPr>
        <w:t xml:space="preserve">(рисунок </w:t>
      </w:r>
      <w:r w:rsidR="00EA5E8C">
        <w:rPr>
          <w:rFonts w:ascii="Times New Roman" w:hAnsi="Times New Roman" w:cs="Times New Roman"/>
          <w:sz w:val="28"/>
          <w:szCs w:val="28"/>
        </w:rPr>
        <w:t>8</w:t>
      </w:r>
      <w:r w:rsidR="00EA5E8C" w:rsidRPr="00A43B9C">
        <w:rPr>
          <w:rFonts w:ascii="Times New Roman" w:hAnsi="Times New Roman" w:cs="Times New Roman"/>
          <w:sz w:val="28"/>
          <w:szCs w:val="28"/>
        </w:rPr>
        <w:t>)</w:t>
      </w:r>
      <w:r w:rsidR="00DE7880" w:rsidRPr="00A43B9C">
        <w:rPr>
          <w:rFonts w:ascii="Times New Roman" w:hAnsi="Times New Roman" w:cs="Times New Roman"/>
          <w:sz w:val="28"/>
          <w:szCs w:val="28"/>
        </w:rPr>
        <w:t>.</w:t>
      </w:r>
    </w:p>
    <w:p w14:paraId="12298CD0" w14:textId="77777777" w:rsidR="00DE7880" w:rsidRPr="000648E2" w:rsidRDefault="00DE7880" w:rsidP="00DE7880">
      <w:pPr>
        <w:spacing w:after="0" w:line="240" w:lineRule="auto"/>
        <w:jc w:val="center"/>
        <w:rPr>
          <w:rFonts w:ascii="Times New Roman" w:hAnsi="Times New Roman" w:cs="Times New Roman"/>
          <w:sz w:val="24"/>
          <w:szCs w:val="24"/>
        </w:rPr>
      </w:pPr>
    </w:p>
    <w:p w14:paraId="5F0BB62B" w14:textId="66E963E6" w:rsidR="00DE7880" w:rsidRPr="00A43B9C" w:rsidRDefault="00DE7880" w:rsidP="00D12CD6">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 xml:space="preserve">Таблица </w:t>
      </w:r>
      <w:r w:rsidR="00676870" w:rsidRPr="00A43B9C">
        <w:rPr>
          <w:rFonts w:ascii="Times New Roman" w:hAnsi="Times New Roman" w:cs="Times New Roman"/>
          <w:sz w:val="28"/>
          <w:szCs w:val="28"/>
        </w:rPr>
        <w:t>7</w:t>
      </w:r>
      <w:r w:rsidR="000A6F86" w:rsidRPr="00A43B9C">
        <w:rPr>
          <w:rFonts w:ascii="Times New Roman" w:hAnsi="Times New Roman" w:cs="Times New Roman"/>
          <w:sz w:val="28"/>
          <w:szCs w:val="28"/>
        </w:rPr>
        <w:t xml:space="preserve"> - </w:t>
      </w:r>
      <w:r w:rsidRPr="00A43B9C">
        <w:rPr>
          <w:rFonts w:ascii="Times New Roman" w:hAnsi="Times New Roman" w:cs="Times New Roman"/>
          <w:sz w:val="28"/>
          <w:szCs w:val="28"/>
        </w:rPr>
        <w:t xml:space="preserve">Анализ уровня </w:t>
      </w:r>
      <w:r w:rsidR="009307C9" w:rsidRPr="00A43B9C">
        <w:rPr>
          <w:rFonts w:ascii="Times New Roman" w:hAnsi="Times New Roman" w:cs="Times New Roman"/>
          <w:sz w:val="28"/>
          <w:szCs w:val="28"/>
        </w:rPr>
        <w:t xml:space="preserve">накопления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зависимости от </w:t>
      </w:r>
      <w:r w:rsidR="00121E9D" w:rsidRPr="00A43B9C">
        <w:rPr>
          <w:rFonts w:ascii="Times New Roman" w:hAnsi="Times New Roman" w:cs="Times New Roman"/>
          <w:sz w:val="28"/>
          <w:szCs w:val="28"/>
        </w:rPr>
        <w:t xml:space="preserve">стадии </w:t>
      </w:r>
      <w:r w:rsidR="001C40D1" w:rsidRPr="00A43B9C">
        <w:rPr>
          <w:rFonts w:ascii="Times New Roman" w:hAnsi="Times New Roman" w:cs="Times New Roman"/>
          <w:sz w:val="28"/>
          <w:szCs w:val="28"/>
          <w:lang w:val="en-US"/>
        </w:rPr>
        <w:t>T</w:t>
      </w:r>
    </w:p>
    <w:p w14:paraId="0EEE6E15" w14:textId="77777777" w:rsidR="00D12CD6" w:rsidRPr="00FE03D6" w:rsidRDefault="00D12CD6" w:rsidP="00870926">
      <w:pPr>
        <w:spacing w:after="0" w:line="240" w:lineRule="auto"/>
        <w:jc w:val="both"/>
        <w:rPr>
          <w:rFonts w:ascii="Times New Roman" w:hAnsi="Times New Roman" w:cs="Times New Roman"/>
          <w:sz w:val="24"/>
          <w:szCs w:val="24"/>
        </w:rPr>
      </w:pPr>
    </w:p>
    <w:tbl>
      <w:tblPr>
        <w:tblStyle w:val="ad"/>
        <w:tblW w:w="5000" w:type="pct"/>
        <w:jc w:val="center"/>
        <w:tblLook w:val="04A0" w:firstRow="1" w:lastRow="0" w:firstColumn="1" w:lastColumn="0" w:noHBand="0" w:noVBand="1"/>
      </w:tblPr>
      <w:tblGrid>
        <w:gridCol w:w="1763"/>
        <w:gridCol w:w="1635"/>
        <w:gridCol w:w="1424"/>
        <w:gridCol w:w="1508"/>
        <w:gridCol w:w="1510"/>
        <w:gridCol w:w="1504"/>
      </w:tblGrid>
      <w:tr w:rsidR="00A369C2" w:rsidRPr="00A43B9C" w14:paraId="7E86D3D8" w14:textId="77777777" w:rsidTr="00654D7E">
        <w:trPr>
          <w:jc w:val="center"/>
        </w:trPr>
        <w:tc>
          <w:tcPr>
            <w:tcW w:w="943" w:type="pct"/>
            <w:vAlign w:val="center"/>
          </w:tcPr>
          <w:p w14:paraId="2291BCB7" w14:textId="77777777" w:rsidR="00A369C2" w:rsidRPr="00A43B9C" w:rsidRDefault="00A369C2" w:rsidP="00654D7E">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Локализация</w:t>
            </w:r>
          </w:p>
        </w:tc>
        <w:tc>
          <w:tcPr>
            <w:tcW w:w="875" w:type="pct"/>
            <w:vAlign w:val="center"/>
          </w:tcPr>
          <w:p w14:paraId="4C016FDA" w14:textId="77777777" w:rsidR="00A369C2" w:rsidRPr="00A43B9C" w:rsidRDefault="00A369C2" w:rsidP="00654D7E">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Категория</w:t>
            </w:r>
          </w:p>
        </w:tc>
        <w:tc>
          <w:tcPr>
            <w:tcW w:w="762" w:type="pct"/>
            <w:vAlign w:val="center"/>
          </w:tcPr>
          <w:p w14:paraId="6E2CE0F3" w14:textId="77777777" w:rsidR="00A369C2" w:rsidRPr="00A43B9C" w:rsidRDefault="00A369C2" w:rsidP="00654D7E">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Me</w:t>
            </w:r>
          </w:p>
        </w:tc>
        <w:tc>
          <w:tcPr>
            <w:tcW w:w="807" w:type="pct"/>
            <w:vAlign w:val="center"/>
          </w:tcPr>
          <w:p w14:paraId="4ABEB38D" w14:textId="77777777" w:rsidR="00A369C2" w:rsidRPr="00A43B9C" w:rsidRDefault="00A369C2" w:rsidP="00654D7E">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Q₁ – Q₃</w:t>
            </w:r>
          </w:p>
        </w:tc>
        <w:tc>
          <w:tcPr>
            <w:tcW w:w="808" w:type="pct"/>
            <w:vAlign w:val="center"/>
          </w:tcPr>
          <w:p w14:paraId="10FB0A02" w14:textId="77777777" w:rsidR="00A369C2" w:rsidRPr="00A43B9C" w:rsidRDefault="00A369C2" w:rsidP="00654D7E">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p>
        </w:tc>
        <w:tc>
          <w:tcPr>
            <w:tcW w:w="805" w:type="pct"/>
            <w:vAlign w:val="center"/>
          </w:tcPr>
          <w:p w14:paraId="09BBA3C8" w14:textId="77777777" w:rsidR="00A369C2" w:rsidRPr="00A43B9C" w:rsidRDefault="00A369C2" w:rsidP="00654D7E">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w:t>
            </w:r>
          </w:p>
        </w:tc>
      </w:tr>
      <w:tr w:rsidR="00452443" w:rsidRPr="00A43B9C" w14:paraId="000A21DC" w14:textId="77777777" w:rsidTr="00F4683A">
        <w:trPr>
          <w:jc w:val="center"/>
        </w:trPr>
        <w:tc>
          <w:tcPr>
            <w:tcW w:w="943" w:type="pct"/>
            <w:vAlign w:val="center"/>
          </w:tcPr>
          <w:p w14:paraId="2895291B" w14:textId="498C0D05"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875" w:type="pct"/>
            <w:vAlign w:val="center"/>
          </w:tcPr>
          <w:p w14:paraId="7D56B7B0" w14:textId="1CDC5654"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762" w:type="pct"/>
            <w:vAlign w:val="center"/>
          </w:tcPr>
          <w:p w14:paraId="02D1D4B3" w14:textId="4BE8A25E"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807" w:type="pct"/>
            <w:vAlign w:val="center"/>
          </w:tcPr>
          <w:p w14:paraId="46D990F2" w14:textId="36A9BF6C"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808" w:type="pct"/>
            <w:vAlign w:val="center"/>
          </w:tcPr>
          <w:p w14:paraId="239A7D6B" w14:textId="292172D2"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805" w:type="pct"/>
          </w:tcPr>
          <w:p w14:paraId="78CA32C1" w14:textId="033E9AF0"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r>
      <w:tr w:rsidR="00452443" w:rsidRPr="00A43B9C" w14:paraId="1E6706B2" w14:textId="77777777" w:rsidTr="00654D7E">
        <w:trPr>
          <w:jc w:val="center"/>
        </w:trPr>
        <w:tc>
          <w:tcPr>
            <w:tcW w:w="943" w:type="pct"/>
            <w:vMerge w:val="restart"/>
            <w:vAlign w:val="center"/>
          </w:tcPr>
          <w:p w14:paraId="1579FB6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RE</w:t>
            </w:r>
          </w:p>
        </w:tc>
        <w:tc>
          <w:tcPr>
            <w:tcW w:w="875" w:type="pct"/>
            <w:vAlign w:val="center"/>
          </w:tcPr>
          <w:p w14:paraId="03AE9B0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1</w:t>
            </w:r>
          </w:p>
        </w:tc>
        <w:tc>
          <w:tcPr>
            <w:tcW w:w="762" w:type="pct"/>
            <w:vAlign w:val="center"/>
          </w:tcPr>
          <w:p w14:paraId="5C7E11A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0,79</w:t>
            </w:r>
          </w:p>
        </w:tc>
        <w:tc>
          <w:tcPr>
            <w:tcW w:w="807" w:type="pct"/>
            <w:vAlign w:val="center"/>
          </w:tcPr>
          <w:p w14:paraId="6B779FF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0,62 – 1,22</w:t>
            </w:r>
          </w:p>
        </w:tc>
        <w:tc>
          <w:tcPr>
            <w:tcW w:w="808" w:type="pct"/>
            <w:vAlign w:val="center"/>
          </w:tcPr>
          <w:p w14:paraId="674082F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805" w:type="pct"/>
            <w:vMerge w:val="restart"/>
            <w:vAlign w:val="center"/>
          </w:tcPr>
          <w:p w14:paraId="30ED65C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0,832</w:t>
            </w:r>
          </w:p>
        </w:tc>
      </w:tr>
      <w:tr w:rsidR="00452443" w:rsidRPr="00A43B9C" w14:paraId="79A4EC2D" w14:textId="77777777" w:rsidTr="00654D7E">
        <w:trPr>
          <w:jc w:val="center"/>
        </w:trPr>
        <w:tc>
          <w:tcPr>
            <w:tcW w:w="943" w:type="pct"/>
            <w:vMerge/>
            <w:vAlign w:val="center"/>
          </w:tcPr>
          <w:p w14:paraId="7178AE5B"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75" w:type="pct"/>
            <w:vAlign w:val="center"/>
          </w:tcPr>
          <w:p w14:paraId="3DC5D52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2</w:t>
            </w:r>
          </w:p>
        </w:tc>
        <w:tc>
          <w:tcPr>
            <w:tcW w:w="762" w:type="pct"/>
            <w:vAlign w:val="center"/>
          </w:tcPr>
          <w:p w14:paraId="698E981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0,79</w:t>
            </w:r>
          </w:p>
        </w:tc>
        <w:tc>
          <w:tcPr>
            <w:tcW w:w="807" w:type="pct"/>
            <w:vAlign w:val="center"/>
          </w:tcPr>
          <w:p w14:paraId="1E6ED97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0,52 – 1,04</w:t>
            </w:r>
          </w:p>
        </w:tc>
        <w:tc>
          <w:tcPr>
            <w:tcW w:w="808" w:type="pct"/>
            <w:vAlign w:val="center"/>
          </w:tcPr>
          <w:p w14:paraId="1D9A96C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w:t>
            </w:r>
          </w:p>
        </w:tc>
        <w:tc>
          <w:tcPr>
            <w:tcW w:w="805" w:type="pct"/>
            <w:vMerge/>
            <w:vAlign w:val="center"/>
          </w:tcPr>
          <w:p w14:paraId="4E965E1A"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17272E36" w14:textId="77777777" w:rsidTr="00654D7E">
        <w:trPr>
          <w:jc w:val="center"/>
        </w:trPr>
        <w:tc>
          <w:tcPr>
            <w:tcW w:w="943" w:type="pct"/>
            <w:vMerge/>
            <w:vAlign w:val="center"/>
          </w:tcPr>
          <w:p w14:paraId="4705674B"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75" w:type="pct"/>
            <w:vAlign w:val="center"/>
          </w:tcPr>
          <w:p w14:paraId="3558864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3</w:t>
            </w:r>
          </w:p>
        </w:tc>
        <w:tc>
          <w:tcPr>
            <w:tcW w:w="762" w:type="pct"/>
            <w:vAlign w:val="center"/>
          </w:tcPr>
          <w:p w14:paraId="2024506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0,83</w:t>
            </w:r>
          </w:p>
        </w:tc>
        <w:tc>
          <w:tcPr>
            <w:tcW w:w="807" w:type="pct"/>
            <w:vAlign w:val="center"/>
          </w:tcPr>
          <w:p w14:paraId="2C2E180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0,65 – 1,28</w:t>
            </w:r>
          </w:p>
        </w:tc>
        <w:tc>
          <w:tcPr>
            <w:tcW w:w="808" w:type="pct"/>
            <w:vAlign w:val="center"/>
          </w:tcPr>
          <w:p w14:paraId="7F5C816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28</w:t>
            </w:r>
          </w:p>
        </w:tc>
        <w:tc>
          <w:tcPr>
            <w:tcW w:w="805" w:type="pct"/>
            <w:vMerge/>
            <w:vAlign w:val="center"/>
          </w:tcPr>
          <w:p w14:paraId="1ADC7953"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5BE16B77" w14:textId="77777777" w:rsidTr="00654D7E">
        <w:trPr>
          <w:jc w:val="center"/>
        </w:trPr>
        <w:tc>
          <w:tcPr>
            <w:tcW w:w="943" w:type="pct"/>
            <w:vMerge/>
            <w:vAlign w:val="center"/>
          </w:tcPr>
          <w:p w14:paraId="552484EA"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75" w:type="pct"/>
            <w:vAlign w:val="center"/>
          </w:tcPr>
          <w:p w14:paraId="750BE0C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4</w:t>
            </w:r>
          </w:p>
        </w:tc>
        <w:tc>
          <w:tcPr>
            <w:tcW w:w="762" w:type="pct"/>
            <w:vAlign w:val="center"/>
          </w:tcPr>
          <w:p w14:paraId="63BBB92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1,10</w:t>
            </w:r>
          </w:p>
        </w:tc>
        <w:tc>
          <w:tcPr>
            <w:tcW w:w="807" w:type="pct"/>
            <w:vAlign w:val="center"/>
          </w:tcPr>
          <w:p w14:paraId="33BA7B6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0,93 – 1,27</w:t>
            </w:r>
          </w:p>
        </w:tc>
        <w:tc>
          <w:tcPr>
            <w:tcW w:w="808" w:type="pct"/>
            <w:vAlign w:val="center"/>
          </w:tcPr>
          <w:p w14:paraId="141D431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w:t>
            </w:r>
          </w:p>
        </w:tc>
        <w:tc>
          <w:tcPr>
            <w:tcW w:w="805" w:type="pct"/>
            <w:vMerge/>
            <w:vAlign w:val="center"/>
          </w:tcPr>
          <w:p w14:paraId="41A46C74"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4149AAC7" w14:textId="77777777" w:rsidTr="00654D7E">
        <w:trPr>
          <w:jc w:val="center"/>
        </w:trPr>
        <w:tc>
          <w:tcPr>
            <w:tcW w:w="943" w:type="pct"/>
            <w:vMerge w:val="restart"/>
            <w:vAlign w:val="center"/>
          </w:tcPr>
          <w:p w14:paraId="71E49F7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RLH</w:t>
            </w:r>
          </w:p>
        </w:tc>
        <w:tc>
          <w:tcPr>
            <w:tcW w:w="875" w:type="pct"/>
            <w:vAlign w:val="center"/>
          </w:tcPr>
          <w:p w14:paraId="6AC5FC3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1</w:t>
            </w:r>
          </w:p>
        </w:tc>
        <w:tc>
          <w:tcPr>
            <w:tcW w:w="762" w:type="pct"/>
            <w:vAlign w:val="center"/>
          </w:tcPr>
          <w:p w14:paraId="486959C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0,81</w:t>
            </w:r>
          </w:p>
        </w:tc>
        <w:tc>
          <w:tcPr>
            <w:tcW w:w="807" w:type="pct"/>
            <w:vAlign w:val="center"/>
          </w:tcPr>
          <w:p w14:paraId="0CA680D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0,65 – 1,04</w:t>
            </w:r>
          </w:p>
        </w:tc>
        <w:tc>
          <w:tcPr>
            <w:tcW w:w="808" w:type="pct"/>
            <w:vAlign w:val="center"/>
          </w:tcPr>
          <w:p w14:paraId="6AA86AA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805" w:type="pct"/>
            <w:vMerge w:val="restart"/>
            <w:vAlign w:val="center"/>
          </w:tcPr>
          <w:p w14:paraId="5A10604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0,237</w:t>
            </w:r>
          </w:p>
        </w:tc>
      </w:tr>
      <w:tr w:rsidR="00452443" w:rsidRPr="00A43B9C" w14:paraId="07C57A40" w14:textId="77777777" w:rsidTr="00654D7E">
        <w:trPr>
          <w:jc w:val="center"/>
        </w:trPr>
        <w:tc>
          <w:tcPr>
            <w:tcW w:w="943" w:type="pct"/>
            <w:vMerge/>
            <w:vAlign w:val="center"/>
          </w:tcPr>
          <w:p w14:paraId="42297639"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75" w:type="pct"/>
            <w:vAlign w:val="center"/>
          </w:tcPr>
          <w:p w14:paraId="4BA9520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2</w:t>
            </w:r>
          </w:p>
        </w:tc>
        <w:tc>
          <w:tcPr>
            <w:tcW w:w="762" w:type="pct"/>
            <w:vAlign w:val="center"/>
          </w:tcPr>
          <w:p w14:paraId="39BDCBC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0,74</w:t>
            </w:r>
          </w:p>
        </w:tc>
        <w:tc>
          <w:tcPr>
            <w:tcW w:w="807" w:type="pct"/>
            <w:vAlign w:val="center"/>
          </w:tcPr>
          <w:p w14:paraId="413EC82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0,55 – 0,84</w:t>
            </w:r>
          </w:p>
        </w:tc>
        <w:tc>
          <w:tcPr>
            <w:tcW w:w="808" w:type="pct"/>
            <w:vAlign w:val="center"/>
          </w:tcPr>
          <w:p w14:paraId="2091C24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w:t>
            </w:r>
          </w:p>
        </w:tc>
        <w:tc>
          <w:tcPr>
            <w:tcW w:w="805" w:type="pct"/>
            <w:vMerge/>
          </w:tcPr>
          <w:p w14:paraId="12D81C61"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2F464D6D" w14:textId="77777777" w:rsidTr="00654D7E">
        <w:trPr>
          <w:jc w:val="center"/>
        </w:trPr>
        <w:tc>
          <w:tcPr>
            <w:tcW w:w="943" w:type="pct"/>
            <w:vMerge/>
            <w:vAlign w:val="center"/>
          </w:tcPr>
          <w:p w14:paraId="3DEFA7E4"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75" w:type="pct"/>
            <w:vAlign w:val="center"/>
          </w:tcPr>
          <w:p w14:paraId="2E08A9F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3</w:t>
            </w:r>
          </w:p>
        </w:tc>
        <w:tc>
          <w:tcPr>
            <w:tcW w:w="762" w:type="pct"/>
            <w:vAlign w:val="center"/>
          </w:tcPr>
          <w:p w14:paraId="1D6D8EA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0,72</w:t>
            </w:r>
          </w:p>
        </w:tc>
        <w:tc>
          <w:tcPr>
            <w:tcW w:w="807" w:type="pct"/>
            <w:vAlign w:val="center"/>
          </w:tcPr>
          <w:p w14:paraId="0F05497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0,49 – 1,1</w:t>
            </w:r>
          </w:p>
        </w:tc>
        <w:tc>
          <w:tcPr>
            <w:tcW w:w="808" w:type="pct"/>
            <w:vAlign w:val="center"/>
          </w:tcPr>
          <w:p w14:paraId="58DF728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28</w:t>
            </w:r>
          </w:p>
        </w:tc>
        <w:tc>
          <w:tcPr>
            <w:tcW w:w="805" w:type="pct"/>
            <w:vMerge/>
          </w:tcPr>
          <w:p w14:paraId="0F399643"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300C517B" w14:textId="77777777" w:rsidTr="000170A7">
        <w:trPr>
          <w:jc w:val="center"/>
        </w:trPr>
        <w:tc>
          <w:tcPr>
            <w:tcW w:w="943" w:type="pct"/>
            <w:vMerge/>
            <w:tcBorders>
              <w:bottom w:val="single" w:sz="4" w:space="0" w:color="auto"/>
            </w:tcBorders>
            <w:vAlign w:val="center"/>
          </w:tcPr>
          <w:p w14:paraId="37151435"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75" w:type="pct"/>
            <w:tcBorders>
              <w:bottom w:val="single" w:sz="4" w:space="0" w:color="auto"/>
            </w:tcBorders>
            <w:vAlign w:val="center"/>
          </w:tcPr>
          <w:p w14:paraId="3EB5054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4</w:t>
            </w:r>
          </w:p>
        </w:tc>
        <w:tc>
          <w:tcPr>
            <w:tcW w:w="762" w:type="pct"/>
            <w:tcBorders>
              <w:bottom w:val="single" w:sz="4" w:space="0" w:color="auto"/>
            </w:tcBorders>
            <w:vAlign w:val="center"/>
          </w:tcPr>
          <w:p w14:paraId="41984E5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1,47</w:t>
            </w:r>
          </w:p>
        </w:tc>
        <w:tc>
          <w:tcPr>
            <w:tcW w:w="807" w:type="pct"/>
            <w:tcBorders>
              <w:bottom w:val="single" w:sz="4" w:space="0" w:color="auto"/>
            </w:tcBorders>
            <w:vAlign w:val="center"/>
          </w:tcPr>
          <w:p w14:paraId="0B01EF0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1,32 – 1,61</w:t>
            </w:r>
          </w:p>
        </w:tc>
        <w:tc>
          <w:tcPr>
            <w:tcW w:w="808" w:type="pct"/>
            <w:tcBorders>
              <w:bottom w:val="single" w:sz="4" w:space="0" w:color="auto"/>
            </w:tcBorders>
            <w:vAlign w:val="center"/>
          </w:tcPr>
          <w:p w14:paraId="643C3C8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w:t>
            </w:r>
          </w:p>
        </w:tc>
        <w:tc>
          <w:tcPr>
            <w:tcW w:w="805" w:type="pct"/>
            <w:vMerge/>
            <w:tcBorders>
              <w:bottom w:val="single" w:sz="4" w:space="0" w:color="auto"/>
            </w:tcBorders>
          </w:tcPr>
          <w:p w14:paraId="75EA13F3"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03AC91A7" w14:textId="77777777" w:rsidTr="000170A7">
        <w:trPr>
          <w:jc w:val="center"/>
        </w:trPr>
        <w:tc>
          <w:tcPr>
            <w:tcW w:w="943" w:type="pct"/>
            <w:vMerge w:val="restart"/>
            <w:tcBorders>
              <w:bottom w:val="single" w:sz="4" w:space="0" w:color="auto"/>
            </w:tcBorders>
            <w:vAlign w:val="center"/>
          </w:tcPr>
          <w:p w14:paraId="639EAD6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RRL</w:t>
            </w:r>
          </w:p>
        </w:tc>
        <w:tc>
          <w:tcPr>
            <w:tcW w:w="875" w:type="pct"/>
            <w:tcBorders>
              <w:bottom w:val="single" w:sz="4" w:space="0" w:color="auto"/>
            </w:tcBorders>
            <w:vAlign w:val="center"/>
          </w:tcPr>
          <w:p w14:paraId="5970355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1</w:t>
            </w:r>
          </w:p>
        </w:tc>
        <w:tc>
          <w:tcPr>
            <w:tcW w:w="762" w:type="pct"/>
            <w:tcBorders>
              <w:bottom w:val="single" w:sz="4" w:space="0" w:color="auto"/>
            </w:tcBorders>
            <w:vAlign w:val="center"/>
          </w:tcPr>
          <w:p w14:paraId="40BA54E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0,72</w:t>
            </w:r>
          </w:p>
        </w:tc>
        <w:tc>
          <w:tcPr>
            <w:tcW w:w="807" w:type="pct"/>
            <w:tcBorders>
              <w:bottom w:val="single" w:sz="4" w:space="0" w:color="auto"/>
            </w:tcBorders>
            <w:vAlign w:val="center"/>
          </w:tcPr>
          <w:p w14:paraId="4757A15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0,65 – 1,27</w:t>
            </w:r>
          </w:p>
        </w:tc>
        <w:tc>
          <w:tcPr>
            <w:tcW w:w="808" w:type="pct"/>
            <w:tcBorders>
              <w:bottom w:val="single" w:sz="4" w:space="0" w:color="auto"/>
            </w:tcBorders>
            <w:vAlign w:val="center"/>
          </w:tcPr>
          <w:p w14:paraId="07D48F4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805" w:type="pct"/>
            <w:vMerge w:val="restart"/>
            <w:tcBorders>
              <w:bottom w:val="single" w:sz="4" w:space="0" w:color="auto"/>
            </w:tcBorders>
            <w:vAlign w:val="center"/>
          </w:tcPr>
          <w:p w14:paraId="0088302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0,66</w:t>
            </w:r>
          </w:p>
        </w:tc>
      </w:tr>
      <w:tr w:rsidR="00452443" w:rsidRPr="00A43B9C" w14:paraId="5A906EE2" w14:textId="77777777" w:rsidTr="000170A7">
        <w:trPr>
          <w:jc w:val="center"/>
        </w:trPr>
        <w:tc>
          <w:tcPr>
            <w:tcW w:w="943" w:type="pct"/>
            <w:vMerge/>
            <w:tcBorders>
              <w:top w:val="single" w:sz="4" w:space="0" w:color="auto"/>
            </w:tcBorders>
            <w:vAlign w:val="center"/>
          </w:tcPr>
          <w:p w14:paraId="0E5C77B5"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75" w:type="pct"/>
            <w:tcBorders>
              <w:top w:val="single" w:sz="4" w:space="0" w:color="auto"/>
            </w:tcBorders>
            <w:vAlign w:val="center"/>
          </w:tcPr>
          <w:p w14:paraId="0C69170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2</w:t>
            </w:r>
          </w:p>
        </w:tc>
        <w:tc>
          <w:tcPr>
            <w:tcW w:w="762" w:type="pct"/>
            <w:tcBorders>
              <w:top w:val="single" w:sz="4" w:space="0" w:color="auto"/>
            </w:tcBorders>
            <w:vAlign w:val="center"/>
          </w:tcPr>
          <w:p w14:paraId="36A551E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0,92</w:t>
            </w:r>
          </w:p>
        </w:tc>
        <w:tc>
          <w:tcPr>
            <w:tcW w:w="807" w:type="pct"/>
            <w:tcBorders>
              <w:top w:val="single" w:sz="4" w:space="0" w:color="auto"/>
            </w:tcBorders>
            <w:vAlign w:val="center"/>
          </w:tcPr>
          <w:p w14:paraId="7F44A9B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0,76 – 1,17</w:t>
            </w:r>
          </w:p>
        </w:tc>
        <w:tc>
          <w:tcPr>
            <w:tcW w:w="808" w:type="pct"/>
            <w:tcBorders>
              <w:top w:val="single" w:sz="4" w:space="0" w:color="auto"/>
            </w:tcBorders>
            <w:vAlign w:val="center"/>
          </w:tcPr>
          <w:p w14:paraId="08300C3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w:t>
            </w:r>
          </w:p>
        </w:tc>
        <w:tc>
          <w:tcPr>
            <w:tcW w:w="805" w:type="pct"/>
            <w:vMerge/>
            <w:tcBorders>
              <w:top w:val="nil"/>
            </w:tcBorders>
          </w:tcPr>
          <w:p w14:paraId="3650F33E"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344B6E6C" w14:textId="77777777" w:rsidTr="00654D7E">
        <w:trPr>
          <w:jc w:val="center"/>
        </w:trPr>
        <w:tc>
          <w:tcPr>
            <w:tcW w:w="943" w:type="pct"/>
            <w:vMerge/>
            <w:vAlign w:val="center"/>
          </w:tcPr>
          <w:p w14:paraId="71FABA60"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75" w:type="pct"/>
            <w:tcBorders>
              <w:bottom w:val="single" w:sz="4" w:space="0" w:color="auto"/>
            </w:tcBorders>
            <w:vAlign w:val="center"/>
          </w:tcPr>
          <w:p w14:paraId="3ACCF2C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3</w:t>
            </w:r>
          </w:p>
        </w:tc>
        <w:tc>
          <w:tcPr>
            <w:tcW w:w="762" w:type="pct"/>
            <w:tcBorders>
              <w:bottom w:val="single" w:sz="4" w:space="0" w:color="auto"/>
            </w:tcBorders>
            <w:vAlign w:val="center"/>
          </w:tcPr>
          <w:p w14:paraId="6389B5F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0,97</w:t>
            </w:r>
          </w:p>
        </w:tc>
        <w:tc>
          <w:tcPr>
            <w:tcW w:w="807" w:type="pct"/>
            <w:tcBorders>
              <w:bottom w:val="single" w:sz="4" w:space="0" w:color="auto"/>
            </w:tcBorders>
            <w:vAlign w:val="center"/>
          </w:tcPr>
          <w:p w14:paraId="3515EAF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0,74 – 1,41</w:t>
            </w:r>
          </w:p>
        </w:tc>
        <w:tc>
          <w:tcPr>
            <w:tcW w:w="808" w:type="pct"/>
            <w:tcBorders>
              <w:bottom w:val="single" w:sz="4" w:space="0" w:color="auto"/>
            </w:tcBorders>
            <w:vAlign w:val="center"/>
          </w:tcPr>
          <w:p w14:paraId="24E3EEB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28</w:t>
            </w:r>
          </w:p>
        </w:tc>
        <w:tc>
          <w:tcPr>
            <w:tcW w:w="805" w:type="pct"/>
            <w:vMerge/>
          </w:tcPr>
          <w:p w14:paraId="57495B96"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14568700" w14:textId="77777777" w:rsidTr="00870926">
        <w:trPr>
          <w:jc w:val="center"/>
        </w:trPr>
        <w:tc>
          <w:tcPr>
            <w:tcW w:w="943" w:type="pct"/>
            <w:vMerge/>
            <w:tcBorders>
              <w:bottom w:val="single" w:sz="4" w:space="0" w:color="auto"/>
            </w:tcBorders>
            <w:vAlign w:val="center"/>
          </w:tcPr>
          <w:p w14:paraId="4CD7F269"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75" w:type="pct"/>
            <w:tcBorders>
              <w:bottom w:val="single" w:sz="4" w:space="0" w:color="auto"/>
            </w:tcBorders>
            <w:vAlign w:val="center"/>
          </w:tcPr>
          <w:p w14:paraId="137B836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4</w:t>
            </w:r>
          </w:p>
        </w:tc>
        <w:tc>
          <w:tcPr>
            <w:tcW w:w="762" w:type="pct"/>
            <w:tcBorders>
              <w:bottom w:val="single" w:sz="4" w:space="0" w:color="auto"/>
            </w:tcBorders>
            <w:vAlign w:val="center"/>
          </w:tcPr>
          <w:p w14:paraId="046DF24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1,09</w:t>
            </w:r>
          </w:p>
        </w:tc>
        <w:tc>
          <w:tcPr>
            <w:tcW w:w="807" w:type="pct"/>
            <w:tcBorders>
              <w:bottom w:val="single" w:sz="4" w:space="0" w:color="auto"/>
            </w:tcBorders>
            <w:vAlign w:val="center"/>
          </w:tcPr>
          <w:p w14:paraId="08F41CB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1,07 – 1,11</w:t>
            </w:r>
          </w:p>
        </w:tc>
        <w:tc>
          <w:tcPr>
            <w:tcW w:w="808" w:type="pct"/>
            <w:tcBorders>
              <w:bottom w:val="single" w:sz="4" w:space="0" w:color="auto"/>
            </w:tcBorders>
            <w:vAlign w:val="center"/>
          </w:tcPr>
          <w:p w14:paraId="17FE04D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w:t>
            </w:r>
          </w:p>
        </w:tc>
        <w:tc>
          <w:tcPr>
            <w:tcW w:w="805" w:type="pct"/>
            <w:vMerge/>
            <w:tcBorders>
              <w:bottom w:val="single" w:sz="4" w:space="0" w:color="auto"/>
            </w:tcBorders>
          </w:tcPr>
          <w:p w14:paraId="070CE269"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3CDCE424" w14:textId="77777777" w:rsidTr="00870926">
        <w:trPr>
          <w:trHeight w:val="43"/>
          <w:jc w:val="center"/>
        </w:trPr>
        <w:tc>
          <w:tcPr>
            <w:tcW w:w="943" w:type="pct"/>
            <w:vMerge w:val="restart"/>
            <w:tcBorders>
              <w:top w:val="single" w:sz="4" w:space="0" w:color="auto"/>
              <w:left w:val="single" w:sz="4" w:space="0" w:color="auto"/>
              <w:bottom w:val="nil"/>
              <w:right w:val="single" w:sz="4" w:space="0" w:color="auto"/>
            </w:tcBorders>
            <w:vAlign w:val="center"/>
          </w:tcPr>
          <w:p w14:paraId="5685CEF5" w14:textId="77777777" w:rsidR="00452443" w:rsidRPr="00A43B9C" w:rsidRDefault="00452443" w:rsidP="00452443">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RU</w:t>
            </w:r>
          </w:p>
        </w:tc>
        <w:tc>
          <w:tcPr>
            <w:tcW w:w="875" w:type="pct"/>
            <w:tcBorders>
              <w:top w:val="single" w:sz="4" w:space="0" w:color="auto"/>
              <w:left w:val="single" w:sz="4" w:space="0" w:color="auto"/>
              <w:bottom w:val="nil"/>
              <w:right w:val="single" w:sz="4" w:space="0" w:color="auto"/>
            </w:tcBorders>
            <w:vAlign w:val="center"/>
          </w:tcPr>
          <w:p w14:paraId="6661838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1</w:t>
            </w:r>
          </w:p>
        </w:tc>
        <w:tc>
          <w:tcPr>
            <w:tcW w:w="762" w:type="pct"/>
            <w:tcBorders>
              <w:top w:val="single" w:sz="4" w:space="0" w:color="auto"/>
              <w:left w:val="single" w:sz="4" w:space="0" w:color="auto"/>
              <w:bottom w:val="nil"/>
              <w:right w:val="single" w:sz="4" w:space="0" w:color="auto"/>
            </w:tcBorders>
            <w:vAlign w:val="center"/>
          </w:tcPr>
          <w:p w14:paraId="46002C9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0,81</w:t>
            </w:r>
          </w:p>
        </w:tc>
        <w:tc>
          <w:tcPr>
            <w:tcW w:w="807" w:type="pct"/>
            <w:tcBorders>
              <w:top w:val="single" w:sz="4" w:space="0" w:color="auto"/>
              <w:left w:val="single" w:sz="4" w:space="0" w:color="auto"/>
              <w:bottom w:val="nil"/>
              <w:right w:val="single" w:sz="4" w:space="0" w:color="auto"/>
            </w:tcBorders>
            <w:vAlign w:val="center"/>
          </w:tcPr>
          <w:p w14:paraId="0FBC309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0,69 – 1,08</w:t>
            </w:r>
          </w:p>
        </w:tc>
        <w:tc>
          <w:tcPr>
            <w:tcW w:w="808" w:type="pct"/>
            <w:tcBorders>
              <w:top w:val="single" w:sz="4" w:space="0" w:color="auto"/>
              <w:left w:val="single" w:sz="4" w:space="0" w:color="auto"/>
              <w:bottom w:val="nil"/>
              <w:right w:val="single" w:sz="4" w:space="0" w:color="auto"/>
            </w:tcBorders>
            <w:vAlign w:val="center"/>
          </w:tcPr>
          <w:p w14:paraId="41A0FB7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805" w:type="pct"/>
            <w:vMerge w:val="restart"/>
            <w:tcBorders>
              <w:top w:val="single" w:sz="4" w:space="0" w:color="auto"/>
              <w:left w:val="single" w:sz="4" w:space="0" w:color="auto"/>
              <w:bottom w:val="nil"/>
              <w:right w:val="single" w:sz="4" w:space="0" w:color="auto"/>
            </w:tcBorders>
            <w:vAlign w:val="center"/>
          </w:tcPr>
          <w:p w14:paraId="57DC635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0,762</w:t>
            </w:r>
          </w:p>
        </w:tc>
      </w:tr>
      <w:tr w:rsidR="00452443" w:rsidRPr="00A43B9C" w14:paraId="47414B1E" w14:textId="77777777" w:rsidTr="00870926">
        <w:trPr>
          <w:jc w:val="center"/>
        </w:trPr>
        <w:tc>
          <w:tcPr>
            <w:tcW w:w="943" w:type="pct"/>
            <w:vMerge/>
            <w:tcBorders>
              <w:top w:val="nil"/>
              <w:left w:val="single" w:sz="4" w:space="0" w:color="auto"/>
              <w:bottom w:val="nil"/>
              <w:right w:val="single" w:sz="4" w:space="0" w:color="auto"/>
            </w:tcBorders>
            <w:vAlign w:val="center"/>
          </w:tcPr>
          <w:p w14:paraId="2689A2BD"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75" w:type="pct"/>
            <w:tcBorders>
              <w:left w:val="single" w:sz="4" w:space="0" w:color="auto"/>
            </w:tcBorders>
            <w:vAlign w:val="center"/>
          </w:tcPr>
          <w:p w14:paraId="0935020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2</w:t>
            </w:r>
          </w:p>
        </w:tc>
        <w:tc>
          <w:tcPr>
            <w:tcW w:w="762" w:type="pct"/>
            <w:vAlign w:val="center"/>
          </w:tcPr>
          <w:p w14:paraId="519AB5E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0,69</w:t>
            </w:r>
          </w:p>
        </w:tc>
        <w:tc>
          <w:tcPr>
            <w:tcW w:w="807" w:type="pct"/>
            <w:vAlign w:val="center"/>
          </w:tcPr>
          <w:p w14:paraId="374255E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0,64 – 1,01</w:t>
            </w:r>
          </w:p>
        </w:tc>
        <w:tc>
          <w:tcPr>
            <w:tcW w:w="808" w:type="pct"/>
            <w:tcBorders>
              <w:right w:val="single" w:sz="4" w:space="0" w:color="auto"/>
            </w:tcBorders>
            <w:vAlign w:val="center"/>
          </w:tcPr>
          <w:p w14:paraId="06E78FF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w:t>
            </w:r>
          </w:p>
        </w:tc>
        <w:tc>
          <w:tcPr>
            <w:tcW w:w="805" w:type="pct"/>
            <w:vMerge/>
            <w:tcBorders>
              <w:top w:val="nil"/>
              <w:left w:val="single" w:sz="4" w:space="0" w:color="auto"/>
              <w:bottom w:val="nil"/>
              <w:right w:val="single" w:sz="4" w:space="0" w:color="auto"/>
            </w:tcBorders>
          </w:tcPr>
          <w:p w14:paraId="7C89A30E"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14055DF7" w14:textId="77777777" w:rsidTr="00870926">
        <w:trPr>
          <w:jc w:val="center"/>
        </w:trPr>
        <w:tc>
          <w:tcPr>
            <w:tcW w:w="943" w:type="pct"/>
            <w:vMerge/>
            <w:tcBorders>
              <w:top w:val="nil"/>
              <w:left w:val="single" w:sz="4" w:space="0" w:color="auto"/>
              <w:bottom w:val="nil"/>
              <w:right w:val="single" w:sz="4" w:space="0" w:color="auto"/>
            </w:tcBorders>
            <w:vAlign w:val="center"/>
          </w:tcPr>
          <w:p w14:paraId="2EEBA1A1"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75" w:type="pct"/>
            <w:tcBorders>
              <w:left w:val="single" w:sz="4" w:space="0" w:color="auto"/>
              <w:bottom w:val="single" w:sz="4" w:space="0" w:color="auto"/>
            </w:tcBorders>
            <w:vAlign w:val="center"/>
          </w:tcPr>
          <w:p w14:paraId="20A46E4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3</w:t>
            </w:r>
          </w:p>
        </w:tc>
        <w:tc>
          <w:tcPr>
            <w:tcW w:w="762" w:type="pct"/>
            <w:tcBorders>
              <w:bottom w:val="single" w:sz="4" w:space="0" w:color="auto"/>
            </w:tcBorders>
            <w:vAlign w:val="center"/>
          </w:tcPr>
          <w:p w14:paraId="5F26D2D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0,81</w:t>
            </w:r>
          </w:p>
        </w:tc>
        <w:tc>
          <w:tcPr>
            <w:tcW w:w="807" w:type="pct"/>
            <w:tcBorders>
              <w:bottom w:val="single" w:sz="4" w:space="0" w:color="auto"/>
            </w:tcBorders>
            <w:vAlign w:val="center"/>
          </w:tcPr>
          <w:p w14:paraId="6F73350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0,64 – 1,22</w:t>
            </w:r>
          </w:p>
        </w:tc>
        <w:tc>
          <w:tcPr>
            <w:tcW w:w="808" w:type="pct"/>
            <w:tcBorders>
              <w:bottom w:val="single" w:sz="4" w:space="0" w:color="auto"/>
              <w:right w:val="single" w:sz="4" w:space="0" w:color="auto"/>
            </w:tcBorders>
            <w:vAlign w:val="center"/>
          </w:tcPr>
          <w:p w14:paraId="31C747B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28</w:t>
            </w:r>
          </w:p>
        </w:tc>
        <w:tc>
          <w:tcPr>
            <w:tcW w:w="805" w:type="pct"/>
            <w:vMerge/>
            <w:tcBorders>
              <w:top w:val="nil"/>
              <w:left w:val="single" w:sz="4" w:space="0" w:color="auto"/>
              <w:bottom w:val="nil"/>
              <w:right w:val="single" w:sz="4" w:space="0" w:color="auto"/>
            </w:tcBorders>
          </w:tcPr>
          <w:p w14:paraId="4516BAB4"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4B803AA6" w14:textId="77777777" w:rsidTr="00870926">
        <w:trPr>
          <w:jc w:val="center"/>
        </w:trPr>
        <w:tc>
          <w:tcPr>
            <w:tcW w:w="943" w:type="pct"/>
            <w:vMerge/>
            <w:tcBorders>
              <w:top w:val="nil"/>
              <w:left w:val="single" w:sz="4" w:space="0" w:color="auto"/>
              <w:bottom w:val="nil"/>
              <w:right w:val="single" w:sz="4" w:space="0" w:color="auto"/>
            </w:tcBorders>
            <w:vAlign w:val="center"/>
          </w:tcPr>
          <w:p w14:paraId="2CF286A7"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75" w:type="pct"/>
            <w:tcBorders>
              <w:top w:val="single" w:sz="4" w:space="0" w:color="auto"/>
              <w:left w:val="single" w:sz="4" w:space="0" w:color="auto"/>
              <w:bottom w:val="nil"/>
            </w:tcBorders>
            <w:vAlign w:val="center"/>
          </w:tcPr>
          <w:p w14:paraId="6F2477C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4</w:t>
            </w:r>
          </w:p>
        </w:tc>
        <w:tc>
          <w:tcPr>
            <w:tcW w:w="762" w:type="pct"/>
            <w:tcBorders>
              <w:top w:val="single" w:sz="4" w:space="0" w:color="auto"/>
              <w:bottom w:val="nil"/>
            </w:tcBorders>
            <w:vAlign w:val="center"/>
          </w:tcPr>
          <w:p w14:paraId="6514EA1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0,95</w:t>
            </w:r>
          </w:p>
        </w:tc>
        <w:tc>
          <w:tcPr>
            <w:tcW w:w="807" w:type="pct"/>
            <w:tcBorders>
              <w:top w:val="single" w:sz="4" w:space="0" w:color="auto"/>
              <w:bottom w:val="nil"/>
            </w:tcBorders>
            <w:vAlign w:val="center"/>
          </w:tcPr>
          <w:p w14:paraId="6E65162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0,89 – 1,01</w:t>
            </w:r>
          </w:p>
        </w:tc>
        <w:tc>
          <w:tcPr>
            <w:tcW w:w="808" w:type="pct"/>
            <w:tcBorders>
              <w:top w:val="single" w:sz="4" w:space="0" w:color="auto"/>
              <w:bottom w:val="nil"/>
              <w:right w:val="single" w:sz="4" w:space="0" w:color="auto"/>
            </w:tcBorders>
            <w:vAlign w:val="center"/>
          </w:tcPr>
          <w:p w14:paraId="370F869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w:t>
            </w:r>
          </w:p>
        </w:tc>
        <w:tc>
          <w:tcPr>
            <w:tcW w:w="805" w:type="pct"/>
            <w:vMerge/>
            <w:tcBorders>
              <w:top w:val="nil"/>
              <w:left w:val="single" w:sz="4" w:space="0" w:color="auto"/>
              <w:bottom w:val="nil"/>
              <w:right w:val="single" w:sz="4" w:space="0" w:color="auto"/>
            </w:tcBorders>
          </w:tcPr>
          <w:p w14:paraId="69AA7610"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198F20E5" w14:textId="77777777" w:rsidTr="00870926">
        <w:trPr>
          <w:jc w:val="center"/>
        </w:trPr>
        <w:tc>
          <w:tcPr>
            <w:tcW w:w="5000" w:type="pct"/>
            <w:gridSpan w:val="6"/>
            <w:tcBorders>
              <w:top w:val="nil"/>
              <w:left w:val="nil"/>
              <w:bottom w:val="single" w:sz="4" w:space="0" w:color="auto"/>
              <w:right w:val="nil"/>
            </w:tcBorders>
            <w:vAlign w:val="center"/>
          </w:tcPr>
          <w:p w14:paraId="4374D0F2" w14:textId="77777777" w:rsidR="00452443" w:rsidRDefault="00452443" w:rsidP="00452443">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7</w:t>
            </w:r>
          </w:p>
          <w:p w14:paraId="322D93E2" w14:textId="6FDCBE23" w:rsidR="00452443" w:rsidRPr="00A43B9C" w:rsidRDefault="00452443" w:rsidP="00452443">
            <w:pPr>
              <w:spacing w:after="0" w:line="240" w:lineRule="auto"/>
              <w:rPr>
                <w:rFonts w:ascii="Times New Roman" w:hAnsi="Times New Roman" w:cs="Times New Roman"/>
                <w:sz w:val="28"/>
                <w:szCs w:val="28"/>
              </w:rPr>
            </w:pPr>
          </w:p>
        </w:tc>
      </w:tr>
      <w:tr w:rsidR="00452443" w:rsidRPr="00A43B9C" w14:paraId="3E524C50" w14:textId="77777777" w:rsidTr="00870926">
        <w:trPr>
          <w:jc w:val="center"/>
        </w:trPr>
        <w:tc>
          <w:tcPr>
            <w:tcW w:w="943" w:type="pct"/>
            <w:tcBorders>
              <w:top w:val="single" w:sz="4" w:space="0" w:color="auto"/>
              <w:left w:val="single" w:sz="4" w:space="0" w:color="auto"/>
              <w:right w:val="single" w:sz="4" w:space="0" w:color="auto"/>
            </w:tcBorders>
            <w:vAlign w:val="center"/>
          </w:tcPr>
          <w:p w14:paraId="68341598" w14:textId="54C6C448"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875" w:type="pct"/>
            <w:tcBorders>
              <w:top w:val="single" w:sz="4" w:space="0" w:color="auto"/>
              <w:left w:val="single" w:sz="4" w:space="0" w:color="auto"/>
            </w:tcBorders>
            <w:vAlign w:val="center"/>
          </w:tcPr>
          <w:p w14:paraId="312D4821" w14:textId="6864E75A"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762" w:type="pct"/>
            <w:tcBorders>
              <w:top w:val="single" w:sz="4" w:space="0" w:color="auto"/>
            </w:tcBorders>
            <w:vAlign w:val="center"/>
          </w:tcPr>
          <w:p w14:paraId="3134E0A6" w14:textId="020C68CD"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807" w:type="pct"/>
            <w:tcBorders>
              <w:top w:val="single" w:sz="4" w:space="0" w:color="auto"/>
            </w:tcBorders>
            <w:vAlign w:val="center"/>
          </w:tcPr>
          <w:p w14:paraId="549AFECB" w14:textId="311D32AD"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808" w:type="pct"/>
            <w:tcBorders>
              <w:top w:val="single" w:sz="4" w:space="0" w:color="auto"/>
              <w:right w:val="single" w:sz="4" w:space="0" w:color="auto"/>
            </w:tcBorders>
            <w:vAlign w:val="center"/>
          </w:tcPr>
          <w:p w14:paraId="592D9E51" w14:textId="482DE526"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805" w:type="pct"/>
            <w:tcBorders>
              <w:top w:val="single" w:sz="4" w:space="0" w:color="auto"/>
              <w:left w:val="single" w:sz="4" w:space="0" w:color="auto"/>
              <w:right w:val="single" w:sz="4" w:space="0" w:color="auto"/>
            </w:tcBorders>
          </w:tcPr>
          <w:p w14:paraId="461F6AD5" w14:textId="23BCCC88"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r>
      <w:tr w:rsidR="00452443" w:rsidRPr="00A43B9C" w14:paraId="1FCB8E59" w14:textId="77777777" w:rsidTr="00654D7E">
        <w:trPr>
          <w:jc w:val="center"/>
        </w:trPr>
        <w:tc>
          <w:tcPr>
            <w:tcW w:w="943" w:type="pct"/>
            <w:vMerge w:val="restart"/>
            <w:vAlign w:val="center"/>
          </w:tcPr>
          <w:p w14:paraId="1156CF4B" w14:textId="77777777" w:rsidR="00452443" w:rsidRPr="00A43B9C" w:rsidRDefault="00452443" w:rsidP="00452443">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RLL</w:t>
            </w:r>
          </w:p>
        </w:tc>
        <w:tc>
          <w:tcPr>
            <w:tcW w:w="875" w:type="pct"/>
            <w:vAlign w:val="center"/>
          </w:tcPr>
          <w:p w14:paraId="4A5B33A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1</w:t>
            </w:r>
          </w:p>
        </w:tc>
        <w:tc>
          <w:tcPr>
            <w:tcW w:w="762" w:type="pct"/>
            <w:vAlign w:val="center"/>
          </w:tcPr>
          <w:p w14:paraId="27DA865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0,88</w:t>
            </w:r>
          </w:p>
        </w:tc>
        <w:tc>
          <w:tcPr>
            <w:tcW w:w="807" w:type="pct"/>
            <w:vAlign w:val="center"/>
          </w:tcPr>
          <w:p w14:paraId="056048D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0,58 – 1,1</w:t>
            </w:r>
          </w:p>
        </w:tc>
        <w:tc>
          <w:tcPr>
            <w:tcW w:w="808" w:type="pct"/>
            <w:vAlign w:val="center"/>
          </w:tcPr>
          <w:p w14:paraId="59D7316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805" w:type="pct"/>
            <w:vMerge w:val="restart"/>
            <w:vAlign w:val="center"/>
          </w:tcPr>
          <w:p w14:paraId="2F8F195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0,702</w:t>
            </w:r>
          </w:p>
        </w:tc>
      </w:tr>
      <w:tr w:rsidR="00452443" w:rsidRPr="00A43B9C" w14:paraId="33A80176" w14:textId="77777777" w:rsidTr="00654D7E">
        <w:trPr>
          <w:jc w:val="center"/>
        </w:trPr>
        <w:tc>
          <w:tcPr>
            <w:tcW w:w="943" w:type="pct"/>
            <w:vMerge/>
            <w:vAlign w:val="center"/>
          </w:tcPr>
          <w:p w14:paraId="5F20B636"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75" w:type="pct"/>
            <w:vAlign w:val="center"/>
          </w:tcPr>
          <w:p w14:paraId="04FB133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2</w:t>
            </w:r>
          </w:p>
        </w:tc>
        <w:tc>
          <w:tcPr>
            <w:tcW w:w="762" w:type="pct"/>
            <w:vAlign w:val="center"/>
          </w:tcPr>
          <w:p w14:paraId="2F1C86B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0,87</w:t>
            </w:r>
          </w:p>
        </w:tc>
        <w:tc>
          <w:tcPr>
            <w:tcW w:w="807" w:type="pct"/>
            <w:vAlign w:val="center"/>
          </w:tcPr>
          <w:p w14:paraId="7468BF4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0,78 – 1,07</w:t>
            </w:r>
          </w:p>
        </w:tc>
        <w:tc>
          <w:tcPr>
            <w:tcW w:w="808" w:type="pct"/>
            <w:vAlign w:val="center"/>
          </w:tcPr>
          <w:p w14:paraId="717E9B0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w:t>
            </w:r>
          </w:p>
        </w:tc>
        <w:tc>
          <w:tcPr>
            <w:tcW w:w="805" w:type="pct"/>
            <w:vMerge/>
          </w:tcPr>
          <w:p w14:paraId="210E10D2"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7C10A6B6" w14:textId="77777777" w:rsidTr="00654D7E">
        <w:trPr>
          <w:jc w:val="center"/>
        </w:trPr>
        <w:tc>
          <w:tcPr>
            <w:tcW w:w="943" w:type="pct"/>
            <w:vMerge/>
            <w:vAlign w:val="center"/>
          </w:tcPr>
          <w:p w14:paraId="4F4CD60C"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75" w:type="pct"/>
            <w:vAlign w:val="center"/>
          </w:tcPr>
          <w:p w14:paraId="51BC5D7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3</w:t>
            </w:r>
          </w:p>
        </w:tc>
        <w:tc>
          <w:tcPr>
            <w:tcW w:w="762" w:type="pct"/>
            <w:vAlign w:val="center"/>
          </w:tcPr>
          <w:p w14:paraId="425A15D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0,99</w:t>
            </w:r>
          </w:p>
        </w:tc>
        <w:tc>
          <w:tcPr>
            <w:tcW w:w="807" w:type="pct"/>
            <w:vAlign w:val="center"/>
          </w:tcPr>
          <w:p w14:paraId="1504A5C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0,74 – 1,16</w:t>
            </w:r>
          </w:p>
        </w:tc>
        <w:tc>
          <w:tcPr>
            <w:tcW w:w="808" w:type="pct"/>
            <w:vAlign w:val="center"/>
          </w:tcPr>
          <w:p w14:paraId="6E57D65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28</w:t>
            </w:r>
          </w:p>
        </w:tc>
        <w:tc>
          <w:tcPr>
            <w:tcW w:w="805" w:type="pct"/>
            <w:vMerge/>
          </w:tcPr>
          <w:p w14:paraId="3AC6EA20"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6EF42B35" w14:textId="77777777" w:rsidTr="00654D7E">
        <w:trPr>
          <w:jc w:val="center"/>
        </w:trPr>
        <w:tc>
          <w:tcPr>
            <w:tcW w:w="943" w:type="pct"/>
            <w:vMerge/>
            <w:vAlign w:val="center"/>
          </w:tcPr>
          <w:p w14:paraId="25D89333"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75" w:type="pct"/>
            <w:vAlign w:val="center"/>
          </w:tcPr>
          <w:p w14:paraId="0093C16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4</w:t>
            </w:r>
          </w:p>
        </w:tc>
        <w:tc>
          <w:tcPr>
            <w:tcW w:w="762" w:type="pct"/>
            <w:vAlign w:val="center"/>
          </w:tcPr>
          <w:p w14:paraId="3F6F56E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1,26</w:t>
            </w:r>
          </w:p>
        </w:tc>
        <w:tc>
          <w:tcPr>
            <w:tcW w:w="807" w:type="pct"/>
            <w:vAlign w:val="center"/>
          </w:tcPr>
          <w:p w14:paraId="2D657E2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1,08 – 1,43</w:t>
            </w:r>
          </w:p>
        </w:tc>
        <w:tc>
          <w:tcPr>
            <w:tcW w:w="808" w:type="pct"/>
            <w:vAlign w:val="center"/>
          </w:tcPr>
          <w:p w14:paraId="29A5D09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w:t>
            </w:r>
          </w:p>
        </w:tc>
        <w:tc>
          <w:tcPr>
            <w:tcW w:w="805" w:type="pct"/>
            <w:vMerge/>
          </w:tcPr>
          <w:p w14:paraId="593F5D89"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07005DCF" w14:textId="77777777" w:rsidTr="00654D7E">
        <w:trPr>
          <w:jc w:val="center"/>
        </w:trPr>
        <w:tc>
          <w:tcPr>
            <w:tcW w:w="943" w:type="pct"/>
            <w:vMerge w:val="restart"/>
            <w:vAlign w:val="center"/>
          </w:tcPr>
          <w:p w14:paraId="282A7350" w14:textId="77777777" w:rsidR="00452443" w:rsidRPr="00A43B9C" w:rsidRDefault="00452443" w:rsidP="00452443">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RRI</w:t>
            </w:r>
          </w:p>
        </w:tc>
        <w:tc>
          <w:tcPr>
            <w:tcW w:w="875" w:type="pct"/>
            <w:vAlign w:val="center"/>
          </w:tcPr>
          <w:p w14:paraId="7F967CA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1</w:t>
            </w:r>
          </w:p>
        </w:tc>
        <w:tc>
          <w:tcPr>
            <w:tcW w:w="762" w:type="pct"/>
            <w:vAlign w:val="center"/>
          </w:tcPr>
          <w:p w14:paraId="4B38320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0,54</w:t>
            </w:r>
          </w:p>
        </w:tc>
        <w:tc>
          <w:tcPr>
            <w:tcW w:w="807" w:type="pct"/>
            <w:vAlign w:val="center"/>
          </w:tcPr>
          <w:p w14:paraId="45E36AF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0,52 – 0,76</w:t>
            </w:r>
          </w:p>
        </w:tc>
        <w:tc>
          <w:tcPr>
            <w:tcW w:w="808" w:type="pct"/>
            <w:vAlign w:val="center"/>
          </w:tcPr>
          <w:p w14:paraId="408A6ED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805" w:type="pct"/>
            <w:vMerge w:val="restart"/>
            <w:vAlign w:val="center"/>
          </w:tcPr>
          <w:p w14:paraId="19CA753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0,318</w:t>
            </w:r>
          </w:p>
        </w:tc>
      </w:tr>
      <w:tr w:rsidR="00452443" w:rsidRPr="00A43B9C" w14:paraId="300E3B58" w14:textId="77777777" w:rsidTr="00654D7E">
        <w:trPr>
          <w:jc w:val="center"/>
        </w:trPr>
        <w:tc>
          <w:tcPr>
            <w:tcW w:w="943" w:type="pct"/>
            <w:vMerge/>
            <w:vAlign w:val="center"/>
          </w:tcPr>
          <w:p w14:paraId="341B8DF7"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75" w:type="pct"/>
            <w:vAlign w:val="center"/>
          </w:tcPr>
          <w:p w14:paraId="2022065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2</w:t>
            </w:r>
          </w:p>
        </w:tc>
        <w:tc>
          <w:tcPr>
            <w:tcW w:w="762" w:type="pct"/>
            <w:vAlign w:val="center"/>
          </w:tcPr>
          <w:p w14:paraId="5458ECC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0,49</w:t>
            </w:r>
          </w:p>
        </w:tc>
        <w:tc>
          <w:tcPr>
            <w:tcW w:w="807" w:type="pct"/>
            <w:vAlign w:val="center"/>
          </w:tcPr>
          <w:p w14:paraId="72804D3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 – 0,59</w:t>
            </w:r>
          </w:p>
        </w:tc>
        <w:tc>
          <w:tcPr>
            <w:tcW w:w="808" w:type="pct"/>
            <w:vAlign w:val="center"/>
          </w:tcPr>
          <w:p w14:paraId="3F1FC07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w:t>
            </w:r>
          </w:p>
        </w:tc>
        <w:tc>
          <w:tcPr>
            <w:tcW w:w="805" w:type="pct"/>
            <w:vMerge/>
          </w:tcPr>
          <w:p w14:paraId="4026EAE5"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77B15B5F" w14:textId="77777777" w:rsidTr="00654D7E">
        <w:trPr>
          <w:jc w:val="center"/>
        </w:trPr>
        <w:tc>
          <w:tcPr>
            <w:tcW w:w="943" w:type="pct"/>
            <w:vMerge/>
            <w:vAlign w:val="center"/>
          </w:tcPr>
          <w:p w14:paraId="2D0764E1"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75" w:type="pct"/>
            <w:vAlign w:val="center"/>
          </w:tcPr>
          <w:p w14:paraId="0FB5D14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3</w:t>
            </w:r>
          </w:p>
        </w:tc>
        <w:tc>
          <w:tcPr>
            <w:tcW w:w="762" w:type="pct"/>
            <w:vAlign w:val="center"/>
          </w:tcPr>
          <w:p w14:paraId="4D2A337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0,64</w:t>
            </w:r>
          </w:p>
        </w:tc>
        <w:tc>
          <w:tcPr>
            <w:tcW w:w="807" w:type="pct"/>
            <w:vAlign w:val="center"/>
          </w:tcPr>
          <w:p w14:paraId="6705F9B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 – 0,87</w:t>
            </w:r>
          </w:p>
        </w:tc>
        <w:tc>
          <w:tcPr>
            <w:tcW w:w="808" w:type="pct"/>
            <w:vAlign w:val="center"/>
          </w:tcPr>
          <w:p w14:paraId="6B49708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28</w:t>
            </w:r>
          </w:p>
        </w:tc>
        <w:tc>
          <w:tcPr>
            <w:tcW w:w="805" w:type="pct"/>
            <w:vMerge/>
          </w:tcPr>
          <w:p w14:paraId="7B6F4B86"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1CF95C52" w14:textId="77777777" w:rsidTr="00654D7E">
        <w:trPr>
          <w:jc w:val="center"/>
        </w:trPr>
        <w:tc>
          <w:tcPr>
            <w:tcW w:w="943" w:type="pct"/>
            <w:vMerge/>
            <w:vAlign w:val="center"/>
          </w:tcPr>
          <w:p w14:paraId="6A0B49EA"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75" w:type="pct"/>
            <w:vAlign w:val="center"/>
          </w:tcPr>
          <w:p w14:paraId="4E1F805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4</w:t>
            </w:r>
          </w:p>
        </w:tc>
        <w:tc>
          <w:tcPr>
            <w:tcW w:w="762" w:type="pct"/>
            <w:vAlign w:val="center"/>
          </w:tcPr>
          <w:p w14:paraId="298B0D0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0,64</w:t>
            </w:r>
          </w:p>
        </w:tc>
        <w:tc>
          <w:tcPr>
            <w:tcW w:w="807" w:type="pct"/>
            <w:vAlign w:val="center"/>
          </w:tcPr>
          <w:p w14:paraId="5680933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0,58 – 0,7</w:t>
            </w:r>
          </w:p>
        </w:tc>
        <w:tc>
          <w:tcPr>
            <w:tcW w:w="808" w:type="pct"/>
            <w:vAlign w:val="center"/>
          </w:tcPr>
          <w:p w14:paraId="1D9BDF7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w:t>
            </w:r>
          </w:p>
        </w:tc>
        <w:tc>
          <w:tcPr>
            <w:tcW w:w="805" w:type="pct"/>
            <w:vMerge/>
          </w:tcPr>
          <w:p w14:paraId="7FD80309"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684C8A53" w14:textId="77777777" w:rsidTr="00654D7E">
        <w:trPr>
          <w:jc w:val="center"/>
        </w:trPr>
        <w:tc>
          <w:tcPr>
            <w:tcW w:w="943" w:type="pct"/>
            <w:vMerge w:val="restart"/>
            <w:vAlign w:val="center"/>
          </w:tcPr>
          <w:p w14:paraId="25576692" w14:textId="77777777" w:rsidR="00452443" w:rsidRPr="00A43B9C" w:rsidRDefault="00452443" w:rsidP="00452443">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RP</w:t>
            </w:r>
          </w:p>
        </w:tc>
        <w:tc>
          <w:tcPr>
            <w:tcW w:w="875" w:type="pct"/>
            <w:vAlign w:val="center"/>
          </w:tcPr>
          <w:p w14:paraId="2506AC0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1</w:t>
            </w:r>
          </w:p>
        </w:tc>
        <w:tc>
          <w:tcPr>
            <w:tcW w:w="762" w:type="pct"/>
            <w:vAlign w:val="center"/>
          </w:tcPr>
          <w:p w14:paraId="0C02833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0,78</w:t>
            </w:r>
          </w:p>
        </w:tc>
        <w:tc>
          <w:tcPr>
            <w:tcW w:w="807" w:type="pct"/>
            <w:vAlign w:val="center"/>
          </w:tcPr>
          <w:p w14:paraId="577022A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0,69 – 1,09</w:t>
            </w:r>
          </w:p>
        </w:tc>
        <w:tc>
          <w:tcPr>
            <w:tcW w:w="808" w:type="pct"/>
            <w:vAlign w:val="center"/>
          </w:tcPr>
          <w:p w14:paraId="03ED51E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805" w:type="pct"/>
            <w:vMerge w:val="restart"/>
            <w:vAlign w:val="center"/>
          </w:tcPr>
          <w:p w14:paraId="426CF05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0,855</w:t>
            </w:r>
          </w:p>
        </w:tc>
      </w:tr>
      <w:tr w:rsidR="00452443" w:rsidRPr="00A43B9C" w14:paraId="1A34D27B" w14:textId="77777777" w:rsidTr="00654D7E">
        <w:trPr>
          <w:jc w:val="center"/>
        </w:trPr>
        <w:tc>
          <w:tcPr>
            <w:tcW w:w="943" w:type="pct"/>
            <w:vMerge/>
            <w:vAlign w:val="center"/>
          </w:tcPr>
          <w:p w14:paraId="5B637AC0"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75" w:type="pct"/>
            <w:vAlign w:val="center"/>
          </w:tcPr>
          <w:p w14:paraId="1269077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2</w:t>
            </w:r>
          </w:p>
        </w:tc>
        <w:tc>
          <w:tcPr>
            <w:tcW w:w="762" w:type="pct"/>
            <w:vAlign w:val="center"/>
          </w:tcPr>
          <w:p w14:paraId="625059C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0,77</w:t>
            </w:r>
          </w:p>
        </w:tc>
        <w:tc>
          <w:tcPr>
            <w:tcW w:w="807" w:type="pct"/>
            <w:vAlign w:val="center"/>
          </w:tcPr>
          <w:p w14:paraId="3F907F8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0,67 – 1,01</w:t>
            </w:r>
          </w:p>
        </w:tc>
        <w:tc>
          <w:tcPr>
            <w:tcW w:w="808" w:type="pct"/>
            <w:vAlign w:val="center"/>
          </w:tcPr>
          <w:p w14:paraId="257866C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w:t>
            </w:r>
          </w:p>
        </w:tc>
        <w:tc>
          <w:tcPr>
            <w:tcW w:w="805" w:type="pct"/>
            <w:vMerge/>
          </w:tcPr>
          <w:p w14:paraId="170AF3BA"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24608B29" w14:textId="77777777" w:rsidTr="00654D7E">
        <w:trPr>
          <w:jc w:val="center"/>
        </w:trPr>
        <w:tc>
          <w:tcPr>
            <w:tcW w:w="943" w:type="pct"/>
            <w:vMerge/>
            <w:vAlign w:val="center"/>
          </w:tcPr>
          <w:p w14:paraId="777B7D17"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75" w:type="pct"/>
            <w:vAlign w:val="center"/>
          </w:tcPr>
          <w:p w14:paraId="577AD55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3</w:t>
            </w:r>
          </w:p>
        </w:tc>
        <w:tc>
          <w:tcPr>
            <w:tcW w:w="762" w:type="pct"/>
            <w:vAlign w:val="center"/>
          </w:tcPr>
          <w:p w14:paraId="1E57395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0,94</w:t>
            </w:r>
          </w:p>
        </w:tc>
        <w:tc>
          <w:tcPr>
            <w:tcW w:w="807" w:type="pct"/>
            <w:vAlign w:val="center"/>
          </w:tcPr>
          <w:p w14:paraId="13402E3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0,69 – 1,14</w:t>
            </w:r>
          </w:p>
        </w:tc>
        <w:tc>
          <w:tcPr>
            <w:tcW w:w="808" w:type="pct"/>
            <w:vAlign w:val="center"/>
          </w:tcPr>
          <w:p w14:paraId="203A3C9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28</w:t>
            </w:r>
          </w:p>
        </w:tc>
        <w:tc>
          <w:tcPr>
            <w:tcW w:w="805" w:type="pct"/>
            <w:vMerge/>
          </w:tcPr>
          <w:p w14:paraId="753243D0"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3625CB07" w14:textId="77777777" w:rsidTr="00654D7E">
        <w:trPr>
          <w:jc w:val="center"/>
        </w:trPr>
        <w:tc>
          <w:tcPr>
            <w:tcW w:w="943" w:type="pct"/>
            <w:vMerge/>
            <w:vAlign w:val="center"/>
          </w:tcPr>
          <w:p w14:paraId="26C75C78"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75" w:type="pct"/>
            <w:vAlign w:val="center"/>
          </w:tcPr>
          <w:p w14:paraId="4933206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4</w:t>
            </w:r>
          </w:p>
        </w:tc>
        <w:tc>
          <w:tcPr>
            <w:tcW w:w="762" w:type="pct"/>
            <w:vAlign w:val="center"/>
          </w:tcPr>
          <w:p w14:paraId="496E6A0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0,92</w:t>
            </w:r>
          </w:p>
        </w:tc>
        <w:tc>
          <w:tcPr>
            <w:tcW w:w="807" w:type="pct"/>
            <w:vAlign w:val="center"/>
          </w:tcPr>
          <w:p w14:paraId="2BE6763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0,92 – 0,92</w:t>
            </w:r>
          </w:p>
        </w:tc>
        <w:tc>
          <w:tcPr>
            <w:tcW w:w="808" w:type="pct"/>
            <w:vAlign w:val="center"/>
          </w:tcPr>
          <w:p w14:paraId="4353115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w:t>
            </w:r>
          </w:p>
        </w:tc>
        <w:tc>
          <w:tcPr>
            <w:tcW w:w="805" w:type="pct"/>
            <w:vMerge/>
          </w:tcPr>
          <w:p w14:paraId="64CD6197"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5DCADD0F" w14:textId="77777777" w:rsidTr="00654D7E">
        <w:trPr>
          <w:jc w:val="center"/>
        </w:trPr>
        <w:tc>
          <w:tcPr>
            <w:tcW w:w="943" w:type="pct"/>
            <w:vMerge w:val="restart"/>
            <w:vAlign w:val="center"/>
          </w:tcPr>
          <w:p w14:paraId="62EA97F8" w14:textId="77777777" w:rsidR="00452443" w:rsidRPr="00A43B9C" w:rsidRDefault="00452443" w:rsidP="00452443">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RLI</w:t>
            </w:r>
          </w:p>
        </w:tc>
        <w:tc>
          <w:tcPr>
            <w:tcW w:w="875" w:type="pct"/>
            <w:vAlign w:val="center"/>
          </w:tcPr>
          <w:p w14:paraId="5CD4E96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1</w:t>
            </w:r>
          </w:p>
        </w:tc>
        <w:tc>
          <w:tcPr>
            <w:tcW w:w="762" w:type="pct"/>
            <w:vAlign w:val="center"/>
          </w:tcPr>
          <w:p w14:paraId="6F0BB66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0,58</w:t>
            </w:r>
          </w:p>
        </w:tc>
        <w:tc>
          <w:tcPr>
            <w:tcW w:w="807" w:type="pct"/>
            <w:vAlign w:val="center"/>
          </w:tcPr>
          <w:p w14:paraId="2F60F23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0,43 – 0,64</w:t>
            </w:r>
          </w:p>
        </w:tc>
        <w:tc>
          <w:tcPr>
            <w:tcW w:w="808" w:type="pct"/>
            <w:vAlign w:val="center"/>
          </w:tcPr>
          <w:p w14:paraId="35392AB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805" w:type="pct"/>
            <w:vMerge w:val="restart"/>
            <w:vAlign w:val="center"/>
          </w:tcPr>
          <w:p w14:paraId="6D29205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0,648</w:t>
            </w:r>
          </w:p>
        </w:tc>
      </w:tr>
      <w:tr w:rsidR="00452443" w:rsidRPr="00A43B9C" w14:paraId="30BA1439" w14:textId="77777777" w:rsidTr="00654D7E">
        <w:trPr>
          <w:jc w:val="center"/>
        </w:trPr>
        <w:tc>
          <w:tcPr>
            <w:tcW w:w="943" w:type="pct"/>
            <w:vMerge/>
            <w:vAlign w:val="center"/>
          </w:tcPr>
          <w:p w14:paraId="4A8F637D"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75" w:type="pct"/>
            <w:vAlign w:val="center"/>
          </w:tcPr>
          <w:p w14:paraId="79E8807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2</w:t>
            </w:r>
          </w:p>
        </w:tc>
        <w:tc>
          <w:tcPr>
            <w:tcW w:w="762" w:type="pct"/>
            <w:vAlign w:val="center"/>
          </w:tcPr>
          <w:p w14:paraId="6795F93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0,52</w:t>
            </w:r>
          </w:p>
        </w:tc>
        <w:tc>
          <w:tcPr>
            <w:tcW w:w="807" w:type="pct"/>
            <w:vAlign w:val="center"/>
          </w:tcPr>
          <w:p w14:paraId="7F86FA5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0,41 – 0,71</w:t>
            </w:r>
          </w:p>
        </w:tc>
        <w:tc>
          <w:tcPr>
            <w:tcW w:w="808" w:type="pct"/>
            <w:vAlign w:val="center"/>
          </w:tcPr>
          <w:p w14:paraId="783FA8E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w:t>
            </w:r>
          </w:p>
        </w:tc>
        <w:tc>
          <w:tcPr>
            <w:tcW w:w="805" w:type="pct"/>
            <w:vMerge/>
          </w:tcPr>
          <w:p w14:paraId="3D3EE3E8"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4E1D363D" w14:textId="77777777" w:rsidTr="00654D7E">
        <w:trPr>
          <w:jc w:val="center"/>
        </w:trPr>
        <w:tc>
          <w:tcPr>
            <w:tcW w:w="943" w:type="pct"/>
            <w:vMerge/>
            <w:vAlign w:val="center"/>
          </w:tcPr>
          <w:p w14:paraId="6DA6997C"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75" w:type="pct"/>
            <w:vAlign w:val="center"/>
          </w:tcPr>
          <w:p w14:paraId="2B5B0E8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3</w:t>
            </w:r>
          </w:p>
        </w:tc>
        <w:tc>
          <w:tcPr>
            <w:tcW w:w="762" w:type="pct"/>
            <w:vAlign w:val="center"/>
          </w:tcPr>
          <w:p w14:paraId="5F491AD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0,58</w:t>
            </w:r>
          </w:p>
        </w:tc>
        <w:tc>
          <w:tcPr>
            <w:tcW w:w="807" w:type="pct"/>
            <w:vAlign w:val="center"/>
          </w:tcPr>
          <w:p w14:paraId="1297CD7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 – 0,89</w:t>
            </w:r>
          </w:p>
        </w:tc>
        <w:tc>
          <w:tcPr>
            <w:tcW w:w="808" w:type="pct"/>
            <w:vAlign w:val="center"/>
          </w:tcPr>
          <w:p w14:paraId="64B18DB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28</w:t>
            </w:r>
          </w:p>
        </w:tc>
        <w:tc>
          <w:tcPr>
            <w:tcW w:w="805" w:type="pct"/>
            <w:vMerge/>
          </w:tcPr>
          <w:p w14:paraId="0A9696A0"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5C7B4094" w14:textId="77777777" w:rsidTr="00654D7E">
        <w:trPr>
          <w:jc w:val="center"/>
        </w:trPr>
        <w:tc>
          <w:tcPr>
            <w:tcW w:w="943" w:type="pct"/>
            <w:vMerge/>
            <w:vAlign w:val="center"/>
          </w:tcPr>
          <w:p w14:paraId="51B6B241"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75" w:type="pct"/>
            <w:vAlign w:val="center"/>
          </w:tcPr>
          <w:p w14:paraId="68E1374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4</w:t>
            </w:r>
          </w:p>
        </w:tc>
        <w:tc>
          <w:tcPr>
            <w:tcW w:w="762" w:type="pct"/>
            <w:vAlign w:val="center"/>
          </w:tcPr>
          <w:p w14:paraId="2311E26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0,83</w:t>
            </w:r>
          </w:p>
        </w:tc>
        <w:tc>
          <w:tcPr>
            <w:tcW w:w="807" w:type="pct"/>
            <w:vAlign w:val="center"/>
          </w:tcPr>
          <w:p w14:paraId="002753D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0,69 – 0,98</w:t>
            </w:r>
          </w:p>
        </w:tc>
        <w:tc>
          <w:tcPr>
            <w:tcW w:w="808" w:type="pct"/>
            <w:vAlign w:val="center"/>
          </w:tcPr>
          <w:p w14:paraId="7FC7874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w:t>
            </w:r>
          </w:p>
        </w:tc>
        <w:tc>
          <w:tcPr>
            <w:tcW w:w="805" w:type="pct"/>
            <w:vMerge/>
          </w:tcPr>
          <w:p w14:paraId="249E0039"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7F533D2B" w14:textId="77777777" w:rsidTr="00654D7E">
        <w:trPr>
          <w:jc w:val="center"/>
        </w:trPr>
        <w:tc>
          <w:tcPr>
            <w:tcW w:w="943" w:type="pct"/>
            <w:vMerge w:val="restart"/>
            <w:vAlign w:val="center"/>
          </w:tcPr>
          <w:p w14:paraId="7F695E9B" w14:textId="77777777" w:rsidR="00452443" w:rsidRPr="00A43B9C" w:rsidRDefault="00452443" w:rsidP="00452443">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P</w:t>
            </w:r>
          </w:p>
        </w:tc>
        <w:tc>
          <w:tcPr>
            <w:tcW w:w="875" w:type="pct"/>
            <w:vAlign w:val="center"/>
          </w:tcPr>
          <w:p w14:paraId="085F4F4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1</w:t>
            </w:r>
          </w:p>
        </w:tc>
        <w:tc>
          <w:tcPr>
            <w:tcW w:w="762" w:type="pct"/>
            <w:vAlign w:val="center"/>
          </w:tcPr>
          <w:p w14:paraId="4B71311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0,95</w:t>
            </w:r>
          </w:p>
        </w:tc>
        <w:tc>
          <w:tcPr>
            <w:tcW w:w="807" w:type="pct"/>
            <w:vAlign w:val="center"/>
          </w:tcPr>
          <w:p w14:paraId="5074C7B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0,67 – 1,09</w:t>
            </w:r>
          </w:p>
        </w:tc>
        <w:tc>
          <w:tcPr>
            <w:tcW w:w="808" w:type="pct"/>
            <w:vAlign w:val="center"/>
          </w:tcPr>
          <w:p w14:paraId="2B1FD16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805" w:type="pct"/>
            <w:vMerge w:val="restart"/>
            <w:vAlign w:val="center"/>
          </w:tcPr>
          <w:p w14:paraId="7EB19FF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0,337</w:t>
            </w:r>
          </w:p>
        </w:tc>
      </w:tr>
      <w:tr w:rsidR="00452443" w:rsidRPr="00A43B9C" w14:paraId="7602757D" w14:textId="77777777" w:rsidTr="00654D7E">
        <w:trPr>
          <w:jc w:val="center"/>
        </w:trPr>
        <w:tc>
          <w:tcPr>
            <w:tcW w:w="943" w:type="pct"/>
            <w:vMerge/>
            <w:vAlign w:val="center"/>
          </w:tcPr>
          <w:p w14:paraId="375E847F" w14:textId="77777777" w:rsidR="00452443" w:rsidRPr="00A43B9C" w:rsidRDefault="00452443" w:rsidP="00452443">
            <w:pPr>
              <w:spacing w:after="0" w:line="240" w:lineRule="auto"/>
              <w:rPr>
                <w:rFonts w:ascii="Times New Roman" w:hAnsi="Times New Roman" w:cs="Times New Roman"/>
                <w:sz w:val="28"/>
                <w:szCs w:val="28"/>
              </w:rPr>
            </w:pPr>
          </w:p>
        </w:tc>
        <w:tc>
          <w:tcPr>
            <w:tcW w:w="875" w:type="pct"/>
            <w:vAlign w:val="center"/>
          </w:tcPr>
          <w:p w14:paraId="400DC8F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2</w:t>
            </w:r>
          </w:p>
        </w:tc>
        <w:tc>
          <w:tcPr>
            <w:tcW w:w="762" w:type="pct"/>
            <w:vAlign w:val="center"/>
          </w:tcPr>
          <w:p w14:paraId="6BE27FF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0,82</w:t>
            </w:r>
          </w:p>
        </w:tc>
        <w:tc>
          <w:tcPr>
            <w:tcW w:w="807" w:type="pct"/>
            <w:vAlign w:val="center"/>
          </w:tcPr>
          <w:p w14:paraId="6B55272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0,66 – 0,96</w:t>
            </w:r>
          </w:p>
        </w:tc>
        <w:tc>
          <w:tcPr>
            <w:tcW w:w="808" w:type="pct"/>
            <w:vAlign w:val="center"/>
          </w:tcPr>
          <w:p w14:paraId="3CCD364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w:t>
            </w:r>
          </w:p>
        </w:tc>
        <w:tc>
          <w:tcPr>
            <w:tcW w:w="805" w:type="pct"/>
            <w:vMerge/>
          </w:tcPr>
          <w:p w14:paraId="27A8138B"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709C260C" w14:textId="77777777" w:rsidTr="00654D7E">
        <w:trPr>
          <w:jc w:val="center"/>
        </w:trPr>
        <w:tc>
          <w:tcPr>
            <w:tcW w:w="943" w:type="pct"/>
            <w:vMerge/>
            <w:vAlign w:val="center"/>
          </w:tcPr>
          <w:p w14:paraId="57622CE0" w14:textId="77777777" w:rsidR="00452443" w:rsidRPr="00A43B9C" w:rsidRDefault="00452443" w:rsidP="00452443">
            <w:pPr>
              <w:spacing w:after="0" w:line="240" w:lineRule="auto"/>
              <w:rPr>
                <w:rFonts w:ascii="Times New Roman" w:hAnsi="Times New Roman" w:cs="Times New Roman"/>
                <w:sz w:val="28"/>
                <w:szCs w:val="28"/>
              </w:rPr>
            </w:pPr>
          </w:p>
        </w:tc>
        <w:tc>
          <w:tcPr>
            <w:tcW w:w="875" w:type="pct"/>
            <w:vAlign w:val="center"/>
          </w:tcPr>
          <w:p w14:paraId="6C607FF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3</w:t>
            </w:r>
          </w:p>
        </w:tc>
        <w:tc>
          <w:tcPr>
            <w:tcW w:w="762" w:type="pct"/>
            <w:vAlign w:val="center"/>
          </w:tcPr>
          <w:p w14:paraId="4D190FF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w:t>
            </w:r>
          </w:p>
        </w:tc>
        <w:tc>
          <w:tcPr>
            <w:tcW w:w="807" w:type="pct"/>
            <w:vAlign w:val="center"/>
          </w:tcPr>
          <w:p w14:paraId="5586B1F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0,66 – 1,21</w:t>
            </w:r>
          </w:p>
        </w:tc>
        <w:tc>
          <w:tcPr>
            <w:tcW w:w="808" w:type="pct"/>
            <w:vAlign w:val="center"/>
          </w:tcPr>
          <w:p w14:paraId="2B669A9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28</w:t>
            </w:r>
          </w:p>
        </w:tc>
        <w:tc>
          <w:tcPr>
            <w:tcW w:w="805" w:type="pct"/>
            <w:vMerge/>
          </w:tcPr>
          <w:p w14:paraId="1A45535F"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7D0B2BAE" w14:textId="77777777" w:rsidTr="00654D7E">
        <w:trPr>
          <w:jc w:val="center"/>
        </w:trPr>
        <w:tc>
          <w:tcPr>
            <w:tcW w:w="943" w:type="pct"/>
            <w:vMerge/>
            <w:vAlign w:val="center"/>
          </w:tcPr>
          <w:p w14:paraId="316C7F97" w14:textId="77777777" w:rsidR="00452443" w:rsidRPr="00A43B9C" w:rsidRDefault="00452443" w:rsidP="00452443">
            <w:pPr>
              <w:spacing w:after="0" w:line="240" w:lineRule="auto"/>
              <w:rPr>
                <w:rFonts w:ascii="Times New Roman" w:hAnsi="Times New Roman" w:cs="Times New Roman"/>
                <w:sz w:val="28"/>
                <w:szCs w:val="28"/>
              </w:rPr>
            </w:pPr>
          </w:p>
        </w:tc>
        <w:tc>
          <w:tcPr>
            <w:tcW w:w="875" w:type="pct"/>
            <w:vAlign w:val="center"/>
          </w:tcPr>
          <w:p w14:paraId="2A67869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4</w:t>
            </w:r>
          </w:p>
        </w:tc>
        <w:tc>
          <w:tcPr>
            <w:tcW w:w="762" w:type="pct"/>
            <w:vAlign w:val="center"/>
          </w:tcPr>
          <w:p w14:paraId="60A42F2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1,38</w:t>
            </w:r>
          </w:p>
        </w:tc>
        <w:tc>
          <w:tcPr>
            <w:tcW w:w="807" w:type="pct"/>
            <w:vAlign w:val="center"/>
          </w:tcPr>
          <w:p w14:paraId="15B2614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1,2 – 1,56</w:t>
            </w:r>
          </w:p>
        </w:tc>
        <w:tc>
          <w:tcPr>
            <w:tcW w:w="808" w:type="pct"/>
            <w:vAlign w:val="center"/>
          </w:tcPr>
          <w:p w14:paraId="774BE19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w:t>
            </w:r>
          </w:p>
        </w:tc>
        <w:tc>
          <w:tcPr>
            <w:tcW w:w="805" w:type="pct"/>
            <w:vMerge/>
          </w:tcPr>
          <w:p w14:paraId="351B8D5E" w14:textId="77777777" w:rsidR="00452443" w:rsidRPr="00A43B9C" w:rsidRDefault="00452443" w:rsidP="00452443">
            <w:pPr>
              <w:spacing w:after="0" w:line="240" w:lineRule="auto"/>
              <w:jc w:val="center"/>
              <w:rPr>
                <w:rFonts w:ascii="Times New Roman" w:hAnsi="Times New Roman" w:cs="Times New Roman"/>
                <w:sz w:val="28"/>
                <w:szCs w:val="28"/>
              </w:rPr>
            </w:pPr>
          </w:p>
        </w:tc>
      </w:tr>
    </w:tbl>
    <w:p w14:paraId="0831C3BB" w14:textId="77777777" w:rsidR="00A369C2" w:rsidRPr="00FE03D6" w:rsidRDefault="00A369C2" w:rsidP="00DE7880">
      <w:pPr>
        <w:spacing w:after="0" w:line="240" w:lineRule="auto"/>
        <w:ind w:firstLine="709"/>
        <w:jc w:val="both"/>
        <w:rPr>
          <w:rFonts w:ascii="Times New Roman" w:hAnsi="Times New Roman" w:cs="Times New Roman"/>
          <w:sz w:val="28"/>
          <w:szCs w:val="28"/>
        </w:rPr>
      </w:pPr>
      <w:bookmarkStart w:id="56" w:name="_Hlk153447873"/>
    </w:p>
    <w:tbl>
      <w:tblPr>
        <w:tblStyle w:val="ad"/>
        <w:tblW w:w="10908"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6"/>
        <w:gridCol w:w="3636"/>
        <w:gridCol w:w="3636"/>
      </w:tblGrid>
      <w:tr w:rsidR="00DE62CB" w:rsidRPr="00A43B9C" w14:paraId="51F46125" w14:textId="77777777" w:rsidTr="00D40E9A">
        <w:tc>
          <w:tcPr>
            <w:tcW w:w="3636" w:type="dxa"/>
          </w:tcPr>
          <w:p w14:paraId="2C04E887" w14:textId="77777777" w:rsidR="00DE62CB" w:rsidRPr="00A43B9C" w:rsidRDefault="00DE62CB" w:rsidP="00446A37">
            <w:pPr>
              <w:spacing w:after="0" w:line="240" w:lineRule="auto"/>
              <w:jc w:val="center"/>
              <w:rPr>
                <w:rFonts w:ascii="Times New Roman" w:hAnsi="Times New Roman" w:cs="Times New Roman"/>
                <w:sz w:val="28"/>
                <w:szCs w:val="28"/>
              </w:rPr>
            </w:pPr>
            <w:r w:rsidRPr="00A43B9C">
              <w:rPr>
                <w:noProof/>
              </w:rPr>
              <mc:AlternateContent>
                <mc:Choice Requires="cx1">
                  <w:drawing>
                    <wp:inline distT="0" distB="0" distL="0" distR="0" wp14:anchorId="5371A89C" wp14:editId="4A5E4C1A">
                      <wp:extent cx="2160000" cy="2160000"/>
                      <wp:effectExtent l="0" t="0" r="12065" b="12065"/>
                      <wp:docPr id="160" name="Диаграмма 160">
                        <a:extLst xmlns:a="http://schemas.openxmlformats.org/drawingml/2006/main">
                          <a:ext uri="{FF2B5EF4-FFF2-40B4-BE49-F238E27FC236}">
                            <a16:creationId xmlns:a16="http://schemas.microsoft.com/office/drawing/2014/main" id="{36839C54-7A96-4FF4-97D1-E664695B94C5}"/>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48"/>
                        </a:graphicData>
                      </a:graphic>
                    </wp:inline>
                  </w:drawing>
                </mc:Choice>
                <mc:Fallback>
                  <w:drawing>
                    <wp:inline distT="0" distB="0" distL="0" distR="0" wp14:anchorId="5371A89C" wp14:editId="4A5E4C1A">
                      <wp:extent cx="2160000" cy="2160000"/>
                      <wp:effectExtent l="0" t="0" r="12065" b="12065"/>
                      <wp:docPr id="160" name="Диаграмма 160">
                        <a:extLst xmlns:a="http://schemas.openxmlformats.org/drawingml/2006/main">
                          <a:ext uri="{FF2B5EF4-FFF2-40B4-BE49-F238E27FC236}">
                            <a16:creationId xmlns:a16="http://schemas.microsoft.com/office/drawing/2014/main" id="{36839C54-7A96-4FF4-97D1-E664695B94C5}"/>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60" name="Диаграмма 160">
                                <a:extLst>
                                  <a:ext uri="{FF2B5EF4-FFF2-40B4-BE49-F238E27FC236}">
                                    <a16:creationId xmlns:a16="http://schemas.microsoft.com/office/drawing/2014/main" id="{36839C54-7A96-4FF4-97D1-E664695B94C5}"/>
                                  </a:ext>
                                </a:extLst>
                              </pic:cNvPr>
                              <pic:cNvPicPr>
                                <a:picLocks noGrp="1" noRot="1" noChangeAspect="1" noMove="1" noResize="1" noEditPoints="1" noAdjustHandles="1" noChangeArrowheads="1" noChangeShapeType="1"/>
                              </pic:cNvPicPr>
                            </pic:nvPicPr>
                            <pic:blipFill>
                              <a:blip r:embed="rId49"/>
                              <a:stretch>
                                <a:fillRect/>
                              </a:stretch>
                            </pic:blipFill>
                            <pic:spPr>
                              <a:xfrm>
                                <a:off x="0" y="0"/>
                                <a:ext cx="2159635" cy="2159635"/>
                              </a:xfrm>
                              <a:prstGeom prst="rect">
                                <a:avLst/>
                              </a:prstGeom>
                            </pic:spPr>
                          </pic:pic>
                        </a:graphicData>
                      </a:graphic>
                    </wp:inline>
                  </w:drawing>
                </mc:Fallback>
              </mc:AlternateContent>
            </w:r>
          </w:p>
        </w:tc>
        <w:tc>
          <w:tcPr>
            <w:tcW w:w="3636" w:type="dxa"/>
          </w:tcPr>
          <w:p w14:paraId="53595577" w14:textId="77777777" w:rsidR="00DE62CB" w:rsidRPr="00A43B9C" w:rsidRDefault="00DE62CB" w:rsidP="00446A37">
            <w:pPr>
              <w:spacing w:after="0" w:line="240" w:lineRule="auto"/>
              <w:jc w:val="center"/>
              <w:rPr>
                <w:rFonts w:ascii="Times New Roman" w:hAnsi="Times New Roman" w:cs="Times New Roman"/>
                <w:sz w:val="28"/>
                <w:szCs w:val="28"/>
              </w:rPr>
            </w:pPr>
            <w:r w:rsidRPr="00A43B9C">
              <w:rPr>
                <w:noProof/>
              </w:rPr>
              <mc:AlternateContent>
                <mc:Choice Requires="cx1">
                  <w:drawing>
                    <wp:inline distT="0" distB="0" distL="0" distR="0" wp14:anchorId="1E9A5CB6" wp14:editId="22E36EBC">
                      <wp:extent cx="2160000" cy="2160000"/>
                      <wp:effectExtent l="0" t="0" r="12065" b="12065"/>
                      <wp:docPr id="161" name="Диаграмма 161">
                        <a:extLst xmlns:a="http://schemas.openxmlformats.org/drawingml/2006/main">
                          <a:ext uri="{FF2B5EF4-FFF2-40B4-BE49-F238E27FC236}">
                            <a16:creationId xmlns:a16="http://schemas.microsoft.com/office/drawing/2014/main" id="{F452AC87-2FDF-4772-93CF-ED7F478D8581}"/>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50"/>
                        </a:graphicData>
                      </a:graphic>
                    </wp:inline>
                  </w:drawing>
                </mc:Choice>
                <mc:Fallback>
                  <w:drawing>
                    <wp:inline distT="0" distB="0" distL="0" distR="0" wp14:anchorId="1E9A5CB6" wp14:editId="22E36EBC">
                      <wp:extent cx="2160000" cy="2160000"/>
                      <wp:effectExtent l="0" t="0" r="12065" b="12065"/>
                      <wp:docPr id="161" name="Диаграмма 161">
                        <a:extLst xmlns:a="http://schemas.openxmlformats.org/drawingml/2006/main">
                          <a:ext uri="{FF2B5EF4-FFF2-40B4-BE49-F238E27FC236}">
                            <a16:creationId xmlns:a16="http://schemas.microsoft.com/office/drawing/2014/main" id="{F452AC87-2FDF-4772-93CF-ED7F478D8581}"/>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61" name="Диаграмма 161">
                                <a:extLst>
                                  <a:ext uri="{FF2B5EF4-FFF2-40B4-BE49-F238E27FC236}">
                                    <a16:creationId xmlns:a16="http://schemas.microsoft.com/office/drawing/2014/main" id="{F452AC87-2FDF-4772-93CF-ED7F478D8581}"/>
                                  </a:ext>
                                </a:extLst>
                              </pic:cNvPr>
                              <pic:cNvPicPr>
                                <a:picLocks noGrp="1" noRot="1" noChangeAspect="1" noMove="1" noResize="1" noEditPoints="1" noAdjustHandles="1" noChangeArrowheads="1" noChangeShapeType="1"/>
                              </pic:cNvPicPr>
                            </pic:nvPicPr>
                            <pic:blipFill>
                              <a:blip r:embed="rId51"/>
                              <a:stretch>
                                <a:fillRect/>
                              </a:stretch>
                            </pic:blipFill>
                            <pic:spPr>
                              <a:xfrm>
                                <a:off x="0" y="0"/>
                                <a:ext cx="2159635" cy="2159635"/>
                              </a:xfrm>
                              <a:prstGeom prst="rect">
                                <a:avLst/>
                              </a:prstGeom>
                            </pic:spPr>
                          </pic:pic>
                        </a:graphicData>
                      </a:graphic>
                    </wp:inline>
                  </w:drawing>
                </mc:Fallback>
              </mc:AlternateContent>
            </w:r>
          </w:p>
        </w:tc>
        <w:tc>
          <w:tcPr>
            <w:tcW w:w="3636" w:type="dxa"/>
          </w:tcPr>
          <w:p w14:paraId="25308894" w14:textId="77777777" w:rsidR="00DE62CB" w:rsidRPr="00A43B9C" w:rsidRDefault="00DE62CB" w:rsidP="00446A37">
            <w:pPr>
              <w:spacing w:after="0" w:line="240" w:lineRule="auto"/>
              <w:jc w:val="center"/>
              <w:rPr>
                <w:rFonts w:ascii="Times New Roman" w:hAnsi="Times New Roman" w:cs="Times New Roman"/>
                <w:sz w:val="28"/>
                <w:szCs w:val="28"/>
              </w:rPr>
            </w:pPr>
            <w:r w:rsidRPr="00A43B9C">
              <w:rPr>
                <w:noProof/>
              </w:rPr>
              <mc:AlternateContent>
                <mc:Choice Requires="cx1">
                  <w:drawing>
                    <wp:inline distT="0" distB="0" distL="0" distR="0" wp14:anchorId="0A1BFA1E" wp14:editId="6E56FFE0">
                      <wp:extent cx="2160000" cy="2160000"/>
                      <wp:effectExtent l="0" t="0" r="12065" b="12065"/>
                      <wp:docPr id="162" name="Диаграмма 162">
                        <a:extLst xmlns:a="http://schemas.openxmlformats.org/drawingml/2006/main">
                          <a:ext uri="{FF2B5EF4-FFF2-40B4-BE49-F238E27FC236}">
                            <a16:creationId xmlns:a16="http://schemas.microsoft.com/office/drawing/2014/main" id="{1D7E66DA-7F2F-4B44-A805-F0CC6CAAC6CD}"/>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52"/>
                        </a:graphicData>
                      </a:graphic>
                    </wp:inline>
                  </w:drawing>
                </mc:Choice>
                <mc:Fallback>
                  <w:drawing>
                    <wp:inline distT="0" distB="0" distL="0" distR="0" wp14:anchorId="0A1BFA1E" wp14:editId="6E56FFE0">
                      <wp:extent cx="2160000" cy="2160000"/>
                      <wp:effectExtent l="0" t="0" r="12065" b="12065"/>
                      <wp:docPr id="162" name="Диаграмма 162">
                        <a:extLst xmlns:a="http://schemas.openxmlformats.org/drawingml/2006/main">
                          <a:ext uri="{FF2B5EF4-FFF2-40B4-BE49-F238E27FC236}">
                            <a16:creationId xmlns:a16="http://schemas.microsoft.com/office/drawing/2014/main" id="{1D7E66DA-7F2F-4B44-A805-F0CC6CAAC6CD}"/>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62" name="Диаграмма 162">
                                <a:extLst>
                                  <a:ext uri="{FF2B5EF4-FFF2-40B4-BE49-F238E27FC236}">
                                    <a16:creationId xmlns:a16="http://schemas.microsoft.com/office/drawing/2014/main" id="{1D7E66DA-7F2F-4B44-A805-F0CC6CAAC6CD}"/>
                                  </a:ext>
                                </a:extLst>
                              </pic:cNvPr>
                              <pic:cNvPicPr>
                                <a:picLocks noGrp="1" noRot="1" noChangeAspect="1" noMove="1" noResize="1" noEditPoints="1" noAdjustHandles="1" noChangeArrowheads="1" noChangeShapeType="1"/>
                              </pic:cNvPicPr>
                            </pic:nvPicPr>
                            <pic:blipFill>
                              <a:blip r:embed="rId53"/>
                              <a:stretch>
                                <a:fillRect/>
                              </a:stretch>
                            </pic:blipFill>
                            <pic:spPr>
                              <a:xfrm>
                                <a:off x="0" y="0"/>
                                <a:ext cx="2159635" cy="2159635"/>
                              </a:xfrm>
                              <a:prstGeom prst="rect">
                                <a:avLst/>
                              </a:prstGeom>
                            </pic:spPr>
                          </pic:pic>
                        </a:graphicData>
                      </a:graphic>
                    </wp:inline>
                  </w:drawing>
                </mc:Fallback>
              </mc:AlternateContent>
            </w:r>
          </w:p>
        </w:tc>
      </w:tr>
      <w:tr w:rsidR="000F72E4" w:rsidRPr="00A43B9C" w14:paraId="2B686B07" w14:textId="77777777" w:rsidTr="00D40E9A">
        <w:tc>
          <w:tcPr>
            <w:tcW w:w="3636" w:type="dxa"/>
          </w:tcPr>
          <w:p w14:paraId="273F97F1" w14:textId="23BC0BF5" w:rsidR="000F72E4" w:rsidRPr="004F1730" w:rsidRDefault="000F72E4" w:rsidP="000F72E4">
            <w:pPr>
              <w:spacing w:after="0" w:line="240" w:lineRule="auto"/>
              <w:jc w:val="center"/>
              <w:rPr>
                <w:rFonts w:ascii="Times New Roman" w:hAnsi="Times New Roman" w:cs="Times New Roman"/>
                <w:sz w:val="24"/>
                <w:szCs w:val="24"/>
                <w:lang w:val="en-US"/>
              </w:rPr>
            </w:pPr>
            <w:r w:rsidRPr="004F1730">
              <w:rPr>
                <w:rFonts w:ascii="Times New Roman" w:hAnsi="Times New Roman" w:cs="Times New Roman"/>
                <w:sz w:val="24"/>
                <w:szCs w:val="24"/>
              </w:rPr>
              <w:t>а</w:t>
            </w:r>
            <w:r w:rsidR="007B3CF9" w:rsidRPr="004F1730">
              <w:rPr>
                <w:rFonts w:ascii="Times New Roman" w:hAnsi="Times New Roman" w:cs="Times New Roman"/>
                <w:sz w:val="24"/>
                <w:szCs w:val="24"/>
              </w:rPr>
              <w:t>)</w:t>
            </w:r>
            <w:r w:rsidRPr="004F1730">
              <w:rPr>
                <w:rFonts w:ascii="Times New Roman" w:hAnsi="Times New Roman" w:cs="Times New Roman"/>
                <w:sz w:val="24"/>
                <w:szCs w:val="24"/>
              </w:rPr>
              <w:t xml:space="preserve"> </w:t>
            </w:r>
            <w:r w:rsidR="007B3CF9" w:rsidRPr="004F1730">
              <w:rPr>
                <w:rFonts w:ascii="Times New Roman" w:hAnsi="Times New Roman" w:cs="Times New Roman"/>
                <w:sz w:val="24"/>
                <w:szCs w:val="24"/>
              </w:rPr>
              <w:t>Л</w:t>
            </w:r>
            <w:r w:rsidRPr="004F1730">
              <w:rPr>
                <w:rFonts w:ascii="Times New Roman" w:hAnsi="Times New Roman" w:cs="Times New Roman"/>
                <w:sz w:val="24"/>
                <w:szCs w:val="24"/>
              </w:rPr>
              <w:t xml:space="preserve">окализация </w:t>
            </w:r>
            <w:r w:rsidRPr="004F1730">
              <w:rPr>
                <w:rFonts w:ascii="Times New Roman" w:hAnsi="Times New Roman" w:cs="Times New Roman"/>
                <w:sz w:val="24"/>
                <w:szCs w:val="24"/>
                <w:lang w:val="en-US"/>
              </w:rPr>
              <w:t>RE</w:t>
            </w:r>
          </w:p>
        </w:tc>
        <w:tc>
          <w:tcPr>
            <w:tcW w:w="3636" w:type="dxa"/>
          </w:tcPr>
          <w:p w14:paraId="4DB4C7AD" w14:textId="1E26D796" w:rsidR="000F72E4" w:rsidRPr="004F1730" w:rsidRDefault="000F72E4" w:rsidP="000F72E4">
            <w:pPr>
              <w:spacing w:after="0" w:line="240" w:lineRule="auto"/>
              <w:jc w:val="center"/>
              <w:rPr>
                <w:rFonts w:ascii="Times New Roman" w:hAnsi="Times New Roman" w:cs="Times New Roman"/>
                <w:sz w:val="24"/>
                <w:szCs w:val="24"/>
                <w:lang w:val="en-US"/>
              </w:rPr>
            </w:pPr>
            <w:r w:rsidRPr="004F1730">
              <w:rPr>
                <w:rFonts w:ascii="Times New Roman" w:hAnsi="Times New Roman" w:cs="Times New Roman"/>
                <w:sz w:val="24"/>
                <w:szCs w:val="24"/>
              </w:rPr>
              <w:t>б</w:t>
            </w:r>
            <w:r w:rsidR="002C7694" w:rsidRPr="004F1730">
              <w:rPr>
                <w:rFonts w:ascii="Times New Roman" w:hAnsi="Times New Roman" w:cs="Times New Roman"/>
                <w:sz w:val="24"/>
                <w:szCs w:val="24"/>
              </w:rPr>
              <w:t>)</w:t>
            </w:r>
            <w:r w:rsidRPr="004F1730">
              <w:rPr>
                <w:rFonts w:ascii="Times New Roman" w:hAnsi="Times New Roman" w:cs="Times New Roman"/>
                <w:sz w:val="24"/>
                <w:szCs w:val="24"/>
                <w:lang w:val="en-US"/>
              </w:rPr>
              <w:t xml:space="preserve"> </w:t>
            </w:r>
            <w:r w:rsidR="002C7694" w:rsidRPr="004F1730">
              <w:rPr>
                <w:rFonts w:ascii="Times New Roman" w:hAnsi="Times New Roman" w:cs="Times New Roman"/>
                <w:sz w:val="24"/>
                <w:szCs w:val="24"/>
              </w:rPr>
              <w:t>Л</w:t>
            </w:r>
            <w:r w:rsidRPr="004F1730">
              <w:rPr>
                <w:rFonts w:ascii="Times New Roman" w:hAnsi="Times New Roman" w:cs="Times New Roman"/>
                <w:sz w:val="24"/>
                <w:szCs w:val="24"/>
              </w:rPr>
              <w:t xml:space="preserve">окализация </w:t>
            </w:r>
            <w:r w:rsidRPr="004F1730">
              <w:rPr>
                <w:rFonts w:ascii="Times New Roman" w:hAnsi="Times New Roman" w:cs="Times New Roman"/>
                <w:sz w:val="24"/>
                <w:szCs w:val="24"/>
                <w:lang w:val="en-US"/>
              </w:rPr>
              <w:t>RLH</w:t>
            </w:r>
          </w:p>
        </w:tc>
        <w:tc>
          <w:tcPr>
            <w:tcW w:w="3636" w:type="dxa"/>
          </w:tcPr>
          <w:p w14:paraId="2B5D0A7F" w14:textId="114F987E" w:rsidR="000F72E4" w:rsidRPr="004F1730" w:rsidRDefault="000F72E4" w:rsidP="000F72E4">
            <w:pPr>
              <w:spacing w:after="0" w:line="240" w:lineRule="auto"/>
              <w:jc w:val="center"/>
              <w:rPr>
                <w:rFonts w:ascii="Times New Roman" w:hAnsi="Times New Roman" w:cs="Times New Roman"/>
                <w:sz w:val="24"/>
                <w:szCs w:val="24"/>
                <w:lang w:val="en-US"/>
              </w:rPr>
            </w:pPr>
            <w:r w:rsidRPr="004F1730">
              <w:rPr>
                <w:rFonts w:ascii="Times New Roman" w:hAnsi="Times New Roman" w:cs="Times New Roman"/>
                <w:sz w:val="24"/>
                <w:szCs w:val="24"/>
              </w:rPr>
              <w:t>в</w:t>
            </w:r>
            <w:r w:rsidR="002C7694" w:rsidRPr="004F1730">
              <w:rPr>
                <w:rFonts w:ascii="Times New Roman" w:hAnsi="Times New Roman" w:cs="Times New Roman"/>
                <w:sz w:val="24"/>
                <w:szCs w:val="24"/>
              </w:rPr>
              <w:t>)</w:t>
            </w:r>
            <w:r w:rsidRPr="004F1730">
              <w:rPr>
                <w:rFonts w:ascii="Times New Roman" w:hAnsi="Times New Roman" w:cs="Times New Roman"/>
                <w:sz w:val="24"/>
                <w:szCs w:val="24"/>
                <w:lang w:val="en-US"/>
              </w:rPr>
              <w:t xml:space="preserve"> </w:t>
            </w:r>
            <w:r w:rsidR="002C7694" w:rsidRPr="004F1730">
              <w:rPr>
                <w:rFonts w:ascii="Times New Roman" w:hAnsi="Times New Roman" w:cs="Times New Roman"/>
                <w:sz w:val="24"/>
                <w:szCs w:val="24"/>
              </w:rPr>
              <w:t>Л</w:t>
            </w:r>
            <w:r w:rsidRPr="004F1730">
              <w:rPr>
                <w:rFonts w:ascii="Times New Roman" w:hAnsi="Times New Roman" w:cs="Times New Roman"/>
                <w:sz w:val="24"/>
                <w:szCs w:val="24"/>
              </w:rPr>
              <w:t xml:space="preserve">окализация </w:t>
            </w:r>
            <w:r w:rsidRPr="004F1730">
              <w:rPr>
                <w:rFonts w:ascii="Times New Roman" w:hAnsi="Times New Roman" w:cs="Times New Roman"/>
                <w:sz w:val="24"/>
                <w:szCs w:val="24"/>
                <w:lang w:val="en-US"/>
              </w:rPr>
              <w:t>RRL</w:t>
            </w:r>
          </w:p>
        </w:tc>
      </w:tr>
    </w:tbl>
    <w:p w14:paraId="2C32DBB0" w14:textId="77777777" w:rsidR="004F1730" w:rsidRDefault="004F1730" w:rsidP="00272A89">
      <w:pPr>
        <w:spacing w:after="0" w:line="240" w:lineRule="auto"/>
        <w:ind w:firstLine="709"/>
        <w:jc w:val="center"/>
        <w:rPr>
          <w:rFonts w:ascii="Times New Roman" w:hAnsi="Times New Roman" w:cs="Times New Roman"/>
          <w:sz w:val="28"/>
          <w:szCs w:val="28"/>
        </w:rPr>
      </w:pPr>
    </w:p>
    <w:p w14:paraId="5EB01FC2" w14:textId="4D46B24C" w:rsidR="00272A89" w:rsidRPr="00215334" w:rsidRDefault="00272A89" w:rsidP="00272A89">
      <w:pPr>
        <w:spacing w:after="0" w:line="240" w:lineRule="auto"/>
        <w:ind w:firstLine="709"/>
        <w:jc w:val="center"/>
        <w:rPr>
          <w:rFonts w:ascii="Times New Roman" w:eastAsia="NewtonC" w:hAnsi="Times New Roman" w:cs="Times New Roman"/>
          <w:sz w:val="28"/>
          <w:szCs w:val="28"/>
        </w:rPr>
      </w:pPr>
      <w:r w:rsidRPr="00A43B9C">
        <w:rPr>
          <w:rFonts w:ascii="Times New Roman" w:hAnsi="Times New Roman" w:cs="Times New Roman"/>
          <w:sz w:val="28"/>
          <w:szCs w:val="28"/>
        </w:rPr>
        <w:t xml:space="preserve">Рисунок </w:t>
      </w:r>
      <w:r>
        <w:rPr>
          <w:rFonts w:ascii="Times New Roman" w:hAnsi="Times New Roman" w:cs="Times New Roman"/>
          <w:sz w:val="28"/>
          <w:szCs w:val="28"/>
        </w:rPr>
        <w:t>8</w:t>
      </w:r>
      <w:r w:rsidRPr="00A43B9C">
        <w:rPr>
          <w:rFonts w:ascii="Times New Roman" w:hAnsi="Times New Roman" w:cs="Times New Roman"/>
          <w:sz w:val="28"/>
          <w:szCs w:val="28"/>
        </w:rPr>
        <w:t xml:space="preserve"> - Анализ распределений уровня накопления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Pr="00215334">
        <w:rPr>
          <w:rFonts w:ascii="Times New Roman" w:hAnsi="Times New Roman" w:cs="Times New Roman"/>
          <w:sz w:val="28"/>
          <w:szCs w:val="28"/>
        </w:rPr>
        <w:t xml:space="preserve">зависимости от </w:t>
      </w:r>
      <w:r w:rsidRPr="00215334">
        <w:rPr>
          <w:rFonts w:ascii="Times New Roman" w:eastAsia="NewtonC" w:hAnsi="Times New Roman" w:cs="Times New Roman"/>
          <w:sz w:val="28"/>
          <w:szCs w:val="28"/>
        </w:rPr>
        <w:t xml:space="preserve">стадии </w:t>
      </w:r>
      <w:r w:rsidRPr="00215334">
        <w:rPr>
          <w:rFonts w:ascii="Times New Roman" w:eastAsia="NewtonC" w:hAnsi="Times New Roman" w:cs="Times New Roman"/>
          <w:sz w:val="28"/>
          <w:szCs w:val="28"/>
          <w:lang w:val="en-US"/>
        </w:rPr>
        <w:t>T</w:t>
      </w:r>
      <w:r w:rsidRPr="00215334">
        <w:rPr>
          <w:rFonts w:ascii="Times New Roman" w:eastAsia="NewtonC" w:hAnsi="Times New Roman" w:cs="Times New Roman"/>
          <w:sz w:val="28"/>
          <w:szCs w:val="28"/>
        </w:rPr>
        <w:t xml:space="preserve"> по локализациям</w:t>
      </w:r>
      <w:r>
        <w:rPr>
          <w:rFonts w:ascii="Times New Roman" w:eastAsia="NewtonC" w:hAnsi="Times New Roman" w:cs="Times New Roman"/>
          <w:sz w:val="28"/>
          <w:szCs w:val="28"/>
        </w:rPr>
        <w:t>, лист 1</w:t>
      </w:r>
    </w:p>
    <w:p w14:paraId="48D31F54" w14:textId="5AF3F34F" w:rsidR="00D40E9A" w:rsidRPr="008A6538" w:rsidRDefault="00D40E9A" w:rsidP="008A6538">
      <w:pPr>
        <w:spacing w:after="0" w:line="240" w:lineRule="auto"/>
        <w:rPr>
          <w:rFonts w:ascii="Times New Roman" w:hAnsi="Times New Roman" w:cs="Times New Roman"/>
          <w:sz w:val="28"/>
          <w:szCs w:val="28"/>
        </w:rPr>
      </w:pPr>
      <w:r w:rsidRPr="008A6538">
        <w:rPr>
          <w:rFonts w:ascii="Times New Roman" w:hAnsi="Times New Roman" w:cs="Times New Roman"/>
          <w:sz w:val="28"/>
          <w:szCs w:val="28"/>
        </w:rPr>
        <w:br w:type="page"/>
      </w:r>
    </w:p>
    <w:tbl>
      <w:tblPr>
        <w:tblStyle w:val="ad"/>
        <w:tblW w:w="10908"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6"/>
        <w:gridCol w:w="3636"/>
        <w:gridCol w:w="3636"/>
      </w:tblGrid>
      <w:tr w:rsidR="00DE62CB" w:rsidRPr="00A43B9C" w14:paraId="6AC97DFF" w14:textId="77777777" w:rsidTr="00D40E9A">
        <w:tc>
          <w:tcPr>
            <w:tcW w:w="3636" w:type="dxa"/>
          </w:tcPr>
          <w:p w14:paraId="5FDEAA8E" w14:textId="77777777" w:rsidR="00DE62CB" w:rsidRPr="00A43B9C" w:rsidRDefault="00DE62CB" w:rsidP="00446A37">
            <w:pPr>
              <w:spacing w:after="0" w:line="240" w:lineRule="auto"/>
              <w:jc w:val="center"/>
              <w:rPr>
                <w:rFonts w:ascii="Times New Roman" w:hAnsi="Times New Roman" w:cs="Times New Roman"/>
                <w:sz w:val="28"/>
                <w:szCs w:val="28"/>
              </w:rPr>
            </w:pPr>
            <w:r w:rsidRPr="00A43B9C">
              <w:rPr>
                <w:noProof/>
              </w:rPr>
              <w:lastRenderedPageBreak/>
              <mc:AlternateContent>
                <mc:Choice Requires="cx1">
                  <w:drawing>
                    <wp:inline distT="0" distB="0" distL="0" distR="0" wp14:anchorId="1AA3304F" wp14:editId="565235A4">
                      <wp:extent cx="2160000" cy="2088000"/>
                      <wp:effectExtent l="0" t="0" r="12065" b="7620"/>
                      <wp:docPr id="163" name="Диаграмма 163">
                        <a:extLst xmlns:a="http://schemas.openxmlformats.org/drawingml/2006/main">
                          <a:ext uri="{FF2B5EF4-FFF2-40B4-BE49-F238E27FC236}">
                            <a16:creationId xmlns:a16="http://schemas.microsoft.com/office/drawing/2014/main" id="{3B07C2FB-56D8-4FC5-B028-5D24D88B299A}"/>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54"/>
                        </a:graphicData>
                      </a:graphic>
                    </wp:inline>
                  </w:drawing>
                </mc:Choice>
                <mc:Fallback>
                  <w:drawing>
                    <wp:inline distT="0" distB="0" distL="0" distR="0" wp14:anchorId="1AA3304F" wp14:editId="565235A4">
                      <wp:extent cx="2160000" cy="2088000"/>
                      <wp:effectExtent l="0" t="0" r="12065" b="7620"/>
                      <wp:docPr id="163" name="Диаграмма 163">
                        <a:extLst xmlns:a="http://schemas.openxmlformats.org/drawingml/2006/main">
                          <a:ext uri="{FF2B5EF4-FFF2-40B4-BE49-F238E27FC236}">
                            <a16:creationId xmlns:a16="http://schemas.microsoft.com/office/drawing/2014/main" id="{3B07C2FB-56D8-4FC5-B028-5D24D88B299A}"/>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63" name="Диаграмма 163">
                                <a:extLst>
                                  <a:ext uri="{FF2B5EF4-FFF2-40B4-BE49-F238E27FC236}">
                                    <a16:creationId xmlns:a16="http://schemas.microsoft.com/office/drawing/2014/main" id="{3B07C2FB-56D8-4FC5-B028-5D24D88B299A}"/>
                                  </a:ext>
                                </a:extLst>
                              </pic:cNvPr>
                              <pic:cNvPicPr>
                                <a:picLocks noGrp="1" noRot="1" noChangeAspect="1" noMove="1" noResize="1" noEditPoints="1" noAdjustHandles="1" noChangeArrowheads="1" noChangeShapeType="1"/>
                              </pic:cNvPicPr>
                            </pic:nvPicPr>
                            <pic:blipFill>
                              <a:blip r:embed="rId55"/>
                              <a:stretch>
                                <a:fillRect/>
                              </a:stretch>
                            </pic:blipFill>
                            <pic:spPr>
                              <a:xfrm>
                                <a:off x="0" y="0"/>
                                <a:ext cx="2159635" cy="2087880"/>
                              </a:xfrm>
                              <a:prstGeom prst="rect">
                                <a:avLst/>
                              </a:prstGeom>
                            </pic:spPr>
                          </pic:pic>
                        </a:graphicData>
                      </a:graphic>
                    </wp:inline>
                  </w:drawing>
                </mc:Fallback>
              </mc:AlternateContent>
            </w:r>
          </w:p>
        </w:tc>
        <w:tc>
          <w:tcPr>
            <w:tcW w:w="3636" w:type="dxa"/>
          </w:tcPr>
          <w:p w14:paraId="7C420092" w14:textId="77777777" w:rsidR="00DE62CB" w:rsidRPr="00A43B9C" w:rsidRDefault="00DE62CB" w:rsidP="00446A37">
            <w:pPr>
              <w:spacing w:after="0" w:line="240" w:lineRule="auto"/>
              <w:jc w:val="center"/>
              <w:rPr>
                <w:rFonts w:ascii="Times New Roman" w:hAnsi="Times New Roman" w:cs="Times New Roman"/>
                <w:sz w:val="28"/>
                <w:szCs w:val="28"/>
              </w:rPr>
            </w:pPr>
            <w:r w:rsidRPr="00A43B9C">
              <w:rPr>
                <w:noProof/>
              </w:rPr>
              <mc:AlternateContent>
                <mc:Choice Requires="cx1">
                  <w:drawing>
                    <wp:inline distT="0" distB="0" distL="0" distR="0" wp14:anchorId="4E8E450D" wp14:editId="3BDD6A3B">
                      <wp:extent cx="2160000" cy="2088000"/>
                      <wp:effectExtent l="0" t="0" r="12065" b="7620"/>
                      <wp:docPr id="164" name="Диаграмма 164">
                        <a:extLst xmlns:a="http://schemas.openxmlformats.org/drawingml/2006/main">
                          <a:ext uri="{FF2B5EF4-FFF2-40B4-BE49-F238E27FC236}">
                            <a16:creationId xmlns:a16="http://schemas.microsoft.com/office/drawing/2014/main" id="{14712AD1-2FDD-4492-B729-267B088DA6FC}"/>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56"/>
                        </a:graphicData>
                      </a:graphic>
                    </wp:inline>
                  </w:drawing>
                </mc:Choice>
                <mc:Fallback>
                  <w:drawing>
                    <wp:inline distT="0" distB="0" distL="0" distR="0" wp14:anchorId="4E8E450D" wp14:editId="3BDD6A3B">
                      <wp:extent cx="2160000" cy="2088000"/>
                      <wp:effectExtent l="0" t="0" r="12065" b="7620"/>
                      <wp:docPr id="164" name="Диаграмма 164">
                        <a:extLst xmlns:a="http://schemas.openxmlformats.org/drawingml/2006/main">
                          <a:ext uri="{FF2B5EF4-FFF2-40B4-BE49-F238E27FC236}">
                            <a16:creationId xmlns:a16="http://schemas.microsoft.com/office/drawing/2014/main" id="{14712AD1-2FDD-4492-B729-267B088DA6FC}"/>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64" name="Диаграмма 164">
                                <a:extLst>
                                  <a:ext uri="{FF2B5EF4-FFF2-40B4-BE49-F238E27FC236}">
                                    <a16:creationId xmlns:a16="http://schemas.microsoft.com/office/drawing/2014/main" id="{14712AD1-2FDD-4492-B729-267B088DA6FC}"/>
                                  </a:ext>
                                </a:extLst>
                              </pic:cNvPr>
                              <pic:cNvPicPr>
                                <a:picLocks noGrp="1" noRot="1" noChangeAspect="1" noMove="1" noResize="1" noEditPoints="1" noAdjustHandles="1" noChangeArrowheads="1" noChangeShapeType="1"/>
                              </pic:cNvPicPr>
                            </pic:nvPicPr>
                            <pic:blipFill>
                              <a:blip r:embed="rId57"/>
                              <a:stretch>
                                <a:fillRect/>
                              </a:stretch>
                            </pic:blipFill>
                            <pic:spPr>
                              <a:xfrm>
                                <a:off x="0" y="0"/>
                                <a:ext cx="2159635" cy="2087880"/>
                              </a:xfrm>
                              <a:prstGeom prst="rect">
                                <a:avLst/>
                              </a:prstGeom>
                            </pic:spPr>
                          </pic:pic>
                        </a:graphicData>
                      </a:graphic>
                    </wp:inline>
                  </w:drawing>
                </mc:Fallback>
              </mc:AlternateContent>
            </w:r>
          </w:p>
        </w:tc>
        <w:tc>
          <w:tcPr>
            <w:tcW w:w="3636" w:type="dxa"/>
          </w:tcPr>
          <w:p w14:paraId="0B1CCBF7" w14:textId="77777777" w:rsidR="00DE62CB" w:rsidRPr="00A43B9C" w:rsidRDefault="00DE62CB" w:rsidP="00446A37">
            <w:pPr>
              <w:spacing w:after="0" w:line="240" w:lineRule="auto"/>
              <w:jc w:val="center"/>
              <w:rPr>
                <w:rFonts w:ascii="Times New Roman" w:hAnsi="Times New Roman" w:cs="Times New Roman"/>
                <w:sz w:val="28"/>
                <w:szCs w:val="28"/>
              </w:rPr>
            </w:pPr>
            <w:r w:rsidRPr="00A43B9C">
              <w:rPr>
                <w:noProof/>
              </w:rPr>
              <mc:AlternateContent>
                <mc:Choice Requires="cx1">
                  <w:drawing>
                    <wp:inline distT="0" distB="0" distL="0" distR="0" wp14:anchorId="53027F5D" wp14:editId="23E1A114">
                      <wp:extent cx="2160000" cy="2088000"/>
                      <wp:effectExtent l="0" t="0" r="12065" b="7620"/>
                      <wp:docPr id="165" name="Диаграмма 165">
                        <a:extLst xmlns:a="http://schemas.openxmlformats.org/drawingml/2006/main">
                          <a:ext uri="{FF2B5EF4-FFF2-40B4-BE49-F238E27FC236}">
                            <a16:creationId xmlns:a16="http://schemas.microsoft.com/office/drawing/2014/main" id="{017BA5E2-60AB-4849-AE8A-2ABC3490E5BB}"/>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58"/>
                        </a:graphicData>
                      </a:graphic>
                    </wp:inline>
                  </w:drawing>
                </mc:Choice>
                <mc:Fallback>
                  <w:drawing>
                    <wp:inline distT="0" distB="0" distL="0" distR="0" wp14:anchorId="53027F5D" wp14:editId="23E1A114">
                      <wp:extent cx="2160000" cy="2088000"/>
                      <wp:effectExtent l="0" t="0" r="12065" b="7620"/>
                      <wp:docPr id="165" name="Диаграмма 165">
                        <a:extLst xmlns:a="http://schemas.openxmlformats.org/drawingml/2006/main">
                          <a:ext uri="{FF2B5EF4-FFF2-40B4-BE49-F238E27FC236}">
                            <a16:creationId xmlns:a16="http://schemas.microsoft.com/office/drawing/2014/main" id="{017BA5E2-60AB-4849-AE8A-2ABC3490E5BB}"/>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65" name="Диаграмма 165">
                                <a:extLst>
                                  <a:ext uri="{FF2B5EF4-FFF2-40B4-BE49-F238E27FC236}">
                                    <a16:creationId xmlns:a16="http://schemas.microsoft.com/office/drawing/2014/main" id="{017BA5E2-60AB-4849-AE8A-2ABC3490E5BB}"/>
                                  </a:ext>
                                </a:extLst>
                              </pic:cNvPr>
                              <pic:cNvPicPr>
                                <a:picLocks noGrp="1" noRot="1" noChangeAspect="1" noMove="1" noResize="1" noEditPoints="1" noAdjustHandles="1" noChangeArrowheads="1" noChangeShapeType="1"/>
                              </pic:cNvPicPr>
                            </pic:nvPicPr>
                            <pic:blipFill>
                              <a:blip r:embed="rId59"/>
                              <a:stretch>
                                <a:fillRect/>
                              </a:stretch>
                            </pic:blipFill>
                            <pic:spPr>
                              <a:xfrm>
                                <a:off x="0" y="0"/>
                                <a:ext cx="2159635" cy="2087880"/>
                              </a:xfrm>
                              <a:prstGeom prst="rect">
                                <a:avLst/>
                              </a:prstGeom>
                            </pic:spPr>
                          </pic:pic>
                        </a:graphicData>
                      </a:graphic>
                    </wp:inline>
                  </w:drawing>
                </mc:Fallback>
              </mc:AlternateContent>
            </w:r>
          </w:p>
        </w:tc>
      </w:tr>
      <w:tr w:rsidR="000F72E4" w:rsidRPr="00A43B9C" w14:paraId="44617546" w14:textId="77777777" w:rsidTr="00D40E9A">
        <w:tc>
          <w:tcPr>
            <w:tcW w:w="3636" w:type="dxa"/>
          </w:tcPr>
          <w:p w14:paraId="4EF3937A" w14:textId="5C70F908" w:rsidR="000F72E4" w:rsidRPr="004F1730" w:rsidRDefault="000F72E4" w:rsidP="000F72E4">
            <w:pPr>
              <w:spacing w:after="0" w:line="240" w:lineRule="auto"/>
              <w:jc w:val="center"/>
              <w:rPr>
                <w:rFonts w:ascii="Times New Roman" w:hAnsi="Times New Roman" w:cs="Times New Roman"/>
                <w:sz w:val="24"/>
                <w:szCs w:val="24"/>
                <w:lang w:val="en-US"/>
              </w:rPr>
            </w:pPr>
            <w:r w:rsidRPr="004F1730">
              <w:rPr>
                <w:rFonts w:ascii="Times New Roman" w:hAnsi="Times New Roman" w:cs="Times New Roman"/>
                <w:sz w:val="24"/>
                <w:szCs w:val="24"/>
              </w:rPr>
              <w:t>г</w:t>
            </w:r>
            <w:r w:rsidR="002C7694" w:rsidRPr="004F1730">
              <w:rPr>
                <w:rFonts w:ascii="Times New Roman" w:hAnsi="Times New Roman" w:cs="Times New Roman"/>
                <w:sz w:val="24"/>
                <w:szCs w:val="24"/>
              </w:rPr>
              <w:t>)</w:t>
            </w:r>
            <w:r w:rsidRPr="004F1730">
              <w:rPr>
                <w:rFonts w:ascii="Times New Roman" w:hAnsi="Times New Roman" w:cs="Times New Roman"/>
                <w:sz w:val="24"/>
                <w:szCs w:val="24"/>
                <w:lang w:val="en-US"/>
              </w:rPr>
              <w:t xml:space="preserve"> </w:t>
            </w:r>
            <w:r w:rsidR="002C7694" w:rsidRPr="004F1730">
              <w:rPr>
                <w:rFonts w:ascii="Times New Roman" w:hAnsi="Times New Roman" w:cs="Times New Roman"/>
                <w:sz w:val="24"/>
                <w:szCs w:val="24"/>
              </w:rPr>
              <w:t>Л</w:t>
            </w:r>
            <w:r w:rsidRPr="004F1730">
              <w:rPr>
                <w:rFonts w:ascii="Times New Roman" w:hAnsi="Times New Roman" w:cs="Times New Roman"/>
                <w:sz w:val="24"/>
                <w:szCs w:val="24"/>
              </w:rPr>
              <w:t xml:space="preserve">окализация </w:t>
            </w:r>
            <w:r w:rsidRPr="004F1730">
              <w:rPr>
                <w:rFonts w:ascii="Times New Roman" w:hAnsi="Times New Roman" w:cs="Times New Roman"/>
                <w:sz w:val="24"/>
                <w:szCs w:val="24"/>
                <w:lang w:val="en-US"/>
              </w:rPr>
              <w:t>RU</w:t>
            </w:r>
          </w:p>
        </w:tc>
        <w:tc>
          <w:tcPr>
            <w:tcW w:w="3636" w:type="dxa"/>
          </w:tcPr>
          <w:p w14:paraId="716D8243" w14:textId="7C55A15E" w:rsidR="000F72E4" w:rsidRPr="004F1730" w:rsidRDefault="000F72E4" w:rsidP="000F72E4">
            <w:pPr>
              <w:spacing w:after="0" w:line="240" w:lineRule="auto"/>
              <w:jc w:val="center"/>
              <w:rPr>
                <w:rFonts w:ascii="Times New Roman" w:hAnsi="Times New Roman" w:cs="Times New Roman"/>
                <w:sz w:val="24"/>
                <w:szCs w:val="24"/>
                <w:lang w:val="en-US"/>
              </w:rPr>
            </w:pPr>
            <w:r w:rsidRPr="004F1730">
              <w:rPr>
                <w:rFonts w:ascii="Times New Roman" w:hAnsi="Times New Roman" w:cs="Times New Roman"/>
                <w:sz w:val="24"/>
                <w:szCs w:val="24"/>
              </w:rPr>
              <w:t>д</w:t>
            </w:r>
            <w:r w:rsidR="002C7694" w:rsidRPr="004F1730">
              <w:rPr>
                <w:rFonts w:ascii="Times New Roman" w:hAnsi="Times New Roman" w:cs="Times New Roman"/>
                <w:sz w:val="24"/>
                <w:szCs w:val="24"/>
              </w:rPr>
              <w:t>)</w:t>
            </w:r>
            <w:r w:rsidRPr="004F1730">
              <w:rPr>
                <w:rFonts w:ascii="Times New Roman" w:hAnsi="Times New Roman" w:cs="Times New Roman"/>
                <w:sz w:val="24"/>
                <w:szCs w:val="24"/>
                <w:lang w:val="en-US"/>
              </w:rPr>
              <w:t xml:space="preserve"> </w:t>
            </w:r>
            <w:r w:rsidR="002C7694" w:rsidRPr="004F1730">
              <w:rPr>
                <w:rFonts w:ascii="Times New Roman" w:hAnsi="Times New Roman" w:cs="Times New Roman"/>
                <w:sz w:val="24"/>
                <w:szCs w:val="24"/>
              </w:rPr>
              <w:t>Л</w:t>
            </w:r>
            <w:r w:rsidRPr="004F1730">
              <w:rPr>
                <w:rFonts w:ascii="Times New Roman" w:hAnsi="Times New Roman" w:cs="Times New Roman"/>
                <w:sz w:val="24"/>
                <w:szCs w:val="24"/>
              </w:rPr>
              <w:t xml:space="preserve">окализация </w:t>
            </w:r>
            <w:r w:rsidRPr="004F1730">
              <w:rPr>
                <w:rFonts w:ascii="Times New Roman" w:hAnsi="Times New Roman" w:cs="Times New Roman"/>
                <w:sz w:val="24"/>
                <w:szCs w:val="24"/>
                <w:lang w:val="en-US"/>
              </w:rPr>
              <w:t>RLL</w:t>
            </w:r>
          </w:p>
        </w:tc>
        <w:tc>
          <w:tcPr>
            <w:tcW w:w="3636" w:type="dxa"/>
          </w:tcPr>
          <w:p w14:paraId="112B4778" w14:textId="75ECE013" w:rsidR="000F72E4" w:rsidRPr="004F1730" w:rsidRDefault="000F72E4" w:rsidP="000F72E4">
            <w:pPr>
              <w:spacing w:after="0" w:line="240" w:lineRule="auto"/>
              <w:jc w:val="center"/>
              <w:rPr>
                <w:rFonts w:ascii="Times New Roman" w:hAnsi="Times New Roman" w:cs="Times New Roman"/>
                <w:sz w:val="24"/>
                <w:szCs w:val="24"/>
                <w:lang w:val="en-US"/>
              </w:rPr>
            </w:pPr>
            <w:r w:rsidRPr="004F1730">
              <w:rPr>
                <w:rFonts w:ascii="Times New Roman" w:hAnsi="Times New Roman" w:cs="Times New Roman"/>
                <w:sz w:val="24"/>
                <w:szCs w:val="24"/>
              </w:rPr>
              <w:t>е</w:t>
            </w:r>
            <w:r w:rsidR="002C7694" w:rsidRPr="004F1730">
              <w:rPr>
                <w:rFonts w:ascii="Times New Roman" w:hAnsi="Times New Roman" w:cs="Times New Roman"/>
                <w:sz w:val="24"/>
                <w:szCs w:val="24"/>
              </w:rPr>
              <w:t>)</w:t>
            </w:r>
            <w:r w:rsidRPr="004F1730">
              <w:rPr>
                <w:rFonts w:ascii="Times New Roman" w:hAnsi="Times New Roman" w:cs="Times New Roman"/>
                <w:sz w:val="24"/>
                <w:szCs w:val="24"/>
                <w:lang w:val="en-US"/>
              </w:rPr>
              <w:t xml:space="preserve"> </w:t>
            </w:r>
            <w:r w:rsidR="002C7694" w:rsidRPr="004F1730">
              <w:rPr>
                <w:rFonts w:ascii="Times New Roman" w:hAnsi="Times New Roman" w:cs="Times New Roman"/>
                <w:sz w:val="24"/>
                <w:szCs w:val="24"/>
              </w:rPr>
              <w:t>Л</w:t>
            </w:r>
            <w:r w:rsidRPr="004F1730">
              <w:rPr>
                <w:rFonts w:ascii="Times New Roman" w:hAnsi="Times New Roman" w:cs="Times New Roman"/>
                <w:sz w:val="24"/>
                <w:szCs w:val="24"/>
              </w:rPr>
              <w:t xml:space="preserve">окализация </w:t>
            </w:r>
            <w:r w:rsidRPr="004F1730">
              <w:rPr>
                <w:rFonts w:ascii="Times New Roman" w:hAnsi="Times New Roman" w:cs="Times New Roman"/>
                <w:sz w:val="24"/>
                <w:szCs w:val="24"/>
                <w:lang w:val="en-US"/>
              </w:rPr>
              <w:t>RRI</w:t>
            </w:r>
          </w:p>
        </w:tc>
      </w:tr>
      <w:tr w:rsidR="00DE62CB" w:rsidRPr="00A43B9C" w14:paraId="7F105DC6" w14:textId="77777777" w:rsidTr="00D40E9A">
        <w:tc>
          <w:tcPr>
            <w:tcW w:w="3636" w:type="dxa"/>
          </w:tcPr>
          <w:p w14:paraId="69DCDE7C" w14:textId="77777777" w:rsidR="00DE62CB" w:rsidRPr="00A43B9C" w:rsidRDefault="00DE62CB" w:rsidP="00446A37">
            <w:pPr>
              <w:spacing w:after="0" w:line="240" w:lineRule="auto"/>
              <w:jc w:val="center"/>
              <w:rPr>
                <w:rFonts w:ascii="Times New Roman" w:hAnsi="Times New Roman" w:cs="Times New Roman"/>
                <w:sz w:val="28"/>
                <w:szCs w:val="28"/>
              </w:rPr>
            </w:pPr>
            <w:r w:rsidRPr="00A43B9C">
              <w:rPr>
                <w:noProof/>
              </w:rPr>
              <mc:AlternateContent>
                <mc:Choice Requires="cx1">
                  <w:drawing>
                    <wp:inline distT="0" distB="0" distL="0" distR="0" wp14:anchorId="32A270FB" wp14:editId="1CD51844">
                      <wp:extent cx="2160000" cy="2160000"/>
                      <wp:effectExtent l="0" t="0" r="12065" b="12065"/>
                      <wp:docPr id="166" name="Диаграмма 166">
                        <a:extLst xmlns:a="http://schemas.openxmlformats.org/drawingml/2006/main">
                          <a:ext uri="{FF2B5EF4-FFF2-40B4-BE49-F238E27FC236}">
                            <a16:creationId xmlns:a16="http://schemas.microsoft.com/office/drawing/2014/main" id="{8EA898AA-9694-41E6-AD11-F32FC758E8EB}"/>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60"/>
                        </a:graphicData>
                      </a:graphic>
                    </wp:inline>
                  </w:drawing>
                </mc:Choice>
                <mc:Fallback>
                  <w:drawing>
                    <wp:inline distT="0" distB="0" distL="0" distR="0" wp14:anchorId="32A270FB" wp14:editId="1CD51844">
                      <wp:extent cx="2160000" cy="2160000"/>
                      <wp:effectExtent l="0" t="0" r="12065" b="12065"/>
                      <wp:docPr id="166" name="Диаграмма 166">
                        <a:extLst xmlns:a="http://schemas.openxmlformats.org/drawingml/2006/main">
                          <a:ext uri="{FF2B5EF4-FFF2-40B4-BE49-F238E27FC236}">
                            <a16:creationId xmlns:a16="http://schemas.microsoft.com/office/drawing/2014/main" id="{8EA898AA-9694-41E6-AD11-F32FC758E8EB}"/>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66" name="Диаграмма 166">
                                <a:extLst>
                                  <a:ext uri="{FF2B5EF4-FFF2-40B4-BE49-F238E27FC236}">
                                    <a16:creationId xmlns:a16="http://schemas.microsoft.com/office/drawing/2014/main" id="{8EA898AA-9694-41E6-AD11-F32FC758E8EB}"/>
                                  </a:ext>
                                </a:extLst>
                              </pic:cNvPr>
                              <pic:cNvPicPr>
                                <a:picLocks noGrp="1" noRot="1" noChangeAspect="1" noMove="1" noResize="1" noEditPoints="1" noAdjustHandles="1" noChangeArrowheads="1" noChangeShapeType="1"/>
                              </pic:cNvPicPr>
                            </pic:nvPicPr>
                            <pic:blipFill>
                              <a:blip r:embed="rId61"/>
                              <a:stretch>
                                <a:fillRect/>
                              </a:stretch>
                            </pic:blipFill>
                            <pic:spPr>
                              <a:xfrm>
                                <a:off x="0" y="0"/>
                                <a:ext cx="2159635" cy="2159635"/>
                              </a:xfrm>
                              <a:prstGeom prst="rect">
                                <a:avLst/>
                              </a:prstGeom>
                            </pic:spPr>
                          </pic:pic>
                        </a:graphicData>
                      </a:graphic>
                    </wp:inline>
                  </w:drawing>
                </mc:Fallback>
              </mc:AlternateContent>
            </w:r>
          </w:p>
        </w:tc>
        <w:tc>
          <w:tcPr>
            <w:tcW w:w="3636" w:type="dxa"/>
          </w:tcPr>
          <w:p w14:paraId="59503601" w14:textId="77777777" w:rsidR="00DE62CB" w:rsidRPr="00A43B9C" w:rsidRDefault="00DE62CB" w:rsidP="00446A37">
            <w:pPr>
              <w:spacing w:after="0" w:line="240" w:lineRule="auto"/>
              <w:jc w:val="center"/>
              <w:rPr>
                <w:rFonts w:ascii="Times New Roman" w:hAnsi="Times New Roman" w:cs="Times New Roman"/>
                <w:sz w:val="28"/>
                <w:szCs w:val="28"/>
              </w:rPr>
            </w:pPr>
            <w:r w:rsidRPr="00A43B9C">
              <w:rPr>
                <w:noProof/>
              </w:rPr>
              <mc:AlternateContent>
                <mc:Choice Requires="cx1">
                  <w:drawing>
                    <wp:inline distT="0" distB="0" distL="0" distR="0" wp14:anchorId="36109C54" wp14:editId="364A2220">
                      <wp:extent cx="2160000" cy="2160000"/>
                      <wp:effectExtent l="0" t="0" r="12065" b="12065"/>
                      <wp:docPr id="167" name="Диаграмма 167">
                        <a:extLst xmlns:a="http://schemas.openxmlformats.org/drawingml/2006/main">
                          <a:ext uri="{FF2B5EF4-FFF2-40B4-BE49-F238E27FC236}">
                            <a16:creationId xmlns:a16="http://schemas.microsoft.com/office/drawing/2014/main" id="{0E839CE8-3A54-4A52-9FDE-42B9CBDC5E7A}"/>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62"/>
                        </a:graphicData>
                      </a:graphic>
                    </wp:inline>
                  </w:drawing>
                </mc:Choice>
                <mc:Fallback>
                  <w:drawing>
                    <wp:inline distT="0" distB="0" distL="0" distR="0" wp14:anchorId="36109C54" wp14:editId="364A2220">
                      <wp:extent cx="2160000" cy="2160000"/>
                      <wp:effectExtent l="0" t="0" r="12065" b="12065"/>
                      <wp:docPr id="167" name="Диаграмма 167">
                        <a:extLst xmlns:a="http://schemas.openxmlformats.org/drawingml/2006/main">
                          <a:ext uri="{FF2B5EF4-FFF2-40B4-BE49-F238E27FC236}">
                            <a16:creationId xmlns:a16="http://schemas.microsoft.com/office/drawing/2014/main" id="{0E839CE8-3A54-4A52-9FDE-42B9CBDC5E7A}"/>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67" name="Диаграмма 167">
                                <a:extLst>
                                  <a:ext uri="{FF2B5EF4-FFF2-40B4-BE49-F238E27FC236}">
                                    <a16:creationId xmlns:a16="http://schemas.microsoft.com/office/drawing/2014/main" id="{0E839CE8-3A54-4A52-9FDE-42B9CBDC5E7A}"/>
                                  </a:ext>
                                </a:extLst>
                              </pic:cNvPr>
                              <pic:cNvPicPr>
                                <a:picLocks noGrp="1" noRot="1" noChangeAspect="1" noMove="1" noResize="1" noEditPoints="1" noAdjustHandles="1" noChangeArrowheads="1" noChangeShapeType="1"/>
                              </pic:cNvPicPr>
                            </pic:nvPicPr>
                            <pic:blipFill>
                              <a:blip r:embed="rId63"/>
                              <a:stretch>
                                <a:fillRect/>
                              </a:stretch>
                            </pic:blipFill>
                            <pic:spPr>
                              <a:xfrm>
                                <a:off x="0" y="0"/>
                                <a:ext cx="2159635" cy="2159635"/>
                              </a:xfrm>
                              <a:prstGeom prst="rect">
                                <a:avLst/>
                              </a:prstGeom>
                            </pic:spPr>
                          </pic:pic>
                        </a:graphicData>
                      </a:graphic>
                    </wp:inline>
                  </w:drawing>
                </mc:Fallback>
              </mc:AlternateContent>
            </w:r>
          </w:p>
        </w:tc>
        <w:tc>
          <w:tcPr>
            <w:tcW w:w="3636" w:type="dxa"/>
          </w:tcPr>
          <w:p w14:paraId="7534A0F9" w14:textId="77777777" w:rsidR="00DE62CB" w:rsidRPr="00A43B9C" w:rsidRDefault="00DE62CB" w:rsidP="00446A37">
            <w:pPr>
              <w:spacing w:after="0" w:line="240" w:lineRule="auto"/>
              <w:jc w:val="center"/>
              <w:rPr>
                <w:rFonts w:ascii="Times New Roman" w:hAnsi="Times New Roman" w:cs="Times New Roman"/>
                <w:sz w:val="28"/>
                <w:szCs w:val="28"/>
              </w:rPr>
            </w:pPr>
            <w:r w:rsidRPr="00A43B9C">
              <w:rPr>
                <w:noProof/>
              </w:rPr>
              <mc:AlternateContent>
                <mc:Choice Requires="cx1">
                  <w:drawing>
                    <wp:inline distT="0" distB="0" distL="0" distR="0" wp14:anchorId="550BF6C5" wp14:editId="30CD23B3">
                      <wp:extent cx="2160000" cy="2160000"/>
                      <wp:effectExtent l="0" t="0" r="12065" b="12065"/>
                      <wp:docPr id="168" name="Диаграмма 168">
                        <a:extLst xmlns:a="http://schemas.openxmlformats.org/drawingml/2006/main">
                          <a:ext uri="{FF2B5EF4-FFF2-40B4-BE49-F238E27FC236}">
                            <a16:creationId xmlns:a16="http://schemas.microsoft.com/office/drawing/2014/main" id="{D103C620-4666-4781-8240-B19D846600DC}"/>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64"/>
                        </a:graphicData>
                      </a:graphic>
                    </wp:inline>
                  </w:drawing>
                </mc:Choice>
                <mc:Fallback>
                  <w:drawing>
                    <wp:inline distT="0" distB="0" distL="0" distR="0" wp14:anchorId="550BF6C5" wp14:editId="30CD23B3">
                      <wp:extent cx="2160000" cy="2160000"/>
                      <wp:effectExtent l="0" t="0" r="12065" b="12065"/>
                      <wp:docPr id="168" name="Диаграмма 168">
                        <a:extLst xmlns:a="http://schemas.openxmlformats.org/drawingml/2006/main">
                          <a:ext uri="{FF2B5EF4-FFF2-40B4-BE49-F238E27FC236}">
                            <a16:creationId xmlns:a16="http://schemas.microsoft.com/office/drawing/2014/main" id="{D103C620-4666-4781-8240-B19D846600DC}"/>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68" name="Диаграмма 168">
                                <a:extLst>
                                  <a:ext uri="{FF2B5EF4-FFF2-40B4-BE49-F238E27FC236}">
                                    <a16:creationId xmlns:a16="http://schemas.microsoft.com/office/drawing/2014/main" id="{D103C620-4666-4781-8240-B19D846600DC}"/>
                                  </a:ext>
                                </a:extLst>
                              </pic:cNvPr>
                              <pic:cNvPicPr>
                                <a:picLocks noGrp="1" noRot="1" noChangeAspect="1" noMove="1" noResize="1" noEditPoints="1" noAdjustHandles="1" noChangeArrowheads="1" noChangeShapeType="1"/>
                              </pic:cNvPicPr>
                            </pic:nvPicPr>
                            <pic:blipFill>
                              <a:blip r:embed="rId65"/>
                              <a:stretch>
                                <a:fillRect/>
                              </a:stretch>
                            </pic:blipFill>
                            <pic:spPr>
                              <a:xfrm>
                                <a:off x="0" y="0"/>
                                <a:ext cx="2159635" cy="2159635"/>
                              </a:xfrm>
                              <a:prstGeom prst="rect">
                                <a:avLst/>
                              </a:prstGeom>
                            </pic:spPr>
                          </pic:pic>
                        </a:graphicData>
                      </a:graphic>
                    </wp:inline>
                  </w:drawing>
                </mc:Fallback>
              </mc:AlternateContent>
            </w:r>
          </w:p>
        </w:tc>
      </w:tr>
      <w:tr w:rsidR="000F72E4" w:rsidRPr="00A43B9C" w14:paraId="26F300C7" w14:textId="77777777" w:rsidTr="00D40E9A">
        <w:tc>
          <w:tcPr>
            <w:tcW w:w="3636" w:type="dxa"/>
          </w:tcPr>
          <w:p w14:paraId="31EA75BC" w14:textId="3B9D3AC4" w:rsidR="000F72E4" w:rsidRPr="004F1730" w:rsidRDefault="000F72E4" w:rsidP="000F72E4">
            <w:pPr>
              <w:spacing w:after="0" w:line="240" w:lineRule="auto"/>
              <w:jc w:val="center"/>
              <w:rPr>
                <w:rFonts w:ascii="Times New Roman" w:hAnsi="Times New Roman" w:cs="Times New Roman"/>
                <w:sz w:val="24"/>
                <w:szCs w:val="24"/>
                <w:lang w:val="en-US"/>
              </w:rPr>
            </w:pPr>
            <w:r w:rsidRPr="004F1730">
              <w:rPr>
                <w:rFonts w:ascii="Times New Roman" w:hAnsi="Times New Roman" w:cs="Times New Roman"/>
                <w:sz w:val="24"/>
                <w:szCs w:val="24"/>
              </w:rPr>
              <w:t>ж</w:t>
            </w:r>
            <w:r w:rsidR="002C7694" w:rsidRPr="004F1730">
              <w:rPr>
                <w:rFonts w:ascii="Times New Roman" w:hAnsi="Times New Roman" w:cs="Times New Roman"/>
                <w:sz w:val="24"/>
                <w:szCs w:val="24"/>
              </w:rPr>
              <w:t>)</w:t>
            </w:r>
            <w:r w:rsidRPr="004F1730">
              <w:rPr>
                <w:rFonts w:ascii="Times New Roman" w:hAnsi="Times New Roman" w:cs="Times New Roman"/>
                <w:sz w:val="24"/>
                <w:szCs w:val="24"/>
                <w:lang w:val="en-US"/>
              </w:rPr>
              <w:t xml:space="preserve"> </w:t>
            </w:r>
            <w:r w:rsidR="002C7694" w:rsidRPr="004F1730">
              <w:rPr>
                <w:rFonts w:ascii="Times New Roman" w:hAnsi="Times New Roman" w:cs="Times New Roman"/>
                <w:sz w:val="24"/>
                <w:szCs w:val="24"/>
              </w:rPr>
              <w:t>Л</w:t>
            </w:r>
            <w:r w:rsidRPr="004F1730">
              <w:rPr>
                <w:rFonts w:ascii="Times New Roman" w:hAnsi="Times New Roman" w:cs="Times New Roman"/>
                <w:sz w:val="24"/>
                <w:szCs w:val="24"/>
              </w:rPr>
              <w:t xml:space="preserve">окализация </w:t>
            </w:r>
            <w:r w:rsidRPr="004F1730">
              <w:rPr>
                <w:rFonts w:ascii="Times New Roman" w:hAnsi="Times New Roman" w:cs="Times New Roman"/>
                <w:sz w:val="24"/>
                <w:szCs w:val="24"/>
                <w:lang w:val="en-US"/>
              </w:rPr>
              <w:t>RP</w:t>
            </w:r>
          </w:p>
        </w:tc>
        <w:tc>
          <w:tcPr>
            <w:tcW w:w="3636" w:type="dxa"/>
          </w:tcPr>
          <w:p w14:paraId="0AB36A11" w14:textId="229470E6" w:rsidR="000F72E4" w:rsidRPr="004F1730" w:rsidRDefault="000F72E4" w:rsidP="000F72E4">
            <w:pPr>
              <w:spacing w:after="0" w:line="240" w:lineRule="auto"/>
              <w:jc w:val="center"/>
              <w:rPr>
                <w:rFonts w:ascii="Times New Roman" w:hAnsi="Times New Roman" w:cs="Times New Roman"/>
                <w:sz w:val="24"/>
                <w:szCs w:val="24"/>
                <w:lang w:val="en-US"/>
              </w:rPr>
            </w:pPr>
            <w:r w:rsidRPr="004F1730">
              <w:rPr>
                <w:rFonts w:ascii="Times New Roman" w:hAnsi="Times New Roman" w:cs="Times New Roman"/>
                <w:sz w:val="24"/>
                <w:szCs w:val="24"/>
              </w:rPr>
              <w:t>к</w:t>
            </w:r>
            <w:r w:rsidR="002C7694" w:rsidRPr="004F1730">
              <w:rPr>
                <w:rFonts w:ascii="Times New Roman" w:hAnsi="Times New Roman" w:cs="Times New Roman"/>
                <w:sz w:val="24"/>
                <w:szCs w:val="24"/>
              </w:rPr>
              <w:t>)</w:t>
            </w:r>
            <w:r w:rsidRPr="004F1730">
              <w:rPr>
                <w:rFonts w:ascii="Times New Roman" w:hAnsi="Times New Roman" w:cs="Times New Roman"/>
                <w:sz w:val="24"/>
                <w:szCs w:val="24"/>
                <w:lang w:val="en-US"/>
              </w:rPr>
              <w:t xml:space="preserve"> </w:t>
            </w:r>
            <w:r w:rsidR="002C7694" w:rsidRPr="004F1730">
              <w:rPr>
                <w:rFonts w:ascii="Times New Roman" w:hAnsi="Times New Roman" w:cs="Times New Roman"/>
                <w:sz w:val="24"/>
                <w:szCs w:val="24"/>
              </w:rPr>
              <w:t>Л</w:t>
            </w:r>
            <w:r w:rsidRPr="004F1730">
              <w:rPr>
                <w:rFonts w:ascii="Times New Roman" w:hAnsi="Times New Roman" w:cs="Times New Roman"/>
                <w:sz w:val="24"/>
                <w:szCs w:val="24"/>
              </w:rPr>
              <w:t xml:space="preserve">окализация </w:t>
            </w:r>
            <w:r w:rsidRPr="004F1730">
              <w:rPr>
                <w:rFonts w:ascii="Times New Roman" w:hAnsi="Times New Roman" w:cs="Times New Roman"/>
                <w:sz w:val="24"/>
                <w:szCs w:val="24"/>
                <w:lang w:val="en-US"/>
              </w:rPr>
              <w:t>RLI</w:t>
            </w:r>
          </w:p>
        </w:tc>
        <w:tc>
          <w:tcPr>
            <w:tcW w:w="3636" w:type="dxa"/>
          </w:tcPr>
          <w:p w14:paraId="1FF8CD91" w14:textId="28168611" w:rsidR="000F72E4" w:rsidRPr="004F1730" w:rsidRDefault="000F72E4" w:rsidP="000F72E4">
            <w:pPr>
              <w:spacing w:after="0" w:line="240" w:lineRule="auto"/>
              <w:jc w:val="center"/>
              <w:rPr>
                <w:rFonts w:ascii="Times New Roman" w:hAnsi="Times New Roman" w:cs="Times New Roman"/>
                <w:sz w:val="24"/>
                <w:szCs w:val="24"/>
                <w:lang w:val="en-US"/>
              </w:rPr>
            </w:pPr>
            <w:r w:rsidRPr="004F1730">
              <w:rPr>
                <w:rFonts w:ascii="Times New Roman" w:hAnsi="Times New Roman" w:cs="Times New Roman"/>
                <w:sz w:val="24"/>
                <w:szCs w:val="24"/>
              </w:rPr>
              <w:t>л</w:t>
            </w:r>
            <w:r w:rsidR="002C7694" w:rsidRPr="004F1730">
              <w:rPr>
                <w:rFonts w:ascii="Times New Roman" w:hAnsi="Times New Roman" w:cs="Times New Roman"/>
                <w:sz w:val="24"/>
                <w:szCs w:val="24"/>
              </w:rPr>
              <w:t>)</w:t>
            </w:r>
            <w:r w:rsidRPr="004F1730">
              <w:rPr>
                <w:rFonts w:ascii="Times New Roman" w:hAnsi="Times New Roman" w:cs="Times New Roman"/>
                <w:sz w:val="24"/>
                <w:szCs w:val="24"/>
                <w:lang w:val="en-US"/>
              </w:rPr>
              <w:t xml:space="preserve"> </w:t>
            </w:r>
            <w:r w:rsidR="002C7694" w:rsidRPr="004F1730">
              <w:rPr>
                <w:rFonts w:ascii="Times New Roman" w:hAnsi="Times New Roman" w:cs="Times New Roman"/>
                <w:sz w:val="24"/>
                <w:szCs w:val="24"/>
              </w:rPr>
              <w:t>Л</w:t>
            </w:r>
            <w:r w:rsidRPr="004F1730">
              <w:rPr>
                <w:rFonts w:ascii="Times New Roman" w:hAnsi="Times New Roman" w:cs="Times New Roman"/>
                <w:sz w:val="24"/>
                <w:szCs w:val="24"/>
              </w:rPr>
              <w:t>окализация P</w:t>
            </w:r>
          </w:p>
        </w:tc>
      </w:tr>
    </w:tbl>
    <w:p w14:paraId="46EA8607" w14:textId="77777777" w:rsidR="004F1730" w:rsidRDefault="004F1730" w:rsidP="007B3CF9">
      <w:pPr>
        <w:spacing w:after="0" w:line="240" w:lineRule="auto"/>
        <w:jc w:val="center"/>
        <w:rPr>
          <w:rFonts w:ascii="Times New Roman" w:hAnsi="Times New Roman" w:cs="Times New Roman"/>
          <w:sz w:val="28"/>
          <w:szCs w:val="28"/>
        </w:rPr>
      </w:pPr>
    </w:p>
    <w:p w14:paraId="1661BE6D" w14:textId="05F06AB5" w:rsidR="007B3CF9" w:rsidRDefault="007B3CF9" w:rsidP="007B3CF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8</w:t>
      </w:r>
      <w:r w:rsidR="002C5E87">
        <w:rPr>
          <w:rFonts w:ascii="Times New Roman" w:hAnsi="Times New Roman" w:cs="Times New Roman"/>
          <w:sz w:val="28"/>
          <w:szCs w:val="28"/>
          <w:lang w:val="en-US"/>
        </w:rPr>
        <w:t xml:space="preserve"> - </w:t>
      </w:r>
      <w:r>
        <w:rPr>
          <w:rFonts w:ascii="Times New Roman" w:hAnsi="Times New Roman" w:cs="Times New Roman"/>
          <w:sz w:val="28"/>
          <w:szCs w:val="28"/>
        </w:rPr>
        <w:t>лист 2</w:t>
      </w:r>
    </w:p>
    <w:p w14:paraId="5911AE8A" w14:textId="77777777" w:rsidR="007B3CF9" w:rsidRDefault="007B3CF9" w:rsidP="008F33DC">
      <w:pPr>
        <w:spacing w:after="0" w:line="240" w:lineRule="auto"/>
        <w:ind w:firstLine="709"/>
        <w:jc w:val="center"/>
        <w:rPr>
          <w:rFonts w:ascii="Times New Roman" w:hAnsi="Times New Roman" w:cs="Times New Roman"/>
          <w:strike/>
          <w:sz w:val="28"/>
          <w:szCs w:val="28"/>
        </w:rPr>
      </w:pPr>
    </w:p>
    <w:bookmarkEnd w:id="56"/>
    <w:p w14:paraId="5B4117F8" w14:textId="726F4790" w:rsidR="00DE7880" w:rsidRPr="00A43B9C" w:rsidRDefault="00E11C40" w:rsidP="00DE7880">
      <w:pPr>
        <w:spacing w:after="0" w:line="240" w:lineRule="auto"/>
        <w:ind w:firstLine="709"/>
        <w:jc w:val="both"/>
        <w:rPr>
          <w:rFonts w:ascii="Times New Roman" w:hAnsi="Times New Roman" w:cs="Times New Roman"/>
          <w:sz w:val="28"/>
          <w:szCs w:val="28"/>
          <w:lang w:val="kk-KZ"/>
        </w:rPr>
      </w:pPr>
      <w:r w:rsidRPr="00A43B9C">
        <w:rPr>
          <w:rFonts w:ascii="Times New Roman" w:hAnsi="Times New Roman" w:cs="Times New Roman"/>
          <w:sz w:val="28"/>
          <w:szCs w:val="28"/>
          <w:lang w:val="kk-KZ"/>
        </w:rPr>
        <w:t xml:space="preserve">Сравнение </w:t>
      </w:r>
      <w:r w:rsidR="00DE7880" w:rsidRPr="00A43B9C">
        <w:rPr>
          <w:rFonts w:ascii="Times New Roman" w:hAnsi="Times New Roman" w:cs="Times New Roman"/>
          <w:sz w:val="28"/>
          <w:szCs w:val="28"/>
        </w:rPr>
        <w:t xml:space="preserve">уровня </w:t>
      </w:r>
      <w:r w:rsidR="009307C9" w:rsidRPr="00A43B9C">
        <w:rPr>
          <w:rFonts w:ascii="Times New Roman" w:hAnsi="Times New Roman" w:cs="Times New Roman"/>
          <w:sz w:val="28"/>
          <w:szCs w:val="28"/>
        </w:rPr>
        <w:t>накопления</w:t>
      </w:r>
      <w:r w:rsidR="00DE7880" w:rsidRPr="00A43B9C">
        <w:rPr>
          <w:rFonts w:ascii="Times New Roman" w:hAnsi="Times New Roman" w:cs="Times New Roman"/>
          <w:sz w:val="28"/>
          <w:szCs w:val="28"/>
        </w:rPr>
        <w:t xml:space="preserve"> </w:t>
      </w:r>
      <w:r w:rsidR="00DE7880" w:rsidRPr="00A43B9C">
        <w:rPr>
          <w:rFonts w:ascii="Times New Roman" w:hAnsi="Times New Roman" w:cs="Times New Roman"/>
          <w:sz w:val="28"/>
          <w:szCs w:val="28"/>
          <w:lang w:val="en-US"/>
        </w:rPr>
        <w:t>SUV</w:t>
      </w:r>
      <w:r w:rsidR="00DE7880" w:rsidRPr="00A43B9C">
        <w:rPr>
          <w:rFonts w:ascii="Times New Roman" w:hAnsi="Times New Roman" w:cs="Times New Roman"/>
          <w:sz w:val="28"/>
          <w:szCs w:val="28"/>
          <w:vertAlign w:val="subscript"/>
          <w:lang w:val="en-US"/>
        </w:rPr>
        <w:t>max</w:t>
      </w:r>
      <w:r w:rsidR="00DE7880" w:rsidRPr="00A43B9C">
        <w:rPr>
          <w:rFonts w:ascii="Times New Roman" w:hAnsi="Times New Roman" w:cs="Times New Roman"/>
          <w:sz w:val="28"/>
          <w:szCs w:val="28"/>
          <w:lang w:val="kk-KZ"/>
        </w:rPr>
        <w:t xml:space="preserve"> в </w:t>
      </w:r>
      <w:r w:rsidR="00121E9D" w:rsidRPr="00A43B9C">
        <w:rPr>
          <w:rFonts w:ascii="Times New Roman" w:hAnsi="Times New Roman" w:cs="Times New Roman"/>
          <w:sz w:val="28"/>
          <w:szCs w:val="28"/>
          <w:lang w:val="en-US"/>
        </w:rPr>
        <w:t>VAT</w:t>
      </w:r>
      <w:r w:rsidR="00121E9D" w:rsidRPr="00A43B9C">
        <w:rPr>
          <w:rFonts w:ascii="Times New Roman" w:hAnsi="Times New Roman" w:cs="Times New Roman"/>
          <w:sz w:val="28"/>
          <w:szCs w:val="28"/>
        </w:rPr>
        <w:t xml:space="preserve"> в </w:t>
      </w:r>
      <w:r w:rsidR="00DE7880" w:rsidRPr="00A43B9C">
        <w:rPr>
          <w:rFonts w:ascii="Times New Roman" w:hAnsi="Times New Roman" w:cs="Times New Roman"/>
          <w:sz w:val="28"/>
          <w:szCs w:val="28"/>
          <w:lang w:val="kk-KZ"/>
        </w:rPr>
        <w:t xml:space="preserve">зависимости от стадии </w:t>
      </w:r>
      <w:r w:rsidR="001C40D1" w:rsidRPr="00A43B9C">
        <w:rPr>
          <w:rFonts w:ascii="Times New Roman" w:hAnsi="Times New Roman" w:cs="Times New Roman"/>
          <w:sz w:val="28"/>
          <w:szCs w:val="28"/>
          <w:lang w:val="en-US"/>
        </w:rPr>
        <w:t>N</w:t>
      </w:r>
      <w:r w:rsidR="00121E9D" w:rsidRPr="00A43B9C">
        <w:rPr>
          <w:rFonts w:ascii="Times New Roman" w:eastAsia="NewtonC" w:hAnsi="Times New Roman" w:cs="Times New Roman"/>
          <w:sz w:val="28"/>
          <w:szCs w:val="28"/>
        </w:rPr>
        <w:t xml:space="preserve"> (таблица 8) </w:t>
      </w:r>
      <w:r w:rsidR="00DE7880" w:rsidRPr="00A43B9C">
        <w:rPr>
          <w:rFonts w:ascii="Times New Roman" w:hAnsi="Times New Roman" w:cs="Times New Roman"/>
          <w:sz w:val="28"/>
          <w:szCs w:val="28"/>
          <w:lang w:val="kk-KZ"/>
        </w:rPr>
        <w:t xml:space="preserve">статистически значимых различий не </w:t>
      </w:r>
      <w:r w:rsidRPr="00A43B9C">
        <w:rPr>
          <w:rFonts w:ascii="Times New Roman" w:hAnsi="Times New Roman" w:cs="Times New Roman"/>
          <w:sz w:val="28"/>
          <w:szCs w:val="28"/>
          <w:lang w:val="kk-KZ"/>
        </w:rPr>
        <w:t xml:space="preserve">выявило </w:t>
      </w:r>
      <w:r w:rsidR="00DE7880" w:rsidRPr="00A43B9C">
        <w:rPr>
          <w:rFonts w:ascii="Times New Roman" w:hAnsi="Times New Roman" w:cs="Times New Roman"/>
          <w:sz w:val="28"/>
          <w:szCs w:val="28"/>
          <w:lang w:val="kk-KZ"/>
        </w:rPr>
        <w:t>для всех локализаций</w:t>
      </w:r>
      <w:r w:rsidR="00121E9D" w:rsidRPr="00A43B9C">
        <w:rPr>
          <w:rFonts w:ascii="Times New Roman" w:hAnsi="Times New Roman" w:cs="Times New Roman"/>
          <w:sz w:val="28"/>
          <w:szCs w:val="28"/>
          <w:lang w:val="kk-KZ"/>
        </w:rPr>
        <w:t>:</w:t>
      </w:r>
      <w:r w:rsidR="00DE7880" w:rsidRPr="00A43B9C">
        <w:rPr>
          <w:rFonts w:ascii="Times New Roman" w:hAnsi="Times New Roman" w:cs="Times New Roman"/>
          <w:sz w:val="28"/>
          <w:szCs w:val="28"/>
          <w:lang w:val="kk-KZ"/>
        </w:rPr>
        <w:t xml:space="preserve"> RE (p = 0,636), RLH (p = 0,771), RRL (p = 0,141), RU (p = 0,257), RLL (p = 0,232), RRI (p = 0,147), RP (p = 0,208), RLI (p = 0,377), P (p = 0,062)</w:t>
      </w:r>
      <w:r w:rsidR="00EA5E8C">
        <w:rPr>
          <w:rFonts w:ascii="Times New Roman" w:hAnsi="Times New Roman" w:cs="Times New Roman"/>
          <w:sz w:val="28"/>
          <w:szCs w:val="28"/>
          <w:lang w:val="kk-KZ"/>
        </w:rPr>
        <w:t xml:space="preserve"> </w:t>
      </w:r>
      <w:r w:rsidR="00EA5E8C" w:rsidRPr="00A43B9C">
        <w:rPr>
          <w:rFonts w:ascii="Times New Roman" w:hAnsi="Times New Roman" w:cs="Times New Roman"/>
          <w:sz w:val="28"/>
          <w:szCs w:val="28"/>
          <w:lang w:val="kk-KZ"/>
        </w:rPr>
        <w:t xml:space="preserve">(рисунок </w:t>
      </w:r>
      <w:r w:rsidR="00EA5E8C">
        <w:rPr>
          <w:rFonts w:ascii="Times New Roman" w:hAnsi="Times New Roman" w:cs="Times New Roman"/>
          <w:sz w:val="28"/>
          <w:szCs w:val="28"/>
          <w:lang w:val="kk-KZ"/>
        </w:rPr>
        <w:t>9</w:t>
      </w:r>
      <w:r w:rsidR="00EA5E8C" w:rsidRPr="00A43B9C">
        <w:rPr>
          <w:rFonts w:ascii="Times New Roman" w:hAnsi="Times New Roman" w:cs="Times New Roman"/>
          <w:sz w:val="28"/>
          <w:szCs w:val="28"/>
          <w:lang w:val="kk-KZ"/>
        </w:rPr>
        <w:t>)</w:t>
      </w:r>
      <w:r w:rsidR="00DE7880" w:rsidRPr="00A43B9C">
        <w:rPr>
          <w:rFonts w:ascii="Times New Roman" w:hAnsi="Times New Roman" w:cs="Times New Roman"/>
          <w:sz w:val="28"/>
          <w:szCs w:val="28"/>
          <w:lang w:val="kk-KZ"/>
        </w:rPr>
        <w:t>.</w:t>
      </w:r>
    </w:p>
    <w:p w14:paraId="6B417C14" w14:textId="77777777" w:rsidR="00DE7880" w:rsidRPr="00A43B9C" w:rsidRDefault="00DE7880" w:rsidP="00DE7880">
      <w:pPr>
        <w:spacing w:after="0" w:line="240" w:lineRule="auto"/>
        <w:jc w:val="center"/>
        <w:rPr>
          <w:rFonts w:ascii="Times New Roman" w:hAnsi="Times New Roman" w:cs="Times New Roman"/>
          <w:sz w:val="28"/>
          <w:szCs w:val="28"/>
        </w:rPr>
      </w:pPr>
    </w:p>
    <w:p w14:paraId="4A41F630" w14:textId="0B29A3F1" w:rsidR="00DE7880" w:rsidRPr="00A43B9C" w:rsidRDefault="00DE7880" w:rsidP="00D12CD6">
      <w:pPr>
        <w:spacing w:after="0" w:line="240" w:lineRule="auto"/>
        <w:jc w:val="both"/>
        <w:rPr>
          <w:rFonts w:ascii="Times New Roman" w:eastAsia="NewtonC" w:hAnsi="Times New Roman" w:cs="Times New Roman"/>
          <w:sz w:val="28"/>
          <w:szCs w:val="28"/>
        </w:rPr>
      </w:pPr>
      <w:r w:rsidRPr="00A43B9C">
        <w:rPr>
          <w:rFonts w:ascii="Times New Roman" w:hAnsi="Times New Roman" w:cs="Times New Roman"/>
          <w:sz w:val="28"/>
          <w:szCs w:val="28"/>
        </w:rPr>
        <w:t xml:space="preserve">Таблица </w:t>
      </w:r>
      <w:r w:rsidR="00676870" w:rsidRPr="00A43B9C">
        <w:rPr>
          <w:rFonts w:ascii="Times New Roman" w:hAnsi="Times New Roman" w:cs="Times New Roman"/>
          <w:sz w:val="28"/>
          <w:szCs w:val="28"/>
        </w:rPr>
        <w:t>8</w:t>
      </w:r>
      <w:r w:rsidR="000A6F86" w:rsidRPr="00A43B9C">
        <w:rPr>
          <w:rFonts w:ascii="Times New Roman" w:hAnsi="Times New Roman" w:cs="Times New Roman"/>
          <w:sz w:val="28"/>
          <w:szCs w:val="28"/>
        </w:rPr>
        <w:t xml:space="preserve"> - </w:t>
      </w:r>
      <w:r w:rsidRPr="00A43B9C">
        <w:rPr>
          <w:rFonts w:ascii="Times New Roman" w:hAnsi="Times New Roman" w:cs="Times New Roman"/>
          <w:sz w:val="28"/>
          <w:szCs w:val="28"/>
        </w:rPr>
        <w:t xml:space="preserve">Анализ уровня </w:t>
      </w:r>
      <w:r w:rsidR="009307C9" w:rsidRPr="00A43B9C">
        <w:rPr>
          <w:rFonts w:ascii="Times New Roman" w:hAnsi="Times New Roman" w:cs="Times New Roman"/>
          <w:sz w:val="28"/>
          <w:szCs w:val="28"/>
        </w:rPr>
        <w:t>накопления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зависимости от </w:t>
      </w:r>
      <w:r w:rsidR="00121E9D" w:rsidRPr="00A43B9C">
        <w:rPr>
          <w:rFonts w:ascii="Times New Roman" w:hAnsi="Times New Roman" w:cs="Times New Roman"/>
          <w:sz w:val="28"/>
          <w:szCs w:val="28"/>
          <w:lang w:val="kk-KZ"/>
        </w:rPr>
        <w:t xml:space="preserve">стадии </w:t>
      </w:r>
      <w:r w:rsidR="001C40D1" w:rsidRPr="00A43B9C">
        <w:rPr>
          <w:rFonts w:ascii="Times New Roman" w:hAnsi="Times New Roman" w:cs="Times New Roman"/>
          <w:sz w:val="28"/>
          <w:szCs w:val="28"/>
          <w:lang w:val="en-US"/>
        </w:rPr>
        <w:t>N</w:t>
      </w:r>
    </w:p>
    <w:p w14:paraId="1EBA963B" w14:textId="77777777" w:rsidR="00D12CD6" w:rsidRPr="00A43B9C" w:rsidRDefault="00D12CD6" w:rsidP="00D12CD6">
      <w:pPr>
        <w:spacing w:after="0" w:line="240" w:lineRule="auto"/>
        <w:jc w:val="both"/>
        <w:rPr>
          <w:rFonts w:ascii="Times New Roman" w:hAnsi="Times New Roman" w:cs="Times New Roman"/>
          <w:sz w:val="28"/>
          <w:szCs w:val="28"/>
        </w:rPr>
      </w:pPr>
    </w:p>
    <w:tbl>
      <w:tblPr>
        <w:tblStyle w:val="ad"/>
        <w:tblW w:w="5000" w:type="pct"/>
        <w:jc w:val="center"/>
        <w:tblLook w:val="04A0" w:firstRow="1" w:lastRow="0" w:firstColumn="1" w:lastColumn="0" w:noHBand="0" w:noVBand="1"/>
      </w:tblPr>
      <w:tblGrid>
        <w:gridCol w:w="1761"/>
        <w:gridCol w:w="1553"/>
        <w:gridCol w:w="1506"/>
        <w:gridCol w:w="1508"/>
        <w:gridCol w:w="1508"/>
        <w:gridCol w:w="1508"/>
      </w:tblGrid>
      <w:tr w:rsidR="00DE7880" w:rsidRPr="00A43B9C" w14:paraId="7FE26071" w14:textId="77777777" w:rsidTr="00F87FE6">
        <w:trPr>
          <w:jc w:val="center"/>
        </w:trPr>
        <w:tc>
          <w:tcPr>
            <w:tcW w:w="942" w:type="pct"/>
            <w:vAlign w:val="center"/>
          </w:tcPr>
          <w:p w14:paraId="5F8E7111"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Локализация</w:t>
            </w:r>
          </w:p>
        </w:tc>
        <w:tc>
          <w:tcPr>
            <w:tcW w:w="831" w:type="pct"/>
            <w:vAlign w:val="center"/>
          </w:tcPr>
          <w:p w14:paraId="76948D03"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Категория</w:t>
            </w:r>
          </w:p>
        </w:tc>
        <w:tc>
          <w:tcPr>
            <w:tcW w:w="806" w:type="pct"/>
            <w:vAlign w:val="center"/>
          </w:tcPr>
          <w:p w14:paraId="3BF2A540"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Me</w:t>
            </w:r>
          </w:p>
        </w:tc>
        <w:tc>
          <w:tcPr>
            <w:tcW w:w="807" w:type="pct"/>
            <w:vAlign w:val="center"/>
          </w:tcPr>
          <w:p w14:paraId="66BA5726"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Q₁ – Q₃</w:t>
            </w:r>
          </w:p>
        </w:tc>
        <w:tc>
          <w:tcPr>
            <w:tcW w:w="807" w:type="pct"/>
            <w:vAlign w:val="center"/>
          </w:tcPr>
          <w:p w14:paraId="15AE30E9"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p>
        </w:tc>
        <w:tc>
          <w:tcPr>
            <w:tcW w:w="807" w:type="pct"/>
            <w:vAlign w:val="center"/>
          </w:tcPr>
          <w:p w14:paraId="569727E5"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w:t>
            </w:r>
          </w:p>
        </w:tc>
      </w:tr>
      <w:tr w:rsidR="00452443" w:rsidRPr="00A43B9C" w14:paraId="46801579" w14:textId="77777777" w:rsidTr="00E07867">
        <w:trPr>
          <w:jc w:val="center"/>
        </w:trPr>
        <w:tc>
          <w:tcPr>
            <w:tcW w:w="942" w:type="pct"/>
            <w:vAlign w:val="center"/>
          </w:tcPr>
          <w:p w14:paraId="241F3EA6" w14:textId="53A027B5"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831" w:type="pct"/>
            <w:vAlign w:val="center"/>
          </w:tcPr>
          <w:p w14:paraId="5DB32CD0" w14:textId="42202BA3"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806" w:type="pct"/>
            <w:vAlign w:val="center"/>
          </w:tcPr>
          <w:p w14:paraId="3DCAFE7B" w14:textId="6736E0BB"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807" w:type="pct"/>
            <w:vAlign w:val="center"/>
          </w:tcPr>
          <w:p w14:paraId="2F918323" w14:textId="3F5861F1"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807" w:type="pct"/>
            <w:vAlign w:val="center"/>
          </w:tcPr>
          <w:p w14:paraId="7C609001" w14:textId="3CB225A1"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807" w:type="pct"/>
          </w:tcPr>
          <w:p w14:paraId="1F8182B5" w14:textId="195A6B7B"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r>
      <w:tr w:rsidR="00452443" w:rsidRPr="00A43B9C" w14:paraId="05F6DB49" w14:textId="77777777" w:rsidTr="00F87FE6">
        <w:trPr>
          <w:jc w:val="center"/>
        </w:trPr>
        <w:tc>
          <w:tcPr>
            <w:tcW w:w="942" w:type="pct"/>
            <w:vMerge w:val="restart"/>
            <w:vAlign w:val="center"/>
          </w:tcPr>
          <w:p w14:paraId="2A9AD09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RE</w:t>
            </w:r>
          </w:p>
        </w:tc>
        <w:tc>
          <w:tcPr>
            <w:tcW w:w="831" w:type="pct"/>
            <w:vAlign w:val="center"/>
          </w:tcPr>
          <w:p w14:paraId="1041800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0</w:t>
            </w:r>
          </w:p>
        </w:tc>
        <w:tc>
          <w:tcPr>
            <w:tcW w:w="806" w:type="pct"/>
            <w:vAlign w:val="center"/>
          </w:tcPr>
          <w:p w14:paraId="3BD995D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0,81</w:t>
            </w:r>
          </w:p>
        </w:tc>
        <w:tc>
          <w:tcPr>
            <w:tcW w:w="807" w:type="pct"/>
            <w:vAlign w:val="center"/>
          </w:tcPr>
          <w:p w14:paraId="25551D6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0,58 – 1,25</w:t>
            </w:r>
          </w:p>
        </w:tc>
        <w:tc>
          <w:tcPr>
            <w:tcW w:w="807" w:type="pct"/>
            <w:vAlign w:val="center"/>
          </w:tcPr>
          <w:p w14:paraId="4D561E9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19</w:t>
            </w:r>
          </w:p>
        </w:tc>
        <w:tc>
          <w:tcPr>
            <w:tcW w:w="807" w:type="pct"/>
            <w:vMerge w:val="restart"/>
            <w:vAlign w:val="center"/>
          </w:tcPr>
          <w:p w14:paraId="7BE11BD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0,636</w:t>
            </w:r>
          </w:p>
        </w:tc>
      </w:tr>
      <w:tr w:rsidR="00452443" w:rsidRPr="00A43B9C" w14:paraId="0E1A1759" w14:textId="77777777" w:rsidTr="00F87FE6">
        <w:trPr>
          <w:jc w:val="center"/>
        </w:trPr>
        <w:tc>
          <w:tcPr>
            <w:tcW w:w="942" w:type="pct"/>
            <w:vMerge/>
            <w:vAlign w:val="center"/>
          </w:tcPr>
          <w:p w14:paraId="6A472582"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vAlign w:val="center"/>
          </w:tcPr>
          <w:p w14:paraId="4676C99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1</w:t>
            </w:r>
          </w:p>
        </w:tc>
        <w:tc>
          <w:tcPr>
            <w:tcW w:w="806" w:type="pct"/>
            <w:vAlign w:val="center"/>
          </w:tcPr>
          <w:p w14:paraId="562065C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0,87</w:t>
            </w:r>
          </w:p>
        </w:tc>
        <w:tc>
          <w:tcPr>
            <w:tcW w:w="807" w:type="pct"/>
            <w:vAlign w:val="center"/>
          </w:tcPr>
          <w:p w14:paraId="33ED0E1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0,83 – 1,29</w:t>
            </w:r>
          </w:p>
        </w:tc>
        <w:tc>
          <w:tcPr>
            <w:tcW w:w="807" w:type="pct"/>
            <w:vAlign w:val="center"/>
          </w:tcPr>
          <w:p w14:paraId="28421B7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w:t>
            </w:r>
          </w:p>
        </w:tc>
        <w:tc>
          <w:tcPr>
            <w:tcW w:w="807" w:type="pct"/>
            <w:vMerge/>
          </w:tcPr>
          <w:p w14:paraId="0B2463EC"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05F9F662" w14:textId="77777777" w:rsidTr="00B553BC">
        <w:trPr>
          <w:trHeight w:val="103"/>
          <w:jc w:val="center"/>
        </w:trPr>
        <w:tc>
          <w:tcPr>
            <w:tcW w:w="942" w:type="pct"/>
            <w:vMerge/>
            <w:tcBorders>
              <w:bottom w:val="single" w:sz="4" w:space="0" w:color="auto"/>
            </w:tcBorders>
            <w:vAlign w:val="center"/>
          </w:tcPr>
          <w:p w14:paraId="19FE772B"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vAlign w:val="center"/>
          </w:tcPr>
          <w:p w14:paraId="522E6B2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x</w:t>
            </w:r>
          </w:p>
        </w:tc>
        <w:tc>
          <w:tcPr>
            <w:tcW w:w="806" w:type="pct"/>
            <w:vAlign w:val="center"/>
          </w:tcPr>
          <w:p w14:paraId="59D2DD9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0,73</w:t>
            </w:r>
          </w:p>
        </w:tc>
        <w:tc>
          <w:tcPr>
            <w:tcW w:w="807" w:type="pct"/>
            <w:vAlign w:val="center"/>
          </w:tcPr>
          <w:p w14:paraId="098CAD5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0,61 – 1,11</w:t>
            </w:r>
          </w:p>
        </w:tc>
        <w:tc>
          <w:tcPr>
            <w:tcW w:w="807" w:type="pct"/>
            <w:vAlign w:val="center"/>
          </w:tcPr>
          <w:p w14:paraId="74E2021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25</w:t>
            </w:r>
          </w:p>
        </w:tc>
        <w:tc>
          <w:tcPr>
            <w:tcW w:w="807" w:type="pct"/>
            <w:vMerge/>
            <w:tcBorders>
              <w:bottom w:val="single" w:sz="4" w:space="0" w:color="auto"/>
            </w:tcBorders>
          </w:tcPr>
          <w:p w14:paraId="1D7754B9"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1FDE42FF" w14:textId="77777777" w:rsidTr="00F87FE6">
        <w:trPr>
          <w:jc w:val="center"/>
        </w:trPr>
        <w:tc>
          <w:tcPr>
            <w:tcW w:w="942" w:type="pct"/>
            <w:vMerge w:val="restart"/>
            <w:vAlign w:val="center"/>
          </w:tcPr>
          <w:p w14:paraId="616DB16A" w14:textId="77777777" w:rsidR="00452443" w:rsidRPr="00A43B9C" w:rsidRDefault="00452443" w:rsidP="00452443">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RLH</w:t>
            </w:r>
          </w:p>
        </w:tc>
        <w:tc>
          <w:tcPr>
            <w:tcW w:w="831" w:type="pct"/>
            <w:vAlign w:val="center"/>
          </w:tcPr>
          <w:p w14:paraId="483C28F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0</w:t>
            </w:r>
          </w:p>
        </w:tc>
        <w:tc>
          <w:tcPr>
            <w:tcW w:w="806" w:type="pct"/>
            <w:vAlign w:val="center"/>
          </w:tcPr>
          <w:p w14:paraId="46FC766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0,68</w:t>
            </w:r>
          </w:p>
        </w:tc>
        <w:tc>
          <w:tcPr>
            <w:tcW w:w="807" w:type="pct"/>
            <w:vAlign w:val="center"/>
          </w:tcPr>
          <w:p w14:paraId="5E58269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0,53 – 0,88</w:t>
            </w:r>
          </w:p>
        </w:tc>
        <w:tc>
          <w:tcPr>
            <w:tcW w:w="807" w:type="pct"/>
            <w:vAlign w:val="center"/>
          </w:tcPr>
          <w:p w14:paraId="76CE27E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19</w:t>
            </w:r>
          </w:p>
        </w:tc>
        <w:tc>
          <w:tcPr>
            <w:tcW w:w="807" w:type="pct"/>
            <w:vMerge w:val="restart"/>
            <w:vAlign w:val="center"/>
          </w:tcPr>
          <w:p w14:paraId="5DDDC51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0,771</w:t>
            </w:r>
          </w:p>
        </w:tc>
      </w:tr>
      <w:tr w:rsidR="00452443" w:rsidRPr="00A43B9C" w14:paraId="6C769CC2" w14:textId="77777777" w:rsidTr="00F87FE6">
        <w:trPr>
          <w:jc w:val="center"/>
        </w:trPr>
        <w:tc>
          <w:tcPr>
            <w:tcW w:w="942" w:type="pct"/>
            <w:vMerge/>
            <w:vAlign w:val="center"/>
          </w:tcPr>
          <w:p w14:paraId="2CBCE2FD"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vAlign w:val="center"/>
          </w:tcPr>
          <w:p w14:paraId="655CE02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1</w:t>
            </w:r>
          </w:p>
        </w:tc>
        <w:tc>
          <w:tcPr>
            <w:tcW w:w="806" w:type="pct"/>
            <w:vAlign w:val="center"/>
          </w:tcPr>
          <w:p w14:paraId="370FDC4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0,78</w:t>
            </w:r>
          </w:p>
        </w:tc>
        <w:tc>
          <w:tcPr>
            <w:tcW w:w="807" w:type="pct"/>
            <w:vAlign w:val="center"/>
          </w:tcPr>
          <w:p w14:paraId="7682A51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0,63 – 1,15</w:t>
            </w:r>
          </w:p>
        </w:tc>
        <w:tc>
          <w:tcPr>
            <w:tcW w:w="807" w:type="pct"/>
            <w:vAlign w:val="center"/>
          </w:tcPr>
          <w:p w14:paraId="0D0596D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w:t>
            </w:r>
          </w:p>
        </w:tc>
        <w:tc>
          <w:tcPr>
            <w:tcW w:w="807" w:type="pct"/>
            <w:vMerge/>
          </w:tcPr>
          <w:p w14:paraId="2A788442"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14841FF5" w14:textId="77777777" w:rsidTr="00B553BC">
        <w:trPr>
          <w:trHeight w:val="103"/>
          <w:jc w:val="center"/>
        </w:trPr>
        <w:tc>
          <w:tcPr>
            <w:tcW w:w="942" w:type="pct"/>
            <w:vMerge/>
            <w:tcBorders>
              <w:bottom w:val="single" w:sz="4" w:space="0" w:color="auto"/>
            </w:tcBorders>
            <w:vAlign w:val="center"/>
          </w:tcPr>
          <w:p w14:paraId="1D68B4F1"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tcBorders>
              <w:bottom w:val="single" w:sz="4" w:space="0" w:color="auto"/>
            </w:tcBorders>
            <w:vAlign w:val="center"/>
          </w:tcPr>
          <w:p w14:paraId="54F23BC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x</w:t>
            </w:r>
          </w:p>
        </w:tc>
        <w:tc>
          <w:tcPr>
            <w:tcW w:w="806" w:type="pct"/>
            <w:vAlign w:val="center"/>
          </w:tcPr>
          <w:p w14:paraId="6BEBD39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0,78</w:t>
            </w:r>
          </w:p>
        </w:tc>
        <w:tc>
          <w:tcPr>
            <w:tcW w:w="807" w:type="pct"/>
            <w:vAlign w:val="center"/>
          </w:tcPr>
          <w:p w14:paraId="5120948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0,54 – 1,19</w:t>
            </w:r>
          </w:p>
        </w:tc>
        <w:tc>
          <w:tcPr>
            <w:tcW w:w="807" w:type="pct"/>
            <w:tcBorders>
              <w:bottom w:val="single" w:sz="4" w:space="0" w:color="auto"/>
            </w:tcBorders>
            <w:vAlign w:val="center"/>
          </w:tcPr>
          <w:p w14:paraId="69EEEF0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25</w:t>
            </w:r>
          </w:p>
        </w:tc>
        <w:tc>
          <w:tcPr>
            <w:tcW w:w="807" w:type="pct"/>
            <w:vMerge/>
            <w:tcBorders>
              <w:bottom w:val="single" w:sz="4" w:space="0" w:color="auto"/>
            </w:tcBorders>
          </w:tcPr>
          <w:p w14:paraId="0E56017F"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7BDED7BF" w14:textId="77777777" w:rsidTr="00B553BC">
        <w:trPr>
          <w:jc w:val="center"/>
        </w:trPr>
        <w:tc>
          <w:tcPr>
            <w:tcW w:w="942" w:type="pct"/>
            <w:vMerge w:val="restart"/>
            <w:tcBorders>
              <w:top w:val="single" w:sz="4" w:space="0" w:color="auto"/>
              <w:left w:val="single" w:sz="4" w:space="0" w:color="auto"/>
              <w:bottom w:val="nil"/>
              <w:right w:val="single" w:sz="4" w:space="0" w:color="auto"/>
            </w:tcBorders>
            <w:vAlign w:val="center"/>
          </w:tcPr>
          <w:p w14:paraId="2BCAC409" w14:textId="77777777" w:rsidR="00452443" w:rsidRPr="00A43B9C" w:rsidRDefault="00452443" w:rsidP="00452443">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RRL</w:t>
            </w:r>
          </w:p>
        </w:tc>
        <w:tc>
          <w:tcPr>
            <w:tcW w:w="831" w:type="pct"/>
            <w:tcBorders>
              <w:left w:val="single" w:sz="4" w:space="0" w:color="auto"/>
              <w:bottom w:val="single" w:sz="4" w:space="0" w:color="auto"/>
            </w:tcBorders>
            <w:vAlign w:val="center"/>
          </w:tcPr>
          <w:p w14:paraId="1CCF526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0</w:t>
            </w:r>
          </w:p>
        </w:tc>
        <w:tc>
          <w:tcPr>
            <w:tcW w:w="806" w:type="pct"/>
            <w:tcBorders>
              <w:bottom w:val="single" w:sz="4" w:space="0" w:color="auto"/>
            </w:tcBorders>
            <w:vAlign w:val="center"/>
          </w:tcPr>
          <w:p w14:paraId="589A128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0,79</w:t>
            </w:r>
          </w:p>
        </w:tc>
        <w:tc>
          <w:tcPr>
            <w:tcW w:w="807" w:type="pct"/>
            <w:tcBorders>
              <w:bottom w:val="single" w:sz="4" w:space="0" w:color="auto"/>
            </w:tcBorders>
            <w:vAlign w:val="center"/>
          </w:tcPr>
          <w:p w14:paraId="29C6040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0,66 – 1,08</w:t>
            </w:r>
          </w:p>
        </w:tc>
        <w:tc>
          <w:tcPr>
            <w:tcW w:w="807" w:type="pct"/>
            <w:tcBorders>
              <w:bottom w:val="single" w:sz="4" w:space="0" w:color="auto"/>
              <w:right w:val="single" w:sz="4" w:space="0" w:color="auto"/>
            </w:tcBorders>
            <w:vAlign w:val="center"/>
          </w:tcPr>
          <w:p w14:paraId="2C95A72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19</w:t>
            </w:r>
          </w:p>
        </w:tc>
        <w:tc>
          <w:tcPr>
            <w:tcW w:w="807" w:type="pct"/>
            <w:vMerge w:val="restart"/>
            <w:tcBorders>
              <w:top w:val="single" w:sz="4" w:space="0" w:color="auto"/>
              <w:left w:val="single" w:sz="4" w:space="0" w:color="auto"/>
              <w:bottom w:val="nil"/>
              <w:right w:val="single" w:sz="4" w:space="0" w:color="auto"/>
            </w:tcBorders>
            <w:vAlign w:val="center"/>
          </w:tcPr>
          <w:p w14:paraId="043B8EB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0,141</w:t>
            </w:r>
          </w:p>
        </w:tc>
      </w:tr>
      <w:tr w:rsidR="00452443" w:rsidRPr="00A43B9C" w14:paraId="79DF9CBA" w14:textId="77777777" w:rsidTr="00B553BC">
        <w:trPr>
          <w:jc w:val="center"/>
        </w:trPr>
        <w:tc>
          <w:tcPr>
            <w:tcW w:w="942" w:type="pct"/>
            <w:vMerge/>
            <w:tcBorders>
              <w:top w:val="nil"/>
              <w:left w:val="single" w:sz="4" w:space="0" w:color="auto"/>
              <w:bottom w:val="nil"/>
              <w:right w:val="single" w:sz="4" w:space="0" w:color="auto"/>
            </w:tcBorders>
            <w:vAlign w:val="center"/>
          </w:tcPr>
          <w:p w14:paraId="2F07AF5A"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tcBorders>
              <w:left w:val="single" w:sz="4" w:space="0" w:color="auto"/>
              <w:bottom w:val="single" w:sz="4" w:space="0" w:color="auto"/>
            </w:tcBorders>
            <w:vAlign w:val="center"/>
          </w:tcPr>
          <w:p w14:paraId="54DED80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1</w:t>
            </w:r>
          </w:p>
        </w:tc>
        <w:tc>
          <w:tcPr>
            <w:tcW w:w="806" w:type="pct"/>
            <w:tcBorders>
              <w:bottom w:val="single" w:sz="4" w:space="0" w:color="auto"/>
            </w:tcBorders>
            <w:vAlign w:val="center"/>
          </w:tcPr>
          <w:p w14:paraId="04115CB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w:t>
            </w:r>
          </w:p>
        </w:tc>
        <w:tc>
          <w:tcPr>
            <w:tcW w:w="807" w:type="pct"/>
            <w:tcBorders>
              <w:bottom w:val="single" w:sz="4" w:space="0" w:color="auto"/>
            </w:tcBorders>
            <w:vAlign w:val="center"/>
          </w:tcPr>
          <w:p w14:paraId="291E440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0,82 – 1,42</w:t>
            </w:r>
          </w:p>
        </w:tc>
        <w:tc>
          <w:tcPr>
            <w:tcW w:w="807" w:type="pct"/>
            <w:tcBorders>
              <w:bottom w:val="single" w:sz="4" w:space="0" w:color="auto"/>
              <w:right w:val="single" w:sz="4" w:space="0" w:color="auto"/>
            </w:tcBorders>
            <w:vAlign w:val="center"/>
          </w:tcPr>
          <w:p w14:paraId="092483D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w:t>
            </w:r>
          </w:p>
        </w:tc>
        <w:tc>
          <w:tcPr>
            <w:tcW w:w="807" w:type="pct"/>
            <w:vMerge/>
            <w:tcBorders>
              <w:top w:val="nil"/>
              <w:left w:val="single" w:sz="4" w:space="0" w:color="auto"/>
              <w:bottom w:val="nil"/>
              <w:right w:val="single" w:sz="4" w:space="0" w:color="auto"/>
            </w:tcBorders>
          </w:tcPr>
          <w:p w14:paraId="58E23A33"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3D54BE56" w14:textId="77777777" w:rsidTr="00452443">
        <w:trPr>
          <w:trHeight w:val="103"/>
          <w:jc w:val="center"/>
        </w:trPr>
        <w:tc>
          <w:tcPr>
            <w:tcW w:w="942" w:type="pct"/>
            <w:vMerge/>
            <w:tcBorders>
              <w:top w:val="nil"/>
              <w:left w:val="single" w:sz="4" w:space="0" w:color="auto"/>
              <w:bottom w:val="nil"/>
              <w:right w:val="single" w:sz="4" w:space="0" w:color="auto"/>
            </w:tcBorders>
            <w:vAlign w:val="center"/>
          </w:tcPr>
          <w:p w14:paraId="128C827C"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tcBorders>
              <w:top w:val="single" w:sz="4" w:space="0" w:color="auto"/>
              <w:left w:val="single" w:sz="4" w:space="0" w:color="auto"/>
              <w:bottom w:val="nil"/>
              <w:right w:val="single" w:sz="4" w:space="0" w:color="auto"/>
            </w:tcBorders>
            <w:vAlign w:val="center"/>
          </w:tcPr>
          <w:p w14:paraId="33768CB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x</w:t>
            </w:r>
          </w:p>
        </w:tc>
        <w:tc>
          <w:tcPr>
            <w:tcW w:w="806" w:type="pct"/>
            <w:tcBorders>
              <w:top w:val="single" w:sz="4" w:space="0" w:color="auto"/>
              <w:left w:val="single" w:sz="4" w:space="0" w:color="auto"/>
              <w:bottom w:val="nil"/>
              <w:right w:val="single" w:sz="4" w:space="0" w:color="auto"/>
            </w:tcBorders>
            <w:vAlign w:val="center"/>
          </w:tcPr>
          <w:p w14:paraId="66010EC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1,02</w:t>
            </w:r>
          </w:p>
        </w:tc>
        <w:tc>
          <w:tcPr>
            <w:tcW w:w="807" w:type="pct"/>
            <w:tcBorders>
              <w:top w:val="single" w:sz="4" w:space="0" w:color="auto"/>
              <w:left w:val="single" w:sz="4" w:space="0" w:color="auto"/>
              <w:bottom w:val="nil"/>
              <w:right w:val="single" w:sz="4" w:space="0" w:color="auto"/>
            </w:tcBorders>
            <w:vAlign w:val="center"/>
          </w:tcPr>
          <w:p w14:paraId="51A0373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0,79 – 1,38</w:t>
            </w:r>
          </w:p>
        </w:tc>
        <w:tc>
          <w:tcPr>
            <w:tcW w:w="807" w:type="pct"/>
            <w:tcBorders>
              <w:top w:val="single" w:sz="4" w:space="0" w:color="auto"/>
              <w:left w:val="single" w:sz="4" w:space="0" w:color="auto"/>
              <w:bottom w:val="nil"/>
              <w:right w:val="single" w:sz="4" w:space="0" w:color="auto"/>
            </w:tcBorders>
            <w:vAlign w:val="center"/>
          </w:tcPr>
          <w:p w14:paraId="0A7313C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25</w:t>
            </w:r>
          </w:p>
        </w:tc>
        <w:tc>
          <w:tcPr>
            <w:tcW w:w="807" w:type="pct"/>
            <w:vMerge/>
            <w:tcBorders>
              <w:top w:val="nil"/>
              <w:left w:val="single" w:sz="4" w:space="0" w:color="auto"/>
              <w:bottom w:val="nil"/>
              <w:right w:val="single" w:sz="4" w:space="0" w:color="auto"/>
            </w:tcBorders>
          </w:tcPr>
          <w:p w14:paraId="7BCB3247"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4553F1DF" w14:textId="77777777" w:rsidTr="00452443">
        <w:trPr>
          <w:trHeight w:val="103"/>
          <w:jc w:val="center"/>
        </w:trPr>
        <w:tc>
          <w:tcPr>
            <w:tcW w:w="5000" w:type="pct"/>
            <w:gridSpan w:val="6"/>
            <w:tcBorders>
              <w:top w:val="nil"/>
              <w:left w:val="nil"/>
              <w:bottom w:val="single" w:sz="4" w:space="0" w:color="auto"/>
              <w:right w:val="nil"/>
            </w:tcBorders>
            <w:vAlign w:val="center"/>
          </w:tcPr>
          <w:p w14:paraId="18C0DA63" w14:textId="05525BDE" w:rsidR="00452443" w:rsidRDefault="00452443" w:rsidP="00452443">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8</w:t>
            </w:r>
          </w:p>
          <w:p w14:paraId="7FCBB7B7" w14:textId="77777777" w:rsidR="00452443" w:rsidRPr="00A43B9C" w:rsidRDefault="00452443" w:rsidP="00452443">
            <w:pPr>
              <w:spacing w:after="0" w:line="240" w:lineRule="auto"/>
              <w:rPr>
                <w:rFonts w:ascii="Times New Roman" w:hAnsi="Times New Roman" w:cs="Times New Roman"/>
                <w:sz w:val="28"/>
                <w:szCs w:val="28"/>
              </w:rPr>
            </w:pPr>
          </w:p>
        </w:tc>
      </w:tr>
      <w:tr w:rsidR="00452443" w:rsidRPr="00A43B9C" w14:paraId="100A1F91" w14:textId="77777777" w:rsidTr="00452443">
        <w:trPr>
          <w:trHeight w:val="103"/>
          <w:jc w:val="center"/>
        </w:trPr>
        <w:tc>
          <w:tcPr>
            <w:tcW w:w="942" w:type="pct"/>
            <w:tcBorders>
              <w:top w:val="single" w:sz="4" w:space="0" w:color="auto"/>
            </w:tcBorders>
            <w:vAlign w:val="center"/>
          </w:tcPr>
          <w:p w14:paraId="036D21C1" w14:textId="2BF63ADD"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831" w:type="pct"/>
            <w:tcBorders>
              <w:top w:val="single" w:sz="4" w:space="0" w:color="auto"/>
            </w:tcBorders>
            <w:vAlign w:val="center"/>
          </w:tcPr>
          <w:p w14:paraId="0CB49660" w14:textId="203CF3B9"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806" w:type="pct"/>
            <w:tcBorders>
              <w:top w:val="single" w:sz="4" w:space="0" w:color="auto"/>
            </w:tcBorders>
            <w:vAlign w:val="center"/>
          </w:tcPr>
          <w:p w14:paraId="06F98944" w14:textId="5D5EC5F7"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807" w:type="pct"/>
            <w:tcBorders>
              <w:top w:val="single" w:sz="4" w:space="0" w:color="auto"/>
            </w:tcBorders>
            <w:vAlign w:val="center"/>
          </w:tcPr>
          <w:p w14:paraId="2E13A582" w14:textId="17DD72B1"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807" w:type="pct"/>
            <w:tcBorders>
              <w:top w:val="single" w:sz="4" w:space="0" w:color="auto"/>
            </w:tcBorders>
            <w:vAlign w:val="center"/>
          </w:tcPr>
          <w:p w14:paraId="42C141B8" w14:textId="2585C19A"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807" w:type="pct"/>
            <w:tcBorders>
              <w:top w:val="single" w:sz="4" w:space="0" w:color="auto"/>
            </w:tcBorders>
          </w:tcPr>
          <w:p w14:paraId="0B03135A" w14:textId="1760E77F"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r>
      <w:tr w:rsidR="00452443" w:rsidRPr="00A43B9C" w14:paraId="1F95C672" w14:textId="77777777" w:rsidTr="00F87FE6">
        <w:trPr>
          <w:jc w:val="center"/>
        </w:trPr>
        <w:tc>
          <w:tcPr>
            <w:tcW w:w="942" w:type="pct"/>
            <w:vMerge w:val="restart"/>
            <w:vAlign w:val="center"/>
          </w:tcPr>
          <w:p w14:paraId="7716BC7C" w14:textId="77777777" w:rsidR="00452443" w:rsidRPr="00A43B9C" w:rsidRDefault="00452443" w:rsidP="00452443">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RU</w:t>
            </w:r>
          </w:p>
        </w:tc>
        <w:tc>
          <w:tcPr>
            <w:tcW w:w="831" w:type="pct"/>
            <w:vAlign w:val="center"/>
          </w:tcPr>
          <w:p w14:paraId="3E49D9A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0</w:t>
            </w:r>
          </w:p>
        </w:tc>
        <w:tc>
          <w:tcPr>
            <w:tcW w:w="806" w:type="pct"/>
            <w:vAlign w:val="center"/>
          </w:tcPr>
          <w:p w14:paraId="3230D32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0,69</w:t>
            </w:r>
          </w:p>
        </w:tc>
        <w:tc>
          <w:tcPr>
            <w:tcW w:w="807" w:type="pct"/>
            <w:vAlign w:val="center"/>
          </w:tcPr>
          <w:p w14:paraId="1620A0E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0,61 – 1,04</w:t>
            </w:r>
          </w:p>
        </w:tc>
        <w:tc>
          <w:tcPr>
            <w:tcW w:w="807" w:type="pct"/>
            <w:vAlign w:val="center"/>
          </w:tcPr>
          <w:p w14:paraId="7CC9D12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19</w:t>
            </w:r>
          </w:p>
        </w:tc>
        <w:tc>
          <w:tcPr>
            <w:tcW w:w="807" w:type="pct"/>
            <w:vMerge w:val="restart"/>
            <w:vAlign w:val="center"/>
          </w:tcPr>
          <w:p w14:paraId="65699C1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0,257</w:t>
            </w:r>
          </w:p>
        </w:tc>
      </w:tr>
      <w:tr w:rsidR="00452443" w:rsidRPr="00A43B9C" w14:paraId="1172DC76" w14:textId="77777777" w:rsidTr="00F87FE6">
        <w:trPr>
          <w:jc w:val="center"/>
        </w:trPr>
        <w:tc>
          <w:tcPr>
            <w:tcW w:w="942" w:type="pct"/>
            <w:vMerge/>
            <w:vAlign w:val="center"/>
          </w:tcPr>
          <w:p w14:paraId="4FEABDB5"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vAlign w:val="center"/>
          </w:tcPr>
          <w:p w14:paraId="7B7CAEB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1</w:t>
            </w:r>
          </w:p>
        </w:tc>
        <w:tc>
          <w:tcPr>
            <w:tcW w:w="806" w:type="pct"/>
            <w:vAlign w:val="center"/>
          </w:tcPr>
          <w:p w14:paraId="79481DF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0,86</w:t>
            </w:r>
          </w:p>
        </w:tc>
        <w:tc>
          <w:tcPr>
            <w:tcW w:w="807" w:type="pct"/>
            <w:vAlign w:val="center"/>
          </w:tcPr>
          <w:p w14:paraId="5EB1708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0,77 – 1,17</w:t>
            </w:r>
          </w:p>
        </w:tc>
        <w:tc>
          <w:tcPr>
            <w:tcW w:w="807" w:type="pct"/>
            <w:vAlign w:val="center"/>
          </w:tcPr>
          <w:p w14:paraId="5835E97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w:t>
            </w:r>
          </w:p>
        </w:tc>
        <w:tc>
          <w:tcPr>
            <w:tcW w:w="807" w:type="pct"/>
            <w:vMerge/>
          </w:tcPr>
          <w:p w14:paraId="274B5E71"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1BA9AE45" w14:textId="77777777" w:rsidTr="00F87FE6">
        <w:trPr>
          <w:trHeight w:val="103"/>
          <w:jc w:val="center"/>
        </w:trPr>
        <w:tc>
          <w:tcPr>
            <w:tcW w:w="942" w:type="pct"/>
            <w:vMerge/>
            <w:vAlign w:val="center"/>
          </w:tcPr>
          <w:p w14:paraId="7E805250"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vAlign w:val="center"/>
          </w:tcPr>
          <w:p w14:paraId="1BE2B0C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x</w:t>
            </w:r>
          </w:p>
        </w:tc>
        <w:tc>
          <w:tcPr>
            <w:tcW w:w="806" w:type="pct"/>
            <w:vAlign w:val="center"/>
          </w:tcPr>
          <w:p w14:paraId="62A4F43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0,75</w:t>
            </w:r>
          </w:p>
        </w:tc>
        <w:tc>
          <w:tcPr>
            <w:tcW w:w="807" w:type="pct"/>
            <w:vAlign w:val="center"/>
          </w:tcPr>
          <w:p w14:paraId="6D3AFDE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0,68 – 1,29</w:t>
            </w:r>
          </w:p>
        </w:tc>
        <w:tc>
          <w:tcPr>
            <w:tcW w:w="807" w:type="pct"/>
            <w:vAlign w:val="center"/>
          </w:tcPr>
          <w:p w14:paraId="0B2CACF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25</w:t>
            </w:r>
          </w:p>
        </w:tc>
        <w:tc>
          <w:tcPr>
            <w:tcW w:w="807" w:type="pct"/>
            <w:vMerge/>
          </w:tcPr>
          <w:p w14:paraId="4BF546CB"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7CF11D0A" w14:textId="77777777" w:rsidTr="00F87FE6">
        <w:trPr>
          <w:jc w:val="center"/>
        </w:trPr>
        <w:tc>
          <w:tcPr>
            <w:tcW w:w="942" w:type="pct"/>
            <w:vMerge w:val="restart"/>
            <w:vAlign w:val="center"/>
          </w:tcPr>
          <w:p w14:paraId="578F3C58" w14:textId="77777777" w:rsidR="00452443" w:rsidRPr="00A43B9C" w:rsidRDefault="00452443" w:rsidP="00452443">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RLL</w:t>
            </w:r>
          </w:p>
        </w:tc>
        <w:tc>
          <w:tcPr>
            <w:tcW w:w="831" w:type="pct"/>
            <w:vAlign w:val="center"/>
          </w:tcPr>
          <w:p w14:paraId="2D0AED6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0</w:t>
            </w:r>
          </w:p>
        </w:tc>
        <w:tc>
          <w:tcPr>
            <w:tcW w:w="806" w:type="pct"/>
            <w:vAlign w:val="center"/>
          </w:tcPr>
          <w:p w14:paraId="1742AF2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0,86</w:t>
            </w:r>
          </w:p>
        </w:tc>
        <w:tc>
          <w:tcPr>
            <w:tcW w:w="807" w:type="pct"/>
            <w:vAlign w:val="center"/>
          </w:tcPr>
          <w:p w14:paraId="74458AF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0,74 – 1,04</w:t>
            </w:r>
          </w:p>
        </w:tc>
        <w:tc>
          <w:tcPr>
            <w:tcW w:w="807" w:type="pct"/>
            <w:vAlign w:val="center"/>
          </w:tcPr>
          <w:p w14:paraId="2AF0D08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19</w:t>
            </w:r>
          </w:p>
        </w:tc>
        <w:tc>
          <w:tcPr>
            <w:tcW w:w="807" w:type="pct"/>
            <w:vMerge w:val="restart"/>
            <w:vAlign w:val="center"/>
          </w:tcPr>
          <w:p w14:paraId="737C270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0,232</w:t>
            </w:r>
          </w:p>
        </w:tc>
      </w:tr>
      <w:tr w:rsidR="00452443" w:rsidRPr="00A43B9C" w14:paraId="480ADD6C" w14:textId="77777777" w:rsidTr="00F87FE6">
        <w:trPr>
          <w:jc w:val="center"/>
        </w:trPr>
        <w:tc>
          <w:tcPr>
            <w:tcW w:w="942" w:type="pct"/>
            <w:vMerge/>
            <w:vAlign w:val="center"/>
          </w:tcPr>
          <w:p w14:paraId="48F3F428"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vAlign w:val="center"/>
          </w:tcPr>
          <w:p w14:paraId="51EA6F2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1</w:t>
            </w:r>
          </w:p>
        </w:tc>
        <w:tc>
          <w:tcPr>
            <w:tcW w:w="806" w:type="pct"/>
            <w:vAlign w:val="center"/>
          </w:tcPr>
          <w:p w14:paraId="29B830F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1,19</w:t>
            </w:r>
          </w:p>
        </w:tc>
        <w:tc>
          <w:tcPr>
            <w:tcW w:w="807" w:type="pct"/>
            <w:vAlign w:val="center"/>
          </w:tcPr>
          <w:p w14:paraId="1A3A89B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0,77 – 1,6</w:t>
            </w:r>
          </w:p>
        </w:tc>
        <w:tc>
          <w:tcPr>
            <w:tcW w:w="807" w:type="pct"/>
            <w:vAlign w:val="center"/>
          </w:tcPr>
          <w:p w14:paraId="52C1BDC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w:t>
            </w:r>
          </w:p>
        </w:tc>
        <w:tc>
          <w:tcPr>
            <w:tcW w:w="807" w:type="pct"/>
            <w:vMerge/>
          </w:tcPr>
          <w:p w14:paraId="6D9A0050"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06225BFA" w14:textId="77777777" w:rsidTr="00F87FE6">
        <w:trPr>
          <w:trHeight w:val="103"/>
          <w:jc w:val="center"/>
        </w:trPr>
        <w:tc>
          <w:tcPr>
            <w:tcW w:w="942" w:type="pct"/>
            <w:vMerge/>
            <w:vAlign w:val="center"/>
          </w:tcPr>
          <w:p w14:paraId="63DD427D"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vAlign w:val="center"/>
          </w:tcPr>
          <w:p w14:paraId="3A4C8F7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x</w:t>
            </w:r>
          </w:p>
        </w:tc>
        <w:tc>
          <w:tcPr>
            <w:tcW w:w="806" w:type="pct"/>
            <w:vAlign w:val="center"/>
          </w:tcPr>
          <w:p w14:paraId="2628FB8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0,97</w:t>
            </w:r>
          </w:p>
        </w:tc>
        <w:tc>
          <w:tcPr>
            <w:tcW w:w="807" w:type="pct"/>
            <w:vAlign w:val="center"/>
          </w:tcPr>
          <w:p w14:paraId="0D4683C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0,69 – 1,04</w:t>
            </w:r>
          </w:p>
        </w:tc>
        <w:tc>
          <w:tcPr>
            <w:tcW w:w="807" w:type="pct"/>
            <w:vAlign w:val="center"/>
          </w:tcPr>
          <w:p w14:paraId="653AF87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25</w:t>
            </w:r>
          </w:p>
        </w:tc>
        <w:tc>
          <w:tcPr>
            <w:tcW w:w="807" w:type="pct"/>
            <w:vMerge/>
          </w:tcPr>
          <w:p w14:paraId="225A880F"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01CD1225" w14:textId="77777777" w:rsidTr="00F87FE6">
        <w:trPr>
          <w:jc w:val="center"/>
        </w:trPr>
        <w:tc>
          <w:tcPr>
            <w:tcW w:w="942" w:type="pct"/>
            <w:vMerge w:val="restart"/>
            <w:vAlign w:val="center"/>
          </w:tcPr>
          <w:p w14:paraId="6F2F45F5" w14:textId="77777777" w:rsidR="00452443" w:rsidRPr="00A43B9C" w:rsidRDefault="00452443" w:rsidP="00452443">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RRI</w:t>
            </w:r>
          </w:p>
        </w:tc>
        <w:tc>
          <w:tcPr>
            <w:tcW w:w="831" w:type="pct"/>
            <w:vAlign w:val="center"/>
          </w:tcPr>
          <w:p w14:paraId="039BB46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0</w:t>
            </w:r>
          </w:p>
        </w:tc>
        <w:tc>
          <w:tcPr>
            <w:tcW w:w="806" w:type="pct"/>
            <w:vAlign w:val="center"/>
          </w:tcPr>
          <w:p w14:paraId="07658D2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0,52</w:t>
            </w:r>
          </w:p>
        </w:tc>
        <w:tc>
          <w:tcPr>
            <w:tcW w:w="807" w:type="pct"/>
            <w:vAlign w:val="center"/>
          </w:tcPr>
          <w:p w14:paraId="5DE48C3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0,41 – 0,59</w:t>
            </w:r>
          </w:p>
        </w:tc>
        <w:tc>
          <w:tcPr>
            <w:tcW w:w="807" w:type="pct"/>
            <w:vAlign w:val="center"/>
          </w:tcPr>
          <w:p w14:paraId="23E440F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19</w:t>
            </w:r>
          </w:p>
        </w:tc>
        <w:tc>
          <w:tcPr>
            <w:tcW w:w="807" w:type="pct"/>
            <w:vMerge w:val="restart"/>
            <w:vAlign w:val="center"/>
          </w:tcPr>
          <w:p w14:paraId="069E4BC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0,147</w:t>
            </w:r>
          </w:p>
        </w:tc>
      </w:tr>
      <w:tr w:rsidR="00452443" w:rsidRPr="00A43B9C" w14:paraId="5FF20A2B" w14:textId="77777777" w:rsidTr="00F87FE6">
        <w:trPr>
          <w:jc w:val="center"/>
        </w:trPr>
        <w:tc>
          <w:tcPr>
            <w:tcW w:w="942" w:type="pct"/>
            <w:vMerge/>
            <w:vAlign w:val="center"/>
          </w:tcPr>
          <w:p w14:paraId="333DBF8D"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vAlign w:val="center"/>
          </w:tcPr>
          <w:p w14:paraId="62EA613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1</w:t>
            </w:r>
          </w:p>
        </w:tc>
        <w:tc>
          <w:tcPr>
            <w:tcW w:w="806" w:type="pct"/>
            <w:vAlign w:val="center"/>
          </w:tcPr>
          <w:p w14:paraId="54A02F0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0,58</w:t>
            </w:r>
          </w:p>
        </w:tc>
        <w:tc>
          <w:tcPr>
            <w:tcW w:w="807" w:type="pct"/>
            <w:vAlign w:val="center"/>
          </w:tcPr>
          <w:p w14:paraId="203A0F2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0,51 – 0,84</w:t>
            </w:r>
          </w:p>
        </w:tc>
        <w:tc>
          <w:tcPr>
            <w:tcW w:w="807" w:type="pct"/>
            <w:vAlign w:val="center"/>
          </w:tcPr>
          <w:p w14:paraId="6E63B6D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w:t>
            </w:r>
          </w:p>
        </w:tc>
        <w:tc>
          <w:tcPr>
            <w:tcW w:w="807" w:type="pct"/>
            <w:vMerge/>
          </w:tcPr>
          <w:p w14:paraId="026B0D83"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4015B014" w14:textId="77777777" w:rsidTr="00F87FE6">
        <w:trPr>
          <w:trHeight w:val="103"/>
          <w:jc w:val="center"/>
        </w:trPr>
        <w:tc>
          <w:tcPr>
            <w:tcW w:w="942" w:type="pct"/>
            <w:vMerge/>
            <w:vAlign w:val="center"/>
          </w:tcPr>
          <w:p w14:paraId="637CFA93"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vAlign w:val="center"/>
          </w:tcPr>
          <w:p w14:paraId="4CA5B9E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x</w:t>
            </w:r>
          </w:p>
        </w:tc>
        <w:tc>
          <w:tcPr>
            <w:tcW w:w="806" w:type="pct"/>
            <w:vAlign w:val="center"/>
          </w:tcPr>
          <w:p w14:paraId="0CD9F7B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0,66</w:t>
            </w:r>
          </w:p>
        </w:tc>
        <w:tc>
          <w:tcPr>
            <w:tcW w:w="807" w:type="pct"/>
            <w:vAlign w:val="center"/>
          </w:tcPr>
          <w:p w14:paraId="20FFDED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0,49 – 0,97</w:t>
            </w:r>
          </w:p>
        </w:tc>
        <w:tc>
          <w:tcPr>
            <w:tcW w:w="807" w:type="pct"/>
            <w:vAlign w:val="center"/>
          </w:tcPr>
          <w:p w14:paraId="13140DD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25</w:t>
            </w:r>
          </w:p>
        </w:tc>
        <w:tc>
          <w:tcPr>
            <w:tcW w:w="807" w:type="pct"/>
            <w:vMerge/>
          </w:tcPr>
          <w:p w14:paraId="03647629"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145AB6BC" w14:textId="77777777" w:rsidTr="00F87FE6">
        <w:trPr>
          <w:jc w:val="center"/>
        </w:trPr>
        <w:tc>
          <w:tcPr>
            <w:tcW w:w="942" w:type="pct"/>
            <w:vMerge w:val="restart"/>
            <w:vAlign w:val="center"/>
          </w:tcPr>
          <w:p w14:paraId="1B10B70D" w14:textId="77777777" w:rsidR="00452443" w:rsidRPr="00A43B9C" w:rsidRDefault="00452443" w:rsidP="00452443">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RP</w:t>
            </w:r>
          </w:p>
        </w:tc>
        <w:tc>
          <w:tcPr>
            <w:tcW w:w="831" w:type="pct"/>
            <w:vAlign w:val="center"/>
          </w:tcPr>
          <w:p w14:paraId="6B4B21A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0</w:t>
            </w:r>
          </w:p>
        </w:tc>
        <w:tc>
          <w:tcPr>
            <w:tcW w:w="806" w:type="pct"/>
            <w:vAlign w:val="center"/>
          </w:tcPr>
          <w:p w14:paraId="3C56B26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0,78</w:t>
            </w:r>
          </w:p>
        </w:tc>
        <w:tc>
          <w:tcPr>
            <w:tcW w:w="807" w:type="pct"/>
            <w:vAlign w:val="center"/>
          </w:tcPr>
          <w:p w14:paraId="6507C04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0,67 – 0,92</w:t>
            </w:r>
          </w:p>
        </w:tc>
        <w:tc>
          <w:tcPr>
            <w:tcW w:w="807" w:type="pct"/>
            <w:vAlign w:val="center"/>
          </w:tcPr>
          <w:p w14:paraId="75679AC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19</w:t>
            </w:r>
          </w:p>
        </w:tc>
        <w:tc>
          <w:tcPr>
            <w:tcW w:w="807" w:type="pct"/>
            <w:vMerge w:val="restart"/>
            <w:vAlign w:val="center"/>
          </w:tcPr>
          <w:p w14:paraId="22AAFA8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0,208</w:t>
            </w:r>
          </w:p>
        </w:tc>
      </w:tr>
      <w:tr w:rsidR="00452443" w:rsidRPr="00A43B9C" w14:paraId="490C7C01" w14:textId="77777777" w:rsidTr="00F87FE6">
        <w:trPr>
          <w:jc w:val="center"/>
        </w:trPr>
        <w:tc>
          <w:tcPr>
            <w:tcW w:w="942" w:type="pct"/>
            <w:vMerge/>
            <w:vAlign w:val="center"/>
          </w:tcPr>
          <w:p w14:paraId="77211705"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vAlign w:val="center"/>
          </w:tcPr>
          <w:p w14:paraId="4B7D1B0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1</w:t>
            </w:r>
          </w:p>
        </w:tc>
        <w:tc>
          <w:tcPr>
            <w:tcW w:w="806" w:type="pct"/>
            <w:vAlign w:val="center"/>
          </w:tcPr>
          <w:p w14:paraId="1982609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0,92</w:t>
            </w:r>
          </w:p>
        </w:tc>
        <w:tc>
          <w:tcPr>
            <w:tcW w:w="807" w:type="pct"/>
            <w:vAlign w:val="center"/>
          </w:tcPr>
          <w:p w14:paraId="39BF54A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0,76 – 1,52</w:t>
            </w:r>
          </w:p>
        </w:tc>
        <w:tc>
          <w:tcPr>
            <w:tcW w:w="807" w:type="pct"/>
            <w:vAlign w:val="center"/>
          </w:tcPr>
          <w:p w14:paraId="7C20149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w:t>
            </w:r>
          </w:p>
        </w:tc>
        <w:tc>
          <w:tcPr>
            <w:tcW w:w="807" w:type="pct"/>
            <w:vMerge/>
          </w:tcPr>
          <w:p w14:paraId="75C2B0FB"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498D1C34" w14:textId="77777777" w:rsidTr="00F87FE6">
        <w:trPr>
          <w:trHeight w:val="103"/>
          <w:jc w:val="center"/>
        </w:trPr>
        <w:tc>
          <w:tcPr>
            <w:tcW w:w="942" w:type="pct"/>
            <w:vMerge/>
            <w:vAlign w:val="center"/>
          </w:tcPr>
          <w:p w14:paraId="7EFDFEB6"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vAlign w:val="center"/>
          </w:tcPr>
          <w:p w14:paraId="71218FD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x</w:t>
            </w:r>
          </w:p>
        </w:tc>
        <w:tc>
          <w:tcPr>
            <w:tcW w:w="806" w:type="pct"/>
            <w:vAlign w:val="center"/>
          </w:tcPr>
          <w:p w14:paraId="2F98118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w:t>
            </w:r>
          </w:p>
        </w:tc>
        <w:tc>
          <w:tcPr>
            <w:tcW w:w="807" w:type="pct"/>
            <w:vAlign w:val="center"/>
          </w:tcPr>
          <w:p w14:paraId="77E573E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0,69 – 1,18</w:t>
            </w:r>
          </w:p>
        </w:tc>
        <w:tc>
          <w:tcPr>
            <w:tcW w:w="807" w:type="pct"/>
            <w:vAlign w:val="center"/>
          </w:tcPr>
          <w:p w14:paraId="389D766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25</w:t>
            </w:r>
          </w:p>
        </w:tc>
        <w:tc>
          <w:tcPr>
            <w:tcW w:w="807" w:type="pct"/>
            <w:vMerge/>
          </w:tcPr>
          <w:p w14:paraId="0BD3706F"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4E1DC21A" w14:textId="77777777" w:rsidTr="00F87FE6">
        <w:trPr>
          <w:jc w:val="center"/>
        </w:trPr>
        <w:tc>
          <w:tcPr>
            <w:tcW w:w="942" w:type="pct"/>
            <w:vMerge w:val="restart"/>
            <w:vAlign w:val="center"/>
          </w:tcPr>
          <w:p w14:paraId="457FD47A" w14:textId="77777777" w:rsidR="00452443" w:rsidRPr="00A43B9C" w:rsidRDefault="00452443" w:rsidP="00452443">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RLI</w:t>
            </w:r>
          </w:p>
        </w:tc>
        <w:tc>
          <w:tcPr>
            <w:tcW w:w="831" w:type="pct"/>
            <w:vAlign w:val="center"/>
          </w:tcPr>
          <w:p w14:paraId="5407212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0</w:t>
            </w:r>
          </w:p>
        </w:tc>
        <w:tc>
          <w:tcPr>
            <w:tcW w:w="806" w:type="pct"/>
            <w:vAlign w:val="center"/>
          </w:tcPr>
          <w:p w14:paraId="308F2D3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0,53</w:t>
            </w:r>
          </w:p>
        </w:tc>
        <w:tc>
          <w:tcPr>
            <w:tcW w:w="807" w:type="pct"/>
            <w:vAlign w:val="center"/>
          </w:tcPr>
          <w:p w14:paraId="7FC7116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0,42 – 0,71</w:t>
            </w:r>
          </w:p>
        </w:tc>
        <w:tc>
          <w:tcPr>
            <w:tcW w:w="807" w:type="pct"/>
            <w:vAlign w:val="center"/>
          </w:tcPr>
          <w:p w14:paraId="12F304D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19</w:t>
            </w:r>
          </w:p>
        </w:tc>
        <w:tc>
          <w:tcPr>
            <w:tcW w:w="807" w:type="pct"/>
            <w:vMerge w:val="restart"/>
            <w:vAlign w:val="center"/>
          </w:tcPr>
          <w:p w14:paraId="100C978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0,377</w:t>
            </w:r>
          </w:p>
        </w:tc>
      </w:tr>
      <w:tr w:rsidR="00452443" w:rsidRPr="00A43B9C" w14:paraId="7F4E3121" w14:textId="77777777" w:rsidTr="00F87FE6">
        <w:trPr>
          <w:jc w:val="center"/>
        </w:trPr>
        <w:tc>
          <w:tcPr>
            <w:tcW w:w="942" w:type="pct"/>
            <w:vMerge/>
            <w:vAlign w:val="center"/>
          </w:tcPr>
          <w:p w14:paraId="66AC31CA"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vAlign w:val="center"/>
          </w:tcPr>
          <w:p w14:paraId="76FF041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1</w:t>
            </w:r>
          </w:p>
        </w:tc>
        <w:tc>
          <w:tcPr>
            <w:tcW w:w="806" w:type="pct"/>
            <w:vAlign w:val="center"/>
          </w:tcPr>
          <w:p w14:paraId="304E0F2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0,56</w:t>
            </w:r>
          </w:p>
        </w:tc>
        <w:tc>
          <w:tcPr>
            <w:tcW w:w="807" w:type="pct"/>
            <w:vAlign w:val="center"/>
          </w:tcPr>
          <w:p w14:paraId="3DA70DD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0,51 – 0,7</w:t>
            </w:r>
          </w:p>
        </w:tc>
        <w:tc>
          <w:tcPr>
            <w:tcW w:w="807" w:type="pct"/>
            <w:vAlign w:val="center"/>
          </w:tcPr>
          <w:p w14:paraId="4CCA314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w:t>
            </w:r>
          </w:p>
        </w:tc>
        <w:tc>
          <w:tcPr>
            <w:tcW w:w="807" w:type="pct"/>
            <w:vMerge/>
          </w:tcPr>
          <w:p w14:paraId="03D0E0D6"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6A99040C" w14:textId="77777777" w:rsidTr="00F87FE6">
        <w:trPr>
          <w:trHeight w:val="103"/>
          <w:jc w:val="center"/>
        </w:trPr>
        <w:tc>
          <w:tcPr>
            <w:tcW w:w="942" w:type="pct"/>
            <w:vMerge/>
            <w:vAlign w:val="center"/>
          </w:tcPr>
          <w:p w14:paraId="75BFB273"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vAlign w:val="center"/>
          </w:tcPr>
          <w:p w14:paraId="562DE28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x</w:t>
            </w:r>
          </w:p>
        </w:tc>
        <w:tc>
          <w:tcPr>
            <w:tcW w:w="806" w:type="pct"/>
            <w:vAlign w:val="center"/>
          </w:tcPr>
          <w:p w14:paraId="395865E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w:t>
            </w:r>
          </w:p>
        </w:tc>
        <w:tc>
          <w:tcPr>
            <w:tcW w:w="807" w:type="pct"/>
            <w:vAlign w:val="center"/>
          </w:tcPr>
          <w:p w14:paraId="0F4946D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0,51 – 0,92</w:t>
            </w:r>
          </w:p>
        </w:tc>
        <w:tc>
          <w:tcPr>
            <w:tcW w:w="807" w:type="pct"/>
            <w:vAlign w:val="center"/>
          </w:tcPr>
          <w:p w14:paraId="092FD21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25</w:t>
            </w:r>
          </w:p>
        </w:tc>
        <w:tc>
          <w:tcPr>
            <w:tcW w:w="807" w:type="pct"/>
            <w:vMerge/>
          </w:tcPr>
          <w:p w14:paraId="0A9AAAD9"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3A30E6E4" w14:textId="77777777" w:rsidTr="00F87FE6">
        <w:trPr>
          <w:jc w:val="center"/>
        </w:trPr>
        <w:tc>
          <w:tcPr>
            <w:tcW w:w="942" w:type="pct"/>
            <w:vMerge w:val="restart"/>
            <w:vAlign w:val="center"/>
          </w:tcPr>
          <w:p w14:paraId="0B3D2990" w14:textId="77777777" w:rsidR="00452443" w:rsidRPr="00A43B9C" w:rsidRDefault="00452443" w:rsidP="00452443">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P</w:t>
            </w:r>
          </w:p>
        </w:tc>
        <w:tc>
          <w:tcPr>
            <w:tcW w:w="831" w:type="pct"/>
            <w:vAlign w:val="center"/>
          </w:tcPr>
          <w:p w14:paraId="44702DB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0</w:t>
            </w:r>
          </w:p>
        </w:tc>
        <w:tc>
          <w:tcPr>
            <w:tcW w:w="806" w:type="pct"/>
            <w:vAlign w:val="center"/>
          </w:tcPr>
          <w:p w14:paraId="1E95918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0,77</w:t>
            </w:r>
          </w:p>
        </w:tc>
        <w:tc>
          <w:tcPr>
            <w:tcW w:w="807" w:type="pct"/>
            <w:vAlign w:val="center"/>
          </w:tcPr>
          <w:p w14:paraId="6AFBD02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0,59 – 0,97</w:t>
            </w:r>
          </w:p>
        </w:tc>
        <w:tc>
          <w:tcPr>
            <w:tcW w:w="807" w:type="pct"/>
            <w:vAlign w:val="center"/>
          </w:tcPr>
          <w:p w14:paraId="596DADF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19</w:t>
            </w:r>
          </w:p>
        </w:tc>
        <w:tc>
          <w:tcPr>
            <w:tcW w:w="807" w:type="pct"/>
            <w:vMerge w:val="restart"/>
            <w:vAlign w:val="center"/>
          </w:tcPr>
          <w:p w14:paraId="5FB83E0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0,062</w:t>
            </w:r>
          </w:p>
        </w:tc>
      </w:tr>
      <w:tr w:rsidR="00452443" w:rsidRPr="00A43B9C" w14:paraId="5214A7BE" w14:textId="77777777" w:rsidTr="00F87FE6">
        <w:trPr>
          <w:jc w:val="center"/>
        </w:trPr>
        <w:tc>
          <w:tcPr>
            <w:tcW w:w="942" w:type="pct"/>
            <w:vMerge/>
            <w:vAlign w:val="center"/>
          </w:tcPr>
          <w:p w14:paraId="011689D4" w14:textId="77777777" w:rsidR="00452443" w:rsidRPr="00A43B9C" w:rsidRDefault="00452443" w:rsidP="00452443">
            <w:pPr>
              <w:spacing w:after="0" w:line="240" w:lineRule="auto"/>
              <w:rPr>
                <w:rFonts w:ascii="Times New Roman" w:hAnsi="Times New Roman" w:cs="Times New Roman"/>
                <w:sz w:val="28"/>
                <w:szCs w:val="28"/>
              </w:rPr>
            </w:pPr>
          </w:p>
        </w:tc>
        <w:tc>
          <w:tcPr>
            <w:tcW w:w="831" w:type="pct"/>
            <w:vAlign w:val="center"/>
          </w:tcPr>
          <w:p w14:paraId="58B24B0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1</w:t>
            </w:r>
          </w:p>
        </w:tc>
        <w:tc>
          <w:tcPr>
            <w:tcW w:w="806" w:type="pct"/>
            <w:vAlign w:val="center"/>
          </w:tcPr>
          <w:p w14:paraId="4AF6250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1,17</w:t>
            </w:r>
          </w:p>
        </w:tc>
        <w:tc>
          <w:tcPr>
            <w:tcW w:w="807" w:type="pct"/>
            <w:vAlign w:val="center"/>
          </w:tcPr>
          <w:p w14:paraId="5FF7C47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 – 1,45</w:t>
            </w:r>
          </w:p>
        </w:tc>
        <w:tc>
          <w:tcPr>
            <w:tcW w:w="807" w:type="pct"/>
            <w:vAlign w:val="center"/>
          </w:tcPr>
          <w:p w14:paraId="3F395FF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w:t>
            </w:r>
          </w:p>
        </w:tc>
        <w:tc>
          <w:tcPr>
            <w:tcW w:w="807" w:type="pct"/>
            <w:vMerge/>
          </w:tcPr>
          <w:p w14:paraId="1723C3A1"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72840FB6" w14:textId="77777777" w:rsidTr="00F87FE6">
        <w:trPr>
          <w:trHeight w:val="103"/>
          <w:jc w:val="center"/>
        </w:trPr>
        <w:tc>
          <w:tcPr>
            <w:tcW w:w="942" w:type="pct"/>
            <w:vMerge/>
            <w:vAlign w:val="center"/>
          </w:tcPr>
          <w:p w14:paraId="7D73FCF6" w14:textId="77777777" w:rsidR="00452443" w:rsidRPr="00A43B9C" w:rsidRDefault="00452443" w:rsidP="00452443">
            <w:pPr>
              <w:spacing w:after="0" w:line="240" w:lineRule="auto"/>
              <w:rPr>
                <w:rFonts w:ascii="Times New Roman" w:hAnsi="Times New Roman" w:cs="Times New Roman"/>
                <w:sz w:val="28"/>
                <w:szCs w:val="28"/>
              </w:rPr>
            </w:pPr>
          </w:p>
        </w:tc>
        <w:tc>
          <w:tcPr>
            <w:tcW w:w="831" w:type="pct"/>
            <w:vAlign w:val="center"/>
          </w:tcPr>
          <w:p w14:paraId="65BC5A8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x</w:t>
            </w:r>
          </w:p>
        </w:tc>
        <w:tc>
          <w:tcPr>
            <w:tcW w:w="806" w:type="pct"/>
            <w:vAlign w:val="center"/>
          </w:tcPr>
          <w:p w14:paraId="05E911D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0,86</w:t>
            </w:r>
          </w:p>
        </w:tc>
        <w:tc>
          <w:tcPr>
            <w:tcW w:w="807" w:type="pct"/>
            <w:vAlign w:val="center"/>
          </w:tcPr>
          <w:p w14:paraId="595ED63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0,67 – 1,31</w:t>
            </w:r>
          </w:p>
        </w:tc>
        <w:tc>
          <w:tcPr>
            <w:tcW w:w="807" w:type="pct"/>
            <w:vAlign w:val="center"/>
          </w:tcPr>
          <w:p w14:paraId="264D367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25</w:t>
            </w:r>
          </w:p>
        </w:tc>
        <w:tc>
          <w:tcPr>
            <w:tcW w:w="807" w:type="pct"/>
            <w:vMerge/>
          </w:tcPr>
          <w:p w14:paraId="7B2FC421" w14:textId="77777777" w:rsidR="00452443" w:rsidRPr="00A43B9C" w:rsidRDefault="00452443" w:rsidP="00452443">
            <w:pPr>
              <w:spacing w:after="0" w:line="240" w:lineRule="auto"/>
              <w:jc w:val="center"/>
              <w:rPr>
                <w:rFonts w:ascii="Times New Roman" w:hAnsi="Times New Roman" w:cs="Times New Roman"/>
                <w:sz w:val="28"/>
                <w:szCs w:val="28"/>
              </w:rPr>
            </w:pPr>
          </w:p>
        </w:tc>
      </w:tr>
    </w:tbl>
    <w:p w14:paraId="4F5B9E58" w14:textId="2F54CA7F" w:rsidR="00DE7880" w:rsidRPr="00A43B9C" w:rsidRDefault="00DE7880" w:rsidP="00DE7880">
      <w:pPr>
        <w:spacing w:after="0" w:line="240" w:lineRule="auto"/>
        <w:ind w:firstLine="709"/>
        <w:jc w:val="both"/>
        <w:rPr>
          <w:rFonts w:ascii="Times New Roman" w:hAnsi="Times New Roman" w:cs="Times New Roman"/>
          <w:sz w:val="28"/>
          <w:szCs w:val="28"/>
        </w:rPr>
      </w:pPr>
    </w:p>
    <w:tbl>
      <w:tblPr>
        <w:tblStyle w:val="ad"/>
        <w:tblW w:w="10908"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6"/>
        <w:gridCol w:w="3636"/>
        <w:gridCol w:w="3636"/>
      </w:tblGrid>
      <w:tr w:rsidR="00121E9D" w:rsidRPr="00A43B9C" w14:paraId="45E43D33" w14:textId="77777777" w:rsidTr="0058242D">
        <w:tc>
          <w:tcPr>
            <w:tcW w:w="3636" w:type="dxa"/>
          </w:tcPr>
          <w:p w14:paraId="2ACAE6AF" w14:textId="1A357048" w:rsidR="00121E9D" w:rsidRPr="00A43B9C" w:rsidRDefault="00121E9D"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0F2149F5" wp14:editId="0B1F00A4">
                      <wp:extent cx="2160000" cy="2160000"/>
                      <wp:effectExtent l="0" t="0" r="12065" b="12065"/>
                      <wp:docPr id="25" name="Диаграмма 25">
                        <a:extLst xmlns:a="http://schemas.openxmlformats.org/drawingml/2006/main">
                          <a:ext uri="{FF2B5EF4-FFF2-40B4-BE49-F238E27FC236}">
                            <a16:creationId xmlns:a16="http://schemas.microsoft.com/office/drawing/2014/main" id="{837C0EDC-2CB4-42A8-A851-4FF5C677A982}"/>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66"/>
                        </a:graphicData>
                      </a:graphic>
                    </wp:inline>
                  </w:drawing>
                </mc:Choice>
                <mc:Fallback>
                  <w:drawing>
                    <wp:inline distT="0" distB="0" distL="0" distR="0" wp14:anchorId="0F2149F5" wp14:editId="0B1F00A4">
                      <wp:extent cx="2160000" cy="2160000"/>
                      <wp:effectExtent l="0" t="0" r="12065" b="12065"/>
                      <wp:docPr id="25" name="Диаграмма 25">
                        <a:extLst xmlns:a="http://schemas.openxmlformats.org/drawingml/2006/main">
                          <a:ext uri="{FF2B5EF4-FFF2-40B4-BE49-F238E27FC236}">
                            <a16:creationId xmlns:a16="http://schemas.microsoft.com/office/drawing/2014/main" id="{837C0EDC-2CB4-42A8-A851-4FF5C677A982}"/>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5" name="Диаграмма 25">
                                <a:extLst>
                                  <a:ext uri="{FF2B5EF4-FFF2-40B4-BE49-F238E27FC236}">
                                    <a16:creationId xmlns:a16="http://schemas.microsoft.com/office/drawing/2014/main" id="{837C0EDC-2CB4-42A8-A851-4FF5C677A982}"/>
                                  </a:ext>
                                </a:extLst>
                              </pic:cNvPr>
                              <pic:cNvPicPr>
                                <a:picLocks noGrp="1" noRot="1" noChangeAspect="1" noMove="1" noResize="1" noEditPoints="1" noAdjustHandles="1" noChangeArrowheads="1" noChangeShapeType="1"/>
                              </pic:cNvPicPr>
                            </pic:nvPicPr>
                            <pic:blipFill>
                              <a:blip r:embed="rId67"/>
                              <a:stretch>
                                <a:fillRect/>
                              </a:stretch>
                            </pic:blipFill>
                            <pic:spPr>
                              <a:xfrm>
                                <a:off x="0" y="0"/>
                                <a:ext cx="2159635" cy="2159635"/>
                              </a:xfrm>
                              <a:prstGeom prst="rect">
                                <a:avLst/>
                              </a:prstGeom>
                            </pic:spPr>
                          </pic:pic>
                        </a:graphicData>
                      </a:graphic>
                    </wp:inline>
                  </w:drawing>
                </mc:Fallback>
              </mc:AlternateContent>
            </w:r>
          </w:p>
        </w:tc>
        <w:tc>
          <w:tcPr>
            <w:tcW w:w="3636" w:type="dxa"/>
          </w:tcPr>
          <w:p w14:paraId="45008E28" w14:textId="68DB856F" w:rsidR="00121E9D" w:rsidRPr="00A43B9C" w:rsidRDefault="00121E9D"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489AE54A" wp14:editId="795B2C49">
                      <wp:extent cx="2160000" cy="2160000"/>
                      <wp:effectExtent l="0" t="0" r="12065" b="12065"/>
                      <wp:docPr id="2" name="Диаграмма 2">
                        <a:extLst xmlns:a="http://schemas.openxmlformats.org/drawingml/2006/main">
                          <a:ext uri="{FF2B5EF4-FFF2-40B4-BE49-F238E27FC236}">
                            <a16:creationId xmlns:a16="http://schemas.microsoft.com/office/drawing/2014/main" id="{80370B9B-1D95-4EFD-90ED-392253B84819}"/>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68"/>
                        </a:graphicData>
                      </a:graphic>
                    </wp:inline>
                  </w:drawing>
                </mc:Choice>
                <mc:Fallback>
                  <w:drawing>
                    <wp:inline distT="0" distB="0" distL="0" distR="0" wp14:anchorId="489AE54A" wp14:editId="795B2C49">
                      <wp:extent cx="2160000" cy="2160000"/>
                      <wp:effectExtent l="0" t="0" r="12065" b="12065"/>
                      <wp:docPr id="2" name="Диаграмма 2">
                        <a:extLst xmlns:a="http://schemas.openxmlformats.org/drawingml/2006/main">
                          <a:ext uri="{FF2B5EF4-FFF2-40B4-BE49-F238E27FC236}">
                            <a16:creationId xmlns:a16="http://schemas.microsoft.com/office/drawing/2014/main" id="{80370B9B-1D95-4EFD-90ED-392253B84819}"/>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 name="Диаграмма 2">
                                <a:extLst>
                                  <a:ext uri="{FF2B5EF4-FFF2-40B4-BE49-F238E27FC236}">
                                    <a16:creationId xmlns:a16="http://schemas.microsoft.com/office/drawing/2014/main" id="{80370B9B-1D95-4EFD-90ED-392253B84819}"/>
                                  </a:ext>
                                </a:extLst>
                              </pic:cNvPr>
                              <pic:cNvPicPr>
                                <a:picLocks noGrp="1" noRot="1" noChangeAspect="1" noMove="1" noResize="1" noEditPoints="1" noAdjustHandles="1" noChangeArrowheads="1" noChangeShapeType="1"/>
                              </pic:cNvPicPr>
                            </pic:nvPicPr>
                            <pic:blipFill>
                              <a:blip r:embed="rId69"/>
                              <a:stretch>
                                <a:fillRect/>
                              </a:stretch>
                            </pic:blipFill>
                            <pic:spPr>
                              <a:xfrm>
                                <a:off x="0" y="0"/>
                                <a:ext cx="2159635" cy="2159635"/>
                              </a:xfrm>
                              <a:prstGeom prst="rect">
                                <a:avLst/>
                              </a:prstGeom>
                            </pic:spPr>
                          </pic:pic>
                        </a:graphicData>
                      </a:graphic>
                    </wp:inline>
                  </w:drawing>
                </mc:Fallback>
              </mc:AlternateContent>
            </w:r>
          </w:p>
        </w:tc>
        <w:tc>
          <w:tcPr>
            <w:tcW w:w="3636" w:type="dxa"/>
          </w:tcPr>
          <w:p w14:paraId="415A726B" w14:textId="534B5075" w:rsidR="00121E9D" w:rsidRPr="00A43B9C" w:rsidRDefault="00121E9D"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0B5A89B9" wp14:editId="2B62434B">
                      <wp:extent cx="2160000" cy="2160000"/>
                      <wp:effectExtent l="0" t="0" r="12065" b="12065"/>
                      <wp:docPr id="3" name="Диаграмма 3">
                        <a:extLst xmlns:a="http://schemas.openxmlformats.org/drawingml/2006/main">
                          <a:ext uri="{FF2B5EF4-FFF2-40B4-BE49-F238E27FC236}">
                            <a16:creationId xmlns:a16="http://schemas.microsoft.com/office/drawing/2014/main" id="{A15501DD-57B2-4603-832F-BEFA1122ABCE}"/>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70"/>
                        </a:graphicData>
                      </a:graphic>
                    </wp:inline>
                  </w:drawing>
                </mc:Choice>
                <mc:Fallback>
                  <w:drawing>
                    <wp:inline distT="0" distB="0" distL="0" distR="0" wp14:anchorId="0B5A89B9" wp14:editId="2B62434B">
                      <wp:extent cx="2160000" cy="2160000"/>
                      <wp:effectExtent l="0" t="0" r="12065" b="12065"/>
                      <wp:docPr id="3" name="Диаграмма 3">
                        <a:extLst xmlns:a="http://schemas.openxmlformats.org/drawingml/2006/main">
                          <a:ext uri="{FF2B5EF4-FFF2-40B4-BE49-F238E27FC236}">
                            <a16:creationId xmlns:a16="http://schemas.microsoft.com/office/drawing/2014/main" id="{A15501DD-57B2-4603-832F-BEFA1122ABCE}"/>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 name="Диаграмма 3">
                                <a:extLst>
                                  <a:ext uri="{FF2B5EF4-FFF2-40B4-BE49-F238E27FC236}">
                                    <a16:creationId xmlns:a16="http://schemas.microsoft.com/office/drawing/2014/main" id="{A15501DD-57B2-4603-832F-BEFA1122ABCE}"/>
                                  </a:ext>
                                </a:extLst>
                              </pic:cNvPr>
                              <pic:cNvPicPr>
                                <a:picLocks noGrp="1" noRot="1" noChangeAspect="1" noMove="1" noResize="1" noEditPoints="1" noAdjustHandles="1" noChangeArrowheads="1" noChangeShapeType="1"/>
                              </pic:cNvPicPr>
                            </pic:nvPicPr>
                            <pic:blipFill>
                              <a:blip r:embed="rId71"/>
                              <a:stretch>
                                <a:fillRect/>
                              </a:stretch>
                            </pic:blipFill>
                            <pic:spPr>
                              <a:xfrm>
                                <a:off x="0" y="0"/>
                                <a:ext cx="2159635" cy="2159635"/>
                              </a:xfrm>
                              <a:prstGeom prst="rect">
                                <a:avLst/>
                              </a:prstGeom>
                            </pic:spPr>
                          </pic:pic>
                        </a:graphicData>
                      </a:graphic>
                    </wp:inline>
                  </w:drawing>
                </mc:Fallback>
              </mc:AlternateContent>
            </w:r>
          </w:p>
        </w:tc>
      </w:tr>
      <w:tr w:rsidR="00B553BC" w:rsidRPr="00A43B9C" w14:paraId="304603E7" w14:textId="77777777" w:rsidTr="0058242D">
        <w:tc>
          <w:tcPr>
            <w:tcW w:w="3636" w:type="dxa"/>
          </w:tcPr>
          <w:p w14:paraId="600CAE8F" w14:textId="5321E26F" w:rsidR="00B553BC" w:rsidRPr="00A43B9C" w:rsidRDefault="00B553BC" w:rsidP="00B553BC">
            <w:pPr>
              <w:spacing w:after="0" w:line="240" w:lineRule="auto"/>
              <w:jc w:val="center"/>
              <w:rPr>
                <w:rFonts w:ascii="Times New Roman" w:hAnsi="Times New Roman" w:cs="Times New Roman"/>
                <w:sz w:val="28"/>
                <w:szCs w:val="28"/>
                <w:lang w:val="en-US"/>
              </w:rPr>
            </w:pPr>
            <w:r w:rsidRPr="004F1730">
              <w:rPr>
                <w:rFonts w:ascii="Times New Roman" w:hAnsi="Times New Roman" w:cs="Times New Roman"/>
                <w:sz w:val="24"/>
                <w:szCs w:val="24"/>
              </w:rPr>
              <w:t xml:space="preserve">а) Локализация </w:t>
            </w:r>
            <w:r w:rsidRPr="004F1730">
              <w:rPr>
                <w:rFonts w:ascii="Times New Roman" w:hAnsi="Times New Roman" w:cs="Times New Roman"/>
                <w:sz w:val="24"/>
                <w:szCs w:val="24"/>
                <w:lang w:val="en-US"/>
              </w:rPr>
              <w:t>RE</w:t>
            </w:r>
          </w:p>
        </w:tc>
        <w:tc>
          <w:tcPr>
            <w:tcW w:w="3636" w:type="dxa"/>
          </w:tcPr>
          <w:p w14:paraId="61918667" w14:textId="3E2109DC" w:rsidR="00B553BC" w:rsidRPr="00A43B9C" w:rsidRDefault="00B553BC" w:rsidP="00B553BC">
            <w:pPr>
              <w:spacing w:after="0" w:line="240" w:lineRule="auto"/>
              <w:jc w:val="center"/>
              <w:rPr>
                <w:rFonts w:ascii="Times New Roman" w:hAnsi="Times New Roman" w:cs="Times New Roman"/>
                <w:sz w:val="28"/>
                <w:szCs w:val="28"/>
                <w:lang w:val="en-US"/>
              </w:rPr>
            </w:pPr>
            <w:r w:rsidRPr="004F1730">
              <w:rPr>
                <w:rFonts w:ascii="Times New Roman" w:hAnsi="Times New Roman" w:cs="Times New Roman"/>
                <w:sz w:val="24"/>
                <w:szCs w:val="24"/>
              </w:rPr>
              <w:t>б)</w:t>
            </w:r>
            <w:r w:rsidRPr="004F1730">
              <w:rPr>
                <w:rFonts w:ascii="Times New Roman" w:hAnsi="Times New Roman" w:cs="Times New Roman"/>
                <w:sz w:val="24"/>
                <w:szCs w:val="24"/>
                <w:lang w:val="en-US"/>
              </w:rPr>
              <w:t xml:space="preserve"> </w:t>
            </w:r>
            <w:r w:rsidRPr="004F1730">
              <w:rPr>
                <w:rFonts w:ascii="Times New Roman" w:hAnsi="Times New Roman" w:cs="Times New Roman"/>
                <w:sz w:val="24"/>
                <w:szCs w:val="24"/>
              </w:rPr>
              <w:t xml:space="preserve">Локализация </w:t>
            </w:r>
            <w:r w:rsidRPr="004F1730">
              <w:rPr>
                <w:rFonts w:ascii="Times New Roman" w:hAnsi="Times New Roman" w:cs="Times New Roman"/>
                <w:sz w:val="24"/>
                <w:szCs w:val="24"/>
                <w:lang w:val="en-US"/>
              </w:rPr>
              <w:t>RLH</w:t>
            </w:r>
          </w:p>
        </w:tc>
        <w:tc>
          <w:tcPr>
            <w:tcW w:w="3636" w:type="dxa"/>
          </w:tcPr>
          <w:p w14:paraId="26DE112F" w14:textId="29505530" w:rsidR="00B553BC" w:rsidRPr="00A43B9C" w:rsidRDefault="00B553BC" w:rsidP="00B553BC">
            <w:pPr>
              <w:spacing w:after="0" w:line="240" w:lineRule="auto"/>
              <w:jc w:val="center"/>
              <w:rPr>
                <w:rFonts w:ascii="Times New Roman" w:hAnsi="Times New Roman" w:cs="Times New Roman"/>
                <w:sz w:val="28"/>
                <w:szCs w:val="28"/>
                <w:lang w:val="en-US"/>
              </w:rPr>
            </w:pPr>
            <w:r w:rsidRPr="004F1730">
              <w:rPr>
                <w:rFonts w:ascii="Times New Roman" w:hAnsi="Times New Roman" w:cs="Times New Roman"/>
                <w:sz w:val="24"/>
                <w:szCs w:val="24"/>
              </w:rPr>
              <w:t>в)</w:t>
            </w:r>
            <w:r w:rsidRPr="004F1730">
              <w:rPr>
                <w:rFonts w:ascii="Times New Roman" w:hAnsi="Times New Roman" w:cs="Times New Roman"/>
                <w:sz w:val="24"/>
                <w:szCs w:val="24"/>
                <w:lang w:val="en-US"/>
              </w:rPr>
              <w:t xml:space="preserve"> </w:t>
            </w:r>
            <w:r w:rsidRPr="004F1730">
              <w:rPr>
                <w:rFonts w:ascii="Times New Roman" w:hAnsi="Times New Roman" w:cs="Times New Roman"/>
                <w:sz w:val="24"/>
                <w:szCs w:val="24"/>
              </w:rPr>
              <w:t xml:space="preserve">Локализация </w:t>
            </w:r>
            <w:r w:rsidRPr="004F1730">
              <w:rPr>
                <w:rFonts w:ascii="Times New Roman" w:hAnsi="Times New Roman" w:cs="Times New Roman"/>
                <w:sz w:val="24"/>
                <w:szCs w:val="24"/>
                <w:lang w:val="en-US"/>
              </w:rPr>
              <w:t>RRL</w:t>
            </w:r>
          </w:p>
        </w:tc>
      </w:tr>
    </w:tbl>
    <w:p w14:paraId="2F9167D3" w14:textId="77777777" w:rsidR="00B553BC" w:rsidRDefault="00B553BC" w:rsidP="00B553BC">
      <w:pPr>
        <w:spacing w:after="0" w:line="240" w:lineRule="auto"/>
        <w:rPr>
          <w:rFonts w:ascii="Times New Roman" w:hAnsi="Times New Roman" w:cs="Times New Roman"/>
          <w:sz w:val="28"/>
          <w:szCs w:val="28"/>
        </w:rPr>
      </w:pPr>
    </w:p>
    <w:p w14:paraId="1D078492" w14:textId="57099009" w:rsidR="00B553BC" w:rsidRDefault="00B553BC" w:rsidP="00B553BC">
      <w:pPr>
        <w:spacing w:after="0" w:line="240" w:lineRule="auto"/>
        <w:ind w:firstLine="709"/>
        <w:jc w:val="center"/>
        <w:rPr>
          <w:rFonts w:ascii="Times New Roman" w:hAnsi="Times New Roman" w:cs="Times New Roman"/>
          <w:sz w:val="28"/>
          <w:szCs w:val="28"/>
        </w:rPr>
      </w:pPr>
      <w:r w:rsidRPr="00A43B9C">
        <w:rPr>
          <w:rFonts w:ascii="Times New Roman" w:hAnsi="Times New Roman" w:cs="Times New Roman"/>
          <w:sz w:val="28"/>
          <w:szCs w:val="28"/>
        </w:rPr>
        <w:t xml:space="preserve">Рисунок </w:t>
      </w:r>
      <w:r>
        <w:rPr>
          <w:rFonts w:ascii="Times New Roman" w:hAnsi="Times New Roman" w:cs="Times New Roman"/>
          <w:sz w:val="28"/>
          <w:szCs w:val="28"/>
        </w:rPr>
        <w:t>9</w:t>
      </w:r>
      <w:r w:rsidRPr="00A43B9C">
        <w:rPr>
          <w:rFonts w:ascii="Times New Roman" w:hAnsi="Times New Roman" w:cs="Times New Roman"/>
          <w:sz w:val="28"/>
          <w:szCs w:val="28"/>
        </w:rPr>
        <w:t xml:space="preserve"> - Анализ распределений уровня накопления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зависимости от </w:t>
      </w:r>
      <w:r w:rsidRPr="00A43B9C">
        <w:rPr>
          <w:rFonts w:ascii="Times New Roman" w:hAnsi="Times New Roman" w:cs="Times New Roman"/>
          <w:sz w:val="28"/>
          <w:szCs w:val="28"/>
          <w:lang w:val="kk-KZ"/>
        </w:rPr>
        <w:t xml:space="preserve">стадии </w:t>
      </w:r>
      <w:r w:rsidRPr="00A43B9C">
        <w:rPr>
          <w:rFonts w:ascii="Times New Roman" w:hAnsi="Times New Roman" w:cs="Times New Roman"/>
          <w:sz w:val="28"/>
          <w:szCs w:val="28"/>
          <w:lang w:val="en-US"/>
        </w:rPr>
        <w:t>N</w:t>
      </w:r>
      <w:r w:rsidRPr="00A43B9C">
        <w:rPr>
          <w:rFonts w:ascii="Times New Roman" w:eastAsia="NewtonC" w:hAnsi="Times New Roman" w:cs="Times New Roman"/>
          <w:sz w:val="28"/>
          <w:szCs w:val="28"/>
        </w:rPr>
        <w:t xml:space="preserve"> по локализациям</w:t>
      </w:r>
      <w:r>
        <w:rPr>
          <w:rFonts w:ascii="Times New Roman" w:eastAsia="NewtonC" w:hAnsi="Times New Roman" w:cs="Times New Roman"/>
          <w:sz w:val="28"/>
          <w:szCs w:val="28"/>
        </w:rPr>
        <w:t>, лист 1</w:t>
      </w:r>
    </w:p>
    <w:p w14:paraId="0F8BA738" w14:textId="7848D45A" w:rsidR="00B553BC" w:rsidRPr="00B553BC" w:rsidRDefault="00B553BC" w:rsidP="00B553BC">
      <w:pPr>
        <w:spacing w:after="0" w:line="240" w:lineRule="auto"/>
        <w:rPr>
          <w:rFonts w:ascii="Times New Roman" w:hAnsi="Times New Roman" w:cs="Times New Roman"/>
          <w:sz w:val="28"/>
          <w:szCs w:val="28"/>
        </w:rPr>
      </w:pPr>
      <w:r w:rsidRPr="00B553BC">
        <w:rPr>
          <w:rFonts w:ascii="Times New Roman" w:hAnsi="Times New Roman" w:cs="Times New Roman"/>
          <w:sz w:val="28"/>
          <w:szCs w:val="28"/>
        </w:rPr>
        <w:br w:type="page"/>
      </w:r>
    </w:p>
    <w:tbl>
      <w:tblPr>
        <w:tblStyle w:val="ad"/>
        <w:tblW w:w="10908"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6"/>
        <w:gridCol w:w="3636"/>
        <w:gridCol w:w="3636"/>
      </w:tblGrid>
      <w:tr w:rsidR="00121E9D" w:rsidRPr="00A43B9C" w14:paraId="0580C2BD" w14:textId="77777777" w:rsidTr="0058242D">
        <w:tc>
          <w:tcPr>
            <w:tcW w:w="3636" w:type="dxa"/>
          </w:tcPr>
          <w:p w14:paraId="091087DE" w14:textId="39832061" w:rsidR="00121E9D" w:rsidRPr="00A43B9C" w:rsidRDefault="00121E9D" w:rsidP="00446A37">
            <w:pPr>
              <w:spacing w:after="0" w:line="240" w:lineRule="auto"/>
              <w:jc w:val="center"/>
              <w:rPr>
                <w:rFonts w:ascii="Times New Roman" w:hAnsi="Times New Roman" w:cs="Times New Roman"/>
                <w:sz w:val="28"/>
                <w:szCs w:val="28"/>
              </w:rPr>
            </w:pPr>
            <w:r w:rsidRPr="00A43B9C">
              <w:rPr>
                <w:noProof/>
                <w:lang w:eastAsia="ru-RU"/>
              </w:rPr>
              <w:lastRenderedPageBreak/>
              <mc:AlternateContent>
                <mc:Choice Requires="cx1">
                  <w:drawing>
                    <wp:inline distT="0" distB="0" distL="0" distR="0" wp14:anchorId="767E0266" wp14:editId="5B2F091A">
                      <wp:extent cx="2160000" cy="2160000"/>
                      <wp:effectExtent l="0" t="0" r="12065" b="12065"/>
                      <wp:docPr id="4" name="Диаграмма 4">
                        <a:extLst xmlns:a="http://schemas.openxmlformats.org/drawingml/2006/main">
                          <a:ext uri="{FF2B5EF4-FFF2-40B4-BE49-F238E27FC236}">
                            <a16:creationId xmlns:a16="http://schemas.microsoft.com/office/drawing/2014/main" id="{1395AD90-236C-4A77-ADD4-FE5C63004A6E}"/>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72"/>
                        </a:graphicData>
                      </a:graphic>
                    </wp:inline>
                  </w:drawing>
                </mc:Choice>
                <mc:Fallback>
                  <w:drawing>
                    <wp:inline distT="0" distB="0" distL="0" distR="0" wp14:anchorId="767E0266" wp14:editId="5B2F091A">
                      <wp:extent cx="2160000" cy="2160000"/>
                      <wp:effectExtent l="0" t="0" r="12065" b="12065"/>
                      <wp:docPr id="4" name="Диаграмма 4">
                        <a:extLst xmlns:a="http://schemas.openxmlformats.org/drawingml/2006/main">
                          <a:ext uri="{FF2B5EF4-FFF2-40B4-BE49-F238E27FC236}">
                            <a16:creationId xmlns:a16="http://schemas.microsoft.com/office/drawing/2014/main" id="{1395AD90-236C-4A77-ADD4-FE5C63004A6E}"/>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 name="Диаграмма 4">
                                <a:extLst>
                                  <a:ext uri="{FF2B5EF4-FFF2-40B4-BE49-F238E27FC236}">
                                    <a16:creationId xmlns:a16="http://schemas.microsoft.com/office/drawing/2014/main" id="{1395AD90-236C-4A77-ADD4-FE5C63004A6E}"/>
                                  </a:ext>
                                </a:extLst>
                              </pic:cNvPr>
                              <pic:cNvPicPr>
                                <a:picLocks noGrp="1" noRot="1" noChangeAspect="1" noMove="1" noResize="1" noEditPoints="1" noAdjustHandles="1" noChangeArrowheads="1" noChangeShapeType="1"/>
                              </pic:cNvPicPr>
                            </pic:nvPicPr>
                            <pic:blipFill>
                              <a:blip r:embed="rId73"/>
                              <a:stretch>
                                <a:fillRect/>
                              </a:stretch>
                            </pic:blipFill>
                            <pic:spPr>
                              <a:xfrm>
                                <a:off x="0" y="0"/>
                                <a:ext cx="2159635" cy="2159635"/>
                              </a:xfrm>
                              <a:prstGeom prst="rect">
                                <a:avLst/>
                              </a:prstGeom>
                            </pic:spPr>
                          </pic:pic>
                        </a:graphicData>
                      </a:graphic>
                    </wp:inline>
                  </w:drawing>
                </mc:Fallback>
              </mc:AlternateContent>
            </w:r>
          </w:p>
        </w:tc>
        <w:tc>
          <w:tcPr>
            <w:tcW w:w="3636" w:type="dxa"/>
          </w:tcPr>
          <w:p w14:paraId="5A39060C" w14:textId="2CE598C2" w:rsidR="00121E9D" w:rsidRPr="00A43B9C" w:rsidRDefault="00121E9D"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7F221913" wp14:editId="5A28DC7F">
                      <wp:extent cx="2160000" cy="2160000"/>
                      <wp:effectExtent l="0" t="0" r="12065" b="12065"/>
                      <wp:docPr id="5" name="Диаграмма 5">
                        <a:extLst xmlns:a="http://schemas.openxmlformats.org/drawingml/2006/main">
                          <a:ext uri="{FF2B5EF4-FFF2-40B4-BE49-F238E27FC236}">
                            <a16:creationId xmlns:a16="http://schemas.microsoft.com/office/drawing/2014/main" id="{CC232649-D656-45B1-B23C-C48A1D38FC47}"/>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74"/>
                        </a:graphicData>
                      </a:graphic>
                    </wp:inline>
                  </w:drawing>
                </mc:Choice>
                <mc:Fallback>
                  <w:drawing>
                    <wp:inline distT="0" distB="0" distL="0" distR="0" wp14:anchorId="7F221913" wp14:editId="5A28DC7F">
                      <wp:extent cx="2160000" cy="2160000"/>
                      <wp:effectExtent l="0" t="0" r="12065" b="12065"/>
                      <wp:docPr id="5" name="Диаграмма 5">
                        <a:extLst xmlns:a="http://schemas.openxmlformats.org/drawingml/2006/main">
                          <a:ext uri="{FF2B5EF4-FFF2-40B4-BE49-F238E27FC236}">
                            <a16:creationId xmlns:a16="http://schemas.microsoft.com/office/drawing/2014/main" id="{CC232649-D656-45B1-B23C-C48A1D38FC47}"/>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5" name="Диаграмма 5">
                                <a:extLst>
                                  <a:ext uri="{FF2B5EF4-FFF2-40B4-BE49-F238E27FC236}">
                                    <a16:creationId xmlns:a16="http://schemas.microsoft.com/office/drawing/2014/main" id="{CC232649-D656-45B1-B23C-C48A1D38FC47}"/>
                                  </a:ext>
                                </a:extLst>
                              </pic:cNvPr>
                              <pic:cNvPicPr>
                                <a:picLocks noGrp="1" noRot="1" noChangeAspect="1" noMove="1" noResize="1" noEditPoints="1" noAdjustHandles="1" noChangeArrowheads="1" noChangeShapeType="1"/>
                              </pic:cNvPicPr>
                            </pic:nvPicPr>
                            <pic:blipFill>
                              <a:blip r:embed="rId75"/>
                              <a:stretch>
                                <a:fillRect/>
                              </a:stretch>
                            </pic:blipFill>
                            <pic:spPr>
                              <a:xfrm>
                                <a:off x="0" y="0"/>
                                <a:ext cx="2159635" cy="2159635"/>
                              </a:xfrm>
                              <a:prstGeom prst="rect">
                                <a:avLst/>
                              </a:prstGeom>
                            </pic:spPr>
                          </pic:pic>
                        </a:graphicData>
                      </a:graphic>
                    </wp:inline>
                  </w:drawing>
                </mc:Fallback>
              </mc:AlternateContent>
            </w:r>
          </w:p>
        </w:tc>
        <w:tc>
          <w:tcPr>
            <w:tcW w:w="3636" w:type="dxa"/>
          </w:tcPr>
          <w:p w14:paraId="58A9CF40" w14:textId="40350212" w:rsidR="00121E9D" w:rsidRPr="00A43B9C" w:rsidRDefault="00121E9D"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4C9D3FC9" wp14:editId="47A4D44A">
                      <wp:extent cx="2160000" cy="2160000"/>
                      <wp:effectExtent l="0" t="0" r="12065" b="12065"/>
                      <wp:docPr id="6" name="Диаграмма 6">
                        <a:extLst xmlns:a="http://schemas.openxmlformats.org/drawingml/2006/main">
                          <a:ext uri="{FF2B5EF4-FFF2-40B4-BE49-F238E27FC236}">
                            <a16:creationId xmlns:a16="http://schemas.microsoft.com/office/drawing/2014/main" id="{104FE6BA-C644-4494-BAEA-D0E0037E504B}"/>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76"/>
                        </a:graphicData>
                      </a:graphic>
                    </wp:inline>
                  </w:drawing>
                </mc:Choice>
                <mc:Fallback>
                  <w:drawing>
                    <wp:inline distT="0" distB="0" distL="0" distR="0" wp14:anchorId="4C9D3FC9" wp14:editId="47A4D44A">
                      <wp:extent cx="2160000" cy="2160000"/>
                      <wp:effectExtent l="0" t="0" r="12065" b="12065"/>
                      <wp:docPr id="6" name="Диаграмма 6">
                        <a:extLst xmlns:a="http://schemas.openxmlformats.org/drawingml/2006/main">
                          <a:ext uri="{FF2B5EF4-FFF2-40B4-BE49-F238E27FC236}">
                            <a16:creationId xmlns:a16="http://schemas.microsoft.com/office/drawing/2014/main" id="{104FE6BA-C644-4494-BAEA-D0E0037E504B}"/>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6" name="Диаграмма 6">
                                <a:extLst>
                                  <a:ext uri="{FF2B5EF4-FFF2-40B4-BE49-F238E27FC236}">
                                    <a16:creationId xmlns:a16="http://schemas.microsoft.com/office/drawing/2014/main" id="{104FE6BA-C644-4494-BAEA-D0E0037E504B}"/>
                                  </a:ext>
                                </a:extLst>
                              </pic:cNvPr>
                              <pic:cNvPicPr>
                                <a:picLocks noGrp="1" noRot="1" noChangeAspect="1" noMove="1" noResize="1" noEditPoints="1" noAdjustHandles="1" noChangeArrowheads="1" noChangeShapeType="1"/>
                              </pic:cNvPicPr>
                            </pic:nvPicPr>
                            <pic:blipFill>
                              <a:blip r:embed="rId77"/>
                              <a:stretch>
                                <a:fillRect/>
                              </a:stretch>
                            </pic:blipFill>
                            <pic:spPr>
                              <a:xfrm>
                                <a:off x="0" y="0"/>
                                <a:ext cx="2159635" cy="2159635"/>
                              </a:xfrm>
                              <a:prstGeom prst="rect">
                                <a:avLst/>
                              </a:prstGeom>
                            </pic:spPr>
                          </pic:pic>
                        </a:graphicData>
                      </a:graphic>
                    </wp:inline>
                  </w:drawing>
                </mc:Fallback>
              </mc:AlternateContent>
            </w:r>
          </w:p>
        </w:tc>
      </w:tr>
      <w:tr w:rsidR="00B553BC" w:rsidRPr="00A43B9C" w14:paraId="2DB79C65" w14:textId="77777777" w:rsidTr="0058242D">
        <w:tc>
          <w:tcPr>
            <w:tcW w:w="3636" w:type="dxa"/>
          </w:tcPr>
          <w:p w14:paraId="37BB8322" w14:textId="5799090C" w:rsidR="00B553BC" w:rsidRPr="00A43B9C" w:rsidRDefault="00B553BC" w:rsidP="00B553BC">
            <w:pPr>
              <w:spacing w:after="0" w:line="240" w:lineRule="auto"/>
              <w:jc w:val="center"/>
              <w:rPr>
                <w:rFonts w:ascii="Times New Roman" w:hAnsi="Times New Roman" w:cs="Times New Roman"/>
                <w:sz w:val="28"/>
                <w:szCs w:val="28"/>
                <w:lang w:val="en-US"/>
              </w:rPr>
            </w:pPr>
            <w:r w:rsidRPr="004F1730">
              <w:rPr>
                <w:rFonts w:ascii="Times New Roman" w:hAnsi="Times New Roman" w:cs="Times New Roman"/>
                <w:sz w:val="24"/>
                <w:szCs w:val="24"/>
              </w:rPr>
              <w:t>г)</w:t>
            </w:r>
            <w:r w:rsidRPr="004F1730">
              <w:rPr>
                <w:rFonts w:ascii="Times New Roman" w:hAnsi="Times New Roman" w:cs="Times New Roman"/>
                <w:sz w:val="24"/>
                <w:szCs w:val="24"/>
                <w:lang w:val="en-US"/>
              </w:rPr>
              <w:t xml:space="preserve"> </w:t>
            </w:r>
            <w:r w:rsidRPr="004F1730">
              <w:rPr>
                <w:rFonts w:ascii="Times New Roman" w:hAnsi="Times New Roman" w:cs="Times New Roman"/>
                <w:sz w:val="24"/>
                <w:szCs w:val="24"/>
              </w:rPr>
              <w:t xml:space="preserve">Локализация </w:t>
            </w:r>
            <w:r w:rsidRPr="004F1730">
              <w:rPr>
                <w:rFonts w:ascii="Times New Roman" w:hAnsi="Times New Roman" w:cs="Times New Roman"/>
                <w:sz w:val="24"/>
                <w:szCs w:val="24"/>
                <w:lang w:val="en-US"/>
              </w:rPr>
              <w:t>RU</w:t>
            </w:r>
          </w:p>
        </w:tc>
        <w:tc>
          <w:tcPr>
            <w:tcW w:w="3636" w:type="dxa"/>
          </w:tcPr>
          <w:p w14:paraId="2FA28B37" w14:textId="16C94A57" w:rsidR="00B553BC" w:rsidRPr="00A43B9C" w:rsidRDefault="00B553BC" w:rsidP="00B553BC">
            <w:pPr>
              <w:spacing w:after="0" w:line="240" w:lineRule="auto"/>
              <w:jc w:val="center"/>
              <w:rPr>
                <w:rFonts w:ascii="Times New Roman" w:hAnsi="Times New Roman" w:cs="Times New Roman"/>
                <w:sz w:val="28"/>
                <w:szCs w:val="28"/>
                <w:lang w:val="en-US"/>
              </w:rPr>
            </w:pPr>
            <w:r w:rsidRPr="004F1730">
              <w:rPr>
                <w:rFonts w:ascii="Times New Roman" w:hAnsi="Times New Roman" w:cs="Times New Roman"/>
                <w:sz w:val="24"/>
                <w:szCs w:val="24"/>
              </w:rPr>
              <w:t>д)</w:t>
            </w:r>
            <w:r w:rsidRPr="004F1730">
              <w:rPr>
                <w:rFonts w:ascii="Times New Roman" w:hAnsi="Times New Roman" w:cs="Times New Roman"/>
                <w:sz w:val="24"/>
                <w:szCs w:val="24"/>
                <w:lang w:val="en-US"/>
              </w:rPr>
              <w:t xml:space="preserve"> </w:t>
            </w:r>
            <w:r w:rsidRPr="004F1730">
              <w:rPr>
                <w:rFonts w:ascii="Times New Roman" w:hAnsi="Times New Roman" w:cs="Times New Roman"/>
                <w:sz w:val="24"/>
                <w:szCs w:val="24"/>
              </w:rPr>
              <w:t xml:space="preserve">Локализация </w:t>
            </w:r>
            <w:r w:rsidRPr="004F1730">
              <w:rPr>
                <w:rFonts w:ascii="Times New Roman" w:hAnsi="Times New Roman" w:cs="Times New Roman"/>
                <w:sz w:val="24"/>
                <w:szCs w:val="24"/>
                <w:lang w:val="en-US"/>
              </w:rPr>
              <w:t>RLL</w:t>
            </w:r>
          </w:p>
        </w:tc>
        <w:tc>
          <w:tcPr>
            <w:tcW w:w="3636" w:type="dxa"/>
          </w:tcPr>
          <w:p w14:paraId="09C38AFC" w14:textId="7AF0FCA0" w:rsidR="00B553BC" w:rsidRPr="00A43B9C" w:rsidRDefault="00B553BC" w:rsidP="00B553BC">
            <w:pPr>
              <w:spacing w:after="0" w:line="240" w:lineRule="auto"/>
              <w:jc w:val="center"/>
              <w:rPr>
                <w:rFonts w:ascii="Times New Roman" w:hAnsi="Times New Roman" w:cs="Times New Roman"/>
                <w:sz w:val="28"/>
                <w:szCs w:val="28"/>
                <w:lang w:val="en-US"/>
              </w:rPr>
            </w:pPr>
            <w:r w:rsidRPr="004F1730">
              <w:rPr>
                <w:rFonts w:ascii="Times New Roman" w:hAnsi="Times New Roman" w:cs="Times New Roman"/>
                <w:sz w:val="24"/>
                <w:szCs w:val="24"/>
              </w:rPr>
              <w:t>е)</w:t>
            </w:r>
            <w:r w:rsidRPr="004F1730">
              <w:rPr>
                <w:rFonts w:ascii="Times New Roman" w:hAnsi="Times New Roman" w:cs="Times New Roman"/>
                <w:sz w:val="24"/>
                <w:szCs w:val="24"/>
                <w:lang w:val="en-US"/>
              </w:rPr>
              <w:t xml:space="preserve"> </w:t>
            </w:r>
            <w:r w:rsidRPr="004F1730">
              <w:rPr>
                <w:rFonts w:ascii="Times New Roman" w:hAnsi="Times New Roman" w:cs="Times New Roman"/>
                <w:sz w:val="24"/>
                <w:szCs w:val="24"/>
              </w:rPr>
              <w:t xml:space="preserve">Локализация </w:t>
            </w:r>
            <w:r w:rsidRPr="004F1730">
              <w:rPr>
                <w:rFonts w:ascii="Times New Roman" w:hAnsi="Times New Roman" w:cs="Times New Roman"/>
                <w:sz w:val="24"/>
                <w:szCs w:val="24"/>
                <w:lang w:val="en-US"/>
              </w:rPr>
              <w:t>RRI</w:t>
            </w:r>
          </w:p>
        </w:tc>
      </w:tr>
      <w:tr w:rsidR="00121E9D" w:rsidRPr="00A43B9C" w14:paraId="2FD54205" w14:textId="77777777" w:rsidTr="0058242D">
        <w:tc>
          <w:tcPr>
            <w:tcW w:w="3636" w:type="dxa"/>
          </w:tcPr>
          <w:p w14:paraId="77F7A707" w14:textId="271FE139" w:rsidR="00121E9D" w:rsidRPr="00A43B9C" w:rsidRDefault="00121E9D"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0D100035" wp14:editId="185F87FB">
                      <wp:extent cx="2160000" cy="2088000"/>
                      <wp:effectExtent l="0" t="0" r="12065" b="7620"/>
                      <wp:docPr id="7" name="Диаграмма 7">
                        <a:extLst xmlns:a="http://schemas.openxmlformats.org/drawingml/2006/main">
                          <a:ext uri="{FF2B5EF4-FFF2-40B4-BE49-F238E27FC236}">
                            <a16:creationId xmlns:a16="http://schemas.microsoft.com/office/drawing/2014/main" id="{C13DEEFD-8E9E-4DC5-8430-A3D2E5DBA004}"/>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78"/>
                        </a:graphicData>
                      </a:graphic>
                    </wp:inline>
                  </w:drawing>
                </mc:Choice>
                <mc:Fallback>
                  <w:drawing>
                    <wp:inline distT="0" distB="0" distL="0" distR="0" wp14:anchorId="0D100035" wp14:editId="185F87FB">
                      <wp:extent cx="2160000" cy="2088000"/>
                      <wp:effectExtent l="0" t="0" r="12065" b="7620"/>
                      <wp:docPr id="7" name="Диаграмма 7">
                        <a:extLst xmlns:a="http://schemas.openxmlformats.org/drawingml/2006/main">
                          <a:ext uri="{FF2B5EF4-FFF2-40B4-BE49-F238E27FC236}">
                            <a16:creationId xmlns:a16="http://schemas.microsoft.com/office/drawing/2014/main" id="{C13DEEFD-8E9E-4DC5-8430-A3D2E5DBA004}"/>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7" name="Диаграмма 7">
                                <a:extLst>
                                  <a:ext uri="{FF2B5EF4-FFF2-40B4-BE49-F238E27FC236}">
                                    <a16:creationId xmlns:a16="http://schemas.microsoft.com/office/drawing/2014/main" id="{C13DEEFD-8E9E-4DC5-8430-A3D2E5DBA004}"/>
                                  </a:ext>
                                </a:extLst>
                              </pic:cNvPr>
                              <pic:cNvPicPr>
                                <a:picLocks noGrp="1" noRot="1" noChangeAspect="1" noMove="1" noResize="1" noEditPoints="1" noAdjustHandles="1" noChangeArrowheads="1" noChangeShapeType="1"/>
                              </pic:cNvPicPr>
                            </pic:nvPicPr>
                            <pic:blipFill>
                              <a:blip r:embed="rId79"/>
                              <a:stretch>
                                <a:fillRect/>
                              </a:stretch>
                            </pic:blipFill>
                            <pic:spPr>
                              <a:xfrm>
                                <a:off x="0" y="0"/>
                                <a:ext cx="2159635" cy="2087880"/>
                              </a:xfrm>
                              <a:prstGeom prst="rect">
                                <a:avLst/>
                              </a:prstGeom>
                            </pic:spPr>
                          </pic:pic>
                        </a:graphicData>
                      </a:graphic>
                    </wp:inline>
                  </w:drawing>
                </mc:Fallback>
              </mc:AlternateContent>
            </w:r>
          </w:p>
        </w:tc>
        <w:tc>
          <w:tcPr>
            <w:tcW w:w="3636" w:type="dxa"/>
          </w:tcPr>
          <w:p w14:paraId="72CFBDA9" w14:textId="05AE8971" w:rsidR="00121E9D" w:rsidRPr="00A43B9C" w:rsidRDefault="00121E9D"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13DB667B" wp14:editId="3544950D">
                      <wp:extent cx="2160000" cy="2088000"/>
                      <wp:effectExtent l="0" t="0" r="12065" b="7620"/>
                      <wp:docPr id="8" name="Диаграмма 8">
                        <a:extLst xmlns:a="http://schemas.openxmlformats.org/drawingml/2006/main">
                          <a:ext uri="{FF2B5EF4-FFF2-40B4-BE49-F238E27FC236}">
                            <a16:creationId xmlns:a16="http://schemas.microsoft.com/office/drawing/2014/main" id="{3544229E-DCFF-4449-ABA3-FC7D85398DB8}"/>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80"/>
                        </a:graphicData>
                      </a:graphic>
                    </wp:inline>
                  </w:drawing>
                </mc:Choice>
                <mc:Fallback>
                  <w:drawing>
                    <wp:inline distT="0" distB="0" distL="0" distR="0" wp14:anchorId="13DB667B" wp14:editId="3544950D">
                      <wp:extent cx="2160000" cy="2088000"/>
                      <wp:effectExtent l="0" t="0" r="12065" b="7620"/>
                      <wp:docPr id="8" name="Диаграмма 8">
                        <a:extLst xmlns:a="http://schemas.openxmlformats.org/drawingml/2006/main">
                          <a:ext uri="{FF2B5EF4-FFF2-40B4-BE49-F238E27FC236}">
                            <a16:creationId xmlns:a16="http://schemas.microsoft.com/office/drawing/2014/main" id="{3544229E-DCFF-4449-ABA3-FC7D85398DB8}"/>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8" name="Диаграмма 8">
                                <a:extLst>
                                  <a:ext uri="{FF2B5EF4-FFF2-40B4-BE49-F238E27FC236}">
                                    <a16:creationId xmlns:a16="http://schemas.microsoft.com/office/drawing/2014/main" id="{3544229E-DCFF-4449-ABA3-FC7D85398DB8}"/>
                                  </a:ext>
                                </a:extLst>
                              </pic:cNvPr>
                              <pic:cNvPicPr>
                                <a:picLocks noGrp="1" noRot="1" noChangeAspect="1" noMove="1" noResize="1" noEditPoints="1" noAdjustHandles="1" noChangeArrowheads="1" noChangeShapeType="1"/>
                              </pic:cNvPicPr>
                            </pic:nvPicPr>
                            <pic:blipFill>
                              <a:blip r:embed="rId81"/>
                              <a:stretch>
                                <a:fillRect/>
                              </a:stretch>
                            </pic:blipFill>
                            <pic:spPr>
                              <a:xfrm>
                                <a:off x="0" y="0"/>
                                <a:ext cx="2159635" cy="2087880"/>
                              </a:xfrm>
                              <a:prstGeom prst="rect">
                                <a:avLst/>
                              </a:prstGeom>
                            </pic:spPr>
                          </pic:pic>
                        </a:graphicData>
                      </a:graphic>
                    </wp:inline>
                  </w:drawing>
                </mc:Fallback>
              </mc:AlternateContent>
            </w:r>
          </w:p>
        </w:tc>
        <w:tc>
          <w:tcPr>
            <w:tcW w:w="3636" w:type="dxa"/>
          </w:tcPr>
          <w:p w14:paraId="26AC01FE" w14:textId="0C3B372A" w:rsidR="00121E9D" w:rsidRPr="00A43B9C" w:rsidRDefault="00121E9D"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56BFF1F1" wp14:editId="757B2E77">
                      <wp:extent cx="2160000" cy="2088000"/>
                      <wp:effectExtent l="0" t="0" r="12065" b="7620"/>
                      <wp:docPr id="9" name="Диаграмма 9">
                        <a:extLst xmlns:a="http://schemas.openxmlformats.org/drawingml/2006/main">
                          <a:ext uri="{FF2B5EF4-FFF2-40B4-BE49-F238E27FC236}">
                            <a16:creationId xmlns:a16="http://schemas.microsoft.com/office/drawing/2014/main" id="{AD58A1D2-0834-4F91-8EDE-9B611DAD717A}"/>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82"/>
                        </a:graphicData>
                      </a:graphic>
                    </wp:inline>
                  </w:drawing>
                </mc:Choice>
                <mc:Fallback>
                  <w:drawing>
                    <wp:inline distT="0" distB="0" distL="0" distR="0" wp14:anchorId="56BFF1F1" wp14:editId="757B2E77">
                      <wp:extent cx="2160000" cy="2088000"/>
                      <wp:effectExtent l="0" t="0" r="12065" b="7620"/>
                      <wp:docPr id="9" name="Диаграмма 9">
                        <a:extLst xmlns:a="http://schemas.openxmlformats.org/drawingml/2006/main">
                          <a:ext uri="{FF2B5EF4-FFF2-40B4-BE49-F238E27FC236}">
                            <a16:creationId xmlns:a16="http://schemas.microsoft.com/office/drawing/2014/main" id="{AD58A1D2-0834-4F91-8EDE-9B611DAD717A}"/>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9" name="Диаграмма 9">
                                <a:extLst>
                                  <a:ext uri="{FF2B5EF4-FFF2-40B4-BE49-F238E27FC236}">
                                    <a16:creationId xmlns:a16="http://schemas.microsoft.com/office/drawing/2014/main" id="{AD58A1D2-0834-4F91-8EDE-9B611DAD717A}"/>
                                  </a:ext>
                                </a:extLst>
                              </pic:cNvPr>
                              <pic:cNvPicPr>
                                <a:picLocks noGrp="1" noRot="1" noChangeAspect="1" noMove="1" noResize="1" noEditPoints="1" noAdjustHandles="1" noChangeArrowheads="1" noChangeShapeType="1"/>
                              </pic:cNvPicPr>
                            </pic:nvPicPr>
                            <pic:blipFill>
                              <a:blip r:embed="rId83"/>
                              <a:stretch>
                                <a:fillRect/>
                              </a:stretch>
                            </pic:blipFill>
                            <pic:spPr>
                              <a:xfrm>
                                <a:off x="0" y="0"/>
                                <a:ext cx="2159635" cy="2087880"/>
                              </a:xfrm>
                              <a:prstGeom prst="rect">
                                <a:avLst/>
                              </a:prstGeom>
                            </pic:spPr>
                          </pic:pic>
                        </a:graphicData>
                      </a:graphic>
                    </wp:inline>
                  </w:drawing>
                </mc:Fallback>
              </mc:AlternateContent>
            </w:r>
          </w:p>
        </w:tc>
      </w:tr>
      <w:tr w:rsidR="00B553BC" w:rsidRPr="00A43B9C" w14:paraId="6476D348" w14:textId="77777777" w:rsidTr="0058242D">
        <w:tc>
          <w:tcPr>
            <w:tcW w:w="3636" w:type="dxa"/>
          </w:tcPr>
          <w:p w14:paraId="23527E01" w14:textId="0CA58ABC" w:rsidR="00B553BC" w:rsidRPr="00A43B9C" w:rsidRDefault="00B553BC" w:rsidP="00B553BC">
            <w:pPr>
              <w:spacing w:after="0" w:line="240" w:lineRule="auto"/>
              <w:jc w:val="center"/>
              <w:rPr>
                <w:rFonts w:ascii="Times New Roman" w:hAnsi="Times New Roman" w:cs="Times New Roman"/>
                <w:sz w:val="28"/>
                <w:szCs w:val="28"/>
                <w:lang w:val="en-US"/>
              </w:rPr>
            </w:pPr>
            <w:r w:rsidRPr="004F1730">
              <w:rPr>
                <w:rFonts w:ascii="Times New Roman" w:hAnsi="Times New Roman" w:cs="Times New Roman"/>
                <w:sz w:val="24"/>
                <w:szCs w:val="24"/>
              </w:rPr>
              <w:t>ж)</w:t>
            </w:r>
            <w:r w:rsidRPr="004F1730">
              <w:rPr>
                <w:rFonts w:ascii="Times New Roman" w:hAnsi="Times New Roman" w:cs="Times New Roman"/>
                <w:sz w:val="24"/>
                <w:szCs w:val="24"/>
                <w:lang w:val="en-US"/>
              </w:rPr>
              <w:t xml:space="preserve"> </w:t>
            </w:r>
            <w:r w:rsidRPr="004F1730">
              <w:rPr>
                <w:rFonts w:ascii="Times New Roman" w:hAnsi="Times New Roman" w:cs="Times New Roman"/>
                <w:sz w:val="24"/>
                <w:szCs w:val="24"/>
              </w:rPr>
              <w:t xml:space="preserve">Локализация </w:t>
            </w:r>
            <w:r w:rsidRPr="004F1730">
              <w:rPr>
                <w:rFonts w:ascii="Times New Roman" w:hAnsi="Times New Roman" w:cs="Times New Roman"/>
                <w:sz w:val="24"/>
                <w:szCs w:val="24"/>
                <w:lang w:val="en-US"/>
              </w:rPr>
              <w:t>RP</w:t>
            </w:r>
          </w:p>
        </w:tc>
        <w:tc>
          <w:tcPr>
            <w:tcW w:w="3636" w:type="dxa"/>
          </w:tcPr>
          <w:p w14:paraId="2EB8AB14" w14:textId="2401A5BA" w:rsidR="00B553BC" w:rsidRPr="00A43B9C" w:rsidRDefault="00B553BC" w:rsidP="00B553BC">
            <w:pPr>
              <w:spacing w:after="0" w:line="240" w:lineRule="auto"/>
              <w:jc w:val="center"/>
              <w:rPr>
                <w:rFonts w:ascii="Times New Roman" w:hAnsi="Times New Roman" w:cs="Times New Roman"/>
                <w:sz w:val="28"/>
                <w:szCs w:val="28"/>
                <w:lang w:val="en-US"/>
              </w:rPr>
            </w:pPr>
            <w:r w:rsidRPr="004F1730">
              <w:rPr>
                <w:rFonts w:ascii="Times New Roman" w:hAnsi="Times New Roman" w:cs="Times New Roman"/>
                <w:sz w:val="24"/>
                <w:szCs w:val="24"/>
              </w:rPr>
              <w:t>к)</w:t>
            </w:r>
            <w:r w:rsidRPr="004F1730">
              <w:rPr>
                <w:rFonts w:ascii="Times New Roman" w:hAnsi="Times New Roman" w:cs="Times New Roman"/>
                <w:sz w:val="24"/>
                <w:szCs w:val="24"/>
                <w:lang w:val="en-US"/>
              </w:rPr>
              <w:t xml:space="preserve"> </w:t>
            </w:r>
            <w:r w:rsidRPr="004F1730">
              <w:rPr>
                <w:rFonts w:ascii="Times New Roman" w:hAnsi="Times New Roman" w:cs="Times New Roman"/>
                <w:sz w:val="24"/>
                <w:szCs w:val="24"/>
              </w:rPr>
              <w:t xml:space="preserve">Локализация </w:t>
            </w:r>
            <w:r w:rsidRPr="004F1730">
              <w:rPr>
                <w:rFonts w:ascii="Times New Roman" w:hAnsi="Times New Roman" w:cs="Times New Roman"/>
                <w:sz w:val="24"/>
                <w:szCs w:val="24"/>
                <w:lang w:val="en-US"/>
              </w:rPr>
              <w:t>RLI</w:t>
            </w:r>
          </w:p>
        </w:tc>
        <w:tc>
          <w:tcPr>
            <w:tcW w:w="3636" w:type="dxa"/>
          </w:tcPr>
          <w:p w14:paraId="7D87F960" w14:textId="17070308" w:rsidR="00B553BC" w:rsidRPr="00A43B9C" w:rsidRDefault="00B553BC" w:rsidP="00B553BC">
            <w:pPr>
              <w:spacing w:after="0" w:line="240" w:lineRule="auto"/>
              <w:jc w:val="center"/>
              <w:rPr>
                <w:rFonts w:ascii="Times New Roman" w:hAnsi="Times New Roman" w:cs="Times New Roman"/>
                <w:sz w:val="28"/>
                <w:szCs w:val="28"/>
                <w:lang w:val="en-US"/>
              </w:rPr>
            </w:pPr>
            <w:r w:rsidRPr="004F1730">
              <w:rPr>
                <w:rFonts w:ascii="Times New Roman" w:hAnsi="Times New Roman" w:cs="Times New Roman"/>
                <w:sz w:val="24"/>
                <w:szCs w:val="24"/>
              </w:rPr>
              <w:t>л)</w:t>
            </w:r>
            <w:r w:rsidRPr="004F1730">
              <w:rPr>
                <w:rFonts w:ascii="Times New Roman" w:hAnsi="Times New Roman" w:cs="Times New Roman"/>
                <w:sz w:val="24"/>
                <w:szCs w:val="24"/>
                <w:lang w:val="en-US"/>
              </w:rPr>
              <w:t xml:space="preserve"> </w:t>
            </w:r>
            <w:r w:rsidRPr="004F1730">
              <w:rPr>
                <w:rFonts w:ascii="Times New Roman" w:hAnsi="Times New Roman" w:cs="Times New Roman"/>
                <w:sz w:val="24"/>
                <w:szCs w:val="24"/>
              </w:rPr>
              <w:t>Локализация P</w:t>
            </w:r>
          </w:p>
        </w:tc>
      </w:tr>
    </w:tbl>
    <w:p w14:paraId="0112471A" w14:textId="77777777" w:rsidR="00B553BC" w:rsidRDefault="00B553BC" w:rsidP="00121E9D">
      <w:pPr>
        <w:spacing w:after="0" w:line="240" w:lineRule="auto"/>
        <w:ind w:firstLine="709"/>
        <w:jc w:val="center"/>
        <w:rPr>
          <w:rFonts w:ascii="Times New Roman" w:hAnsi="Times New Roman" w:cs="Times New Roman"/>
          <w:sz w:val="28"/>
          <w:szCs w:val="28"/>
        </w:rPr>
      </w:pPr>
    </w:p>
    <w:p w14:paraId="38B909C8" w14:textId="3994511A" w:rsidR="00121E9D" w:rsidRPr="00A43B9C" w:rsidRDefault="00121E9D" w:rsidP="00121E9D">
      <w:pPr>
        <w:spacing w:after="0" w:line="240" w:lineRule="auto"/>
        <w:ind w:firstLine="709"/>
        <w:jc w:val="center"/>
        <w:rPr>
          <w:rFonts w:ascii="Times New Roman" w:hAnsi="Times New Roman" w:cs="Times New Roman"/>
          <w:sz w:val="28"/>
          <w:szCs w:val="28"/>
        </w:rPr>
      </w:pPr>
      <w:r w:rsidRPr="00A43B9C">
        <w:rPr>
          <w:rFonts w:ascii="Times New Roman" w:hAnsi="Times New Roman" w:cs="Times New Roman"/>
          <w:sz w:val="28"/>
          <w:szCs w:val="28"/>
        </w:rPr>
        <w:t xml:space="preserve">Рисунок </w:t>
      </w:r>
      <w:r w:rsidR="00006C4D">
        <w:rPr>
          <w:rFonts w:ascii="Times New Roman" w:hAnsi="Times New Roman" w:cs="Times New Roman"/>
          <w:sz w:val="28"/>
          <w:szCs w:val="28"/>
        </w:rPr>
        <w:t>9</w:t>
      </w:r>
      <w:r w:rsidR="001D33E2" w:rsidRPr="00A43B9C">
        <w:rPr>
          <w:rFonts w:ascii="Times New Roman" w:hAnsi="Times New Roman" w:cs="Times New Roman"/>
          <w:sz w:val="28"/>
          <w:szCs w:val="28"/>
        </w:rPr>
        <w:t xml:space="preserve"> </w:t>
      </w:r>
      <w:r w:rsidR="00B553BC">
        <w:rPr>
          <w:rFonts w:ascii="Times New Roman" w:hAnsi="Times New Roman" w:cs="Times New Roman"/>
          <w:sz w:val="28"/>
          <w:szCs w:val="28"/>
          <w:lang w:val="en-US"/>
        </w:rPr>
        <w:t xml:space="preserve">- </w:t>
      </w:r>
      <w:r w:rsidR="00B553BC">
        <w:rPr>
          <w:rFonts w:ascii="Times New Roman" w:hAnsi="Times New Roman" w:cs="Times New Roman"/>
          <w:sz w:val="28"/>
          <w:szCs w:val="28"/>
        </w:rPr>
        <w:t>лист 2</w:t>
      </w:r>
    </w:p>
    <w:p w14:paraId="62E92CBF" w14:textId="26668796" w:rsidR="00121E9D" w:rsidRPr="00A43B9C" w:rsidRDefault="00121E9D" w:rsidP="00DE7880">
      <w:pPr>
        <w:spacing w:after="0" w:line="240" w:lineRule="auto"/>
        <w:ind w:firstLine="709"/>
        <w:jc w:val="both"/>
        <w:rPr>
          <w:rFonts w:ascii="Times New Roman" w:hAnsi="Times New Roman" w:cs="Times New Roman"/>
          <w:sz w:val="28"/>
          <w:szCs w:val="28"/>
        </w:rPr>
      </w:pPr>
    </w:p>
    <w:p w14:paraId="4A3E0174" w14:textId="031652A7" w:rsidR="00DE7880" w:rsidRPr="00A43B9C" w:rsidRDefault="00E11C40" w:rsidP="00DE7880">
      <w:pPr>
        <w:spacing w:after="0" w:line="240" w:lineRule="auto"/>
        <w:ind w:firstLine="709"/>
        <w:jc w:val="both"/>
        <w:rPr>
          <w:rFonts w:ascii="Times New Roman" w:hAnsi="Times New Roman" w:cs="Times New Roman"/>
          <w:sz w:val="28"/>
          <w:szCs w:val="28"/>
          <w:lang w:val="kk-KZ"/>
        </w:rPr>
      </w:pPr>
      <w:r w:rsidRPr="00A43B9C">
        <w:rPr>
          <w:rFonts w:ascii="Times New Roman" w:hAnsi="Times New Roman" w:cs="Times New Roman"/>
          <w:sz w:val="28"/>
          <w:szCs w:val="28"/>
          <w:lang w:val="kk-KZ"/>
        </w:rPr>
        <w:t xml:space="preserve">Сравнительный анализ </w:t>
      </w:r>
      <w:r w:rsidR="00DE7880" w:rsidRPr="00A43B9C">
        <w:rPr>
          <w:rFonts w:ascii="Times New Roman" w:hAnsi="Times New Roman" w:cs="Times New Roman"/>
          <w:sz w:val="28"/>
          <w:szCs w:val="28"/>
        </w:rPr>
        <w:t xml:space="preserve">уровня </w:t>
      </w:r>
      <w:r w:rsidR="009307C9" w:rsidRPr="00A43B9C">
        <w:rPr>
          <w:rFonts w:ascii="Times New Roman" w:hAnsi="Times New Roman" w:cs="Times New Roman"/>
          <w:sz w:val="28"/>
          <w:szCs w:val="28"/>
        </w:rPr>
        <w:t>накопления</w:t>
      </w:r>
      <w:r w:rsidR="00DE7880" w:rsidRPr="00A43B9C">
        <w:rPr>
          <w:rFonts w:ascii="Times New Roman" w:hAnsi="Times New Roman" w:cs="Times New Roman"/>
          <w:sz w:val="28"/>
          <w:szCs w:val="28"/>
        </w:rPr>
        <w:t xml:space="preserve"> </w:t>
      </w:r>
      <w:r w:rsidR="00DE7880" w:rsidRPr="00A43B9C">
        <w:rPr>
          <w:rFonts w:ascii="Times New Roman" w:hAnsi="Times New Roman" w:cs="Times New Roman"/>
          <w:sz w:val="28"/>
          <w:szCs w:val="28"/>
          <w:lang w:val="en-US"/>
        </w:rPr>
        <w:t>SUV</w:t>
      </w:r>
      <w:r w:rsidR="00DE7880" w:rsidRPr="00A43B9C">
        <w:rPr>
          <w:rFonts w:ascii="Times New Roman" w:hAnsi="Times New Roman" w:cs="Times New Roman"/>
          <w:sz w:val="28"/>
          <w:szCs w:val="28"/>
          <w:vertAlign w:val="subscript"/>
          <w:lang w:val="en-US"/>
        </w:rPr>
        <w:t>max</w:t>
      </w:r>
      <w:r w:rsidR="00DE7880" w:rsidRPr="00A43B9C">
        <w:rPr>
          <w:rFonts w:ascii="Times New Roman" w:hAnsi="Times New Roman" w:cs="Times New Roman"/>
          <w:sz w:val="28"/>
          <w:szCs w:val="28"/>
          <w:lang w:val="kk-KZ"/>
        </w:rPr>
        <w:t xml:space="preserve"> в </w:t>
      </w:r>
      <w:r w:rsidR="0024258A" w:rsidRPr="00A43B9C">
        <w:rPr>
          <w:rFonts w:ascii="Times New Roman" w:hAnsi="Times New Roman" w:cs="Times New Roman"/>
          <w:sz w:val="28"/>
          <w:szCs w:val="28"/>
          <w:lang w:val="en-US"/>
        </w:rPr>
        <w:t>VAT</w:t>
      </w:r>
      <w:r w:rsidR="0024258A" w:rsidRPr="00A43B9C">
        <w:rPr>
          <w:rFonts w:ascii="Times New Roman" w:hAnsi="Times New Roman" w:cs="Times New Roman"/>
          <w:sz w:val="28"/>
          <w:szCs w:val="28"/>
        </w:rPr>
        <w:t xml:space="preserve"> в </w:t>
      </w:r>
      <w:r w:rsidR="00DE7880" w:rsidRPr="00A43B9C">
        <w:rPr>
          <w:rFonts w:ascii="Times New Roman" w:hAnsi="Times New Roman" w:cs="Times New Roman"/>
          <w:sz w:val="28"/>
          <w:szCs w:val="28"/>
          <w:lang w:val="kk-KZ"/>
        </w:rPr>
        <w:t xml:space="preserve">зависимости от стадии </w:t>
      </w:r>
      <w:r w:rsidR="00DE7880" w:rsidRPr="00A43B9C">
        <w:rPr>
          <w:rFonts w:ascii="Times New Roman" w:hAnsi="Times New Roman" w:cs="Times New Roman"/>
          <w:sz w:val="28"/>
          <w:szCs w:val="28"/>
          <w:lang w:val="en-US"/>
        </w:rPr>
        <w:t>FIGO</w:t>
      </w:r>
      <w:r w:rsidR="00DE7880" w:rsidRPr="00A43B9C">
        <w:rPr>
          <w:rFonts w:ascii="Times New Roman" w:hAnsi="Times New Roman" w:cs="Times New Roman"/>
          <w:sz w:val="28"/>
          <w:szCs w:val="28"/>
          <w:lang w:val="kk-KZ"/>
        </w:rPr>
        <w:t xml:space="preserve"> </w:t>
      </w:r>
      <w:r w:rsidR="0058242D" w:rsidRPr="00A43B9C">
        <w:rPr>
          <w:rFonts w:ascii="Times New Roman" w:hAnsi="Times New Roman" w:cs="Times New Roman"/>
          <w:sz w:val="28"/>
          <w:szCs w:val="28"/>
          <w:lang w:val="kk-KZ"/>
        </w:rPr>
        <w:t xml:space="preserve">(таблица 9) </w:t>
      </w:r>
      <w:r w:rsidR="00DE7880" w:rsidRPr="00A43B9C">
        <w:rPr>
          <w:rFonts w:ascii="Times New Roman" w:hAnsi="Times New Roman" w:cs="Times New Roman"/>
          <w:sz w:val="28"/>
          <w:szCs w:val="28"/>
          <w:lang w:val="kk-KZ"/>
        </w:rPr>
        <w:t xml:space="preserve">статистически значимых различий не </w:t>
      </w:r>
      <w:r w:rsidRPr="00A43B9C">
        <w:rPr>
          <w:rFonts w:ascii="Times New Roman" w:hAnsi="Times New Roman" w:cs="Times New Roman"/>
          <w:sz w:val="28"/>
          <w:szCs w:val="28"/>
          <w:lang w:val="kk-KZ"/>
        </w:rPr>
        <w:t xml:space="preserve">выявил </w:t>
      </w:r>
      <w:r w:rsidR="00DE7880" w:rsidRPr="00A43B9C">
        <w:rPr>
          <w:rFonts w:ascii="Times New Roman" w:hAnsi="Times New Roman" w:cs="Times New Roman"/>
          <w:sz w:val="28"/>
          <w:szCs w:val="28"/>
          <w:lang w:val="kk-KZ"/>
        </w:rPr>
        <w:t>для всех локализаций</w:t>
      </w:r>
      <w:r w:rsidR="0058242D" w:rsidRPr="00A43B9C">
        <w:rPr>
          <w:rFonts w:ascii="Times New Roman" w:hAnsi="Times New Roman" w:cs="Times New Roman"/>
          <w:sz w:val="28"/>
          <w:szCs w:val="28"/>
          <w:lang w:val="kk-KZ"/>
        </w:rPr>
        <w:t>:</w:t>
      </w:r>
      <w:r w:rsidR="00DE7880" w:rsidRPr="00A43B9C">
        <w:rPr>
          <w:rFonts w:ascii="Times New Roman" w:hAnsi="Times New Roman" w:cs="Times New Roman"/>
          <w:sz w:val="28"/>
          <w:szCs w:val="28"/>
          <w:lang w:val="kk-KZ"/>
        </w:rPr>
        <w:t xml:space="preserve"> RE (p = 0,202), RLH (p = 0,509), RRL (p = 0,276), RU (p = 0,144), RLL (p = 0,230), RRI (p = 0,013), RP (p = 0,192), RLI (p = 0,092), P (p = 0,201)</w:t>
      </w:r>
      <w:r w:rsidR="00EA5E8C">
        <w:rPr>
          <w:rFonts w:ascii="Times New Roman" w:hAnsi="Times New Roman" w:cs="Times New Roman"/>
          <w:sz w:val="28"/>
          <w:szCs w:val="28"/>
          <w:lang w:val="kk-KZ"/>
        </w:rPr>
        <w:t xml:space="preserve"> </w:t>
      </w:r>
      <w:r w:rsidR="00EA5E8C" w:rsidRPr="00A43B9C">
        <w:rPr>
          <w:rFonts w:ascii="Times New Roman" w:hAnsi="Times New Roman" w:cs="Times New Roman"/>
          <w:sz w:val="28"/>
          <w:szCs w:val="28"/>
          <w:lang w:val="kk-KZ"/>
        </w:rPr>
        <w:t xml:space="preserve">(рисунок </w:t>
      </w:r>
      <w:r w:rsidR="00EA5E8C">
        <w:rPr>
          <w:rFonts w:ascii="Times New Roman" w:hAnsi="Times New Roman" w:cs="Times New Roman"/>
          <w:sz w:val="28"/>
          <w:szCs w:val="28"/>
          <w:lang w:val="kk-KZ"/>
        </w:rPr>
        <w:t>10</w:t>
      </w:r>
      <w:r w:rsidR="00EA5E8C" w:rsidRPr="00A43B9C">
        <w:rPr>
          <w:rFonts w:ascii="Times New Roman" w:hAnsi="Times New Roman" w:cs="Times New Roman"/>
          <w:sz w:val="28"/>
          <w:szCs w:val="28"/>
          <w:lang w:val="kk-KZ"/>
        </w:rPr>
        <w:t>)</w:t>
      </w:r>
      <w:r w:rsidR="00DE7880" w:rsidRPr="00A43B9C">
        <w:rPr>
          <w:rFonts w:ascii="Times New Roman" w:hAnsi="Times New Roman" w:cs="Times New Roman"/>
          <w:sz w:val="28"/>
          <w:szCs w:val="28"/>
          <w:lang w:val="kk-KZ"/>
        </w:rPr>
        <w:t>.</w:t>
      </w:r>
    </w:p>
    <w:p w14:paraId="47CAADA9" w14:textId="77777777" w:rsidR="00DE7880" w:rsidRPr="00A43B9C" w:rsidRDefault="00DE7880" w:rsidP="00DE7880">
      <w:pPr>
        <w:spacing w:after="0" w:line="240" w:lineRule="auto"/>
        <w:jc w:val="center"/>
        <w:rPr>
          <w:rFonts w:ascii="Times New Roman" w:hAnsi="Times New Roman" w:cs="Times New Roman"/>
          <w:sz w:val="28"/>
          <w:szCs w:val="28"/>
          <w:lang w:val="kk-KZ"/>
        </w:rPr>
      </w:pPr>
    </w:p>
    <w:p w14:paraId="45750329" w14:textId="7867B1AF" w:rsidR="00DE7880" w:rsidRPr="00A43B9C" w:rsidRDefault="00DE7880" w:rsidP="00D12CD6">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 xml:space="preserve">Таблица </w:t>
      </w:r>
      <w:r w:rsidR="00676870" w:rsidRPr="00A43B9C">
        <w:rPr>
          <w:rFonts w:ascii="Times New Roman" w:hAnsi="Times New Roman" w:cs="Times New Roman"/>
          <w:sz w:val="28"/>
          <w:szCs w:val="28"/>
        </w:rPr>
        <w:t>9</w:t>
      </w:r>
      <w:r w:rsidR="000A6F86" w:rsidRPr="00A43B9C">
        <w:rPr>
          <w:rFonts w:ascii="Times New Roman" w:hAnsi="Times New Roman" w:cs="Times New Roman"/>
          <w:sz w:val="28"/>
          <w:szCs w:val="28"/>
        </w:rPr>
        <w:t xml:space="preserve"> - </w:t>
      </w:r>
      <w:r w:rsidRPr="00A43B9C">
        <w:rPr>
          <w:rFonts w:ascii="Times New Roman" w:hAnsi="Times New Roman" w:cs="Times New Roman"/>
          <w:sz w:val="28"/>
          <w:szCs w:val="28"/>
        </w:rPr>
        <w:t xml:space="preserve">Анализ уровня </w:t>
      </w:r>
      <w:r w:rsidR="009307C9" w:rsidRPr="00A43B9C">
        <w:rPr>
          <w:rFonts w:ascii="Times New Roman" w:hAnsi="Times New Roman" w:cs="Times New Roman"/>
          <w:sz w:val="28"/>
          <w:szCs w:val="28"/>
        </w:rPr>
        <w:t>накопления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зависимости от </w:t>
      </w:r>
      <w:r w:rsidR="007875C6" w:rsidRPr="00A43B9C">
        <w:rPr>
          <w:rFonts w:ascii="Times New Roman" w:hAnsi="Times New Roman" w:cs="Times New Roman"/>
          <w:sz w:val="28"/>
          <w:szCs w:val="28"/>
        </w:rPr>
        <w:t xml:space="preserve">стадии </w:t>
      </w:r>
      <w:r w:rsidRPr="00A43B9C">
        <w:rPr>
          <w:rFonts w:ascii="Times New Roman" w:hAnsi="Times New Roman" w:cs="Times New Roman"/>
          <w:sz w:val="28"/>
          <w:szCs w:val="28"/>
          <w:lang w:val="en-US"/>
        </w:rPr>
        <w:t>FIGO</w:t>
      </w:r>
    </w:p>
    <w:p w14:paraId="70CAD828" w14:textId="77777777" w:rsidR="00D12CD6" w:rsidRPr="00A43B9C" w:rsidRDefault="00D12CD6" w:rsidP="00D12CD6">
      <w:pPr>
        <w:spacing w:after="0" w:line="240" w:lineRule="auto"/>
        <w:jc w:val="both"/>
        <w:rPr>
          <w:rFonts w:ascii="Times New Roman" w:hAnsi="Times New Roman" w:cs="Times New Roman"/>
          <w:sz w:val="28"/>
          <w:szCs w:val="28"/>
        </w:rPr>
      </w:pPr>
    </w:p>
    <w:tbl>
      <w:tblPr>
        <w:tblStyle w:val="ad"/>
        <w:tblW w:w="5000" w:type="pct"/>
        <w:jc w:val="center"/>
        <w:tblLook w:val="04A0" w:firstRow="1" w:lastRow="0" w:firstColumn="1" w:lastColumn="0" w:noHBand="0" w:noVBand="1"/>
      </w:tblPr>
      <w:tblGrid>
        <w:gridCol w:w="1761"/>
        <w:gridCol w:w="1553"/>
        <w:gridCol w:w="1506"/>
        <w:gridCol w:w="1508"/>
        <w:gridCol w:w="1508"/>
        <w:gridCol w:w="1508"/>
      </w:tblGrid>
      <w:tr w:rsidR="00DE7880" w:rsidRPr="00A43B9C" w14:paraId="613FD2C2" w14:textId="77777777" w:rsidTr="00F87FE6">
        <w:trPr>
          <w:jc w:val="center"/>
        </w:trPr>
        <w:tc>
          <w:tcPr>
            <w:tcW w:w="942" w:type="pct"/>
            <w:vAlign w:val="center"/>
          </w:tcPr>
          <w:p w14:paraId="350722C6"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Локализация</w:t>
            </w:r>
          </w:p>
        </w:tc>
        <w:tc>
          <w:tcPr>
            <w:tcW w:w="831" w:type="pct"/>
            <w:vAlign w:val="center"/>
          </w:tcPr>
          <w:p w14:paraId="6DCDC877"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Категория</w:t>
            </w:r>
          </w:p>
        </w:tc>
        <w:tc>
          <w:tcPr>
            <w:tcW w:w="806" w:type="pct"/>
            <w:vAlign w:val="center"/>
          </w:tcPr>
          <w:p w14:paraId="0A906276"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Me</w:t>
            </w:r>
          </w:p>
        </w:tc>
        <w:tc>
          <w:tcPr>
            <w:tcW w:w="807" w:type="pct"/>
            <w:vAlign w:val="center"/>
          </w:tcPr>
          <w:p w14:paraId="601E0BA0"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Q₁ – Q₃</w:t>
            </w:r>
          </w:p>
        </w:tc>
        <w:tc>
          <w:tcPr>
            <w:tcW w:w="807" w:type="pct"/>
            <w:vAlign w:val="center"/>
          </w:tcPr>
          <w:p w14:paraId="7BB0F341"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p>
        </w:tc>
        <w:tc>
          <w:tcPr>
            <w:tcW w:w="807" w:type="pct"/>
            <w:vAlign w:val="center"/>
          </w:tcPr>
          <w:p w14:paraId="4E7107A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w:t>
            </w:r>
          </w:p>
        </w:tc>
      </w:tr>
      <w:tr w:rsidR="00452443" w:rsidRPr="00A43B9C" w14:paraId="324553A4" w14:textId="77777777" w:rsidTr="00F63C82">
        <w:trPr>
          <w:jc w:val="center"/>
        </w:trPr>
        <w:tc>
          <w:tcPr>
            <w:tcW w:w="942" w:type="pct"/>
            <w:vAlign w:val="center"/>
          </w:tcPr>
          <w:p w14:paraId="1E3CA786" w14:textId="7F105073"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831" w:type="pct"/>
            <w:vAlign w:val="center"/>
          </w:tcPr>
          <w:p w14:paraId="17F3782E" w14:textId="2FEB5605"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806" w:type="pct"/>
            <w:vAlign w:val="center"/>
          </w:tcPr>
          <w:p w14:paraId="72562E89" w14:textId="724FDC99"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807" w:type="pct"/>
            <w:vAlign w:val="center"/>
          </w:tcPr>
          <w:p w14:paraId="6F4435F4" w14:textId="7CCED12A"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807" w:type="pct"/>
            <w:vAlign w:val="center"/>
          </w:tcPr>
          <w:p w14:paraId="26D6B8F8" w14:textId="253B3491"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807" w:type="pct"/>
          </w:tcPr>
          <w:p w14:paraId="1682C828" w14:textId="6B5C5F56"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r>
      <w:tr w:rsidR="00452443" w:rsidRPr="00A43B9C" w14:paraId="03B1ED1C" w14:textId="77777777" w:rsidTr="00F87FE6">
        <w:trPr>
          <w:jc w:val="center"/>
        </w:trPr>
        <w:tc>
          <w:tcPr>
            <w:tcW w:w="942" w:type="pct"/>
            <w:vMerge w:val="restart"/>
            <w:vAlign w:val="center"/>
          </w:tcPr>
          <w:p w14:paraId="688539A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RE</w:t>
            </w:r>
          </w:p>
        </w:tc>
        <w:tc>
          <w:tcPr>
            <w:tcW w:w="831" w:type="pct"/>
            <w:vAlign w:val="center"/>
          </w:tcPr>
          <w:p w14:paraId="5A02ED4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w:t>
            </w:r>
          </w:p>
        </w:tc>
        <w:tc>
          <w:tcPr>
            <w:tcW w:w="806" w:type="pct"/>
            <w:vAlign w:val="center"/>
          </w:tcPr>
          <w:p w14:paraId="3D559C8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0,79</w:t>
            </w:r>
          </w:p>
        </w:tc>
        <w:tc>
          <w:tcPr>
            <w:tcW w:w="807" w:type="pct"/>
            <w:vAlign w:val="center"/>
          </w:tcPr>
          <w:p w14:paraId="1863AC4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0,62 – 1,22</w:t>
            </w:r>
          </w:p>
        </w:tc>
        <w:tc>
          <w:tcPr>
            <w:tcW w:w="807" w:type="pct"/>
            <w:vAlign w:val="center"/>
          </w:tcPr>
          <w:p w14:paraId="42D6196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807" w:type="pct"/>
            <w:vMerge w:val="restart"/>
            <w:vAlign w:val="center"/>
          </w:tcPr>
          <w:p w14:paraId="2A9A7CC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0,202</w:t>
            </w:r>
          </w:p>
        </w:tc>
      </w:tr>
      <w:tr w:rsidR="00452443" w:rsidRPr="00A43B9C" w14:paraId="4EA156D4" w14:textId="77777777" w:rsidTr="00F87FE6">
        <w:trPr>
          <w:jc w:val="center"/>
        </w:trPr>
        <w:tc>
          <w:tcPr>
            <w:tcW w:w="942" w:type="pct"/>
            <w:vMerge/>
            <w:vAlign w:val="center"/>
          </w:tcPr>
          <w:p w14:paraId="5BE20697"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vAlign w:val="center"/>
          </w:tcPr>
          <w:p w14:paraId="0923AA4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w:t>
            </w:r>
          </w:p>
        </w:tc>
        <w:tc>
          <w:tcPr>
            <w:tcW w:w="806" w:type="pct"/>
            <w:vAlign w:val="center"/>
          </w:tcPr>
          <w:p w14:paraId="3847E39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0,77</w:t>
            </w:r>
          </w:p>
        </w:tc>
        <w:tc>
          <w:tcPr>
            <w:tcW w:w="807" w:type="pct"/>
            <w:vAlign w:val="center"/>
          </w:tcPr>
          <w:p w14:paraId="38F41A5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 – 0,84</w:t>
            </w:r>
          </w:p>
        </w:tc>
        <w:tc>
          <w:tcPr>
            <w:tcW w:w="807" w:type="pct"/>
            <w:vAlign w:val="center"/>
          </w:tcPr>
          <w:p w14:paraId="07A32B5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13</w:t>
            </w:r>
          </w:p>
        </w:tc>
        <w:tc>
          <w:tcPr>
            <w:tcW w:w="807" w:type="pct"/>
            <w:vMerge/>
          </w:tcPr>
          <w:p w14:paraId="19C250C5"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3CC0440D" w14:textId="77777777" w:rsidTr="00F87FE6">
        <w:trPr>
          <w:trHeight w:val="103"/>
          <w:jc w:val="center"/>
        </w:trPr>
        <w:tc>
          <w:tcPr>
            <w:tcW w:w="942" w:type="pct"/>
            <w:vMerge/>
            <w:vAlign w:val="center"/>
          </w:tcPr>
          <w:p w14:paraId="1E8CE4E0"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vAlign w:val="center"/>
          </w:tcPr>
          <w:p w14:paraId="1E35216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III</w:t>
            </w:r>
          </w:p>
        </w:tc>
        <w:tc>
          <w:tcPr>
            <w:tcW w:w="806" w:type="pct"/>
            <w:vAlign w:val="center"/>
          </w:tcPr>
          <w:p w14:paraId="774EE61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0,85</w:t>
            </w:r>
          </w:p>
        </w:tc>
        <w:tc>
          <w:tcPr>
            <w:tcW w:w="807" w:type="pct"/>
            <w:vAlign w:val="center"/>
          </w:tcPr>
          <w:p w14:paraId="28DF299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0,67 – 1,31</w:t>
            </w:r>
          </w:p>
        </w:tc>
        <w:tc>
          <w:tcPr>
            <w:tcW w:w="807" w:type="pct"/>
            <w:vAlign w:val="center"/>
          </w:tcPr>
          <w:p w14:paraId="144ABF0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32</w:t>
            </w:r>
          </w:p>
        </w:tc>
        <w:tc>
          <w:tcPr>
            <w:tcW w:w="807" w:type="pct"/>
            <w:vMerge/>
          </w:tcPr>
          <w:p w14:paraId="1290169D"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73288C94" w14:textId="77777777" w:rsidTr="00F87FE6">
        <w:trPr>
          <w:jc w:val="center"/>
        </w:trPr>
        <w:tc>
          <w:tcPr>
            <w:tcW w:w="942" w:type="pct"/>
            <w:vMerge w:val="restart"/>
            <w:vAlign w:val="center"/>
          </w:tcPr>
          <w:p w14:paraId="36FF7759" w14:textId="77777777" w:rsidR="00452443" w:rsidRPr="00A43B9C" w:rsidRDefault="00452443" w:rsidP="00452443">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RLH</w:t>
            </w:r>
          </w:p>
        </w:tc>
        <w:tc>
          <w:tcPr>
            <w:tcW w:w="831" w:type="pct"/>
            <w:vAlign w:val="center"/>
          </w:tcPr>
          <w:p w14:paraId="019255E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w:t>
            </w:r>
          </w:p>
        </w:tc>
        <w:tc>
          <w:tcPr>
            <w:tcW w:w="806" w:type="pct"/>
            <w:vAlign w:val="center"/>
          </w:tcPr>
          <w:p w14:paraId="65F5ED6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0,81</w:t>
            </w:r>
          </w:p>
        </w:tc>
        <w:tc>
          <w:tcPr>
            <w:tcW w:w="807" w:type="pct"/>
            <w:vAlign w:val="center"/>
          </w:tcPr>
          <w:p w14:paraId="26A0B57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0,65 – 1,04</w:t>
            </w:r>
          </w:p>
        </w:tc>
        <w:tc>
          <w:tcPr>
            <w:tcW w:w="807" w:type="pct"/>
            <w:vAlign w:val="center"/>
          </w:tcPr>
          <w:p w14:paraId="7E5EC55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807" w:type="pct"/>
            <w:vMerge w:val="restart"/>
            <w:vAlign w:val="center"/>
          </w:tcPr>
          <w:p w14:paraId="14C5610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0,509</w:t>
            </w:r>
          </w:p>
        </w:tc>
      </w:tr>
      <w:tr w:rsidR="00452443" w:rsidRPr="00A43B9C" w14:paraId="56D85FDE" w14:textId="77777777" w:rsidTr="00F87FE6">
        <w:trPr>
          <w:jc w:val="center"/>
        </w:trPr>
        <w:tc>
          <w:tcPr>
            <w:tcW w:w="942" w:type="pct"/>
            <w:vMerge/>
            <w:vAlign w:val="center"/>
          </w:tcPr>
          <w:p w14:paraId="75A602B2"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vAlign w:val="center"/>
          </w:tcPr>
          <w:p w14:paraId="7CC26D7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w:t>
            </w:r>
          </w:p>
        </w:tc>
        <w:tc>
          <w:tcPr>
            <w:tcW w:w="806" w:type="pct"/>
            <w:vAlign w:val="center"/>
          </w:tcPr>
          <w:p w14:paraId="49EE190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0,62</w:t>
            </w:r>
          </w:p>
        </w:tc>
        <w:tc>
          <w:tcPr>
            <w:tcW w:w="807" w:type="pct"/>
            <w:vAlign w:val="center"/>
          </w:tcPr>
          <w:p w14:paraId="4E427D8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0,54 – 0,78</w:t>
            </w:r>
          </w:p>
        </w:tc>
        <w:tc>
          <w:tcPr>
            <w:tcW w:w="807" w:type="pct"/>
            <w:vAlign w:val="center"/>
          </w:tcPr>
          <w:p w14:paraId="67D5898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13</w:t>
            </w:r>
          </w:p>
        </w:tc>
        <w:tc>
          <w:tcPr>
            <w:tcW w:w="807" w:type="pct"/>
            <w:vMerge/>
          </w:tcPr>
          <w:p w14:paraId="060A5E82"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19F251B7" w14:textId="77777777" w:rsidTr="00F87FE6">
        <w:trPr>
          <w:trHeight w:val="103"/>
          <w:jc w:val="center"/>
        </w:trPr>
        <w:tc>
          <w:tcPr>
            <w:tcW w:w="942" w:type="pct"/>
            <w:vMerge/>
            <w:vAlign w:val="center"/>
          </w:tcPr>
          <w:p w14:paraId="45E29BCB"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vAlign w:val="center"/>
          </w:tcPr>
          <w:p w14:paraId="217F93E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III</w:t>
            </w:r>
          </w:p>
        </w:tc>
        <w:tc>
          <w:tcPr>
            <w:tcW w:w="806" w:type="pct"/>
            <w:vAlign w:val="center"/>
          </w:tcPr>
          <w:p w14:paraId="365A315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0,78</w:t>
            </w:r>
          </w:p>
        </w:tc>
        <w:tc>
          <w:tcPr>
            <w:tcW w:w="807" w:type="pct"/>
            <w:vAlign w:val="center"/>
          </w:tcPr>
          <w:p w14:paraId="3D233BA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0,52 – 1,16</w:t>
            </w:r>
          </w:p>
        </w:tc>
        <w:tc>
          <w:tcPr>
            <w:tcW w:w="807" w:type="pct"/>
            <w:vAlign w:val="center"/>
          </w:tcPr>
          <w:p w14:paraId="0BB380B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32</w:t>
            </w:r>
          </w:p>
        </w:tc>
        <w:tc>
          <w:tcPr>
            <w:tcW w:w="807" w:type="pct"/>
            <w:vMerge/>
          </w:tcPr>
          <w:p w14:paraId="005D64D8"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2BC01747" w14:textId="77777777" w:rsidTr="00F87FE6">
        <w:trPr>
          <w:jc w:val="center"/>
        </w:trPr>
        <w:tc>
          <w:tcPr>
            <w:tcW w:w="942" w:type="pct"/>
            <w:vMerge w:val="restart"/>
            <w:vAlign w:val="center"/>
          </w:tcPr>
          <w:p w14:paraId="0035A982" w14:textId="77777777" w:rsidR="00452443" w:rsidRPr="00A43B9C" w:rsidRDefault="00452443" w:rsidP="00452443">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RRL</w:t>
            </w:r>
          </w:p>
        </w:tc>
        <w:tc>
          <w:tcPr>
            <w:tcW w:w="831" w:type="pct"/>
            <w:vAlign w:val="center"/>
          </w:tcPr>
          <w:p w14:paraId="25B4A1C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w:t>
            </w:r>
          </w:p>
        </w:tc>
        <w:tc>
          <w:tcPr>
            <w:tcW w:w="806" w:type="pct"/>
            <w:vAlign w:val="center"/>
          </w:tcPr>
          <w:p w14:paraId="1DAEE1C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0,72</w:t>
            </w:r>
          </w:p>
        </w:tc>
        <w:tc>
          <w:tcPr>
            <w:tcW w:w="807" w:type="pct"/>
            <w:vAlign w:val="center"/>
          </w:tcPr>
          <w:p w14:paraId="5918A08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0,65 – 1,27</w:t>
            </w:r>
          </w:p>
        </w:tc>
        <w:tc>
          <w:tcPr>
            <w:tcW w:w="807" w:type="pct"/>
            <w:vAlign w:val="center"/>
          </w:tcPr>
          <w:p w14:paraId="20D3BF6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807" w:type="pct"/>
            <w:vMerge w:val="restart"/>
            <w:vAlign w:val="center"/>
          </w:tcPr>
          <w:p w14:paraId="766214A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0,276</w:t>
            </w:r>
          </w:p>
        </w:tc>
      </w:tr>
      <w:tr w:rsidR="00452443" w:rsidRPr="00A43B9C" w14:paraId="6DDFC753" w14:textId="77777777" w:rsidTr="00F87FE6">
        <w:trPr>
          <w:jc w:val="center"/>
        </w:trPr>
        <w:tc>
          <w:tcPr>
            <w:tcW w:w="942" w:type="pct"/>
            <w:vMerge/>
            <w:vAlign w:val="center"/>
          </w:tcPr>
          <w:p w14:paraId="0349BDF6"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vAlign w:val="center"/>
          </w:tcPr>
          <w:p w14:paraId="3F093E9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w:t>
            </w:r>
          </w:p>
        </w:tc>
        <w:tc>
          <w:tcPr>
            <w:tcW w:w="806" w:type="pct"/>
            <w:vAlign w:val="center"/>
          </w:tcPr>
          <w:p w14:paraId="60B1FCF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0,82</w:t>
            </w:r>
          </w:p>
        </w:tc>
        <w:tc>
          <w:tcPr>
            <w:tcW w:w="807" w:type="pct"/>
            <w:vAlign w:val="center"/>
          </w:tcPr>
          <w:p w14:paraId="2743959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0,73 – 0,97</w:t>
            </w:r>
          </w:p>
        </w:tc>
        <w:tc>
          <w:tcPr>
            <w:tcW w:w="807" w:type="pct"/>
            <w:vAlign w:val="center"/>
          </w:tcPr>
          <w:p w14:paraId="66CE51E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13</w:t>
            </w:r>
          </w:p>
        </w:tc>
        <w:tc>
          <w:tcPr>
            <w:tcW w:w="807" w:type="pct"/>
            <w:vMerge/>
          </w:tcPr>
          <w:p w14:paraId="14286CBA"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75488D37" w14:textId="77777777" w:rsidTr="00A71535">
        <w:trPr>
          <w:trHeight w:val="103"/>
          <w:jc w:val="center"/>
        </w:trPr>
        <w:tc>
          <w:tcPr>
            <w:tcW w:w="942" w:type="pct"/>
            <w:vMerge/>
            <w:tcBorders>
              <w:bottom w:val="nil"/>
            </w:tcBorders>
            <w:vAlign w:val="center"/>
          </w:tcPr>
          <w:p w14:paraId="3CEEBE5A"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tcBorders>
              <w:bottom w:val="nil"/>
            </w:tcBorders>
            <w:vAlign w:val="center"/>
          </w:tcPr>
          <w:p w14:paraId="2E095EA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III</w:t>
            </w:r>
          </w:p>
        </w:tc>
        <w:tc>
          <w:tcPr>
            <w:tcW w:w="806" w:type="pct"/>
            <w:tcBorders>
              <w:bottom w:val="nil"/>
            </w:tcBorders>
            <w:vAlign w:val="center"/>
          </w:tcPr>
          <w:p w14:paraId="388041D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1,04</w:t>
            </w:r>
          </w:p>
        </w:tc>
        <w:tc>
          <w:tcPr>
            <w:tcW w:w="807" w:type="pct"/>
            <w:tcBorders>
              <w:bottom w:val="nil"/>
            </w:tcBorders>
            <w:vAlign w:val="center"/>
          </w:tcPr>
          <w:p w14:paraId="2B69EE6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0,79 – 1,43</w:t>
            </w:r>
          </w:p>
        </w:tc>
        <w:tc>
          <w:tcPr>
            <w:tcW w:w="807" w:type="pct"/>
            <w:tcBorders>
              <w:bottom w:val="nil"/>
            </w:tcBorders>
            <w:vAlign w:val="center"/>
          </w:tcPr>
          <w:p w14:paraId="19EAD7F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32</w:t>
            </w:r>
          </w:p>
        </w:tc>
        <w:tc>
          <w:tcPr>
            <w:tcW w:w="807" w:type="pct"/>
            <w:vMerge/>
            <w:tcBorders>
              <w:bottom w:val="nil"/>
            </w:tcBorders>
          </w:tcPr>
          <w:p w14:paraId="616B87E0"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775147B7" w14:textId="77777777" w:rsidTr="00A71535">
        <w:trPr>
          <w:trHeight w:val="103"/>
          <w:jc w:val="center"/>
        </w:trPr>
        <w:tc>
          <w:tcPr>
            <w:tcW w:w="5000" w:type="pct"/>
            <w:gridSpan w:val="6"/>
            <w:tcBorders>
              <w:top w:val="nil"/>
              <w:left w:val="nil"/>
              <w:bottom w:val="single" w:sz="4" w:space="0" w:color="auto"/>
              <w:right w:val="nil"/>
            </w:tcBorders>
            <w:vAlign w:val="center"/>
          </w:tcPr>
          <w:p w14:paraId="7879DFE8" w14:textId="0304A752" w:rsidR="00452443" w:rsidRDefault="00452443" w:rsidP="00452443">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9</w:t>
            </w:r>
          </w:p>
          <w:p w14:paraId="285C4860" w14:textId="77777777" w:rsidR="00452443" w:rsidRPr="00A43B9C" w:rsidRDefault="00452443" w:rsidP="00452443">
            <w:pPr>
              <w:spacing w:after="0" w:line="240" w:lineRule="auto"/>
              <w:rPr>
                <w:rFonts w:ascii="Times New Roman" w:hAnsi="Times New Roman" w:cs="Times New Roman"/>
                <w:sz w:val="28"/>
                <w:szCs w:val="28"/>
              </w:rPr>
            </w:pPr>
          </w:p>
        </w:tc>
      </w:tr>
      <w:tr w:rsidR="00452443" w:rsidRPr="00A43B9C" w14:paraId="248F69FD" w14:textId="77777777" w:rsidTr="00A71535">
        <w:trPr>
          <w:trHeight w:val="103"/>
          <w:jc w:val="center"/>
        </w:trPr>
        <w:tc>
          <w:tcPr>
            <w:tcW w:w="942" w:type="pct"/>
            <w:tcBorders>
              <w:top w:val="single" w:sz="4" w:space="0" w:color="auto"/>
            </w:tcBorders>
            <w:vAlign w:val="center"/>
          </w:tcPr>
          <w:p w14:paraId="6851E7DA" w14:textId="6493A591"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831" w:type="pct"/>
            <w:tcBorders>
              <w:top w:val="single" w:sz="4" w:space="0" w:color="auto"/>
            </w:tcBorders>
            <w:vAlign w:val="center"/>
          </w:tcPr>
          <w:p w14:paraId="29388BB0" w14:textId="0F438F09"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806" w:type="pct"/>
            <w:tcBorders>
              <w:top w:val="single" w:sz="4" w:space="0" w:color="auto"/>
            </w:tcBorders>
            <w:vAlign w:val="center"/>
          </w:tcPr>
          <w:p w14:paraId="7953A238" w14:textId="2DD31134"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807" w:type="pct"/>
            <w:tcBorders>
              <w:top w:val="single" w:sz="4" w:space="0" w:color="auto"/>
            </w:tcBorders>
            <w:vAlign w:val="center"/>
          </w:tcPr>
          <w:p w14:paraId="188342E5" w14:textId="1547D5EE"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807" w:type="pct"/>
            <w:tcBorders>
              <w:top w:val="single" w:sz="4" w:space="0" w:color="auto"/>
            </w:tcBorders>
            <w:vAlign w:val="center"/>
          </w:tcPr>
          <w:p w14:paraId="7EAA0B1A" w14:textId="7FE6BD5C"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807" w:type="pct"/>
            <w:tcBorders>
              <w:top w:val="single" w:sz="4" w:space="0" w:color="auto"/>
            </w:tcBorders>
          </w:tcPr>
          <w:p w14:paraId="5C78E253" w14:textId="51FB7193"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r>
      <w:tr w:rsidR="00452443" w:rsidRPr="00A43B9C" w14:paraId="15FCA2CB" w14:textId="77777777" w:rsidTr="00F87FE6">
        <w:trPr>
          <w:jc w:val="center"/>
        </w:trPr>
        <w:tc>
          <w:tcPr>
            <w:tcW w:w="942" w:type="pct"/>
            <w:vMerge w:val="restart"/>
            <w:vAlign w:val="center"/>
          </w:tcPr>
          <w:p w14:paraId="7B5E65F2" w14:textId="77777777" w:rsidR="00452443" w:rsidRPr="00A43B9C" w:rsidRDefault="00452443" w:rsidP="00452443">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RU</w:t>
            </w:r>
          </w:p>
        </w:tc>
        <w:tc>
          <w:tcPr>
            <w:tcW w:w="831" w:type="pct"/>
            <w:vAlign w:val="center"/>
          </w:tcPr>
          <w:p w14:paraId="6F79F59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w:t>
            </w:r>
          </w:p>
        </w:tc>
        <w:tc>
          <w:tcPr>
            <w:tcW w:w="806" w:type="pct"/>
            <w:vAlign w:val="center"/>
          </w:tcPr>
          <w:p w14:paraId="34CE90D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0,81</w:t>
            </w:r>
          </w:p>
        </w:tc>
        <w:tc>
          <w:tcPr>
            <w:tcW w:w="807" w:type="pct"/>
            <w:vAlign w:val="center"/>
          </w:tcPr>
          <w:p w14:paraId="739882B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0,69 – 1,08</w:t>
            </w:r>
          </w:p>
        </w:tc>
        <w:tc>
          <w:tcPr>
            <w:tcW w:w="807" w:type="pct"/>
            <w:vAlign w:val="center"/>
          </w:tcPr>
          <w:p w14:paraId="3CDBA02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807" w:type="pct"/>
            <w:vMerge w:val="restart"/>
            <w:vAlign w:val="center"/>
          </w:tcPr>
          <w:p w14:paraId="509C447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0,144</w:t>
            </w:r>
          </w:p>
        </w:tc>
      </w:tr>
      <w:tr w:rsidR="00452443" w:rsidRPr="00A43B9C" w14:paraId="446922C4" w14:textId="77777777" w:rsidTr="00F87FE6">
        <w:trPr>
          <w:jc w:val="center"/>
        </w:trPr>
        <w:tc>
          <w:tcPr>
            <w:tcW w:w="942" w:type="pct"/>
            <w:vMerge/>
            <w:vAlign w:val="center"/>
          </w:tcPr>
          <w:p w14:paraId="17FDF361"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vAlign w:val="center"/>
          </w:tcPr>
          <w:p w14:paraId="046E9B7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w:t>
            </w:r>
          </w:p>
        </w:tc>
        <w:tc>
          <w:tcPr>
            <w:tcW w:w="806" w:type="pct"/>
            <w:vAlign w:val="center"/>
          </w:tcPr>
          <w:p w14:paraId="224F0C2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0,68</w:t>
            </w:r>
          </w:p>
        </w:tc>
        <w:tc>
          <w:tcPr>
            <w:tcW w:w="807" w:type="pct"/>
            <w:vAlign w:val="center"/>
          </w:tcPr>
          <w:p w14:paraId="4D9231E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0,64 – 0,75</w:t>
            </w:r>
          </w:p>
        </w:tc>
        <w:tc>
          <w:tcPr>
            <w:tcW w:w="807" w:type="pct"/>
            <w:vAlign w:val="center"/>
          </w:tcPr>
          <w:p w14:paraId="7C91167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13</w:t>
            </w:r>
          </w:p>
        </w:tc>
        <w:tc>
          <w:tcPr>
            <w:tcW w:w="807" w:type="pct"/>
            <w:vMerge/>
          </w:tcPr>
          <w:p w14:paraId="65172812"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691A7999" w14:textId="77777777" w:rsidTr="00F87FE6">
        <w:trPr>
          <w:trHeight w:val="103"/>
          <w:jc w:val="center"/>
        </w:trPr>
        <w:tc>
          <w:tcPr>
            <w:tcW w:w="942" w:type="pct"/>
            <w:vMerge/>
            <w:vAlign w:val="center"/>
          </w:tcPr>
          <w:p w14:paraId="10678615"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vAlign w:val="center"/>
          </w:tcPr>
          <w:p w14:paraId="6E8F950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III</w:t>
            </w:r>
          </w:p>
        </w:tc>
        <w:tc>
          <w:tcPr>
            <w:tcW w:w="806" w:type="pct"/>
            <w:vAlign w:val="center"/>
          </w:tcPr>
          <w:p w14:paraId="1555906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w:t>
            </w:r>
          </w:p>
        </w:tc>
        <w:tc>
          <w:tcPr>
            <w:tcW w:w="807" w:type="pct"/>
            <w:vAlign w:val="center"/>
          </w:tcPr>
          <w:p w14:paraId="0E927FB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0,68 – 1,27</w:t>
            </w:r>
          </w:p>
        </w:tc>
        <w:tc>
          <w:tcPr>
            <w:tcW w:w="807" w:type="pct"/>
            <w:vAlign w:val="center"/>
          </w:tcPr>
          <w:p w14:paraId="253B3CD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32</w:t>
            </w:r>
          </w:p>
        </w:tc>
        <w:tc>
          <w:tcPr>
            <w:tcW w:w="807" w:type="pct"/>
            <w:vMerge/>
          </w:tcPr>
          <w:p w14:paraId="6C99F35F"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3EB77FFC" w14:textId="77777777" w:rsidTr="00F87FE6">
        <w:trPr>
          <w:jc w:val="center"/>
        </w:trPr>
        <w:tc>
          <w:tcPr>
            <w:tcW w:w="942" w:type="pct"/>
            <w:vMerge w:val="restart"/>
            <w:vAlign w:val="center"/>
          </w:tcPr>
          <w:p w14:paraId="37B7C69D" w14:textId="77777777" w:rsidR="00452443" w:rsidRPr="00A43B9C" w:rsidRDefault="00452443" w:rsidP="00452443">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RLL</w:t>
            </w:r>
          </w:p>
        </w:tc>
        <w:tc>
          <w:tcPr>
            <w:tcW w:w="831" w:type="pct"/>
            <w:vAlign w:val="center"/>
          </w:tcPr>
          <w:p w14:paraId="204B3B5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w:t>
            </w:r>
          </w:p>
        </w:tc>
        <w:tc>
          <w:tcPr>
            <w:tcW w:w="806" w:type="pct"/>
            <w:vAlign w:val="center"/>
          </w:tcPr>
          <w:p w14:paraId="012F7AC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0,88</w:t>
            </w:r>
          </w:p>
        </w:tc>
        <w:tc>
          <w:tcPr>
            <w:tcW w:w="807" w:type="pct"/>
            <w:vAlign w:val="center"/>
          </w:tcPr>
          <w:p w14:paraId="1586E54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0,58 – 1,10</w:t>
            </w:r>
          </w:p>
        </w:tc>
        <w:tc>
          <w:tcPr>
            <w:tcW w:w="807" w:type="pct"/>
            <w:vAlign w:val="center"/>
          </w:tcPr>
          <w:p w14:paraId="7317010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807" w:type="pct"/>
            <w:vMerge w:val="restart"/>
            <w:vAlign w:val="center"/>
          </w:tcPr>
          <w:p w14:paraId="54904BC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0,23</w:t>
            </w:r>
          </w:p>
        </w:tc>
      </w:tr>
      <w:tr w:rsidR="00452443" w:rsidRPr="00A43B9C" w14:paraId="00A4654F" w14:textId="77777777" w:rsidTr="00F87FE6">
        <w:trPr>
          <w:jc w:val="center"/>
        </w:trPr>
        <w:tc>
          <w:tcPr>
            <w:tcW w:w="942" w:type="pct"/>
            <w:vMerge/>
            <w:vAlign w:val="center"/>
          </w:tcPr>
          <w:p w14:paraId="20B5C1F6"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vAlign w:val="center"/>
          </w:tcPr>
          <w:p w14:paraId="77DEC4E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w:t>
            </w:r>
          </w:p>
        </w:tc>
        <w:tc>
          <w:tcPr>
            <w:tcW w:w="806" w:type="pct"/>
            <w:vAlign w:val="center"/>
          </w:tcPr>
          <w:p w14:paraId="3835614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0,86</w:t>
            </w:r>
          </w:p>
        </w:tc>
        <w:tc>
          <w:tcPr>
            <w:tcW w:w="807" w:type="pct"/>
            <w:vAlign w:val="center"/>
          </w:tcPr>
          <w:p w14:paraId="72E2E9F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0,74 – 0,97</w:t>
            </w:r>
          </w:p>
        </w:tc>
        <w:tc>
          <w:tcPr>
            <w:tcW w:w="807" w:type="pct"/>
            <w:vAlign w:val="center"/>
          </w:tcPr>
          <w:p w14:paraId="06359F0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13</w:t>
            </w:r>
          </w:p>
        </w:tc>
        <w:tc>
          <w:tcPr>
            <w:tcW w:w="807" w:type="pct"/>
            <w:vMerge/>
          </w:tcPr>
          <w:p w14:paraId="5222159F"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605A8932" w14:textId="77777777" w:rsidTr="00F87FE6">
        <w:trPr>
          <w:trHeight w:val="103"/>
          <w:jc w:val="center"/>
        </w:trPr>
        <w:tc>
          <w:tcPr>
            <w:tcW w:w="942" w:type="pct"/>
            <w:vMerge/>
            <w:vAlign w:val="center"/>
          </w:tcPr>
          <w:p w14:paraId="3DCF346F"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vAlign w:val="center"/>
          </w:tcPr>
          <w:p w14:paraId="511B4AA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III</w:t>
            </w:r>
          </w:p>
        </w:tc>
        <w:tc>
          <w:tcPr>
            <w:tcW w:w="806" w:type="pct"/>
            <w:vAlign w:val="center"/>
          </w:tcPr>
          <w:p w14:paraId="1F0C0D8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w:t>
            </w:r>
          </w:p>
        </w:tc>
        <w:tc>
          <w:tcPr>
            <w:tcW w:w="807" w:type="pct"/>
            <w:vAlign w:val="center"/>
          </w:tcPr>
          <w:p w14:paraId="2C6F257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0,77 – 1,37</w:t>
            </w:r>
          </w:p>
        </w:tc>
        <w:tc>
          <w:tcPr>
            <w:tcW w:w="807" w:type="pct"/>
            <w:vAlign w:val="center"/>
          </w:tcPr>
          <w:p w14:paraId="3EFC4B8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32</w:t>
            </w:r>
          </w:p>
        </w:tc>
        <w:tc>
          <w:tcPr>
            <w:tcW w:w="807" w:type="pct"/>
            <w:vMerge/>
          </w:tcPr>
          <w:p w14:paraId="6FE9331B"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4836B830" w14:textId="77777777" w:rsidTr="00F87FE6">
        <w:trPr>
          <w:jc w:val="center"/>
        </w:trPr>
        <w:tc>
          <w:tcPr>
            <w:tcW w:w="942" w:type="pct"/>
            <w:vMerge w:val="restart"/>
            <w:vAlign w:val="center"/>
          </w:tcPr>
          <w:p w14:paraId="0C4E1CB5" w14:textId="77777777" w:rsidR="00452443" w:rsidRPr="00A43B9C" w:rsidRDefault="00452443" w:rsidP="00452443">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RRI</w:t>
            </w:r>
          </w:p>
        </w:tc>
        <w:tc>
          <w:tcPr>
            <w:tcW w:w="831" w:type="pct"/>
            <w:vAlign w:val="center"/>
          </w:tcPr>
          <w:p w14:paraId="2BB0018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w:t>
            </w:r>
          </w:p>
        </w:tc>
        <w:tc>
          <w:tcPr>
            <w:tcW w:w="806" w:type="pct"/>
            <w:vAlign w:val="center"/>
          </w:tcPr>
          <w:p w14:paraId="1A38681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0,54</w:t>
            </w:r>
          </w:p>
        </w:tc>
        <w:tc>
          <w:tcPr>
            <w:tcW w:w="807" w:type="pct"/>
            <w:vAlign w:val="center"/>
          </w:tcPr>
          <w:p w14:paraId="00FE53D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0,52 – 0,76</w:t>
            </w:r>
          </w:p>
        </w:tc>
        <w:tc>
          <w:tcPr>
            <w:tcW w:w="807" w:type="pct"/>
            <w:vAlign w:val="center"/>
          </w:tcPr>
          <w:p w14:paraId="37E2060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807" w:type="pct"/>
            <w:vMerge w:val="restart"/>
            <w:vAlign w:val="center"/>
          </w:tcPr>
          <w:p w14:paraId="750E7F4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0,013*</w:t>
            </w:r>
            <w:r w:rsidRPr="00A43B9C">
              <w:rPr>
                <w:rFonts w:ascii="Times New Roman" w:hAnsi="Times New Roman" w:cs="Times New Roman"/>
                <w:sz w:val="28"/>
                <w:szCs w:val="28"/>
              </w:rPr>
              <w:br/>
              <w:t>p</w:t>
            </w:r>
            <w:r w:rsidRPr="00A43B9C">
              <w:rPr>
                <w:rFonts w:ascii="Times New Roman" w:hAnsi="Times New Roman" w:cs="Times New Roman"/>
                <w:sz w:val="28"/>
                <w:szCs w:val="28"/>
                <w:vertAlign w:val="subscript"/>
              </w:rPr>
              <w:t>III – II</w:t>
            </w:r>
            <w:r w:rsidRPr="00A43B9C">
              <w:rPr>
                <w:rFonts w:ascii="Times New Roman" w:hAnsi="Times New Roman" w:cs="Times New Roman"/>
                <w:sz w:val="28"/>
                <w:szCs w:val="28"/>
              </w:rPr>
              <w:t xml:space="preserve"> = 0,011</w:t>
            </w:r>
          </w:p>
        </w:tc>
      </w:tr>
      <w:tr w:rsidR="00452443" w:rsidRPr="00A43B9C" w14:paraId="0EC8BFD8" w14:textId="77777777" w:rsidTr="00F87FE6">
        <w:trPr>
          <w:jc w:val="center"/>
        </w:trPr>
        <w:tc>
          <w:tcPr>
            <w:tcW w:w="942" w:type="pct"/>
            <w:vMerge/>
            <w:vAlign w:val="center"/>
          </w:tcPr>
          <w:p w14:paraId="7644F628"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vAlign w:val="center"/>
          </w:tcPr>
          <w:p w14:paraId="4EA44BE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w:t>
            </w:r>
          </w:p>
        </w:tc>
        <w:tc>
          <w:tcPr>
            <w:tcW w:w="806" w:type="pct"/>
            <w:vAlign w:val="center"/>
          </w:tcPr>
          <w:p w14:paraId="0FFFA73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0,45</w:t>
            </w:r>
          </w:p>
        </w:tc>
        <w:tc>
          <w:tcPr>
            <w:tcW w:w="807" w:type="pct"/>
            <w:vAlign w:val="center"/>
          </w:tcPr>
          <w:p w14:paraId="5DBED6D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0,39 – 0,55</w:t>
            </w:r>
          </w:p>
        </w:tc>
        <w:tc>
          <w:tcPr>
            <w:tcW w:w="807" w:type="pct"/>
            <w:vAlign w:val="center"/>
          </w:tcPr>
          <w:p w14:paraId="7D44416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13</w:t>
            </w:r>
          </w:p>
        </w:tc>
        <w:tc>
          <w:tcPr>
            <w:tcW w:w="807" w:type="pct"/>
            <w:vMerge/>
          </w:tcPr>
          <w:p w14:paraId="3E8EFE90"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100C5D9D" w14:textId="77777777" w:rsidTr="00F87FE6">
        <w:trPr>
          <w:trHeight w:val="103"/>
          <w:jc w:val="center"/>
        </w:trPr>
        <w:tc>
          <w:tcPr>
            <w:tcW w:w="942" w:type="pct"/>
            <w:vMerge/>
            <w:vAlign w:val="center"/>
          </w:tcPr>
          <w:p w14:paraId="467479AA"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vAlign w:val="center"/>
          </w:tcPr>
          <w:p w14:paraId="7D6C516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III</w:t>
            </w:r>
          </w:p>
        </w:tc>
        <w:tc>
          <w:tcPr>
            <w:tcW w:w="806" w:type="pct"/>
            <w:vAlign w:val="center"/>
          </w:tcPr>
          <w:p w14:paraId="3F7D17F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w:t>
            </w:r>
          </w:p>
        </w:tc>
        <w:tc>
          <w:tcPr>
            <w:tcW w:w="807" w:type="pct"/>
            <w:vAlign w:val="center"/>
          </w:tcPr>
          <w:p w14:paraId="3D0E511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0,51 – 0,97</w:t>
            </w:r>
          </w:p>
        </w:tc>
        <w:tc>
          <w:tcPr>
            <w:tcW w:w="807" w:type="pct"/>
            <w:vAlign w:val="center"/>
          </w:tcPr>
          <w:p w14:paraId="694A268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32</w:t>
            </w:r>
          </w:p>
        </w:tc>
        <w:tc>
          <w:tcPr>
            <w:tcW w:w="807" w:type="pct"/>
            <w:vMerge/>
          </w:tcPr>
          <w:p w14:paraId="5CB46826"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3AB41BEB" w14:textId="77777777" w:rsidTr="00F87FE6">
        <w:trPr>
          <w:jc w:val="center"/>
        </w:trPr>
        <w:tc>
          <w:tcPr>
            <w:tcW w:w="942" w:type="pct"/>
            <w:vMerge w:val="restart"/>
            <w:vAlign w:val="center"/>
          </w:tcPr>
          <w:p w14:paraId="4570016A" w14:textId="77777777" w:rsidR="00452443" w:rsidRPr="00A43B9C" w:rsidRDefault="00452443" w:rsidP="00452443">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RP</w:t>
            </w:r>
          </w:p>
        </w:tc>
        <w:tc>
          <w:tcPr>
            <w:tcW w:w="831" w:type="pct"/>
            <w:vAlign w:val="center"/>
          </w:tcPr>
          <w:p w14:paraId="74F30DE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w:t>
            </w:r>
          </w:p>
        </w:tc>
        <w:tc>
          <w:tcPr>
            <w:tcW w:w="806" w:type="pct"/>
            <w:vAlign w:val="center"/>
          </w:tcPr>
          <w:p w14:paraId="2B6870C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0,78</w:t>
            </w:r>
          </w:p>
        </w:tc>
        <w:tc>
          <w:tcPr>
            <w:tcW w:w="807" w:type="pct"/>
            <w:vAlign w:val="center"/>
          </w:tcPr>
          <w:p w14:paraId="60BBDF8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0,69 – 1,09</w:t>
            </w:r>
          </w:p>
        </w:tc>
        <w:tc>
          <w:tcPr>
            <w:tcW w:w="807" w:type="pct"/>
            <w:vAlign w:val="center"/>
          </w:tcPr>
          <w:p w14:paraId="227C333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807" w:type="pct"/>
            <w:vMerge w:val="restart"/>
            <w:vAlign w:val="center"/>
          </w:tcPr>
          <w:p w14:paraId="11C481C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0,192</w:t>
            </w:r>
          </w:p>
        </w:tc>
      </w:tr>
      <w:tr w:rsidR="00452443" w:rsidRPr="00A43B9C" w14:paraId="79F02F8D" w14:textId="77777777" w:rsidTr="00F87FE6">
        <w:trPr>
          <w:jc w:val="center"/>
        </w:trPr>
        <w:tc>
          <w:tcPr>
            <w:tcW w:w="942" w:type="pct"/>
            <w:vMerge/>
            <w:vAlign w:val="center"/>
          </w:tcPr>
          <w:p w14:paraId="2A9FD1AD"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vAlign w:val="center"/>
          </w:tcPr>
          <w:p w14:paraId="503BA26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w:t>
            </w:r>
          </w:p>
        </w:tc>
        <w:tc>
          <w:tcPr>
            <w:tcW w:w="806" w:type="pct"/>
            <w:vAlign w:val="center"/>
          </w:tcPr>
          <w:p w14:paraId="1AD1367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0,74</w:t>
            </w:r>
          </w:p>
        </w:tc>
        <w:tc>
          <w:tcPr>
            <w:tcW w:w="807" w:type="pct"/>
            <w:vAlign w:val="center"/>
          </w:tcPr>
          <w:p w14:paraId="6724055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0,65 – 0,88</w:t>
            </w:r>
          </w:p>
        </w:tc>
        <w:tc>
          <w:tcPr>
            <w:tcW w:w="807" w:type="pct"/>
            <w:vAlign w:val="center"/>
          </w:tcPr>
          <w:p w14:paraId="6BECDF3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13</w:t>
            </w:r>
          </w:p>
        </w:tc>
        <w:tc>
          <w:tcPr>
            <w:tcW w:w="807" w:type="pct"/>
            <w:vMerge/>
          </w:tcPr>
          <w:p w14:paraId="793B7B25"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08EF5C47" w14:textId="77777777" w:rsidTr="00F87FE6">
        <w:trPr>
          <w:trHeight w:val="103"/>
          <w:jc w:val="center"/>
        </w:trPr>
        <w:tc>
          <w:tcPr>
            <w:tcW w:w="942" w:type="pct"/>
            <w:vMerge/>
            <w:vAlign w:val="center"/>
          </w:tcPr>
          <w:p w14:paraId="0E5D30D5"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vAlign w:val="center"/>
          </w:tcPr>
          <w:p w14:paraId="2827118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III</w:t>
            </w:r>
          </w:p>
        </w:tc>
        <w:tc>
          <w:tcPr>
            <w:tcW w:w="806" w:type="pct"/>
            <w:vAlign w:val="center"/>
          </w:tcPr>
          <w:p w14:paraId="7DD9349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0,96</w:t>
            </w:r>
          </w:p>
        </w:tc>
        <w:tc>
          <w:tcPr>
            <w:tcW w:w="807" w:type="pct"/>
            <w:vAlign w:val="center"/>
          </w:tcPr>
          <w:p w14:paraId="10C2C9E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 – 1,19</w:t>
            </w:r>
          </w:p>
        </w:tc>
        <w:tc>
          <w:tcPr>
            <w:tcW w:w="807" w:type="pct"/>
            <w:vAlign w:val="center"/>
          </w:tcPr>
          <w:p w14:paraId="1BC7E54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32</w:t>
            </w:r>
          </w:p>
        </w:tc>
        <w:tc>
          <w:tcPr>
            <w:tcW w:w="807" w:type="pct"/>
            <w:vMerge/>
          </w:tcPr>
          <w:p w14:paraId="5EB2B5A5"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2EDB6620" w14:textId="77777777" w:rsidTr="00F87FE6">
        <w:trPr>
          <w:jc w:val="center"/>
        </w:trPr>
        <w:tc>
          <w:tcPr>
            <w:tcW w:w="942" w:type="pct"/>
            <w:vMerge w:val="restart"/>
            <w:vAlign w:val="center"/>
          </w:tcPr>
          <w:p w14:paraId="61B3C165" w14:textId="77777777" w:rsidR="00452443" w:rsidRPr="00A43B9C" w:rsidRDefault="00452443" w:rsidP="00452443">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RLI</w:t>
            </w:r>
          </w:p>
        </w:tc>
        <w:tc>
          <w:tcPr>
            <w:tcW w:w="831" w:type="pct"/>
            <w:vAlign w:val="center"/>
          </w:tcPr>
          <w:p w14:paraId="480F22F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w:t>
            </w:r>
          </w:p>
        </w:tc>
        <w:tc>
          <w:tcPr>
            <w:tcW w:w="806" w:type="pct"/>
            <w:vAlign w:val="center"/>
          </w:tcPr>
          <w:p w14:paraId="07BD77C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0,58</w:t>
            </w:r>
          </w:p>
        </w:tc>
        <w:tc>
          <w:tcPr>
            <w:tcW w:w="807" w:type="pct"/>
            <w:vAlign w:val="center"/>
          </w:tcPr>
          <w:p w14:paraId="0AA91EE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0,43 – 0,64</w:t>
            </w:r>
          </w:p>
        </w:tc>
        <w:tc>
          <w:tcPr>
            <w:tcW w:w="807" w:type="pct"/>
            <w:vAlign w:val="center"/>
          </w:tcPr>
          <w:p w14:paraId="151274C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807" w:type="pct"/>
            <w:vMerge w:val="restart"/>
            <w:vAlign w:val="center"/>
          </w:tcPr>
          <w:p w14:paraId="0017DF3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0,092</w:t>
            </w:r>
          </w:p>
        </w:tc>
      </w:tr>
      <w:tr w:rsidR="00452443" w:rsidRPr="00A43B9C" w14:paraId="7F6D9B52" w14:textId="77777777" w:rsidTr="00F87FE6">
        <w:trPr>
          <w:jc w:val="center"/>
        </w:trPr>
        <w:tc>
          <w:tcPr>
            <w:tcW w:w="942" w:type="pct"/>
            <w:vMerge/>
            <w:vAlign w:val="center"/>
          </w:tcPr>
          <w:p w14:paraId="31E999FE"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vAlign w:val="center"/>
          </w:tcPr>
          <w:p w14:paraId="69C5678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w:t>
            </w:r>
          </w:p>
        </w:tc>
        <w:tc>
          <w:tcPr>
            <w:tcW w:w="806" w:type="pct"/>
            <w:vAlign w:val="center"/>
          </w:tcPr>
          <w:p w14:paraId="5520D5F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0,51</w:t>
            </w:r>
          </w:p>
        </w:tc>
        <w:tc>
          <w:tcPr>
            <w:tcW w:w="807" w:type="pct"/>
            <w:vAlign w:val="center"/>
          </w:tcPr>
          <w:p w14:paraId="67BC781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0,39 – 0,6</w:t>
            </w:r>
          </w:p>
        </w:tc>
        <w:tc>
          <w:tcPr>
            <w:tcW w:w="807" w:type="pct"/>
            <w:vAlign w:val="center"/>
          </w:tcPr>
          <w:p w14:paraId="4457AF4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13</w:t>
            </w:r>
          </w:p>
        </w:tc>
        <w:tc>
          <w:tcPr>
            <w:tcW w:w="807" w:type="pct"/>
            <w:vMerge/>
          </w:tcPr>
          <w:p w14:paraId="72ECBF23"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317D8C83" w14:textId="77777777" w:rsidTr="00F87FE6">
        <w:trPr>
          <w:trHeight w:val="103"/>
          <w:jc w:val="center"/>
        </w:trPr>
        <w:tc>
          <w:tcPr>
            <w:tcW w:w="942" w:type="pct"/>
            <w:vMerge/>
            <w:vAlign w:val="center"/>
          </w:tcPr>
          <w:p w14:paraId="2AEC9180"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vAlign w:val="center"/>
          </w:tcPr>
          <w:p w14:paraId="5096A6F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III</w:t>
            </w:r>
          </w:p>
        </w:tc>
        <w:tc>
          <w:tcPr>
            <w:tcW w:w="806" w:type="pct"/>
            <w:vAlign w:val="center"/>
          </w:tcPr>
          <w:p w14:paraId="3E8FB51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w:t>
            </w:r>
          </w:p>
        </w:tc>
        <w:tc>
          <w:tcPr>
            <w:tcW w:w="807" w:type="pct"/>
            <w:vAlign w:val="center"/>
          </w:tcPr>
          <w:p w14:paraId="2A23BE2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0,51 – 0,99</w:t>
            </w:r>
          </w:p>
        </w:tc>
        <w:tc>
          <w:tcPr>
            <w:tcW w:w="807" w:type="pct"/>
            <w:vAlign w:val="center"/>
          </w:tcPr>
          <w:p w14:paraId="3843975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32</w:t>
            </w:r>
          </w:p>
        </w:tc>
        <w:tc>
          <w:tcPr>
            <w:tcW w:w="807" w:type="pct"/>
            <w:vMerge/>
          </w:tcPr>
          <w:p w14:paraId="1412D4E2"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2DFD62DA" w14:textId="77777777" w:rsidTr="00F87FE6">
        <w:trPr>
          <w:jc w:val="center"/>
        </w:trPr>
        <w:tc>
          <w:tcPr>
            <w:tcW w:w="942" w:type="pct"/>
            <w:vMerge w:val="restart"/>
            <w:vAlign w:val="center"/>
          </w:tcPr>
          <w:p w14:paraId="38845016" w14:textId="77777777" w:rsidR="00452443" w:rsidRPr="00A43B9C" w:rsidRDefault="00452443" w:rsidP="00452443">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P</w:t>
            </w:r>
          </w:p>
        </w:tc>
        <w:tc>
          <w:tcPr>
            <w:tcW w:w="831" w:type="pct"/>
            <w:vAlign w:val="center"/>
          </w:tcPr>
          <w:p w14:paraId="4701354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w:t>
            </w:r>
          </w:p>
        </w:tc>
        <w:tc>
          <w:tcPr>
            <w:tcW w:w="806" w:type="pct"/>
            <w:vAlign w:val="center"/>
          </w:tcPr>
          <w:p w14:paraId="1466DEF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0,95</w:t>
            </w:r>
          </w:p>
        </w:tc>
        <w:tc>
          <w:tcPr>
            <w:tcW w:w="807" w:type="pct"/>
            <w:vAlign w:val="center"/>
          </w:tcPr>
          <w:p w14:paraId="49842CE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0,67 – 1,09</w:t>
            </w:r>
          </w:p>
        </w:tc>
        <w:tc>
          <w:tcPr>
            <w:tcW w:w="807" w:type="pct"/>
            <w:vAlign w:val="center"/>
          </w:tcPr>
          <w:p w14:paraId="6EBA7F5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807" w:type="pct"/>
            <w:vMerge w:val="restart"/>
            <w:vAlign w:val="center"/>
          </w:tcPr>
          <w:p w14:paraId="03B4110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0,201</w:t>
            </w:r>
          </w:p>
        </w:tc>
      </w:tr>
      <w:tr w:rsidR="00452443" w:rsidRPr="00A43B9C" w14:paraId="25206AFC" w14:textId="77777777" w:rsidTr="00F87FE6">
        <w:trPr>
          <w:jc w:val="center"/>
        </w:trPr>
        <w:tc>
          <w:tcPr>
            <w:tcW w:w="942" w:type="pct"/>
            <w:vMerge/>
            <w:vAlign w:val="center"/>
          </w:tcPr>
          <w:p w14:paraId="6CC618F6" w14:textId="77777777" w:rsidR="00452443" w:rsidRPr="00A43B9C" w:rsidRDefault="00452443" w:rsidP="00452443">
            <w:pPr>
              <w:spacing w:after="0" w:line="240" w:lineRule="auto"/>
              <w:rPr>
                <w:rFonts w:ascii="Times New Roman" w:hAnsi="Times New Roman" w:cs="Times New Roman"/>
                <w:sz w:val="28"/>
                <w:szCs w:val="28"/>
              </w:rPr>
            </w:pPr>
          </w:p>
        </w:tc>
        <w:tc>
          <w:tcPr>
            <w:tcW w:w="831" w:type="pct"/>
            <w:vAlign w:val="center"/>
          </w:tcPr>
          <w:p w14:paraId="06B8986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w:t>
            </w:r>
          </w:p>
        </w:tc>
        <w:tc>
          <w:tcPr>
            <w:tcW w:w="806" w:type="pct"/>
            <w:vAlign w:val="center"/>
          </w:tcPr>
          <w:p w14:paraId="72BC0ED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0,78</w:t>
            </w:r>
          </w:p>
        </w:tc>
        <w:tc>
          <w:tcPr>
            <w:tcW w:w="807" w:type="pct"/>
            <w:vAlign w:val="center"/>
          </w:tcPr>
          <w:p w14:paraId="33935E3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 – 0,86</w:t>
            </w:r>
          </w:p>
        </w:tc>
        <w:tc>
          <w:tcPr>
            <w:tcW w:w="807" w:type="pct"/>
            <w:vAlign w:val="center"/>
          </w:tcPr>
          <w:p w14:paraId="3792890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13</w:t>
            </w:r>
          </w:p>
        </w:tc>
        <w:tc>
          <w:tcPr>
            <w:tcW w:w="807" w:type="pct"/>
            <w:vMerge/>
          </w:tcPr>
          <w:p w14:paraId="0BA0711F"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7D0D8B6A" w14:textId="77777777" w:rsidTr="00F87FE6">
        <w:trPr>
          <w:trHeight w:val="103"/>
          <w:jc w:val="center"/>
        </w:trPr>
        <w:tc>
          <w:tcPr>
            <w:tcW w:w="942" w:type="pct"/>
            <w:vMerge/>
            <w:vAlign w:val="center"/>
          </w:tcPr>
          <w:p w14:paraId="67B50C47" w14:textId="77777777" w:rsidR="00452443" w:rsidRPr="00A43B9C" w:rsidRDefault="00452443" w:rsidP="00452443">
            <w:pPr>
              <w:spacing w:after="0" w:line="240" w:lineRule="auto"/>
              <w:rPr>
                <w:rFonts w:ascii="Times New Roman" w:hAnsi="Times New Roman" w:cs="Times New Roman"/>
                <w:sz w:val="28"/>
                <w:szCs w:val="28"/>
              </w:rPr>
            </w:pPr>
          </w:p>
        </w:tc>
        <w:tc>
          <w:tcPr>
            <w:tcW w:w="831" w:type="pct"/>
            <w:vAlign w:val="center"/>
          </w:tcPr>
          <w:p w14:paraId="27A4EB9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III</w:t>
            </w:r>
          </w:p>
        </w:tc>
        <w:tc>
          <w:tcPr>
            <w:tcW w:w="806" w:type="pct"/>
            <w:vAlign w:val="center"/>
          </w:tcPr>
          <w:p w14:paraId="7CEFCE7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0,93</w:t>
            </w:r>
          </w:p>
        </w:tc>
        <w:tc>
          <w:tcPr>
            <w:tcW w:w="807" w:type="pct"/>
            <w:vAlign w:val="center"/>
          </w:tcPr>
          <w:p w14:paraId="16D14CD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0,67 – 1,36</w:t>
            </w:r>
          </w:p>
        </w:tc>
        <w:tc>
          <w:tcPr>
            <w:tcW w:w="807" w:type="pct"/>
            <w:vAlign w:val="center"/>
          </w:tcPr>
          <w:p w14:paraId="767D3C8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32</w:t>
            </w:r>
          </w:p>
        </w:tc>
        <w:tc>
          <w:tcPr>
            <w:tcW w:w="807" w:type="pct"/>
            <w:vMerge/>
          </w:tcPr>
          <w:p w14:paraId="3D86F263" w14:textId="77777777" w:rsidR="00452443" w:rsidRPr="00A43B9C" w:rsidRDefault="00452443" w:rsidP="00452443">
            <w:pPr>
              <w:spacing w:after="0" w:line="240" w:lineRule="auto"/>
              <w:jc w:val="center"/>
              <w:rPr>
                <w:rFonts w:ascii="Times New Roman" w:hAnsi="Times New Roman" w:cs="Times New Roman"/>
                <w:sz w:val="28"/>
                <w:szCs w:val="28"/>
              </w:rPr>
            </w:pPr>
          </w:p>
        </w:tc>
      </w:tr>
    </w:tbl>
    <w:p w14:paraId="21F1FAC3" w14:textId="4D83F3E3" w:rsidR="00DE7880" w:rsidRPr="00A43B9C" w:rsidRDefault="00DE7880" w:rsidP="00DE7880">
      <w:pPr>
        <w:spacing w:after="0" w:line="240" w:lineRule="auto"/>
        <w:ind w:firstLine="709"/>
        <w:jc w:val="both"/>
        <w:rPr>
          <w:rFonts w:ascii="Times New Roman" w:hAnsi="Times New Roman" w:cs="Times New Roman"/>
          <w:sz w:val="28"/>
          <w:szCs w:val="28"/>
        </w:rPr>
      </w:pPr>
    </w:p>
    <w:tbl>
      <w:tblPr>
        <w:tblStyle w:val="ad"/>
        <w:tblW w:w="10908"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6"/>
        <w:gridCol w:w="3636"/>
        <w:gridCol w:w="3636"/>
      </w:tblGrid>
      <w:tr w:rsidR="0058242D" w:rsidRPr="00A43B9C" w14:paraId="19A6C137" w14:textId="77777777" w:rsidTr="00B83D62">
        <w:tc>
          <w:tcPr>
            <w:tcW w:w="3636" w:type="dxa"/>
          </w:tcPr>
          <w:p w14:paraId="1C4E1767" w14:textId="48F269D4" w:rsidR="0058242D" w:rsidRPr="00A43B9C" w:rsidRDefault="0058242D"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16D2D59E" wp14:editId="37BE9075">
                      <wp:extent cx="1980000" cy="1800000"/>
                      <wp:effectExtent l="0" t="0" r="1270" b="10160"/>
                      <wp:docPr id="26" name="Диаграмма 26">
                        <a:extLst xmlns:a="http://schemas.openxmlformats.org/drawingml/2006/main">
                          <a:ext uri="{FF2B5EF4-FFF2-40B4-BE49-F238E27FC236}">
                            <a16:creationId xmlns:a16="http://schemas.microsoft.com/office/drawing/2014/main" id="{E1DA056E-A4E5-4105-BB9D-2FD1D151EBCF}"/>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84"/>
                        </a:graphicData>
                      </a:graphic>
                    </wp:inline>
                  </w:drawing>
                </mc:Choice>
                <mc:Fallback>
                  <w:drawing>
                    <wp:inline distT="0" distB="0" distL="0" distR="0" wp14:anchorId="16D2D59E" wp14:editId="37BE9075">
                      <wp:extent cx="1980000" cy="1800000"/>
                      <wp:effectExtent l="0" t="0" r="1270" b="10160"/>
                      <wp:docPr id="26" name="Диаграмма 26">
                        <a:extLst xmlns:a="http://schemas.openxmlformats.org/drawingml/2006/main">
                          <a:ext uri="{FF2B5EF4-FFF2-40B4-BE49-F238E27FC236}">
                            <a16:creationId xmlns:a16="http://schemas.microsoft.com/office/drawing/2014/main" id="{E1DA056E-A4E5-4105-BB9D-2FD1D151EBCF}"/>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6" name="Диаграмма 26">
                                <a:extLst>
                                  <a:ext uri="{FF2B5EF4-FFF2-40B4-BE49-F238E27FC236}">
                                    <a16:creationId xmlns:a16="http://schemas.microsoft.com/office/drawing/2014/main" id="{E1DA056E-A4E5-4105-BB9D-2FD1D151EBCF}"/>
                                  </a:ext>
                                </a:extLst>
                              </pic:cNvPr>
                              <pic:cNvPicPr>
                                <a:picLocks noGrp="1" noRot="1" noChangeAspect="1" noMove="1" noResize="1" noEditPoints="1" noAdjustHandles="1" noChangeArrowheads="1" noChangeShapeType="1"/>
                              </pic:cNvPicPr>
                            </pic:nvPicPr>
                            <pic:blipFill>
                              <a:blip r:embed="rId85"/>
                              <a:stretch>
                                <a:fillRect/>
                              </a:stretch>
                            </pic:blipFill>
                            <pic:spPr>
                              <a:xfrm>
                                <a:off x="0" y="0"/>
                                <a:ext cx="1979930" cy="1799590"/>
                              </a:xfrm>
                              <a:prstGeom prst="rect">
                                <a:avLst/>
                              </a:prstGeom>
                            </pic:spPr>
                          </pic:pic>
                        </a:graphicData>
                      </a:graphic>
                    </wp:inline>
                  </w:drawing>
                </mc:Fallback>
              </mc:AlternateContent>
            </w:r>
          </w:p>
        </w:tc>
        <w:tc>
          <w:tcPr>
            <w:tcW w:w="3636" w:type="dxa"/>
          </w:tcPr>
          <w:p w14:paraId="7AE497AA" w14:textId="41ADEA25" w:rsidR="0058242D" w:rsidRPr="00A43B9C" w:rsidRDefault="0058242D"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47FC773D" wp14:editId="7E48E59D">
                      <wp:extent cx="1980000" cy="1800000"/>
                      <wp:effectExtent l="0" t="0" r="1270" b="10160"/>
                      <wp:docPr id="10" name="Диаграмма 10">
                        <a:extLst xmlns:a="http://schemas.openxmlformats.org/drawingml/2006/main">
                          <a:ext uri="{FF2B5EF4-FFF2-40B4-BE49-F238E27FC236}">
                            <a16:creationId xmlns:a16="http://schemas.microsoft.com/office/drawing/2014/main" id="{7B23380C-1242-4268-82BB-ED1AD45DF870}"/>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86"/>
                        </a:graphicData>
                      </a:graphic>
                    </wp:inline>
                  </w:drawing>
                </mc:Choice>
                <mc:Fallback>
                  <w:drawing>
                    <wp:inline distT="0" distB="0" distL="0" distR="0" wp14:anchorId="47FC773D" wp14:editId="7E48E59D">
                      <wp:extent cx="1980000" cy="1800000"/>
                      <wp:effectExtent l="0" t="0" r="1270" b="10160"/>
                      <wp:docPr id="10" name="Диаграмма 10">
                        <a:extLst xmlns:a="http://schemas.openxmlformats.org/drawingml/2006/main">
                          <a:ext uri="{FF2B5EF4-FFF2-40B4-BE49-F238E27FC236}">
                            <a16:creationId xmlns:a16="http://schemas.microsoft.com/office/drawing/2014/main" id="{7B23380C-1242-4268-82BB-ED1AD45DF870}"/>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0" name="Диаграмма 10">
                                <a:extLst>
                                  <a:ext uri="{FF2B5EF4-FFF2-40B4-BE49-F238E27FC236}">
                                    <a16:creationId xmlns:a16="http://schemas.microsoft.com/office/drawing/2014/main" id="{7B23380C-1242-4268-82BB-ED1AD45DF870}"/>
                                  </a:ext>
                                </a:extLst>
                              </pic:cNvPr>
                              <pic:cNvPicPr>
                                <a:picLocks noGrp="1" noRot="1" noChangeAspect="1" noMove="1" noResize="1" noEditPoints="1" noAdjustHandles="1" noChangeArrowheads="1" noChangeShapeType="1"/>
                              </pic:cNvPicPr>
                            </pic:nvPicPr>
                            <pic:blipFill>
                              <a:blip r:embed="rId87"/>
                              <a:stretch>
                                <a:fillRect/>
                              </a:stretch>
                            </pic:blipFill>
                            <pic:spPr>
                              <a:xfrm>
                                <a:off x="0" y="0"/>
                                <a:ext cx="1979930" cy="1799590"/>
                              </a:xfrm>
                              <a:prstGeom prst="rect">
                                <a:avLst/>
                              </a:prstGeom>
                            </pic:spPr>
                          </pic:pic>
                        </a:graphicData>
                      </a:graphic>
                    </wp:inline>
                  </w:drawing>
                </mc:Fallback>
              </mc:AlternateContent>
            </w:r>
          </w:p>
        </w:tc>
        <w:tc>
          <w:tcPr>
            <w:tcW w:w="3636" w:type="dxa"/>
          </w:tcPr>
          <w:p w14:paraId="2E9B5F60" w14:textId="458EBEEF" w:rsidR="0058242D" w:rsidRPr="00A43B9C" w:rsidRDefault="0058242D"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103FABA5" wp14:editId="09E0B30B">
                      <wp:extent cx="1980000" cy="1800000"/>
                      <wp:effectExtent l="0" t="0" r="1270" b="10160"/>
                      <wp:docPr id="27" name="Диаграмма 27">
                        <a:extLst xmlns:a="http://schemas.openxmlformats.org/drawingml/2006/main">
                          <a:ext uri="{FF2B5EF4-FFF2-40B4-BE49-F238E27FC236}">
                            <a16:creationId xmlns:a16="http://schemas.microsoft.com/office/drawing/2014/main" id="{E10D4362-D092-456C-A806-1E3CEDD9574F}"/>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88"/>
                        </a:graphicData>
                      </a:graphic>
                    </wp:inline>
                  </w:drawing>
                </mc:Choice>
                <mc:Fallback>
                  <w:drawing>
                    <wp:inline distT="0" distB="0" distL="0" distR="0" wp14:anchorId="103FABA5" wp14:editId="09E0B30B">
                      <wp:extent cx="1980000" cy="1800000"/>
                      <wp:effectExtent l="0" t="0" r="1270" b="10160"/>
                      <wp:docPr id="27" name="Диаграмма 27">
                        <a:extLst xmlns:a="http://schemas.openxmlformats.org/drawingml/2006/main">
                          <a:ext uri="{FF2B5EF4-FFF2-40B4-BE49-F238E27FC236}">
                            <a16:creationId xmlns:a16="http://schemas.microsoft.com/office/drawing/2014/main" id="{E10D4362-D092-456C-A806-1E3CEDD9574F}"/>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7" name="Диаграмма 27">
                                <a:extLst>
                                  <a:ext uri="{FF2B5EF4-FFF2-40B4-BE49-F238E27FC236}">
                                    <a16:creationId xmlns:a16="http://schemas.microsoft.com/office/drawing/2014/main" id="{E10D4362-D092-456C-A806-1E3CEDD9574F}"/>
                                  </a:ext>
                                </a:extLst>
                              </pic:cNvPr>
                              <pic:cNvPicPr>
                                <a:picLocks noGrp="1" noRot="1" noChangeAspect="1" noMove="1" noResize="1" noEditPoints="1" noAdjustHandles="1" noChangeArrowheads="1" noChangeShapeType="1"/>
                              </pic:cNvPicPr>
                            </pic:nvPicPr>
                            <pic:blipFill>
                              <a:blip r:embed="rId89"/>
                              <a:stretch>
                                <a:fillRect/>
                              </a:stretch>
                            </pic:blipFill>
                            <pic:spPr>
                              <a:xfrm>
                                <a:off x="0" y="0"/>
                                <a:ext cx="1979930" cy="1799590"/>
                              </a:xfrm>
                              <a:prstGeom prst="rect">
                                <a:avLst/>
                              </a:prstGeom>
                            </pic:spPr>
                          </pic:pic>
                        </a:graphicData>
                      </a:graphic>
                    </wp:inline>
                  </w:drawing>
                </mc:Fallback>
              </mc:AlternateContent>
            </w:r>
          </w:p>
        </w:tc>
      </w:tr>
      <w:tr w:rsidR="005E7848" w:rsidRPr="00A71535" w14:paraId="278A477B" w14:textId="77777777" w:rsidTr="00B83D62">
        <w:tc>
          <w:tcPr>
            <w:tcW w:w="3636" w:type="dxa"/>
          </w:tcPr>
          <w:p w14:paraId="2D4F1E91" w14:textId="44CCB594" w:rsidR="005E7848" w:rsidRPr="00A71535" w:rsidRDefault="005E7848" w:rsidP="005E7848">
            <w:pPr>
              <w:spacing w:after="0" w:line="240" w:lineRule="auto"/>
              <w:jc w:val="center"/>
              <w:rPr>
                <w:rFonts w:ascii="Times New Roman" w:hAnsi="Times New Roman" w:cs="Times New Roman"/>
                <w:sz w:val="24"/>
                <w:szCs w:val="24"/>
                <w:lang w:val="en-US"/>
              </w:rPr>
            </w:pPr>
            <w:r w:rsidRPr="00A71535">
              <w:rPr>
                <w:rFonts w:ascii="Times New Roman" w:hAnsi="Times New Roman" w:cs="Times New Roman"/>
                <w:sz w:val="24"/>
                <w:szCs w:val="24"/>
              </w:rPr>
              <w:t>а</w:t>
            </w:r>
            <w:r w:rsidR="00A71535" w:rsidRPr="00A71535">
              <w:rPr>
                <w:rFonts w:ascii="Times New Roman" w:hAnsi="Times New Roman" w:cs="Times New Roman"/>
                <w:sz w:val="24"/>
                <w:szCs w:val="24"/>
              </w:rPr>
              <w:t>)</w:t>
            </w:r>
            <w:r w:rsidR="0082173A" w:rsidRPr="00A71535">
              <w:rPr>
                <w:rFonts w:ascii="Times New Roman" w:hAnsi="Times New Roman" w:cs="Times New Roman"/>
                <w:sz w:val="24"/>
                <w:szCs w:val="24"/>
              </w:rPr>
              <w:t xml:space="preserve"> </w:t>
            </w:r>
            <w:r w:rsidR="00A71535" w:rsidRPr="00A71535">
              <w:rPr>
                <w:rFonts w:ascii="Times New Roman" w:hAnsi="Times New Roman" w:cs="Times New Roman"/>
                <w:sz w:val="24"/>
                <w:szCs w:val="24"/>
              </w:rPr>
              <w:t>Л</w:t>
            </w:r>
            <w:r w:rsidR="0082173A" w:rsidRPr="00A71535">
              <w:rPr>
                <w:rFonts w:ascii="Times New Roman" w:hAnsi="Times New Roman" w:cs="Times New Roman"/>
                <w:sz w:val="24"/>
                <w:szCs w:val="24"/>
              </w:rPr>
              <w:t xml:space="preserve">окализация </w:t>
            </w:r>
            <w:r w:rsidR="0082173A" w:rsidRPr="00A71535">
              <w:rPr>
                <w:rFonts w:ascii="Times New Roman" w:hAnsi="Times New Roman" w:cs="Times New Roman"/>
                <w:sz w:val="24"/>
                <w:szCs w:val="24"/>
                <w:lang w:val="en-US"/>
              </w:rPr>
              <w:t>RE</w:t>
            </w:r>
          </w:p>
        </w:tc>
        <w:tc>
          <w:tcPr>
            <w:tcW w:w="3636" w:type="dxa"/>
          </w:tcPr>
          <w:p w14:paraId="4F54745F" w14:textId="28FEEDDC" w:rsidR="005E7848" w:rsidRPr="00A71535" w:rsidRDefault="005E7848" w:rsidP="005E7848">
            <w:pPr>
              <w:spacing w:after="0" w:line="240" w:lineRule="auto"/>
              <w:jc w:val="center"/>
              <w:rPr>
                <w:rFonts w:ascii="Times New Roman" w:hAnsi="Times New Roman" w:cs="Times New Roman"/>
                <w:sz w:val="24"/>
                <w:szCs w:val="24"/>
                <w:lang w:val="en-US"/>
              </w:rPr>
            </w:pPr>
            <w:r w:rsidRPr="00A71535">
              <w:rPr>
                <w:rFonts w:ascii="Times New Roman" w:hAnsi="Times New Roman" w:cs="Times New Roman"/>
                <w:sz w:val="24"/>
                <w:szCs w:val="24"/>
              </w:rPr>
              <w:t>б</w:t>
            </w:r>
            <w:r w:rsidR="00A71535" w:rsidRPr="00A71535">
              <w:rPr>
                <w:rFonts w:ascii="Times New Roman" w:hAnsi="Times New Roman" w:cs="Times New Roman"/>
                <w:sz w:val="24"/>
                <w:szCs w:val="24"/>
              </w:rPr>
              <w:t>)</w:t>
            </w:r>
            <w:r w:rsidR="0082173A" w:rsidRPr="00A71535">
              <w:rPr>
                <w:rFonts w:ascii="Times New Roman" w:hAnsi="Times New Roman" w:cs="Times New Roman"/>
                <w:sz w:val="24"/>
                <w:szCs w:val="24"/>
                <w:lang w:val="en-US"/>
              </w:rPr>
              <w:t xml:space="preserve"> </w:t>
            </w:r>
            <w:r w:rsidR="00A71535" w:rsidRPr="00A71535">
              <w:rPr>
                <w:rFonts w:ascii="Times New Roman" w:hAnsi="Times New Roman" w:cs="Times New Roman"/>
                <w:sz w:val="24"/>
                <w:szCs w:val="24"/>
              </w:rPr>
              <w:t>Л</w:t>
            </w:r>
            <w:r w:rsidR="0082173A" w:rsidRPr="00A71535">
              <w:rPr>
                <w:rFonts w:ascii="Times New Roman" w:hAnsi="Times New Roman" w:cs="Times New Roman"/>
                <w:sz w:val="24"/>
                <w:szCs w:val="24"/>
              </w:rPr>
              <w:t xml:space="preserve">окализация </w:t>
            </w:r>
            <w:r w:rsidR="0082173A" w:rsidRPr="00A71535">
              <w:rPr>
                <w:rFonts w:ascii="Times New Roman" w:hAnsi="Times New Roman" w:cs="Times New Roman"/>
                <w:sz w:val="24"/>
                <w:szCs w:val="24"/>
                <w:lang w:val="en-US"/>
              </w:rPr>
              <w:t>RLH</w:t>
            </w:r>
          </w:p>
        </w:tc>
        <w:tc>
          <w:tcPr>
            <w:tcW w:w="3636" w:type="dxa"/>
          </w:tcPr>
          <w:p w14:paraId="7601363A" w14:textId="6FE9B9C1" w:rsidR="005E7848" w:rsidRPr="00A71535" w:rsidRDefault="005E7848" w:rsidP="005E7848">
            <w:pPr>
              <w:spacing w:after="0" w:line="240" w:lineRule="auto"/>
              <w:jc w:val="center"/>
              <w:rPr>
                <w:rFonts w:ascii="Times New Roman" w:hAnsi="Times New Roman" w:cs="Times New Roman"/>
                <w:sz w:val="24"/>
                <w:szCs w:val="24"/>
                <w:lang w:val="en-US"/>
              </w:rPr>
            </w:pPr>
            <w:r w:rsidRPr="00A71535">
              <w:rPr>
                <w:rFonts w:ascii="Times New Roman" w:hAnsi="Times New Roman" w:cs="Times New Roman"/>
                <w:sz w:val="24"/>
                <w:szCs w:val="24"/>
              </w:rPr>
              <w:t>в</w:t>
            </w:r>
            <w:r w:rsidR="00A71535" w:rsidRPr="00A71535">
              <w:rPr>
                <w:rFonts w:ascii="Times New Roman" w:hAnsi="Times New Roman" w:cs="Times New Roman"/>
                <w:sz w:val="24"/>
                <w:szCs w:val="24"/>
              </w:rPr>
              <w:t>)</w:t>
            </w:r>
            <w:r w:rsidR="0082173A" w:rsidRPr="00A71535">
              <w:rPr>
                <w:rFonts w:ascii="Times New Roman" w:hAnsi="Times New Roman" w:cs="Times New Roman"/>
                <w:sz w:val="24"/>
                <w:szCs w:val="24"/>
                <w:lang w:val="en-US"/>
              </w:rPr>
              <w:t xml:space="preserve"> </w:t>
            </w:r>
            <w:r w:rsidR="00A71535" w:rsidRPr="00A71535">
              <w:rPr>
                <w:rFonts w:ascii="Times New Roman" w:hAnsi="Times New Roman" w:cs="Times New Roman"/>
                <w:sz w:val="24"/>
                <w:szCs w:val="24"/>
              </w:rPr>
              <w:t>Л</w:t>
            </w:r>
            <w:r w:rsidR="0082173A" w:rsidRPr="00A71535">
              <w:rPr>
                <w:rFonts w:ascii="Times New Roman" w:hAnsi="Times New Roman" w:cs="Times New Roman"/>
                <w:sz w:val="24"/>
                <w:szCs w:val="24"/>
              </w:rPr>
              <w:t xml:space="preserve">окализация </w:t>
            </w:r>
            <w:r w:rsidR="0082173A" w:rsidRPr="00A71535">
              <w:rPr>
                <w:rFonts w:ascii="Times New Roman" w:hAnsi="Times New Roman" w:cs="Times New Roman"/>
                <w:sz w:val="24"/>
                <w:szCs w:val="24"/>
                <w:lang w:val="en-US"/>
              </w:rPr>
              <w:t>RRL</w:t>
            </w:r>
          </w:p>
        </w:tc>
      </w:tr>
      <w:tr w:rsidR="0058242D" w:rsidRPr="00A43B9C" w14:paraId="7BDEC269" w14:textId="77777777" w:rsidTr="00B83D62">
        <w:tc>
          <w:tcPr>
            <w:tcW w:w="3636" w:type="dxa"/>
          </w:tcPr>
          <w:p w14:paraId="7EE50F9F" w14:textId="4DD58E3E" w:rsidR="0058242D" w:rsidRPr="00A43B9C" w:rsidRDefault="0058242D"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14BEB0B3" wp14:editId="18830497">
                      <wp:extent cx="1980000" cy="1800000"/>
                      <wp:effectExtent l="0" t="0" r="1270" b="10160"/>
                      <wp:docPr id="28" name="Диаграмма 28">
                        <a:extLst xmlns:a="http://schemas.openxmlformats.org/drawingml/2006/main">
                          <a:ext uri="{FF2B5EF4-FFF2-40B4-BE49-F238E27FC236}">
                            <a16:creationId xmlns:a16="http://schemas.microsoft.com/office/drawing/2014/main" id="{E43F790E-7330-4F9D-BD63-EB3DF0743DB1}"/>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90"/>
                        </a:graphicData>
                      </a:graphic>
                    </wp:inline>
                  </w:drawing>
                </mc:Choice>
                <mc:Fallback>
                  <w:drawing>
                    <wp:inline distT="0" distB="0" distL="0" distR="0" wp14:anchorId="14BEB0B3" wp14:editId="18830497">
                      <wp:extent cx="1980000" cy="1800000"/>
                      <wp:effectExtent l="0" t="0" r="1270" b="10160"/>
                      <wp:docPr id="28" name="Диаграмма 28">
                        <a:extLst xmlns:a="http://schemas.openxmlformats.org/drawingml/2006/main">
                          <a:ext uri="{FF2B5EF4-FFF2-40B4-BE49-F238E27FC236}">
                            <a16:creationId xmlns:a16="http://schemas.microsoft.com/office/drawing/2014/main" id="{E43F790E-7330-4F9D-BD63-EB3DF0743DB1}"/>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8" name="Диаграмма 28">
                                <a:extLst>
                                  <a:ext uri="{FF2B5EF4-FFF2-40B4-BE49-F238E27FC236}">
                                    <a16:creationId xmlns:a16="http://schemas.microsoft.com/office/drawing/2014/main" id="{E43F790E-7330-4F9D-BD63-EB3DF0743DB1}"/>
                                  </a:ext>
                                </a:extLst>
                              </pic:cNvPr>
                              <pic:cNvPicPr>
                                <a:picLocks noGrp="1" noRot="1" noChangeAspect="1" noMove="1" noResize="1" noEditPoints="1" noAdjustHandles="1" noChangeArrowheads="1" noChangeShapeType="1"/>
                              </pic:cNvPicPr>
                            </pic:nvPicPr>
                            <pic:blipFill>
                              <a:blip r:embed="rId91"/>
                              <a:stretch>
                                <a:fillRect/>
                              </a:stretch>
                            </pic:blipFill>
                            <pic:spPr>
                              <a:xfrm>
                                <a:off x="0" y="0"/>
                                <a:ext cx="1979930" cy="1799590"/>
                              </a:xfrm>
                              <a:prstGeom prst="rect">
                                <a:avLst/>
                              </a:prstGeom>
                            </pic:spPr>
                          </pic:pic>
                        </a:graphicData>
                      </a:graphic>
                    </wp:inline>
                  </w:drawing>
                </mc:Fallback>
              </mc:AlternateContent>
            </w:r>
          </w:p>
        </w:tc>
        <w:tc>
          <w:tcPr>
            <w:tcW w:w="3636" w:type="dxa"/>
          </w:tcPr>
          <w:p w14:paraId="34955414" w14:textId="29B206F5" w:rsidR="0058242D" w:rsidRPr="00A43B9C" w:rsidRDefault="0058242D"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2DC1A4FE" wp14:editId="006306D9">
                      <wp:extent cx="1980000" cy="1800000"/>
                      <wp:effectExtent l="0" t="0" r="1270" b="10160"/>
                      <wp:docPr id="13" name="Диаграмма 13">
                        <a:extLst xmlns:a="http://schemas.openxmlformats.org/drawingml/2006/main">
                          <a:ext uri="{FF2B5EF4-FFF2-40B4-BE49-F238E27FC236}">
                            <a16:creationId xmlns:a16="http://schemas.microsoft.com/office/drawing/2014/main" id="{6F595EC8-ABE3-4AC4-AF1D-C5B77657125A}"/>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92"/>
                        </a:graphicData>
                      </a:graphic>
                    </wp:inline>
                  </w:drawing>
                </mc:Choice>
                <mc:Fallback>
                  <w:drawing>
                    <wp:inline distT="0" distB="0" distL="0" distR="0" wp14:anchorId="2DC1A4FE" wp14:editId="006306D9">
                      <wp:extent cx="1980000" cy="1800000"/>
                      <wp:effectExtent l="0" t="0" r="1270" b="10160"/>
                      <wp:docPr id="13" name="Диаграмма 13">
                        <a:extLst xmlns:a="http://schemas.openxmlformats.org/drawingml/2006/main">
                          <a:ext uri="{FF2B5EF4-FFF2-40B4-BE49-F238E27FC236}">
                            <a16:creationId xmlns:a16="http://schemas.microsoft.com/office/drawing/2014/main" id="{6F595EC8-ABE3-4AC4-AF1D-C5B77657125A}"/>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3" name="Диаграмма 13">
                                <a:extLst>
                                  <a:ext uri="{FF2B5EF4-FFF2-40B4-BE49-F238E27FC236}">
                                    <a16:creationId xmlns:a16="http://schemas.microsoft.com/office/drawing/2014/main" id="{6F595EC8-ABE3-4AC4-AF1D-C5B77657125A}"/>
                                  </a:ext>
                                </a:extLst>
                              </pic:cNvPr>
                              <pic:cNvPicPr>
                                <a:picLocks noGrp="1" noRot="1" noChangeAspect="1" noMove="1" noResize="1" noEditPoints="1" noAdjustHandles="1" noChangeArrowheads="1" noChangeShapeType="1"/>
                              </pic:cNvPicPr>
                            </pic:nvPicPr>
                            <pic:blipFill>
                              <a:blip r:embed="rId93"/>
                              <a:stretch>
                                <a:fillRect/>
                              </a:stretch>
                            </pic:blipFill>
                            <pic:spPr>
                              <a:xfrm>
                                <a:off x="0" y="0"/>
                                <a:ext cx="1979930" cy="1799590"/>
                              </a:xfrm>
                              <a:prstGeom prst="rect">
                                <a:avLst/>
                              </a:prstGeom>
                            </pic:spPr>
                          </pic:pic>
                        </a:graphicData>
                      </a:graphic>
                    </wp:inline>
                  </w:drawing>
                </mc:Fallback>
              </mc:AlternateContent>
            </w:r>
          </w:p>
        </w:tc>
        <w:tc>
          <w:tcPr>
            <w:tcW w:w="3636" w:type="dxa"/>
          </w:tcPr>
          <w:p w14:paraId="5FC74CEB" w14:textId="409972A7" w:rsidR="0058242D" w:rsidRPr="00A43B9C" w:rsidRDefault="0058242D"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59D05A17" wp14:editId="0879DD9F">
                      <wp:extent cx="1980000" cy="1800000"/>
                      <wp:effectExtent l="0" t="0" r="1270" b="10160"/>
                      <wp:docPr id="31" name="Диаграмма 31">
                        <a:extLst xmlns:a="http://schemas.openxmlformats.org/drawingml/2006/main">
                          <a:ext uri="{FF2B5EF4-FFF2-40B4-BE49-F238E27FC236}">
                            <a16:creationId xmlns:a16="http://schemas.microsoft.com/office/drawing/2014/main" id="{573B3BAC-51AE-4449-8ACF-13E348E883AC}"/>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94"/>
                        </a:graphicData>
                      </a:graphic>
                    </wp:inline>
                  </w:drawing>
                </mc:Choice>
                <mc:Fallback>
                  <w:drawing>
                    <wp:inline distT="0" distB="0" distL="0" distR="0" wp14:anchorId="59D05A17" wp14:editId="0879DD9F">
                      <wp:extent cx="1980000" cy="1800000"/>
                      <wp:effectExtent l="0" t="0" r="1270" b="10160"/>
                      <wp:docPr id="31" name="Диаграмма 31">
                        <a:extLst xmlns:a="http://schemas.openxmlformats.org/drawingml/2006/main">
                          <a:ext uri="{FF2B5EF4-FFF2-40B4-BE49-F238E27FC236}">
                            <a16:creationId xmlns:a16="http://schemas.microsoft.com/office/drawing/2014/main" id="{573B3BAC-51AE-4449-8ACF-13E348E883AC}"/>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1" name="Диаграмма 31">
                                <a:extLst>
                                  <a:ext uri="{FF2B5EF4-FFF2-40B4-BE49-F238E27FC236}">
                                    <a16:creationId xmlns:a16="http://schemas.microsoft.com/office/drawing/2014/main" id="{573B3BAC-51AE-4449-8ACF-13E348E883AC}"/>
                                  </a:ext>
                                </a:extLst>
                              </pic:cNvPr>
                              <pic:cNvPicPr>
                                <a:picLocks noGrp="1" noRot="1" noChangeAspect="1" noMove="1" noResize="1" noEditPoints="1" noAdjustHandles="1" noChangeArrowheads="1" noChangeShapeType="1"/>
                              </pic:cNvPicPr>
                            </pic:nvPicPr>
                            <pic:blipFill>
                              <a:blip r:embed="rId95"/>
                              <a:stretch>
                                <a:fillRect/>
                              </a:stretch>
                            </pic:blipFill>
                            <pic:spPr>
                              <a:xfrm>
                                <a:off x="0" y="0"/>
                                <a:ext cx="1979930" cy="1799590"/>
                              </a:xfrm>
                              <a:prstGeom prst="rect">
                                <a:avLst/>
                              </a:prstGeom>
                            </pic:spPr>
                          </pic:pic>
                        </a:graphicData>
                      </a:graphic>
                    </wp:inline>
                  </w:drawing>
                </mc:Fallback>
              </mc:AlternateContent>
            </w:r>
          </w:p>
        </w:tc>
      </w:tr>
      <w:tr w:rsidR="005E7848" w:rsidRPr="00A71535" w14:paraId="6CA4F119" w14:textId="77777777" w:rsidTr="00B83D62">
        <w:tc>
          <w:tcPr>
            <w:tcW w:w="3636" w:type="dxa"/>
          </w:tcPr>
          <w:p w14:paraId="2BD53DB1" w14:textId="71C8DA09" w:rsidR="005E7848" w:rsidRPr="00A71535" w:rsidRDefault="005E7848" w:rsidP="005E7848">
            <w:pPr>
              <w:spacing w:after="0" w:line="240" w:lineRule="auto"/>
              <w:jc w:val="center"/>
              <w:rPr>
                <w:rFonts w:ascii="Times New Roman" w:hAnsi="Times New Roman" w:cs="Times New Roman"/>
                <w:sz w:val="24"/>
                <w:szCs w:val="24"/>
                <w:lang w:val="en-US"/>
              </w:rPr>
            </w:pPr>
            <w:r w:rsidRPr="00A71535">
              <w:rPr>
                <w:rFonts w:ascii="Times New Roman" w:hAnsi="Times New Roman" w:cs="Times New Roman"/>
                <w:sz w:val="24"/>
                <w:szCs w:val="24"/>
              </w:rPr>
              <w:t>г</w:t>
            </w:r>
            <w:r w:rsidR="00A71535" w:rsidRPr="00A71535">
              <w:rPr>
                <w:rFonts w:ascii="Times New Roman" w:hAnsi="Times New Roman" w:cs="Times New Roman"/>
                <w:sz w:val="24"/>
                <w:szCs w:val="24"/>
              </w:rPr>
              <w:t>)</w:t>
            </w:r>
            <w:r w:rsidR="0082173A" w:rsidRPr="00A71535">
              <w:rPr>
                <w:rFonts w:ascii="Times New Roman" w:hAnsi="Times New Roman" w:cs="Times New Roman"/>
                <w:sz w:val="24"/>
                <w:szCs w:val="24"/>
                <w:lang w:val="en-US"/>
              </w:rPr>
              <w:t xml:space="preserve"> </w:t>
            </w:r>
            <w:r w:rsidR="00A71535" w:rsidRPr="00A71535">
              <w:rPr>
                <w:rFonts w:ascii="Times New Roman" w:hAnsi="Times New Roman" w:cs="Times New Roman"/>
                <w:sz w:val="24"/>
                <w:szCs w:val="24"/>
              </w:rPr>
              <w:t>Л</w:t>
            </w:r>
            <w:r w:rsidR="0082173A" w:rsidRPr="00A71535">
              <w:rPr>
                <w:rFonts w:ascii="Times New Roman" w:hAnsi="Times New Roman" w:cs="Times New Roman"/>
                <w:sz w:val="24"/>
                <w:szCs w:val="24"/>
              </w:rPr>
              <w:t xml:space="preserve">окализация </w:t>
            </w:r>
            <w:r w:rsidR="0082173A" w:rsidRPr="00A71535">
              <w:rPr>
                <w:rFonts w:ascii="Times New Roman" w:hAnsi="Times New Roman" w:cs="Times New Roman"/>
                <w:sz w:val="24"/>
                <w:szCs w:val="24"/>
                <w:lang w:val="en-US"/>
              </w:rPr>
              <w:t>RU</w:t>
            </w:r>
          </w:p>
        </w:tc>
        <w:tc>
          <w:tcPr>
            <w:tcW w:w="3636" w:type="dxa"/>
          </w:tcPr>
          <w:p w14:paraId="2EAC7968" w14:textId="6AB03D41" w:rsidR="005E7848" w:rsidRPr="00A71535" w:rsidRDefault="005E7848" w:rsidP="005E7848">
            <w:pPr>
              <w:spacing w:after="0" w:line="240" w:lineRule="auto"/>
              <w:jc w:val="center"/>
              <w:rPr>
                <w:rFonts w:ascii="Times New Roman" w:hAnsi="Times New Roman" w:cs="Times New Roman"/>
                <w:sz w:val="24"/>
                <w:szCs w:val="24"/>
                <w:lang w:val="en-US"/>
              </w:rPr>
            </w:pPr>
            <w:r w:rsidRPr="00A71535">
              <w:rPr>
                <w:rFonts w:ascii="Times New Roman" w:hAnsi="Times New Roman" w:cs="Times New Roman"/>
                <w:sz w:val="24"/>
                <w:szCs w:val="24"/>
              </w:rPr>
              <w:t>д</w:t>
            </w:r>
            <w:r w:rsidR="00A71535" w:rsidRPr="00A71535">
              <w:rPr>
                <w:rFonts w:ascii="Times New Roman" w:hAnsi="Times New Roman" w:cs="Times New Roman"/>
                <w:sz w:val="24"/>
                <w:szCs w:val="24"/>
              </w:rPr>
              <w:t>)</w:t>
            </w:r>
            <w:r w:rsidR="0082173A" w:rsidRPr="00A71535">
              <w:rPr>
                <w:rFonts w:ascii="Times New Roman" w:hAnsi="Times New Roman" w:cs="Times New Roman"/>
                <w:sz w:val="24"/>
                <w:szCs w:val="24"/>
                <w:lang w:val="en-US"/>
              </w:rPr>
              <w:t xml:space="preserve"> </w:t>
            </w:r>
            <w:r w:rsidR="00A71535" w:rsidRPr="00A71535">
              <w:rPr>
                <w:rFonts w:ascii="Times New Roman" w:hAnsi="Times New Roman" w:cs="Times New Roman"/>
                <w:sz w:val="24"/>
                <w:szCs w:val="24"/>
              </w:rPr>
              <w:t>Л</w:t>
            </w:r>
            <w:r w:rsidR="0082173A" w:rsidRPr="00A71535">
              <w:rPr>
                <w:rFonts w:ascii="Times New Roman" w:hAnsi="Times New Roman" w:cs="Times New Roman"/>
                <w:sz w:val="24"/>
                <w:szCs w:val="24"/>
              </w:rPr>
              <w:t xml:space="preserve">окализация </w:t>
            </w:r>
            <w:r w:rsidR="0082173A" w:rsidRPr="00A71535">
              <w:rPr>
                <w:rFonts w:ascii="Times New Roman" w:hAnsi="Times New Roman" w:cs="Times New Roman"/>
                <w:sz w:val="24"/>
                <w:szCs w:val="24"/>
                <w:lang w:val="en-US"/>
              </w:rPr>
              <w:t>RLL</w:t>
            </w:r>
          </w:p>
        </w:tc>
        <w:tc>
          <w:tcPr>
            <w:tcW w:w="3636" w:type="dxa"/>
          </w:tcPr>
          <w:p w14:paraId="29BA56E9" w14:textId="306FC5FF" w:rsidR="005E7848" w:rsidRPr="00A71535" w:rsidRDefault="005E7848" w:rsidP="005E7848">
            <w:pPr>
              <w:spacing w:after="0" w:line="240" w:lineRule="auto"/>
              <w:jc w:val="center"/>
              <w:rPr>
                <w:rFonts w:ascii="Times New Roman" w:hAnsi="Times New Roman" w:cs="Times New Roman"/>
                <w:sz w:val="24"/>
                <w:szCs w:val="24"/>
                <w:lang w:val="en-US"/>
              </w:rPr>
            </w:pPr>
            <w:r w:rsidRPr="00A71535">
              <w:rPr>
                <w:rFonts w:ascii="Times New Roman" w:hAnsi="Times New Roman" w:cs="Times New Roman"/>
                <w:sz w:val="24"/>
                <w:szCs w:val="24"/>
              </w:rPr>
              <w:t>е</w:t>
            </w:r>
            <w:r w:rsidR="00A71535" w:rsidRPr="00A71535">
              <w:rPr>
                <w:rFonts w:ascii="Times New Roman" w:hAnsi="Times New Roman" w:cs="Times New Roman"/>
                <w:sz w:val="24"/>
                <w:szCs w:val="24"/>
              </w:rPr>
              <w:t>)</w:t>
            </w:r>
            <w:r w:rsidR="0082173A" w:rsidRPr="00A71535">
              <w:rPr>
                <w:rFonts w:ascii="Times New Roman" w:hAnsi="Times New Roman" w:cs="Times New Roman"/>
                <w:sz w:val="24"/>
                <w:szCs w:val="24"/>
                <w:lang w:val="en-US"/>
              </w:rPr>
              <w:t xml:space="preserve"> </w:t>
            </w:r>
            <w:r w:rsidR="00A71535" w:rsidRPr="00A71535">
              <w:rPr>
                <w:rFonts w:ascii="Times New Roman" w:hAnsi="Times New Roman" w:cs="Times New Roman"/>
                <w:sz w:val="24"/>
                <w:szCs w:val="24"/>
              </w:rPr>
              <w:t>Л</w:t>
            </w:r>
            <w:r w:rsidR="0082173A" w:rsidRPr="00A71535">
              <w:rPr>
                <w:rFonts w:ascii="Times New Roman" w:hAnsi="Times New Roman" w:cs="Times New Roman"/>
                <w:sz w:val="24"/>
                <w:szCs w:val="24"/>
              </w:rPr>
              <w:t xml:space="preserve">окализация </w:t>
            </w:r>
            <w:r w:rsidR="0082173A" w:rsidRPr="00A71535">
              <w:rPr>
                <w:rFonts w:ascii="Times New Roman" w:hAnsi="Times New Roman" w:cs="Times New Roman"/>
                <w:sz w:val="24"/>
                <w:szCs w:val="24"/>
                <w:lang w:val="en-US"/>
              </w:rPr>
              <w:t>RRI</w:t>
            </w:r>
          </w:p>
        </w:tc>
      </w:tr>
    </w:tbl>
    <w:p w14:paraId="7796049B" w14:textId="4B0B8D78" w:rsidR="00B83D62" w:rsidRDefault="00B83D62" w:rsidP="00A71535">
      <w:pPr>
        <w:spacing w:after="0" w:line="240" w:lineRule="auto"/>
        <w:rPr>
          <w:rFonts w:ascii="Times New Roman" w:hAnsi="Times New Roman" w:cs="Times New Roman"/>
          <w:sz w:val="28"/>
          <w:szCs w:val="28"/>
        </w:rPr>
      </w:pPr>
    </w:p>
    <w:p w14:paraId="5AEF2D51" w14:textId="24AA6C39" w:rsidR="002A1A50" w:rsidRDefault="00A71535" w:rsidP="002A1A50">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 xml:space="preserve">Рисунок </w:t>
      </w:r>
      <w:r>
        <w:rPr>
          <w:rFonts w:ascii="Times New Roman" w:hAnsi="Times New Roman" w:cs="Times New Roman"/>
          <w:sz w:val="28"/>
          <w:szCs w:val="28"/>
        </w:rPr>
        <w:t>10</w:t>
      </w:r>
      <w:r w:rsidRPr="00A43B9C">
        <w:rPr>
          <w:rFonts w:ascii="Times New Roman" w:hAnsi="Times New Roman" w:cs="Times New Roman"/>
          <w:sz w:val="28"/>
          <w:szCs w:val="28"/>
        </w:rPr>
        <w:t xml:space="preserve"> - Анализ распределения уровня накопления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зависимости от </w:t>
      </w:r>
      <w:r w:rsidRPr="00A43B9C">
        <w:rPr>
          <w:rFonts w:ascii="Times New Roman" w:hAnsi="Times New Roman" w:cs="Times New Roman"/>
          <w:sz w:val="28"/>
          <w:szCs w:val="28"/>
          <w:lang w:val="kk-KZ"/>
        </w:rPr>
        <w:t xml:space="preserve">стадии </w:t>
      </w:r>
      <w:r w:rsidRPr="00A43B9C">
        <w:rPr>
          <w:rFonts w:ascii="Times New Roman" w:hAnsi="Times New Roman" w:cs="Times New Roman"/>
          <w:sz w:val="28"/>
          <w:szCs w:val="28"/>
          <w:lang w:val="en-US"/>
        </w:rPr>
        <w:t>FIGO</w:t>
      </w:r>
      <w:r w:rsidRPr="00A43B9C">
        <w:rPr>
          <w:rFonts w:ascii="Times New Roman" w:hAnsi="Times New Roman" w:cs="Times New Roman"/>
          <w:sz w:val="28"/>
          <w:szCs w:val="28"/>
        </w:rPr>
        <w:t xml:space="preserve"> по локализациям</w:t>
      </w:r>
      <w:r w:rsidR="002A1A50">
        <w:rPr>
          <w:rFonts w:ascii="Times New Roman" w:hAnsi="Times New Roman" w:cs="Times New Roman"/>
          <w:sz w:val="28"/>
          <w:szCs w:val="28"/>
        </w:rPr>
        <w:t>, лист 1</w:t>
      </w:r>
      <w:r w:rsidR="002A1A50">
        <w:rPr>
          <w:rFonts w:ascii="Times New Roman" w:hAnsi="Times New Roman" w:cs="Times New Roman"/>
          <w:sz w:val="28"/>
          <w:szCs w:val="28"/>
        </w:rPr>
        <w:br w:type="page"/>
      </w:r>
    </w:p>
    <w:tbl>
      <w:tblPr>
        <w:tblStyle w:val="ad"/>
        <w:tblW w:w="10908"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6"/>
        <w:gridCol w:w="3636"/>
        <w:gridCol w:w="3636"/>
      </w:tblGrid>
      <w:tr w:rsidR="0058242D" w:rsidRPr="00A43B9C" w14:paraId="3F54E01B" w14:textId="77777777" w:rsidTr="00B83D62">
        <w:tc>
          <w:tcPr>
            <w:tcW w:w="3636" w:type="dxa"/>
          </w:tcPr>
          <w:p w14:paraId="0EC23EBA" w14:textId="1078B471" w:rsidR="0058242D" w:rsidRPr="00A43B9C" w:rsidRDefault="0058242D" w:rsidP="00446A37">
            <w:pPr>
              <w:spacing w:after="0" w:line="240" w:lineRule="auto"/>
              <w:jc w:val="center"/>
              <w:rPr>
                <w:rFonts w:ascii="Times New Roman" w:hAnsi="Times New Roman" w:cs="Times New Roman"/>
                <w:sz w:val="28"/>
                <w:szCs w:val="28"/>
              </w:rPr>
            </w:pPr>
            <w:r w:rsidRPr="00A43B9C">
              <w:rPr>
                <w:noProof/>
                <w:lang w:eastAsia="ru-RU"/>
              </w:rPr>
              <w:lastRenderedPageBreak/>
              <mc:AlternateContent>
                <mc:Choice Requires="cx1">
                  <w:drawing>
                    <wp:inline distT="0" distB="0" distL="0" distR="0" wp14:anchorId="01AF0F39" wp14:editId="64B1C601">
                      <wp:extent cx="2160000" cy="2160000"/>
                      <wp:effectExtent l="0" t="0" r="12065" b="12065"/>
                      <wp:docPr id="34" name="Диаграмма 34">
                        <a:extLst xmlns:a="http://schemas.openxmlformats.org/drawingml/2006/main">
                          <a:ext uri="{FF2B5EF4-FFF2-40B4-BE49-F238E27FC236}">
                            <a16:creationId xmlns:a16="http://schemas.microsoft.com/office/drawing/2014/main" id="{E2C016D3-6740-47C4-955C-D6ADE61DE8AE}"/>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96"/>
                        </a:graphicData>
                      </a:graphic>
                    </wp:inline>
                  </w:drawing>
                </mc:Choice>
                <mc:Fallback>
                  <w:drawing>
                    <wp:inline distT="0" distB="0" distL="0" distR="0" wp14:anchorId="01AF0F39" wp14:editId="64B1C601">
                      <wp:extent cx="2160000" cy="2160000"/>
                      <wp:effectExtent l="0" t="0" r="12065" b="12065"/>
                      <wp:docPr id="34" name="Диаграмма 34">
                        <a:extLst xmlns:a="http://schemas.openxmlformats.org/drawingml/2006/main">
                          <a:ext uri="{FF2B5EF4-FFF2-40B4-BE49-F238E27FC236}">
                            <a16:creationId xmlns:a16="http://schemas.microsoft.com/office/drawing/2014/main" id="{E2C016D3-6740-47C4-955C-D6ADE61DE8AE}"/>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4" name="Диаграмма 34">
                                <a:extLst>
                                  <a:ext uri="{FF2B5EF4-FFF2-40B4-BE49-F238E27FC236}">
                                    <a16:creationId xmlns:a16="http://schemas.microsoft.com/office/drawing/2014/main" id="{E2C016D3-6740-47C4-955C-D6ADE61DE8AE}"/>
                                  </a:ext>
                                </a:extLst>
                              </pic:cNvPr>
                              <pic:cNvPicPr>
                                <a:picLocks noGrp="1" noRot="1" noChangeAspect="1" noMove="1" noResize="1" noEditPoints="1" noAdjustHandles="1" noChangeArrowheads="1" noChangeShapeType="1"/>
                              </pic:cNvPicPr>
                            </pic:nvPicPr>
                            <pic:blipFill>
                              <a:blip r:embed="rId97"/>
                              <a:stretch>
                                <a:fillRect/>
                              </a:stretch>
                            </pic:blipFill>
                            <pic:spPr>
                              <a:xfrm>
                                <a:off x="0" y="0"/>
                                <a:ext cx="2159635" cy="2159635"/>
                              </a:xfrm>
                              <a:prstGeom prst="rect">
                                <a:avLst/>
                              </a:prstGeom>
                            </pic:spPr>
                          </pic:pic>
                        </a:graphicData>
                      </a:graphic>
                    </wp:inline>
                  </w:drawing>
                </mc:Fallback>
              </mc:AlternateContent>
            </w:r>
          </w:p>
        </w:tc>
        <w:tc>
          <w:tcPr>
            <w:tcW w:w="3636" w:type="dxa"/>
          </w:tcPr>
          <w:p w14:paraId="4CED15C0" w14:textId="58CC00D7" w:rsidR="0058242D" w:rsidRPr="00A43B9C" w:rsidRDefault="0058242D"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25492427" wp14:editId="01FCC32A">
                      <wp:extent cx="2160000" cy="2160000"/>
                      <wp:effectExtent l="0" t="0" r="12065" b="12065"/>
                      <wp:docPr id="37" name="Диаграмма 37">
                        <a:extLst xmlns:a="http://schemas.openxmlformats.org/drawingml/2006/main">
                          <a:ext uri="{FF2B5EF4-FFF2-40B4-BE49-F238E27FC236}">
                            <a16:creationId xmlns:a16="http://schemas.microsoft.com/office/drawing/2014/main" id="{41694897-C274-417A-B1C7-AD6F246DA6F0}"/>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98"/>
                        </a:graphicData>
                      </a:graphic>
                    </wp:inline>
                  </w:drawing>
                </mc:Choice>
                <mc:Fallback>
                  <w:drawing>
                    <wp:inline distT="0" distB="0" distL="0" distR="0" wp14:anchorId="25492427" wp14:editId="01FCC32A">
                      <wp:extent cx="2160000" cy="2160000"/>
                      <wp:effectExtent l="0" t="0" r="12065" b="12065"/>
                      <wp:docPr id="37" name="Диаграмма 37">
                        <a:extLst xmlns:a="http://schemas.openxmlformats.org/drawingml/2006/main">
                          <a:ext uri="{FF2B5EF4-FFF2-40B4-BE49-F238E27FC236}">
                            <a16:creationId xmlns:a16="http://schemas.microsoft.com/office/drawing/2014/main" id="{41694897-C274-417A-B1C7-AD6F246DA6F0}"/>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7" name="Диаграмма 37">
                                <a:extLst>
                                  <a:ext uri="{FF2B5EF4-FFF2-40B4-BE49-F238E27FC236}">
                                    <a16:creationId xmlns:a16="http://schemas.microsoft.com/office/drawing/2014/main" id="{41694897-C274-417A-B1C7-AD6F246DA6F0}"/>
                                  </a:ext>
                                </a:extLst>
                              </pic:cNvPr>
                              <pic:cNvPicPr>
                                <a:picLocks noGrp="1" noRot="1" noChangeAspect="1" noMove="1" noResize="1" noEditPoints="1" noAdjustHandles="1" noChangeArrowheads="1" noChangeShapeType="1"/>
                              </pic:cNvPicPr>
                            </pic:nvPicPr>
                            <pic:blipFill>
                              <a:blip r:embed="rId99"/>
                              <a:stretch>
                                <a:fillRect/>
                              </a:stretch>
                            </pic:blipFill>
                            <pic:spPr>
                              <a:xfrm>
                                <a:off x="0" y="0"/>
                                <a:ext cx="2159635" cy="2159635"/>
                              </a:xfrm>
                              <a:prstGeom prst="rect">
                                <a:avLst/>
                              </a:prstGeom>
                            </pic:spPr>
                          </pic:pic>
                        </a:graphicData>
                      </a:graphic>
                    </wp:inline>
                  </w:drawing>
                </mc:Fallback>
              </mc:AlternateContent>
            </w:r>
          </w:p>
        </w:tc>
        <w:tc>
          <w:tcPr>
            <w:tcW w:w="3636" w:type="dxa"/>
          </w:tcPr>
          <w:p w14:paraId="3E6838B9" w14:textId="22916962" w:rsidR="00AB0BE3" w:rsidRPr="00A43B9C" w:rsidRDefault="00AB0BE3" w:rsidP="00870926">
            <w:pPr>
              <w:spacing w:after="0" w:line="240" w:lineRule="auto"/>
              <w:jc w:val="center"/>
              <w:rPr>
                <w:rFonts w:ascii="Times New Roman" w:hAnsi="Times New Roman" w:cs="Times New Roman"/>
                <w:sz w:val="28"/>
                <w:szCs w:val="28"/>
              </w:rPr>
            </w:pPr>
            <w:r>
              <w:rPr>
                <w:noProof/>
              </w:rPr>
              <mc:AlternateContent>
                <mc:Choice Requires="cx1">
                  <w:drawing>
                    <wp:inline distT="0" distB="0" distL="0" distR="0" wp14:anchorId="760E0E9C" wp14:editId="6A460725">
                      <wp:extent cx="2160000" cy="2160000"/>
                      <wp:effectExtent l="0" t="0" r="12065" b="12065"/>
                      <wp:docPr id="458" name="Диаграмма 458">
                        <a:extLst xmlns:a="http://schemas.openxmlformats.org/drawingml/2006/main">
                          <a:ext uri="{FF2B5EF4-FFF2-40B4-BE49-F238E27FC236}">
                            <a16:creationId xmlns:a16="http://schemas.microsoft.com/office/drawing/2014/main" id="{A0BB3B1C-8E20-486C-A429-9D473C8996F9}"/>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00"/>
                        </a:graphicData>
                      </a:graphic>
                    </wp:inline>
                  </w:drawing>
                </mc:Choice>
                <mc:Fallback>
                  <w:drawing>
                    <wp:inline distT="0" distB="0" distL="0" distR="0" wp14:anchorId="760E0E9C" wp14:editId="6A460725">
                      <wp:extent cx="2160000" cy="2160000"/>
                      <wp:effectExtent l="0" t="0" r="12065" b="12065"/>
                      <wp:docPr id="458" name="Диаграмма 458">
                        <a:extLst xmlns:a="http://schemas.openxmlformats.org/drawingml/2006/main">
                          <a:ext uri="{FF2B5EF4-FFF2-40B4-BE49-F238E27FC236}">
                            <a16:creationId xmlns:a16="http://schemas.microsoft.com/office/drawing/2014/main" id="{A0BB3B1C-8E20-486C-A429-9D473C8996F9}"/>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58" name="Диаграмма 458">
                                <a:extLst>
                                  <a:ext uri="{FF2B5EF4-FFF2-40B4-BE49-F238E27FC236}">
                                    <a16:creationId xmlns:a16="http://schemas.microsoft.com/office/drawing/2014/main" id="{A0BB3B1C-8E20-486C-A429-9D473C8996F9}"/>
                                  </a:ext>
                                </a:extLst>
                              </pic:cNvPr>
                              <pic:cNvPicPr>
                                <a:picLocks noGrp="1" noRot="1" noChangeAspect="1" noMove="1" noResize="1" noEditPoints="1" noAdjustHandles="1" noChangeArrowheads="1" noChangeShapeType="1"/>
                              </pic:cNvPicPr>
                            </pic:nvPicPr>
                            <pic:blipFill>
                              <a:blip r:embed="rId101"/>
                              <a:stretch>
                                <a:fillRect/>
                              </a:stretch>
                            </pic:blipFill>
                            <pic:spPr>
                              <a:xfrm>
                                <a:off x="0" y="0"/>
                                <a:ext cx="2159635" cy="2159635"/>
                              </a:xfrm>
                              <a:prstGeom prst="rect">
                                <a:avLst/>
                              </a:prstGeom>
                            </pic:spPr>
                          </pic:pic>
                        </a:graphicData>
                      </a:graphic>
                    </wp:inline>
                  </w:drawing>
                </mc:Fallback>
              </mc:AlternateContent>
            </w:r>
          </w:p>
        </w:tc>
      </w:tr>
      <w:tr w:rsidR="005E7848" w:rsidRPr="00A43B9C" w14:paraId="3EFF33C6" w14:textId="77777777" w:rsidTr="00B83D62">
        <w:tc>
          <w:tcPr>
            <w:tcW w:w="3636" w:type="dxa"/>
          </w:tcPr>
          <w:p w14:paraId="36264FEA" w14:textId="04056206" w:rsidR="005E7848" w:rsidRPr="002D7BBC" w:rsidRDefault="005E7848" w:rsidP="00446A37">
            <w:pPr>
              <w:spacing w:after="0" w:line="240" w:lineRule="auto"/>
              <w:jc w:val="center"/>
              <w:rPr>
                <w:rFonts w:ascii="Times New Roman" w:hAnsi="Times New Roman" w:cs="Times New Roman"/>
                <w:sz w:val="24"/>
                <w:szCs w:val="24"/>
                <w:lang w:val="en-US"/>
              </w:rPr>
            </w:pPr>
            <w:r w:rsidRPr="002D7BBC">
              <w:rPr>
                <w:rFonts w:ascii="Times New Roman" w:hAnsi="Times New Roman" w:cs="Times New Roman"/>
                <w:sz w:val="24"/>
                <w:szCs w:val="24"/>
              </w:rPr>
              <w:t>ж</w:t>
            </w:r>
            <w:r w:rsidR="00A71535" w:rsidRPr="002D7BBC">
              <w:rPr>
                <w:rFonts w:ascii="Times New Roman" w:hAnsi="Times New Roman" w:cs="Times New Roman"/>
                <w:sz w:val="24"/>
                <w:szCs w:val="24"/>
              </w:rPr>
              <w:t>)</w:t>
            </w:r>
            <w:r w:rsidR="0082173A" w:rsidRPr="002D7BBC">
              <w:rPr>
                <w:rFonts w:ascii="Times New Roman" w:hAnsi="Times New Roman" w:cs="Times New Roman"/>
                <w:sz w:val="24"/>
                <w:szCs w:val="24"/>
                <w:lang w:val="en-US"/>
              </w:rPr>
              <w:t xml:space="preserve"> </w:t>
            </w:r>
            <w:r w:rsidR="00A71535" w:rsidRPr="002D7BBC">
              <w:rPr>
                <w:rFonts w:ascii="Times New Roman" w:hAnsi="Times New Roman" w:cs="Times New Roman"/>
                <w:sz w:val="24"/>
                <w:szCs w:val="24"/>
              </w:rPr>
              <w:t>Л</w:t>
            </w:r>
            <w:r w:rsidR="0082173A" w:rsidRPr="002D7BBC">
              <w:rPr>
                <w:rFonts w:ascii="Times New Roman" w:hAnsi="Times New Roman" w:cs="Times New Roman"/>
                <w:sz w:val="24"/>
                <w:szCs w:val="24"/>
              </w:rPr>
              <w:t xml:space="preserve">окализация </w:t>
            </w:r>
            <w:r w:rsidR="0082173A" w:rsidRPr="002D7BBC">
              <w:rPr>
                <w:rFonts w:ascii="Times New Roman" w:hAnsi="Times New Roman" w:cs="Times New Roman"/>
                <w:sz w:val="24"/>
                <w:szCs w:val="24"/>
                <w:lang w:val="en-US"/>
              </w:rPr>
              <w:t>RP</w:t>
            </w:r>
          </w:p>
        </w:tc>
        <w:tc>
          <w:tcPr>
            <w:tcW w:w="3636" w:type="dxa"/>
          </w:tcPr>
          <w:p w14:paraId="76D49142" w14:textId="4F81EC16" w:rsidR="005E7848" w:rsidRPr="002D7BBC" w:rsidRDefault="005E7848" w:rsidP="00446A37">
            <w:pPr>
              <w:spacing w:after="0" w:line="240" w:lineRule="auto"/>
              <w:jc w:val="center"/>
              <w:rPr>
                <w:rFonts w:ascii="Times New Roman" w:hAnsi="Times New Roman" w:cs="Times New Roman"/>
                <w:sz w:val="24"/>
                <w:szCs w:val="24"/>
                <w:lang w:val="en-US"/>
              </w:rPr>
            </w:pPr>
            <w:r w:rsidRPr="002D7BBC">
              <w:rPr>
                <w:rFonts w:ascii="Times New Roman" w:hAnsi="Times New Roman" w:cs="Times New Roman"/>
                <w:sz w:val="24"/>
                <w:szCs w:val="24"/>
              </w:rPr>
              <w:t>к</w:t>
            </w:r>
            <w:r w:rsidR="00A71535" w:rsidRPr="002D7BBC">
              <w:rPr>
                <w:rFonts w:ascii="Times New Roman" w:hAnsi="Times New Roman" w:cs="Times New Roman"/>
                <w:sz w:val="24"/>
                <w:szCs w:val="24"/>
              </w:rPr>
              <w:t>)</w:t>
            </w:r>
            <w:r w:rsidR="0082173A" w:rsidRPr="002D7BBC">
              <w:rPr>
                <w:rFonts w:ascii="Times New Roman" w:hAnsi="Times New Roman" w:cs="Times New Roman"/>
                <w:sz w:val="24"/>
                <w:szCs w:val="24"/>
                <w:lang w:val="en-US"/>
              </w:rPr>
              <w:t xml:space="preserve"> </w:t>
            </w:r>
            <w:r w:rsidR="00A71535" w:rsidRPr="002D7BBC">
              <w:rPr>
                <w:rFonts w:ascii="Times New Roman" w:hAnsi="Times New Roman" w:cs="Times New Roman"/>
                <w:sz w:val="24"/>
                <w:szCs w:val="24"/>
              </w:rPr>
              <w:t>Л</w:t>
            </w:r>
            <w:r w:rsidR="0082173A" w:rsidRPr="002D7BBC">
              <w:rPr>
                <w:rFonts w:ascii="Times New Roman" w:hAnsi="Times New Roman" w:cs="Times New Roman"/>
                <w:sz w:val="24"/>
                <w:szCs w:val="24"/>
              </w:rPr>
              <w:t xml:space="preserve">окализация </w:t>
            </w:r>
            <w:r w:rsidR="0082173A" w:rsidRPr="002D7BBC">
              <w:rPr>
                <w:rFonts w:ascii="Times New Roman" w:hAnsi="Times New Roman" w:cs="Times New Roman"/>
                <w:sz w:val="24"/>
                <w:szCs w:val="24"/>
                <w:lang w:val="en-US"/>
              </w:rPr>
              <w:t>RLI</w:t>
            </w:r>
          </w:p>
        </w:tc>
        <w:tc>
          <w:tcPr>
            <w:tcW w:w="3636" w:type="dxa"/>
          </w:tcPr>
          <w:p w14:paraId="53D5753B" w14:textId="32CD1045" w:rsidR="005E7848" w:rsidRPr="002D7BBC" w:rsidRDefault="005E7848" w:rsidP="00446A37">
            <w:pPr>
              <w:spacing w:after="0" w:line="240" w:lineRule="auto"/>
              <w:jc w:val="center"/>
              <w:rPr>
                <w:rFonts w:ascii="Times New Roman" w:hAnsi="Times New Roman" w:cs="Times New Roman"/>
                <w:sz w:val="24"/>
                <w:szCs w:val="24"/>
                <w:lang w:val="en-US"/>
              </w:rPr>
            </w:pPr>
            <w:r w:rsidRPr="002D7BBC">
              <w:rPr>
                <w:rFonts w:ascii="Times New Roman" w:hAnsi="Times New Roman" w:cs="Times New Roman"/>
                <w:sz w:val="24"/>
                <w:szCs w:val="24"/>
              </w:rPr>
              <w:t>л</w:t>
            </w:r>
            <w:r w:rsidR="00A71535" w:rsidRPr="002D7BBC">
              <w:rPr>
                <w:rFonts w:ascii="Times New Roman" w:hAnsi="Times New Roman" w:cs="Times New Roman"/>
                <w:sz w:val="24"/>
                <w:szCs w:val="24"/>
              </w:rPr>
              <w:t>)</w:t>
            </w:r>
            <w:r w:rsidR="0082173A" w:rsidRPr="002D7BBC">
              <w:rPr>
                <w:rFonts w:ascii="Times New Roman" w:hAnsi="Times New Roman" w:cs="Times New Roman"/>
                <w:sz w:val="24"/>
                <w:szCs w:val="24"/>
                <w:lang w:val="en-US"/>
              </w:rPr>
              <w:t xml:space="preserve"> </w:t>
            </w:r>
            <w:r w:rsidR="00A71535" w:rsidRPr="002D7BBC">
              <w:rPr>
                <w:rFonts w:ascii="Times New Roman" w:hAnsi="Times New Roman" w:cs="Times New Roman"/>
                <w:sz w:val="24"/>
                <w:szCs w:val="24"/>
              </w:rPr>
              <w:t>Л</w:t>
            </w:r>
            <w:r w:rsidR="0082173A" w:rsidRPr="002D7BBC">
              <w:rPr>
                <w:rFonts w:ascii="Times New Roman" w:hAnsi="Times New Roman" w:cs="Times New Roman"/>
                <w:sz w:val="24"/>
                <w:szCs w:val="24"/>
              </w:rPr>
              <w:t>окализация P</w:t>
            </w:r>
          </w:p>
        </w:tc>
      </w:tr>
    </w:tbl>
    <w:p w14:paraId="194EAFD2" w14:textId="77777777" w:rsidR="00A71535" w:rsidRDefault="00A71535" w:rsidP="0058242D">
      <w:pPr>
        <w:spacing w:after="0" w:line="240" w:lineRule="auto"/>
        <w:ind w:firstLine="709"/>
        <w:jc w:val="center"/>
        <w:rPr>
          <w:rFonts w:ascii="Times New Roman" w:hAnsi="Times New Roman" w:cs="Times New Roman"/>
          <w:sz w:val="28"/>
          <w:szCs w:val="28"/>
        </w:rPr>
      </w:pPr>
    </w:p>
    <w:p w14:paraId="5F71F683" w14:textId="105570E4" w:rsidR="0058242D" w:rsidRPr="00A43B9C" w:rsidRDefault="0058242D" w:rsidP="0058242D">
      <w:pPr>
        <w:spacing w:after="0" w:line="240" w:lineRule="auto"/>
        <w:ind w:firstLine="709"/>
        <w:jc w:val="center"/>
        <w:rPr>
          <w:rFonts w:ascii="Times New Roman" w:hAnsi="Times New Roman" w:cs="Times New Roman"/>
          <w:sz w:val="28"/>
          <w:szCs w:val="28"/>
        </w:rPr>
      </w:pPr>
      <w:r w:rsidRPr="00A43B9C">
        <w:rPr>
          <w:rFonts w:ascii="Times New Roman" w:hAnsi="Times New Roman" w:cs="Times New Roman"/>
          <w:sz w:val="28"/>
          <w:szCs w:val="28"/>
        </w:rPr>
        <w:t xml:space="preserve">Рисунок </w:t>
      </w:r>
      <w:r w:rsidR="00006C4D">
        <w:rPr>
          <w:rFonts w:ascii="Times New Roman" w:hAnsi="Times New Roman" w:cs="Times New Roman"/>
          <w:sz w:val="28"/>
          <w:szCs w:val="28"/>
        </w:rPr>
        <w:t>10</w:t>
      </w:r>
      <w:r w:rsidR="001D33E2" w:rsidRPr="00A43B9C">
        <w:rPr>
          <w:rFonts w:ascii="Times New Roman" w:hAnsi="Times New Roman" w:cs="Times New Roman"/>
          <w:sz w:val="28"/>
          <w:szCs w:val="28"/>
        </w:rPr>
        <w:t xml:space="preserve"> </w:t>
      </w:r>
      <w:r w:rsidR="004D5D0F">
        <w:rPr>
          <w:rFonts w:ascii="Times New Roman" w:hAnsi="Times New Roman" w:cs="Times New Roman"/>
          <w:sz w:val="28"/>
          <w:szCs w:val="28"/>
        </w:rPr>
        <w:t>-</w:t>
      </w:r>
      <w:r w:rsidRPr="00A43B9C">
        <w:rPr>
          <w:rFonts w:ascii="Times New Roman" w:hAnsi="Times New Roman" w:cs="Times New Roman"/>
          <w:sz w:val="28"/>
          <w:szCs w:val="28"/>
        </w:rPr>
        <w:t xml:space="preserve"> </w:t>
      </w:r>
      <w:r w:rsidR="00A71535">
        <w:rPr>
          <w:rFonts w:ascii="Times New Roman" w:hAnsi="Times New Roman" w:cs="Times New Roman"/>
          <w:sz w:val="28"/>
          <w:szCs w:val="28"/>
        </w:rPr>
        <w:t>лист</w:t>
      </w:r>
      <w:r w:rsidR="002D7BBC">
        <w:rPr>
          <w:rFonts w:ascii="Times New Roman" w:hAnsi="Times New Roman" w:cs="Times New Roman"/>
          <w:sz w:val="28"/>
          <w:szCs w:val="28"/>
        </w:rPr>
        <w:t xml:space="preserve"> 2</w:t>
      </w:r>
    </w:p>
    <w:p w14:paraId="5A30235B" w14:textId="03C93660" w:rsidR="0058242D" w:rsidRPr="00A43B9C" w:rsidRDefault="0058242D" w:rsidP="00DE7880">
      <w:pPr>
        <w:spacing w:after="0" w:line="240" w:lineRule="auto"/>
        <w:ind w:firstLine="709"/>
        <w:jc w:val="both"/>
        <w:rPr>
          <w:rFonts w:ascii="Times New Roman" w:hAnsi="Times New Roman" w:cs="Times New Roman"/>
          <w:sz w:val="28"/>
          <w:szCs w:val="28"/>
        </w:rPr>
      </w:pPr>
    </w:p>
    <w:p w14:paraId="4E7C53D0" w14:textId="563B2BCA" w:rsidR="00DE7880" w:rsidRPr="00A43B9C" w:rsidRDefault="005F2401" w:rsidP="00DE7880">
      <w:pPr>
        <w:spacing w:after="0" w:line="240" w:lineRule="auto"/>
        <w:ind w:firstLine="709"/>
        <w:jc w:val="both"/>
        <w:rPr>
          <w:rFonts w:ascii="Times New Roman" w:hAnsi="Times New Roman" w:cs="Times New Roman"/>
          <w:sz w:val="28"/>
          <w:szCs w:val="28"/>
          <w:lang w:val="kk-KZ"/>
        </w:rPr>
      </w:pPr>
      <w:r w:rsidRPr="00A43B9C">
        <w:rPr>
          <w:rFonts w:ascii="Times New Roman" w:hAnsi="Times New Roman" w:cs="Times New Roman"/>
          <w:sz w:val="28"/>
          <w:szCs w:val="28"/>
        </w:rPr>
        <w:t xml:space="preserve">Как и в предыдущих видах анализа, </w:t>
      </w:r>
      <w:r w:rsidRPr="00A43B9C">
        <w:rPr>
          <w:rFonts w:ascii="Times New Roman" w:hAnsi="Times New Roman" w:cs="Times New Roman"/>
          <w:sz w:val="28"/>
          <w:szCs w:val="28"/>
          <w:lang w:val="kk-KZ"/>
        </w:rPr>
        <w:t xml:space="preserve">сравнительный анализ </w:t>
      </w:r>
      <w:r w:rsidR="00DE7880" w:rsidRPr="00A43B9C">
        <w:rPr>
          <w:rFonts w:ascii="Times New Roman" w:hAnsi="Times New Roman" w:cs="Times New Roman"/>
          <w:sz w:val="28"/>
          <w:szCs w:val="28"/>
        </w:rPr>
        <w:t xml:space="preserve">уровня </w:t>
      </w:r>
      <w:r w:rsidR="009307C9" w:rsidRPr="00A43B9C">
        <w:rPr>
          <w:rFonts w:ascii="Times New Roman" w:hAnsi="Times New Roman" w:cs="Times New Roman"/>
          <w:sz w:val="28"/>
          <w:szCs w:val="28"/>
        </w:rPr>
        <w:t>накопления</w:t>
      </w:r>
      <w:r w:rsidR="00DE7880" w:rsidRPr="00A43B9C">
        <w:rPr>
          <w:rFonts w:ascii="Times New Roman" w:hAnsi="Times New Roman" w:cs="Times New Roman"/>
          <w:sz w:val="28"/>
          <w:szCs w:val="28"/>
        </w:rPr>
        <w:t xml:space="preserve"> </w:t>
      </w:r>
      <w:r w:rsidR="00DE7880" w:rsidRPr="00A43B9C">
        <w:rPr>
          <w:rFonts w:ascii="Times New Roman" w:hAnsi="Times New Roman" w:cs="Times New Roman"/>
          <w:sz w:val="28"/>
          <w:szCs w:val="28"/>
          <w:lang w:val="en-US"/>
        </w:rPr>
        <w:t>SUV</w:t>
      </w:r>
      <w:r w:rsidR="00DE7880" w:rsidRPr="00A43B9C">
        <w:rPr>
          <w:rFonts w:ascii="Times New Roman" w:hAnsi="Times New Roman" w:cs="Times New Roman"/>
          <w:sz w:val="28"/>
          <w:szCs w:val="28"/>
          <w:vertAlign w:val="subscript"/>
          <w:lang w:val="en-US"/>
        </w:rPr>
        <w:t>max</w:t>
      </w:r>
      <w:r w:rsidR="00DE7880" w:rsidRPr="00A43B9C">
        <w:rPr>
          <w:rFonts w:ascii="Times New Roman" w:hAnsi="Times New Roman" w:cs="Times New Roman"/>
          <w:sz w:val="28"/>
          <w:szCs w:val="28"/>
          <w:lang w:val="kk-KZ"/>
        </w:rPr>
        <w:t xml:space="preserve"> в </w:t>
      </w:r>
      <w:r w:rsidR="0024258A" w:rsidRPr="00A43B9C">
        <w:rPr>
          <w:rFonts w:ascii="Times New Roman" w:hAnsi="Times New Roman" w:cs="Times New Roman"/>
          <w:sz w:val="28"/>
          <w:szCs w:val="28"/>
          <w:lang w:val="en-US"/>
        </w:rPr>
        <w:t>VAT</w:t>
      </w:r>
      <w:r w:rsidR="0024258A" w:rsidRPr="00A43B9C">
        <w:rPr>
          <w:rFonts w:ascii="Times New Roman" w:hAnsi="Times New Roman" w:cs="Times New Roman"/>
          <w:sz w:val="28"/>
          <w:szCs w:val="28"/>
        </w:rPr>
        <w:t xml:space="preserve"> в </w:t>
      </w:r>
      <w:r w:rsidR="00DE7880" w:rsidRPr="00A43B9C">
        <w:rPr>
          <w:rFonts w:ascii="Times New Roman" w:hAnsi="Times New Roman" w:cs="Times New Roman"/>
          <w:sz w:val="28"/>
          <w:szCs w:val="28"/>
          <w:lang w:val="kk-KZ"/>
        </w:rPr>
        <w:t xml:space="preserve">зависимости от гистологического </w:t>
      </w:r>
      <w:r w:rsidR="00DE7880" w:rsidRPr="00A43B9C">
        <w:rPr>
          <w:rFonts w:ascii="Times New Roman" w:hAnsi="Times New Roman" w:cs="Times New Roman"/>
          <w:sz w:val="28"/>
          <w:szCs w:val="28"/>
        </w:rPr>
        <w:t xml:space="preserve">типа </w:t>
      </w:r>
      <w:r w:rsidR="00DE7880" w:rsidRPr="00A43B9C">
        <w:rPr>
          <w:rFonts w:ascii="Times New Roman" w:hAnsi="Times New Roman" w:cs="Times New Roman"/>
          <w:sz w:val="28"/>
          <w:szCs w:val="28"/>
          <w:lang w:val="kk-KZ"/>
        </w:rPr>
        <w:t xml:space="preserve">опухоли </w:t>
      </w:r>
      <w:r w:rsidR="009A561E" w:rsidRPr="00A43B9C">
        <w:rPr>
          <w:rFonts w:ascii="Times New Roman" w:hAnsi="Times New Roman" w:cs="Times New Roman"/>
          <w:sz w:val="28"/>
          <w:szCs w:val="28"/>
        </w:rPr>
        <w:t xml:space="preserve">(таблица 10) </w:t>
      </w:r>
      <w:r w:rsidR="00DE7880" w:rsidRPr="00A43B9C">
        <w:rPr>
          <w:rFonts w:ascii="Times New Roman" w:hAnsi="Times New Roman" w:cs="Times New Roman"/>
          <w:sz w:val="28"/>
          <w:szCs w:val="28"/>
          <w:lang w:val="kk-KZ"/>
        </w:rPr>
        <w:t xml:space="preserve">статистически значимых различий </w:t>
      </w:r>
      <w:r w:rsidR="00FD5BB7" w:rsidRPr="00A43B9C">
        <w:rPr>
          <w:rFonts w:ascii="Times New Roman" w:hAnsi="Times New Roman" w:cs="Times New Roman"/>
          <w:sz w:val="28"/>
          <w:szCs w:val="28"/>
          <w:lang w:val="kk-KZ"/>
        </w:rPr>
        <w:t xml:space="preserve">также </w:t>
      </w:r>
      <w:r w:rsidR="00DE7880" w:rsidRPr="00A43B9C">
        <w:rPr>
          <w:rFonts w:ascii="Times New Roman" w:hAnsi="Times New Roman" w:cs="Times New Roman"/>
          <w:sz w:val="28"/>
          <w:szCs w:val="28"/>
          <w:lang w:val="kk-KZ"/>
        </w:rPr>
        <w:t xml:space="preserve">не </w:t>
      </w:r>
      <w:r w:rsidR="00FD5BB7" w:rsidRPr="00A43B9C">
        <w:rPr>
          <w:rFonts w:ascii="Times New Roman" w:hAnsi="Times New Roman" w:cs="Times New Roman"/>
          <w:sz w:val="28"/>
          <w:szCs w:val="28"/>
          <w:lang w:val="kk-KZ"/>
        </w:rPr>
        <w:t>выявил при сравнении локализаций друг с другом</w:t>
      </w:r>
      <w:r w:rsidR="009A561E" w:rsidRPr="00A43B9C">
        <w:rPr>
          <w:rFonts w:ascii="Times New Roman" w:hAnsi="Times New Roman" w:cs="Times New Roman"/>
          <w:sz w:val="28"/>
          <w:szCs w:val="28"/>
          <w:lang w:val="kk-KZ"/>
        </w:rPr>
        <w:t>:</w:t>
      </w:r>
      <w:r w:rsidR="00DE7880" w:rsidRPr="00A43B9C">
        <w:rPr>
          <w:rFonts w:ascii="Times New Roman" w:hAnsi="Times New Roman" w:cs="Times New Roman"/>
          <w:sz w:val="28"/>
          <w:szCs w:val="28"/>
          <w:lang w:val="kk-KZ"/>
        </w:rPr>
        <w:t xml:space="preserve"> RE (p = 0,441), RLH (p = 0,501), RRL (p = 0,257), RU (p = 0,978), RLL (p = 0,294), RRI (p = 0,627), RP (p = 0,568), RLI (p = 0,556), P (p = 0,422)</w:t>
      </w:r>
      <w:r w:rsidR="00EA5E8C">
        <w:rPr>
          <w:rFonts w:ascii="Times New Roman" w:hAnsi="Times New Roman" w:cs="Times New Roman"/>
          <w:sz w:val="28"/>
          <w:szCs w:val="28"/>
          <w:lang w:val="kk-KZ"/>
        </w:rPr>
        <w:t xml:space="preserve"> </w:t>
      </w:r>
      <w:r w:rsidR="00EA5E8C" w:rsidRPr="00A43B9C">
        <w:rPr>
          <w:rFonts w:ascii="Times New Roman" w:hAnsi="Times New Roman" w:cs="Times New Roman"/>
          <w:sz w:val="28"/>
          <w:szCs w:val="28"/>
          <w:lang w:val="kk-KZ"/>
        </w:rPr>
        <w:t>(рисунок 1</w:t>
      </w:r>
      <w:r w:rsidR="00EA5E8C">
        <w:rPr>
          <w:rFonts w:ascii="Times New Roman" w:hAnsi="Times New Roman" w:cs="Times New Roman"/>
          <w:sz w:val="28"/>
          <w:szCs w:val="28"/>
          <w:lang w:val="kk-KZ"/>
        </w:rPr>
        <w:t>1</w:t>
      </w:r>
      <w:r w:rsidR="00EA5E8C" w:rsidRPr="00A43B9C">
        <w:rPr>
          <w:rFonts w:ascii="Times New Roman" w:hAnsi="Times New Roman" w:cs="Times New Roman"/>
          <w:sz w:val="28"/>
          <w:szCs w:val="28"/>
          <w:lang w:val="kk-KZ"/>
        </w:rPr>
        <w:t>)</w:t>
      </w:r>
      <w:r w:rsidR="00DE7880" w:rsidRPr="00A43B9C">
        <w:rPr>
          <w:rFonts w:ascii="Times New Roman" w:hAnsi="Times New Roman" w:cs="Times New Roman"/>
          <w:sz w:val="28"/>
          <w:szCs w:val="28"/>
          <w:lang w:val="kk-KZ"/>
        </w:rPr>
        <w:t>.</w:t>
      </w:r>
    </w:p>
    <w:p w14:paraId="12A841E9" w14:textId="77777777" w:rsidR="00DE7880" w:rsidRPr="00A43B9C" w:rsidRDefault="00DE7880" w:rsidP="00DE7880">
      <w:pPr>
        <w:spacing w:after="0" w:line="240" w:lineRule="auto"/>
        <w:ind w:firstLine="709"/>
        <w:jc w:val="both"/>
        <w:rPr>
          <w:rFonts w:ascii="Times New Roman" w:hAnsi="Times New Roman" w:cs="Times New Roman"/>
          <w:sz w:val="28"/>
          <w:szCs w:val="28"/>
          <w:lang w:val="kk-KZ"/>
        </w:rPr>
      </w:pPr>
    </w:p>
    <w:p w14:paraId="5BF537F9" w14:textId="18D0D7C0" w:rsidR="00DE7880" w:rsidRPr="00A43B9C" w:rsidRDefault="00DE7880" w:rsidP="00D12CD6">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 xml:space="preserve">Таблица </w:t>
      </w:r>
      <w:r w:rsidR="00676870" w:rsidRPr="00A43B9C">
        <w:rPr>
          <w:rFonts w:ascii="Times New Roman" w:hAnsi="Times New Roman" w:cs="Times New Roman"/>
          <w:sz w:val="28"/>
          <w:szCs w:val="28"/>
        </w:rPr>
        <w:t>10</w:t>
      </w:r>
      <w:r w:rsidR="000A6F86" w:rsidRPr="00A43B9C">
        <w:rPr>
          <w:rFonts w:ascii="Times New Roman" w:hAnsi="Times New Roman" w:cs="Times New Roman"/>
          <w:sz w:val="28"/>
          <w:szCs w:val="28"/>
        </w:rPr>
        <w:t xml:space="preserve"> - </w:t>
      </w:r>
      <w:r w:rsidRPr="00A43B9C">
        <w:rPr>
          <w:rFonts w:ascii="Times New Roman" w:hAnsi="Times New Roman" w:cs="Times New Roman"/>
          <w:sz w:val="28"/>
          <w:szCs w:val="28"/>
        </w:rPr>
        <w:t xml:space="preserve">Анализ уровня </w:t>
      </w:r>
      <w:r w:rsidR="009307C9" w:rsidRPr="00A43B9C">
        <w:rPr>
          <w:rFonts w:ascii="Times New Roman" w:hAnsi="Times New Roman" w:cs="Times New Roman"/>
          <w:sz w:val="28"/>
          <w:szCs w:val="28"/>
        </w:rPr>
        <w:t>накопления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зависимости от гистологического </w:t>
      </w:r>
      <w:r w:rsidR="00FD5BB7" w:rsidRPr="00A43B9C">
        <w:rPr>
          <w:rFonts w:ascii="Times New Roman" w:hAnsi="Times New Roman" w:cs="Times New Roman"/>
          <w:sz w:val="28"/>
          <w:szCs w:val="28"/>
        </w:rPr>
        <w:t xml:space="preserve">типа </w:t>
      </w:r>
      <w:r w:rsidRPr="00A43B9C">
        <w:rPr>
          <w:rFonts w:ascii="Times New Roman" w:hAnsi="Times New Roman" w:cs="Times New Roman"/>
          <w:sz w:val="28"/>
          <w:szCs w:val="28"/>
        </w:rPr>
        <w:t>опухоли</w:t>
      </w:r>
    </w:p>
    <w:p w14:paraId="3ADDE349" w14:textId="77777777" w:rsidR="00D12CD6" w:rsidRPr="00A43B9C" w:rsidRDefault="00D12CD6" w:rsidP="00D12CD6">
      <w:pPr>
        <w:spacing w:after="0" w:line="240" w:lineRule="auto"/>
        <w:jc w:val="both"/>
        <w:rPr>
          <w:rFonts w:ascii="Times New Roman" w:hAnsi="Times New Roman" w:cs="Times New Roman"/>
          <w:sz w:val="28"/>
          <w:szCs w:val="28"/>
        </w:rPr>
      </w:pPr>
    </w:p>
    <w:tbl>
      <w:tblPr>
        <w:tblStyle w:val="ad"/>
        <w:tblW w:w="5000" w:type="pct"/>
        <w:jc w:val="center"/>
        <w:tblLook w:val="04A0" w:firstRow="1" w:lastRow="0" w:firstColumn="1" w:lastColumn="0" w:noHBand="0" w:noVBand="1"/>
      </w:tblPr>
      <w:tblGrid>
        <w:gridCol w:w="2039"/>
        <w:gridCol w:w="3227"/>
        <w:gridCol w:w="817"/>
        <w:gridCol w:w="1708"/>
        <w:gridCol w:w="574"/>
        <w:gridCol w:w="979"/>
      </w:tblGrid>
      <w:tr w:rsidR="00DE7880" w:rsidRPr="00A43B9C" w14:paraId="483A392E" w14:textId="77777777" w:rsidTr="00C10496">
        <w:trPr>
          <w:jc w:val="center"/>
        </w:trPr>
        <w:tc>
          <w:tcPr>
            <w:tcW w:w="1091" w:type="pct"/>
            <w:vAlign w:val="center"/>
          </w:tcPr>
          <w:p w14:paraId="69712B5D"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Локализация</w:t>
            </w:r>
          </w:p>
        </w:tc>
        <w:tc>
          <w:tcPr>
            <w:tcW w:w="1727" w:type="pct"/>
            <w:vAlign w:val="center"/>
          </w:tcPr>
          <w:p w14:paraId="35997BCF"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Категория</w:t>
            </w:r>
          </w:p>
        </w:tc>
        <w:tc>
          <w:tcPr>
            <w:tcW w:w="437" w:type="pct"/>
            <w:vAlign w:val="center"/>
          </w:tcPr>
          <w:p w14:paraId="5C2F72B0"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Me</w:t>
            </w:r>
          </w:p>
        </w:tc>
        <w:tc>
          <w:tcPr>
            <w:tcW w:w="914" w:type="pct"/>
            <w:vAlign w:val="center"/>
          </w:tcPr>
          <w:p w14:paraId="234FB683"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Q₁ – Q₃</w:t>
            </w:r>
          </w:p>
        </w:tc>
        <w:tc>
          <w:tcPr>
            <w:tcW w:w="307" w:type="pct"/>
            <w:vAlign w:val="center"/>
          </w:tcPr>
          <w:p w14:paraId="44197AA2"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p>
        </w:tc>
        <w:tc>
          <w:tcPr>
            <w:tcW w:w="524" w:type="pct"/>
            <w:vAlign w:val="center"/>
          </w:tcPr>
          <w:p w14:paraId="208277C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w:t>
            </w:r>
          </w:p>
        </w:tc>
      </w:tr>
      <w:tr w:rsidR="00452443" w:rsidRPr="00A43B9C" w14:paraId="4158689C" w14:textId="77777777" w:rsidTr="00EF6A1F">
        <w:trPr>
          <w:jc w:val="center"/>
        </w:trPr>
        <w:tc>
          <w:tcPr>
            <w:tcW w:w="1091" w:type="pct"/>
            <w:vAlign w:val="center"/>
          </w:tcPr>
          <w:p w14:paraId="4D3D7ED8" w14:textId="7769C719"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727" w:type="pct"/>
            <w:vAlign w:val="center"/>
          </w:tcPr>
          <w:p w14:paraId="4B37F11F" w14:textId="300807F6"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437" w:type="pct"/>
            <w:vAlign w:val="center"/>
          </w:tcPr>
          <w:p w14:paraId="3C2A0522" w14:textId="3F264833"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914" w:type="pct"/>
            <w:vAlign w:val="center"/>
          </w:tcPr>
          <w:p w14:paraId="3313BF25" w14:textId="3AACB295"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307" w:type="pct"/>
            <w:vAlign w:val="center"/>
          </w:tcPr>
          <w:p w14:paraId="1798C776" w14:textId="0E4BC0BE"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524" w:type="pct"/>
          </w:tcPr>
          <w:p w14:paraId="5B28A540" w14:textId="0B2DFEDC"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r>
      <w:tr w:rsidR="00452443" w:rsidRPr="00A43B9C" w14:paraId="381047FE" w14:textId="77777777" w:rsidTr="00C10496">
        <w:trPr>
          <w:jc w:val="center"/>
        </w:trPr>
        <w:tc>
          <w:tcPr>
            <w:tcW w:w="1091" w:type="pct"/>
            <w:vMerge w:val="restart"/>
            <w:vAlign w:val="center"/>
          </w:tcPr>
          <w:p w14:paraId="7CB0676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RE</w:t>
            </w:r>
          </w:p>
        </w:tc>
        <w:tc>
          <w:tcPr>
            <w:tcW w:w="1727" w:type="pct"/>
            <w:vAlign w:val="center"/>
          </w:tcPr>
          <w:p w14:paraId="167C0ED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Аденокарцинома</w:t>
            </w:r>
          </w:p>
        </w:tc>
        <w:tc>
          <w:tcPr>
            <w:tcW w:w="437" w:type="pct"/>
            <w:vAlign w:val="center"/>
          </w:tcPr>
          <w:p w14:paraId="30525D4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0,73</w:t>
            </w:r>
          </w:p>
        </w:tc>
        <w:tc>
          <w:tcPr>
            <w:tcW w:w="914" w:type="pct"/>
            <w:vAlign w:val="center"/>
          </w:tcPr>
          <w:p w14:paraId="62D1E48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0,61 – 1,05</w:t>
            </w:r>
          </w:p>
        </w:tc>
        <w:tc>
          <w:tcPr>
            <w:tcW w:w="307" w:type="pct"/>
            <w:vAlign w:val="center"/>
          </w:tcPr>
          <w:p w14:paraId="2938160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524" w:type="pct"/>
            <w:vMerge w:val="restart"/>
            <w:vAlign w:val="center"/>
          </w:tcPr>
          <w:p w14:paraId="67B223B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0,441</w:t>
            </w:r>
          </w:p>
        </w:tc>
      </w:tr>
      <w:tr w:rsidR="00452443" w:rsidRPr="00A43B9C" w14:paraId="6C529938" w14:textId="77777777" w:rsidTr="00C10496">
        <w:trPr>
          <w:jc w:val="center"/>
        </w:trPr>
        <w:tc>
          <w:tcPr>
            <w:tcW w:w="1091" w:type="pct"/>
            <w:vMerge/>
            <w:vAlign w:val="center"/>
          </w:tcPr>
          <w:p w14:paraId="63A6BD6D"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1727" w:type="pct"/>
            <w:vAlign w:val="center"/>
          </w:tcPr>
          <w:p w14:paraId="0EBDFCD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Карцинома</w:t>
            </w:r>
          </w:p>
        </w:tc>
        <w:tc>
          <w:tcPr>
            <w:tcW w:w="437" w:type="pct"/>
            <w:vAlign w:val="center"/>
          </w:tcPr>
          <w:p w14:paraId="299A138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0,94</w:t>
            </w:r>
          </w:p>
        </w:tc>
        <w:tc>
          <w:tcPr>
            <w:tcW w:w="914" w:type="pct"/>
            <w:vAlign w:val="center"/>
          </w:tcPr>
          <w:p w14:paraId="16EB33A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 – 1,4</w:t>
            </w:r>
          </w:p>
        </w:tc>
        <w:tc>
          <w:tcPr>
            <w:tcW w:w="307" w:type="pct"/>
            <w:vAlign w:val="center"/>
          </w:tcPr>
          <w:p w14:paraId="582A385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w:t>
            </w:r>
          </w:p>
        </w:tc>
        <w:tc>
          <w:tcPr>
            <w:tcW w:w="524" w:type="pct"/>
            <w:vMerge/>
          </w:tcPr>
          <w:p w14:paraId="66BFEF77"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6E70CCEA" w14:textId="77777777" w:rsidTr="00C10496">
        <w:trPr>
          <w:trHeight w:val="66"/>
          <w:jc w:val="center"/>
        </w:trPr>
        <w:tc>
          <w:tcPr>
            <w:tcW w:w="1091" w:type="pct"/>
            <w:vMerge/>
            <w:vAlign w:val="center"/>
          </w:tcPr>
          <w:p w14:paraId="37CCF640"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1727" w:type="pct"/>
            <w:vAlign w:val="center"/>
          </w:tcPr>
          <w:p w14:paraId="4D0FC74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Цистаденокарцинома</w:t>
            </w:r>
          </w:p>
        </w:tc>
        <w:tc>
          <w:tcPr>
            <w:tcW w:w="437" w:type="pct"/>
            <w:vAlign w:val="center"/>
          </w:tcPr>
          <w:p w14:paraId="715D847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0,79</w:t>
            </w:r>
          </w:p>
        </w:tc>
        <w:tc>
          <w:tcPr>
            <w:tcW w:w="914" w:type="pct"/>
            <w:vAlign w:val="center"/>
          </w:tcPr>
          <w:p w14:paraId="2BB01C4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0,62 – 1,3</w:t>
            </w:r>
          </w:p>
        </w:tc>
        <w:tc>
          <w:tcPr>
            <w:tcW w:w="307" w:type="pct"/>
            <w:vAlign w:val="center"/>
          </w:tcPr>
          <w:p w14:paraId="1E3AAA0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17</w:t>
            </w:r>
          </w:p>
        </w:tc>
        <w:tc>
          <w:tcPr>
            <w:tcW w:w="524" w:type="pct"/>
            <w:vMerge/>
          </w:tcPr>
          <w:p w14:paraId="4B9A02F8"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2DF8F8D1" w14:textId="77777777" w:rsidTr="00C10496">
        <w:trPr>
          <w:jc w:val="center"/>
        </w:trPr>
        <w:tc>
          <w:tcPr>
            <w:tcW w:w="1091" w:type="pct"/>
            <w:vMerge w:val="restart"/>
            <w:vAlign w:val="center"/>
          </w:tcPr>
          <w:p w14:paraId="787231A1" w14:textId="77777777" w:rsidR="00452443" w:rsidRPr="00A43B9C" w:rsidRDefault="00452443" w:rsidP="00452443">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RLH</w:t>
            </w:r>
          </w:p>
        </w:tc>
        <w:tc>
          <w:tcPr>
            <w:tcW w:w="1727" w:type="pct"/>
            <w:vAlign w:val="center"/>
          </w:tcPr>
          <w:p w14:paraId="4FE6DAC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Аденокарцинома</w:t>
            </w:r>
          </w:p>
        </w:tc>
        <w:tc>
          <w:tcPr>
            <w:tcW w:w="437" w:type="pct"/>
            <w:vAlign w:val="center"/>
          </w:tcPr>
          <w:p w14:paraId="666511A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0,75</w:t>
            </w:r>
          </w:p>
        </w:tc>
        <w:tc>
          <w:tcPr>
            <w:tcW w:w="914" w:type="pct"/>
            <w:vAlign w:val="center"/>
          </w:tcPr>
          <w:p w14:paraId="4E627D4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0,54 – 0,95</w:t>
            </w:r>
          </w:p>
        </w:tc>
        <w:tc>
          <w:tcPr>
            <w:tcW w:w="307" w:type="pct"/>
            <w:vAlign w:val="center"/>
          </w:tcPr>
          <w:p w14:paraId="336C9ED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524" w:type="pct"/>
            <w:vMerge w:val="restart"/>
            <w:vAlign w:val="center"/>
          </w:tcPr>
          <w:p w14:paraId="6916E26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0,501</w:t>
            </w:r>
          </w:p>
        </w:tc>
      </w:tr>
      <w:tr w:rsidR="00452443" w:rsidRPr="00A43B9C" w14:paraId="372FB214" w14:textId="77777777" w:rsidTr="00C10496">
        <w:trPr>
          <w:jc w:val="center"/>
        </w:trPr>
        <w:tc>
          <w:tcPr>
            <w:tcW w:w="1091" w:type="pct"/>
            <w:vMerge/>
            <w:vAlign w:val="center"/>
          </w:tcPr>
          <w:p w14:paraId="436E2A84"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1727" w:type="pct"/>
            <w:vAlign w:val="center"/>
          </w:tcPr>
          <w:p w14:paraId="7461D37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Карцинома</w:t>
            </w:r>
          </w:p>
        </w:tc>
        <w:tc>
          <w:tcPr>
            <w:tcW w:w="437" w:type="pct"/>
            <w:vAlign w:val="center"/>
          </w:tcPr>
          <w:p w14:paraId="67FA109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0,97</w:t>
            </w:r>
          </w:p>
        </w:tc>
        <w:tc>
          <w:tcPr>
            <w:tcW w:w="914" w:type="pct"/>
            <w:vAlign w:val="center"/>
          </w:tcPr>
          <w:p w14:paraId="7F5C1A1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0,52 – 1,28</w:t>
            </w:r>
          </w:p>
        </w:tc>
        <w:tc>
          <w:tcPr>
            <w:tcW w:w="307" w:type="pct"/>
            <w:vAlign w:val="center"/>
          </w:tcPr>
          <w:p w14:paraId="0B61FA5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w:t>
            </w:r>
          </w:p>
        </w:tc>
        <w:tc>
          <w:tcPr>
            <w:tcW w:w="524" w:type="pct"/>
            <w:vMerge/>
          </w:tcPr>
          <w:p w14:paraId="48CE8E23"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649AF062" w14:textId="77777777" w:rsidTr="00C10496">
        <w:trPr>
          <w:trHeight w:val="63"/>
          <w:jc w:val="center"/>
        </w:trPr>
        <w:tc>
          <w:tcPr>
            <w:tcW w:w="1091" w:type="pct"/>
            <w:vMerge/>
            <w:vAlign w:val="center"/>
          </w:tcPr>
          <w:p w14:paraId="3BCF692E"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1727" w:type="pct"/>
            <w:vAlign w:val="center"/>
          </w:tcPr>
          <w:p w14:paraId="1F02E13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Цистаденокарцинома</w:t>
            </w:r>
          </w:p>
        </w:tc>
        <w:tc>
          <w:tcPr>
            <w:tcW w:w="437" w:type="pct"/>
            <w:vAlign w:val="center"/>
          </w:tcPr>
          <w:p w14:paraId="4C874DE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0,68</w:t>
            </w:r>
          </w:p>
        </w:tc>
        <w:tc>
          <w:tcPr>
            <w:tcW w:w="914" w:type="pct"/>
            <w:vAlign w:val="center"/>
          </w:tcPr>
          <w:p w14:paraId="7DC47CF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0,53 – 0,83</w:t>
            </w:r>
          </w:p>
        </w:tc>
        <w:tc>
          <w:tcPr>
            <w:tcW w:w="307" w:type="pct"/>
            <w:vAlign w:val="center"/>
          </w:tcPr>
          <w:p w14:paraId="75FB1F1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17</w:t>
            </w:r>
          </w:p>
        </w:tc>
        <w:tc>
          <w:tcPr>
            <w:tcW w:w="524" w:type="pct"/>
            <w:vMerge/>
          </w:tcPr>
          <w:p w14:paraId="3DE3BB73"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6A248F88" w14:textId="77777777" w:rsidTr="00C10496">
        <w:trPr>
          <w:jc w:val="center"/>
        </w:trPr>
        <w:tc>
          <w:tcPr>
            <w:tcW w:w="1091" w:type="pct"/>
            <w:vMerge w:val="restart"/>
            <w:vAlign w:val="center"/>
          </w:tcPr>
          <w:p w14:paraId="2704D5FD" w14:textId="77777777" w:rsidR="00452443" w:rsidRPr="00A43B9C" w:rsidRDefault="00452443" w:rsidP="00452443">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RRL</w:t>
            </w:r>
          </w:p>
        </w:tc>
        <w:tc>
          <w:tcPr>
            <w:tcW w:w="1727" w:type="pct"/>
            <w:vAlign w:val="center"/>
          </w:tcPr>
          <w:p w14:paraId="7F92247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Аденокарцинома</w:t>
            </w:r>
          </w:p>
        </w:tc>
        <w:tc>
          <w:tcPr>
            <w:tcW w:w="437" w:type="pct"/>
            <w:vAlign w:val="center"/>
          </w:tcPr>
          <w:p w14:paraId="248D2BF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w:t>
            </w:r>
          </w:p>
        </w:tc>
        <w:tc>
          <w:tcPr>
            <w:tcW w:w="914" w:type="pct"/>
            <w:vAlign w:val="center"/>
          </w:tcPr>
          <w:p w14:paraId="56DB803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0,66 – 1,05</w:t>
            </w:r>
          </w:p>
        </w:tc>
        <w:tc>
          <w:tcPr>
            <w:tcW w:w="307" w:type="pct"/>
            <w:vAlign w:val="center"/>
          </w:tcPr>
          <w:p w14:paraId="3DD2724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524" w:type="pct"/>
            <w:vMerge w:val="restart"/>
            <w:vAlign w:val="center"/>
          </w:tcPr>
          <w:p w14:paraId="4D7705C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0,257</w:t>
            </w:r>
          </w:p>
        </w:tc>
      </w:tr>
      <w:tr w:rsidR="00452443" w:rsidRPr="00A43B9C" w14:paraId="63C24C3C" w14:textId="77777777" w:rsidTr="00C10496">
        <w:trPr>
          <w:jc w:val="center"/>
        </w:trPr>
        <w:tc>
          <w:tcPr>
            <w:tcW w:w="1091" w:type="pct"/>
            <w:vMerge/>
            <w:vAlign w:val="center"/>
          </w:tcPr>
          <w:p w14:paraId="17A34D1E"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1727" w:type="pct"/>
            <w:vAlign w:val="center"/>
          </w:tcPr>
          <w:p w14:paraId="6ED2434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Карцинома</w:t>
            </w:r>
          </w:p>
        </w:tc>
        <w:tc>
          <w:tcPr>
            <w:tcW w:w="437" w:type="pct"/>
            <w:vAlign w:val="center"/>
          </w:tcPr>
          <w:p w14:paraId="136BCA4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1,06</w:t>
            </w:r>
          </w:p>
        </w:tc>
        <w:tc>
          <w:tcPr>
            <w:tcW w:w="914" w:type="pct"/>
            <w:vAlign w:val="center"/>
          </w:tcPr>
          <w:p w14:paraId="293C6E7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 – 1,24</w:t>
            </w:r>
          </w:p>
        </w:tc>
        <w:tc>
          <w:tcPr>
            <w:tcW w:w="307" w:type="pct"/>
            <w:vAlign w:val="center"/>
          </w:tcPr>
          <w:p w14:paraId="0E65E50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w:t>
            </w:r>
          </w:p>
        </w:tc>
        <w:tc>
          <w:tcPr>
            <w:tcW w:w="524" w:type="pct"/>
            <w:vMerge/>
          </w:tcPr>
          <w:p w14:paraId="761020AC"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041EF84D" w14:textId="77777777" w:rsidTr="00C10496">
        <w:trPr>
          <w:trHeight w:val="54"/>
          <w:jc w:val="center"/>
        </w:trPr>
        <w:tc>
          <w:tcPr>
            <w:tcW w:w="1091" w:type="pct"/>
            <w:vMerge/>
            <w:vAlign w:val="center"/>
          </w:tcPr>
          <w:p w14:paraId="2FF38D6A"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1727" w:type="pct"/>
            <w:vAlign w:val="center"/>
          </w:tcPr>
          <w:p w14:paraId="2D84D96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Цистаденокарцинома</w:t>
            </w:r>
          </w:p>
        </w:tc>
        <w:tc>
          <w:tcPr>
            <w:tcW w:w="437" w:type="pct"/>
            <w:vAlign w:val="center"/>
          </w:tcPr>
          <w:p w14:paraId="5C94F93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0,96</w:t>
            </w:r>
          </w:p>
        </w:tc>
        <w:tc>
          <w:tcPr>
            <w:tcW w:w="914" w:type="pct"/>
            <w:vAlign w:val="center"/>
          </w:tcPr>
          <w:p w14:paraId="5A2A9B8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0,72 – 1,57</w:t>
            </w:r>
          </w:p>
        </w:tc>
        <w:tc>
          <w:tcPr>
            <w:tcW w:w="307" w:type="pct"/>
            <w:vAlign w:val="center"/>
          </w:tcPr>
          <w:p w14:paraId="2F9DB2B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17</w:t>
            </w:r>
          </w:p>
        </w:tc>
        <w:tc>
          <w:tcPr>
            <w:tcW w:w="524" w:type="pct"/>
            <w:vMerge/>
          </w:tcPr>
          <w:p w14:paraId="4FDD9EB9"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42B88E3C" w14:textId="77777777" w:rsidTr="00C10496">
        <w:trPr>
          <w:jc w:val="center"/>
        </w:trPr>
        <w:tc>
          <w:tcPr>
            <w:tcW w:w="1091" w:type="pct"/>
            <w:vMerge w:val="restart"/>
            <w:vAlign w:val="center"/>
          </w:tcPr>
          <w:p w14:paraId="33285453" w14:textId="77777777" w:rsidR="00452443" w:rsidRPr="00A43B9C" w:rsidRDefault="00452443" w:rsidP="00452443">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RU</w:t>
            </w:r>
          </w:p>
        </w:tc>
        <w:tc>
          <w:tcPr>
            <w:tcW w:w="1727" w:type="pct"/>
            <w:vAlign w:val="center"/>
          </w:tcPr>
          <w:p w14:paraId="2D37D06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Аденокарцинома</w:t>
            </w:r>
          </w:p>
        </w:tc>
        <w:tc>
          <w:tcPr>
            <w:tcW w:w="437" w:type="pct"/>
            <w:vAlign w:val="center"/>
          </w:tcPr>
          <w:p w14:paraId="514256C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0,75</w:t>
            </w:r>
          </w:p>
        </w:tc>
        <w:tc>
          <w:tcPr>
            <w:tcW w:w="914" w:type="pct"/>
            <w:vAlign w:val="center"/>
          </w:tcPr>
          <w:p w14:paraId="79090BC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0,64 – 1,16</w:t>
            </w:r>
          </w:p>
        </w:tc>
        <w:tc>
          <w:tcPr>
            <w:tcW w:w="307" w:type="pct"/>
            <w:vAlign w:val="center"/>
          </w:tcPr>
          <w:p w14:paraId="6B16B80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524" w:type="pct"/>
            <w:vMerge w:val="restart"/>
            <w:vAlign w:val="center"/>
          </w:tcPr>
          <w:p w14:paraId="619F98D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0,978</w:t>
            </w:r>
          </w:p>
        </w:tc>
      </w:tr>
      <w:tr w:rsidR="00452443" w:rsidRPr="00A43B9C" w14:paraId="1ECE6787" w14:textId="77777777" w:rsidTr="00C10496">
        <w:trPr>
          <w:jc w:val="center"/>
        </w:trPr>
        <w:tc>
          <w:tcPr>
            <w:tcW w:w="1091" w:type="pct"/>
            <w:vMerge/>
            <w:vAlign w:val="center"/>
          </w:tcPr>
          <w:p w14:paraId="3D356ADD"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1727" w:type="pct"/>
            <w:vAlign w:val="center"/>
          </w:tcPr>
          <w:p w14:paraId="45517CA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Карцинома</w:t>
            </w:r>
          </w:p>
        </w:tc>
        <w:tc>
          <w:tcPr>
            <w:tcW w:w="437" w:type="pct"/>
            <w:vAlign w:val="center"/>
          </w:tcPr>
          <w:p w14:paraId="6228AAE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0,83</w:t>
            </w:r>
          </w:p>
        </w:tc>
        <w:tc>
          <w:tcPr>
            <w:tcW w:w="914" w:type="pct"/>
            <w:vAlign w:val="center"/>
          </w:tcPr>
          <w:p w14:paraId="4D31204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 – 1,1</w:t>
            </w:r>
          </w:p>
        </w:tc>
        <w:tc>
          <w:tcPr>
            <w:tcW w:w="307" w:type="pct"/>
            <w:vAlign w:val="center"/>
          </w:tcPr>
          <w:p w14:paraId="70B0451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w:t>
            </w:r>
          </w:p>
        </w:tc>
        <w:tc>
          <w:tcPr>
            <w:tcW w:w="524" w:type="pct"/>
            <w:vMerge/>
          </w:tcPr>
          <w:p w14:paraId="35587D5F"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7A556F9C" w14:textId="77777777" w:rsidTr="00C10496">
        <w:trPr>
          <w:trHeight w:val="54"/>
          <w:jc w:val="center"/>
        </w:trPr>
        <w:tc>
          <w:tcPr>
            <w:tcW w:w="1091" w:type="pct"/>
            <w:vMerge/>
            <w:vAlign w:val="center"/>
          </w:tcPr>
          <w:p w14:paraId="6F665A7D"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1727" w:type="pct"/>
            <w:vAlign w:val="center"/>
          </w:tcPr>
          <w:p w14:paraId="44AA734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Цистаденокарцинома</w:t>
            </w:r>
          </w:p>
        </w:tc>
        <w:tc>
          <w:tcPr>
            <w:tcW w:w="437" w:type="pct"/>
            <w:vAlign w:val="center"/>
          </w:tcPr>
          <w:p w14:paraId="5A1667F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0,72</w:t>
            </w:r>
          </w:p>
        </w:tc>
        <w:tc>
          <w:tcPr>
            <w:tcW w:w="914" w:type="pct"/>
            <w:vAlign w:val="center"/>
          </w:tcPr>
          <w:p w14:paraId="289ED5B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0,64 – 1,39</w:t>
            </w:r>
          </w:p>
        </w:tc>
        <w:tc>
          <w:tcPr>
            <w:tcW w:w="307" w:type="pct"/>
            <w:vAlign w:val="center"/>
          </w:tcPr>
          <w:p w14:paraId="707940F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17</w:t>
            </w:r>
          </w:p>
        </w:tc>
        <w:tc>
          <w:tcPr>
            <w:tcW w:w="524" w:type="pct"/>
            <w:vMerge/>
          </w:tcPr>
          <w:p w14:paraId="76BE371E"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1FD2F334" w14:textId="77777777" w:rsidTr="00C10496">
        <w:trPr>
          <w:jc w:val="center"/>
        </w:trPr>
        <w:tc>
          <w:tcPr>
            <w:tcW w:w="1091" w:type="pct"/>
            <w:vMerge w:val="restart"/>
            <w:vAlign w:val="center"/>
          </w:tcPr>
          <w:p w14:paraId="3AA79B4C" w14:textId="77777777" w:rsidR="00452443" w:rsidRPr="00A43B9C" w:rsidRDefault="00452443" w:rsidP="00452443">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RLL</w:t>
            </w:r>
          </w:p>
        </w:tc>
        <w:tc>
          <w:tcPr>
            <w:tcW w:w="1727" w:type="pct"/>
            <w:vAlign w:val="center"/>
          </w:tcPr>
          <w:p w14:paraId="4AFD948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Аденокарцинома</w:t>
            </w:r>
          </w:p>
        </w:tc>
        <w:tc>
          <w:tcPr>
            <w:tcW w:w="437" w:type="pct"/>
            <w:vAlign w:val="center"/>
          </w:tcPr>
          <w:p w14:paraId="7D385B7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w:t>
            </w:r>
          </w:p>
        </w:tc>
        <w:tc>
          <w:tcPr>
            <w:tcW w:w="914" w:type="pct"/>
            <w:vAlign w:val="center"/>
          </w:tcPr>
          <w:p w14:paraId="761A665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0,68 – 1,04</w:t>
            </w:r>
          </w:p>
        </w:tc>
        <w:tc>
          <w:tcPr>
            <w:tcW w:w="307" w:type="pct"/>
            <w:vAlign w:val="center"/>
          </w:tcPr>
          <w:p w14:paraId="6DD5A7D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524" w:type="pct"/>
            <w:vMerge w:val="restart"/>
            <w:vAlign w:val="center"/>
          </w:tcPr>
          <w:p w14:paraId="3893F96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0,294</w:t>
            </w:r>
          </w:p>
        </w:tc>
      </w:tr>
      <w:tr w:rsidR="00452443" w:rsidRPr="00A43B9C" w14:paraId="6FB57094" w14:textId="77777777" w:rsidTr="00C10496">
        <w:trPr>
          <w:jc w:val="center"/>
        </w:trPr>
        <w:tc>
          <w:tcPr>
            <w:tcW w:w="1091" w:type="pct"/>
            <w:vMerge/>
            <w:vAlign w:val="center"/>
          </w:tcPr>
          <w:p w14:paraId="7AC8DA1E"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1727" w:type="pct"/>
            <w:vAlign w:val="center"/>
          </w:tcPr>
          <w:p w14:paraId="0664B50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Карцинома</w:t>
            </w:r>
          </w:p>
        </w:tc>
        <w:tc>
          <w:tcPr>
            <w:tcW w:w="437" w:type="pct"/>
            <w:vAlign w:val="center"/>
          </w:tcPr>
          <w:p w14:paraId="60807D7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0,92</w:t>
            </w:r>
          </w:p>
        </w:tc>
        <w:tc>
          <w:tcPr>
            <w:tcW w:w="914" w:type="pct"/>
            <w:vAlign w:val="center"/>
          </w:tcPr>
          <w:p w14:paraId="3C5A2E7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0,79 – 1,36</w:t>
            </w:r>
          </w:p>
        </w:tc>
        <w:tc>
          <w:tcPr>
            <w:tcW w:w="307" w:type="pct"/>
            <w:vAlign w:val="center"/>
          </w:tcPr>
          <w:p w14:paraId="6AB5B58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w:t>
            </w:r>
          </w:p>
        </w:tc>
        <w:tc>
          <w:tcPr>
            <w:tcW w:w="524" w:type="pct"/>
            <w:vMerge/>
          </w:tcPr>
          <w:p w14:paraId="58026A50"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24E5BAF2" w14:textId="77777777" w:rsidTr="00C10496">
        <w:trPr>
          <w:trHeight w:val="54"/>
          <w:jc w:val="center"/>
        </w:trPr>
        <w:tc>
          <w:tcPr>
            <w:tcW w:w="1091" w:type="pct"/>
            <w:vMerge/>
            <w:vAlign w:val="center"/>
          </w:tcPr>
          <w:p w14:paraId="1EACBEBA"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1727" w:type="pct"/>
            <w:vAlign w:val="center"/>
          </w:tcPr>
          <w:p w14:paraId="641D9AD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Цистаденокарцинома</w:t>
            </w:r>
          </w:p>
        </w:tc>
        <w:tc>
          <w:tcPr>
            <w:tcW w:w="437" w:type="pct"/>
            <w:vAlign w:val="center"/>
          </w:tcPr>
          <w:p w14:paraId="5ECA2FE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1,01</w:t>
            </w:r>
          </w:p>
        </w:tc>
        <w:tc>
          <w:tcPr>
            <w:tcW w:w="914" w:type="pct"/>
            <w:vAlign w:val="center"/>
          </w:tcPr>
          <w:p w14:paraId="0D9D80A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0,89 – 1,13</w:t>
            </w:r>
          </w:p>
        </w:tc>
        <w:tc>
          <w:tcPr>
            <w:tcW w:w="307" w:type="pct"/>
            <w:vAlign w:val="center"/>
          </w:tcPr>
          <w:p w14:paraId="6E5E1DB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17</w:t>
            </w:r>
          </w:p>
        </w:tc>
        <w:tc>
          <w:tcPr>
            <w:tcW w:w="524" w:type="pct"/>
            <w:vMerge/>
          </w:tcPr>
          <w:p w14:paraId="2BA6465A"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76191D8F" w14:textId="77777777" w:rsidTr="00C10496">
        <w:trPr>
          <w:jc w:val="center"/>
        </w:trPr>
        <w:tc>
          <w:tcPr>
            <w:tcW w:w="1091" w:type="pct"/>
            <w:vMerge w:val="restart"/>
            <w:vAlign w:val="center"/>
          </w:tcPr>
          <w:p w14:paraId="1C419DFF" w14:textId="77777777" w:rsidR="00452443" w:rsidRPr="00A43B9C" w:rsidRDefault="00452443" w:rsidP="00452443">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RRI</w:t>
            </w:r>
          </w:p>
        </w:tc>
        <w:tc>
          <w:tcPr>
            <w:tcW w:w="1727" w:type="pct"/>
            <w:vAlign w:val="center"/>
          </w:tcPr>
          <w:p w14:paraId="1C570F7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Аденокарцинома</w:t>
            </w:r>
          </w:p>
        </w:tc>
        <w:tc>
          <w:tcPr>
            <w:tcW w:w="437" w:type="pct"/>
            <w:vAlign w:val="center"/>
          </w:tcPr>
          <w:p w14:paraId="52F8005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0,52</w:t>
            </w:r>
          </w:p>
        </w:tc>
        <w:tc>
          <w:tcPr>
            <w:tcW w:w="914" w:type="pct"/>
            <w:vAlign w:val="center"/>
          </w:tcPr>
          <w:p w14:paraId="0F31325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0,45 – 0,77</w:t>
            </w:r>
          </w:p>
        </w:tc>
        <w:tc>
          <w:tcPr>
            <w:tcW w:w="307" w:type="pct"/>
            <w:vAlign w:val="center"/>
          </w:tcPr>
          <w:p w14:paraId="6D640FC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524" w:type="pct"/>
            <w:vMerge w:val="restart"/>
            <w:vAlign w:val="center"/>
          </w:tcPr>
          <w:p w14:paraId="32BF75D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0,627</w:t>
            </w:r>
          </w:p>
        </w:tc>
      </w:tr>
      <w:tr w:rsidR="00452443" w:rsidRPr="00A43B9C" w14:paraId="502D2D67" w14:textId="77777777" w:rsidTr="00C10496">
        <w:trPr>
          <w:jc w:val="center"/>
        </w:trPr>
        <w:tc>
          <w:tcPr>
            <w:tcW w:w="1091" w:type="pct"/>
            <w:vMerge/>
            <w:vAlign w:val="center"/>
          </w:tcPr>
          <w:p w14:paraId="3C8FF055"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1727" w:type="pct"/>
            <w:vAlign w:val="center"/>
          </w:tcPr>
          <w:p w14:paraId="7903D09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Карцинома</w:t>
            </w:r>
          </w:p>
        </w:tc>
        <w:tc>
          <w:tcPr>
            <w:tcW w:w="437" w:type="pct"/>
            <w:vAlign w:val="center"/>
          </w:tcPr>
          <w:p w14:paraId="2266C17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0,58</w:t>
            </w:r>
          </w:p>
        </w:tc>
        <w:tc>
          <w:tcPr>
            <w:tcW w:w="914" w:type="pct"/>
            <w:vAlign w:val="center"/>
          </w:tcPr>
          <w:p w14:paraId="5B18050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0,53 – 0,8</w:t>
            </w:r>
          </w:p>
        </w:tc>
        <w:tc>
          <w:tcPr>
            <w:tcW w:w="307" w:type="pct"/>
            <w:vAlign w:val="center"/>
          </w:tcPr>
          <w:p w14:paraId="4386F7B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w:t>
            </w:r>
          </w:p>
        </w:tc>
        <w:tc>
          <w:tcPr>
            <w:tcW w:w="524" w:type="pct"/>
            <w:vMerge/>
          </w:tcPr>
          <w:p w14:paraId="2BD97368"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24BA52A6" w14:textId="77777777" w:rsidTr="00C10496">
        <w:trPr>
          <w:trHeight w:val="54"/>
          <w:jc w:val="center"/>
        </w:trPr>
        <w:tc>
          <w:tcPr>
            <w:tcW w:w="1091" w:type="pct"/>
            <w:vMerge/>
            <w:tcBorders>
              <w:bottom w:val="nil"/>
            </w:tcBorders>
            <w:vAlign w:val="center"/>
          </w:tcPr>
          <w:p w14:paraId="7033B357"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1727" w:type="pct"/>
            <w:tcBorders>
              <w:bottom w:val="nil"/>
            </w:tcBorders>
            <w:vAlign w:val="center"/>
          </w:tcPr>
          <w:p w14:paraId="0A73F22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Цистаденокарцинома</w:t>
            </w:r>
          </w:p>
        </w:tc>
        <w:tc>
          <w:tcPr>
            <w:tcW w:w="437" w:type="pct"/>
            <w:tcBorders>
              <w:bottom w:val="nil"/>
            </w:tcBorders>
            <w:vAlign w:val="center"/>
          </w:tcPr>
          <w:p w14:paraId="1D1DFBE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0,55</w:t>
            </w:r>
          </w:p>
        </w:tc>
        <w:tc>
          <w:tcPr>
            <w:tcW w:w="914" w:type="pct"/>
            <w:tcBorders>
              <w:bottom w:val="nil"/>
            </w:tcBorders>
            <w:vAlign w:val="center"/>
          </w:tcPr>
          <w:p w14:paraId="225624D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0,48 – 0,91</w:t>
            </w:r>
          </w:p>
        </w:tc>
        <w:tc>
          <w:tcPr>
            <w:tcW w:w="307" w:type="pct"/>
            <w:tcBorders>
              <w:bottom w:val="nil"/>
            </w:tcBorders>
            <w:vAlign w:val="center"/>
          </w:tcPr>
          <w:p w14:paraId="5DD0F87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17</w:t>
            </w:r>
          </w:p>
        </w:tc>
        <w:tc>
          <w:tcPr>
            <w:tcW w:w="524" w:type="pct"/>
            <w:vMerge/>
            <w:tcBorders>
              <w:bottom w:val="nil"/>
            </w:tcBorders>
          </w:tcPr>
          <w:p w14:paraId="34D9DB2E"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747E29DB" w14:textId="77777777" w:rsidTr="00C10496">
        <w:trPr>
          <w:trHeight w:val="54"/>
          <w:jc w:val="center"/>
        </w:trPr>
        <w:tc>
          <w:tcPr>
            <w:tcW w:w="5000" w:type="pct"/>
            <w:gridSpan w:val="6"/>
            <w:tcBorders>
              <w:top w:val="nil"/>
              <w:left w:val="nil"/>
              <w:bottom w:val="nil"/>
              <w:right w:val="nil"/>
            </w:tcBorders>
            <w:vAlign w:val="center"/>
          </w:tcPr>
          <w:p w14:paraId="59217B25"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1915D418" w14:textId="77777777" w:rsidTr="00C10496">
        <w:trPr>
          <w:trHeight w:val="54"/>
          <w:jc w:val="center"/>
        </w:trPr>
        <w:tc>
          <w:tcPr>
            <w:tcW w:w="5000" w:type="pct"/>
            <w:gridSpan w:val="6"/>
            <w:tcBorders>
              <w:top w:val="nil"/>
              <w:left w:val="nil"/>
              <w:bottom w:val="single" w:sz="4" w:space="0" w:color="auto"/>
              <w:right w:val="nil"/>
            </w:tcBorders>
            <w:vAlign w:val="center"/>
          </w:tcPr>
          <w:p w14:paraId="0769B707" w14:textId="70F4D173" w:rsidR="00452443" w:rsidRDefault="00452443" w:rsidP="00452443">
            <w:pPr>
              <w:spacing w:after="0" w:line="240" w:lineRule="auto"/>
              <w:rPr>
                <w:rFonts w:ascii="Times New Roman" w:hAnsi="Times New Roman" w:cs="Times New Roman"/>
                <w:sz w:val="28"/>
                <w:szCs w:val="28"/>
              </w:rPr>
            </w:pPr>
            <w:r>
              <w:rPr>
                <w:rFonts w:ascii="Times New Roman" w:hAnsi="Times New Roman" w:cs="Times New Roman"/>
                <w:sz w:val="28"/>
                <w:szCs w:val="28"/>
              </w:rPr>
              <w:t>Продолжение таблицы 10</w:t>
            </w:r>
          </w:p>
          <w:p w14:paraId="623B5417" w14:textId="77777777" w:rsidR="00452443" w:rsidRPr="00A43B9C" w:rsidRDefault="00452443" w:rsidP="00452443">
            <w:pPr>
              <w:spacing w:after="0" w:line="240" w:lineRule="auto"/>
              <w:rPr>
                <w:rFonts w:ascii="Times New Roman" w:hAnsi="Times New Roman" w:cs="Times New Roman"/>
                <w:sz w:val="28"/>
                <w:szCs w:val="28"/>
              </w:rPr>
            </w:pPr>
          </w:p>
        </w:tc>
      </w:tr>
      <w:tr w:rsidR="00452443" w:rsidRPr="00A43B9C" w14:paraId="4A26AB2C" w14:textId="77777777" w:rsidTr="00C10496">
        <w:trPr>
          <w:trHeight w:val="54"/>
          <w:jc w:val="center"/>
        </w:trPr>
        <w:tc>
          <w:tcPr>
            <w:tcW w:w="1091" w:type="pct"/>
            <w:tcBorders>
              <w:top w:val="single" w:sz="4" w:space="0" w:color="auto"/>
            </w:tcBorders>
            <w:vAlign w:val="center"/>
          </w:tcPr>
          <w:p w14:paraId="09C12F54" w14:textId="3B1D2A10"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727" w:type="pct"/>
            <w:tcBorders>
              <w:top w:val="single" w:sz="4" w:space="0" w:color="auto"/>
            </w:tcBorders>
            <w:vAlign w:val="center"/>
          </w:tcPr>
          <w:p w14:paraId="5341642F" w14:textId="68E38C10"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437" w:type="pct"/>
            <w:tcBorders>
              <w:top w:val="single" w:sz="4" w:space="0" w:color="auto"/>
            </w:tcBorders>
            <w:vAlign w:val="center"/>
          </w:tcPr>
          <w:p w14:paraId="0EAD4189" w14:textId="7C81435C"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914" w:type="pct"/>
            <w:tcBorders>
              <w:top w:val="single" w:sz="4" w:space="0" w:color="auto"/>
            </w:tcBorders>
            <w:vAlign w:val="center"/>
          </w:tcPr>
          <w:p w14:paraId="27B7CBCF" w14:textId="060222CD"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307" w:type="pct"/>
            <w:tcBorders>
              <w:top w:val="single" w:sz="4" w:space="0" w:color="auto"/>
            </w:tcBorders>
            <w:vAlign w:val="center"/>
          </w:tcPr>
          <w:p w14:paraId="51129007" w14:textId="1AFDC80D"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524" w:type="pct"/>
            <w:tcBorders>
              <w:top w:val="single" w:sz="4" w:space="0" w:color="auto"/>
            </w:tcBorders>
          </w:tcPr>
          <w:p w14:paraId="502C2F7D" w14:textId="14F04955"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r>
      <w:tr w:rsidR="00452443" w:rsidRPr="00A43B9C" w14:paraId="2A43182E" w14:textId="77777777" w:rsidTr="00C10496">
        <w:trPr>
          <w:jc w:val="center"/>
        </w:trPr>
        <w:tc>
          <w:tcPr>
            <w:tcW w:w="1091" w:type="pct"/>
            <w:vMerge w:val="restart"/>
            <w:vAlign w:val="center"/>
          </w:tcPr>
          <w:p w14:paraId="1B01631A" w14:textId="77777777" w:rsidR="00452443" w:rsidRPr="00A43B9C" w:rsidRDefault="00452443" w:rsidP="00452443">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RP</w:t>
            </w:r>
          </w:p>
        </w:tc>
        <w:tc>
          <w:tcPr>
            <w:tcW w:w="1727" w:type="pct"/>
            <w:vAlign w:val="center"/>
          </w:tcPr>
          <w:p w14:paraId="1F43AA2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Аденокарцинома</w:t>
            </w:r>
          </w:p>
        </w:tc>
        <w:tc>
          <w:tcPr>
            <w:tcW w:w="437" w:type="pct"/>
            <w:vAlign w:val="center"/>
          </w:tcPr>
          <w:p w14:paraId="01E3352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0,82</w:t>
            </w:r>
          </w:p>
        </w:tc>
        <w:tc>
          <w:tcPr>
            <w:tcW w:w="914" w:type="pct"/>
            <w:vAlign w:val="center"/>
          </w:tcPr>
          <w:p w14:paraId="047A8EE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0,68 – 1,02</w:t>
            </w:r>
          </w:p>
        </w:tc>
        <w:tc>
          <w:tcPr>
            <w:tcW w:w="307" w:type="pct"/>
            <w:vAlign w:val="center"/>
          </w:tcPr>
          <w:p w14:paraId="6CC9122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524" w:type="pct"/>
            <w:vMerge w:val="restart"/>
            <w:vAlign w:val="center"/>
          </w:tcPr>
          <w:p w14:paraId="78CB4C8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0,568</w:t>
            </w:r>
          </w:p>
        </w:tc>
      </w:tr>
      <w:tr w:rsidR="00452443" w:rsidRPr="00A43B9C" w14:paraId="47A9DD18" w14:textId="77777777" w:rsidTr="00C10496">
        <w:trPr>
          <w:jc w:val="center"/>
        </w:trPr>
        <w:tc>
          <w:tcPr>
            <w:tcW w:w="1091" w:type="pct"/>
            <w:vMerge/>
            <w:vAlign w:val="center"/>
          </w:tcPr>
          <w:p w14:paraId="6B03676A"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1727" w:type="pct"/>
            <w:vAlign w:val="center"/>
          </w:tcPr>
          <w:p w14:paraId="7CA32B0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Карцинома</w:t>
            </w:r>
          </w:p>
        </w:tc>
        <w:tc>
          <w:tcPr>
            <w:tcW w:w="437" w:type="pct"/>
            <w:vAlign w:val="center"/>
          </w:tcPr>
          <w:p w14:paraId="1AB62CA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0,92</w:t>
            </w:r>
          </w:p>
        </w:tc>
        <w:tc>
          <w:tcPr>
            <w:tcW w:w="914" w:type="pct"/>
            <w:vAlign w:val="center"/>
          </w:tcPr>
          <w:p w14:paraId="59DC6B7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0,73 – 1,26</w:t>
            </w:r>
          </w:p>
        </w:tc>
        <w:tc>
          <w:tcPr>
            <w:tcW w:w="307" w:type="pct"/>
            <w:vAlign w:val="center"/>
          </w:tcPr>
          <w:p w14:paraId="7813C22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w:t>
            </w:r>
          </w:p>
        </w:tc>
        <w:tc>
          <w:tcPr>
            <w:tcW w:w="524" w:type="pct"/>
            <w:vMerge/>
          </w:tcPr>
          <w:p w14:paraId="290BE055"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41ABCF34" w14:textId="77777777" w:rsidTr="00C10496">
        <w:trPr>
          <w:trHeight w:val="154"/>
          <w:jc w:val="center"/>
        </w:trPr>
        <w:tc>
          <w:tcPr>
            <w:tcW w:w="1091" w:type="pct"/>
            <w:vMerge/>
            <w:vAlign w:val="center"/>
          </w:tcPr>
          <w:p w14:paraId="5A93AEBE"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1727" w:type="pct"/>
            <w:vAlign w:val="center"/>
          </w:tcPr>
          <w:p w14:paraId="6EA3A4B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Цистаденокарцинома</w:t>
            </w:r>
          </w:p>
        </w:tc>
        <w:tc>
          <w:tcPr>
            <w:tcW w:w="437" w:type="pct"/>
            <w:vAlign w:val="center"/>
          </w:tcPr>
          <w:p w14:paraId="16F3A7D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0,83</w:t>
            </w:r>
          </w:p>
        </w:tc>
        <w:tc>
          <w:tcPr>
            <w:tcW w:w="914" w:type="pct"/>
            <w:vAlign w:val="center"/>
          </w:tcPr>
          <w:p w14:paraId="1C7B0AD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0,69 – 1,13</w:t>
            </w:r>
          </w:p>
        </w:tc>
        <w:tc>
          <w:tcPr>
            <w:tcW w:w="307" w:type="pct"/>
            <w:vAlign w:val="center"/>
          </w:tcPr>
          <w:p w14:paraId="375CDB1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17</w:t>
            </w:r>
          </w:p>
        </w:tc>
        <w:tc>
          <w:tcPr>
            <w:tcW w:w="524" w:type="pct"/>
            <w:vMerge/>
          </w:tcPr>
          <w:p w14:paraId="004DBF2D"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5494D320" w14:textId="77777777" w:rsidTr="00C10496">
        <w:trPr>
          <w:jc w:val="center"/>
        </w:trPr>
        <w:tc>
          <w:tcPr>
            <w:tcW w:w="1091" w:type="pct"/>
            <w:vMerge w:val="restart"/>
            <w:vAlign w:val="center"/>
          </w:tcPr>
          <w:p w14:paraId="7738DE06" w14:textId="77777777" w:rsidR="00452443" w:rsidRPr="00A43B9C" w:rsidRDefault="00452443" w:rsidP="00452443">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RLI</w:t>
            </w:r>
          </w:p>
        </w:tc>
        <w:tc>
          <w:tcPr>
            <w:tcW w:w="1727" w:type="pct"/>
            <w:vAlign w:val="center"/>
          </w:tcPr>
          <w:p w14:paraId="5BAA762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Аденокарцинома</w:t>
            </w:r>
          </w:p>
        </w:tc>
        <w:tc>
          <w:tcPr>
            <w:tcW w:w="437" w:type="pct"/>
            <w:vAlign w:val="center"/>
          </w:tcPr>
          <w:p w14:paraId="3582A3D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0,59</w:t>
            </w:r>
          </w:p>
        </w:tc>
        <w:tc>
          <w:tcPr>
            <w:tcW w:w="914" w:type="pct"/>
            <w:vAlign w:val="center"/>
          </w:tcPr>
          <w:p w14:paraId="6FD4060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0,41 – 0,7</w:t>
            </w:r>
          </w:p>
        </w:tc>
        <w:tc>
          <w:tcPr>
            <w:tcW w:w="307" w:type="pct"/>
            <w:vAlign w:val="center"/>
          </w:tcPr>
          <w:p w14:paraId="33F8511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524" w:type="pct"/>
            <w:vMerge w:val="restart"/>
            <w:vAlign w:val="center"/>
          </w:tcPr>
          <w:p w14:paraId="584B1C9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0,556</w:t>
            </w:r>
          </w:p>
        </w:tc>
      </w:tr>
      <w:tr w:rsidR="00452443" w:rsidRPr="00A43B9C" w14:paraId="4DB0D9ED" w14:textId="77777777" w:rsidTr="00C10496">
        <w:trPr>
          <w:jc w:val="center"/>
        </w:trPr>
        <w:tc>
          <w:tcPr>
            <w:tcW w:w="1091" w:type="pct"/>
            <w:vMerge/>
            <w:vAlign w:val="center"/>
          </w:tcPr>
          <w:p w14:paraId="6C745FA5"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1727" w:type="pct"/>
            <w:vAlign w:val="center"/>
          </w:tcPr>
          <w:p w14:paraId="478621C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Карцинома</w:t>
            </w:r>
          </w:p>
        </w:tc>
        <w:tc>
          <w:tcPr>
            <w:tcW w:w="437" w:type="pct"/>
            <w:vAlign w:val="center"/>
          </w:tcPr>
          <w:p w14:paraId="7FCB557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0,58</w:t>
            </w:r>
          </w:p>
        </w:tc>
        <w:tc>
          <w:tcPr>
            <w:tcW w:w="914" w:type="pct"/>
            <w:vAlign w:val="center"/>
          </w:tcPr>
          <w:p w14:paraId="369AA59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0,49 – 0,74</w:t>
            </w:r>
          </w:p>
        </w:tc>
        <w:tc>
          <w:tcPr>
            <w:tcW w:w="307" w:type="pct"/>
            <w:vAlign w:val="center"/>
          </w:tcPr>
          <w:p w14:paraId="65CECF3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w:t>
            </w:r>
          </w:p>
        </w:tc>
        <w:tc>
          <w:tcPr>
            <w:tcW w:w="524" w:type="pct"/>
            <w:vMerge/>
          </w:tcPr>
          <w:p w14:paraId="49F16B5E"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1BC1D9EF" w14:textId="77777777" w:rsidTr="00C10496">
        <w:trPr>
          <w:trHeight w:val="165"/>
          <w:jc w:val="center"/>
        </w:trPr>
        <w:tc>
          <w:tcPr>
            <w:tcW w:w="1091" w:type="pct"/>
            <w:vMerge/>
            <w:vAlign w:val="center"/>
          </w:tcPr>
          <w:p w14:paraId="14A53EB4"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1727" w:type="pct"/>
            <w:vAlign w:val="center"/>
          </w:tcPr>
          <w:p w14:paraId="22633E8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Цистаденокарцинома</w:t>
            </w:r>
          </w:p>
        </w:tc>
        <w:tc>
          <w:tcPr>
            <w:tcW w:w="437" w:type="pct"/>
            <w:vAlign w:val="center"/>
          </w:tcPr>
          <w:p w14:paraId="5463AC2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0,56</w:t>
            </w:r>
          </w:p>
        </w:tc>
        <w:tc>
          <w:tcPr>
            <w:tcW w:w="914" w:type="pct"/>
            <w:vAlign w:val="center"/>
          </w:tcPr>
          <w:p w14:paraId="0ECFEA2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0,51 – 0,99</w:t>
            </w:r>
          </w:p>
        </w:tc>
        <w:tc>
          <w:tcPr>
            <w:tcW w:w="307" w:type="pct"/>
            <w:vAlign w:val="center"/>
          </w:tcPr>
          <w:p w14:paraId="5955899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17</w:t>
            </w:r>
          </w:p>
        </w:tc>
        <w:tc>
          <w:tcPr>
            <w:tcW w:w="524" w:type="pct"/>
            <w:vMerge/>
          </w:tcPr>
          <w:p w14:paraId="418B6581"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4D9A0C87" w14:textId="77777777" w:rsidTr="00C10496">
        <w:trPr>
          <w:jc w:val="center"/>
        </w:trPr>
        <w:tc>
          <w:tcPr>
            <w:tcW w:w="1091" w:type="pct"/>
            <w:vMerge w:val="restart"/>
            <w:vAlign w:val="center"/>
          </w:tcPr>
          <w:p w14:paraId="76D27804" w14:textId="77777777" w:rsidR="00452443" w:rsidRPr="00A43B9C" w:rsidRDefault="00452443" w:rsidP="00452443">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P</w:t>
            </w:r>
          </w:p>
        </w:tc>
        <w:tc>
          <w:tcPr>
            <w:tcW w:w="1727" w:type="pct"/>
            <w:vAlign w:val="center"/>
          </w:tcPr>
          <w:p w14:paraId="03533BA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Аденокарцинома</w:t>
            </w:r>
          </w:p>
        </w:tc>
        <w:tc>
          <w:tcPr>
            <w:tcW w:w="437" w:type="pct"/>
            <w:vAlign w:val="center"/>
          </w:tcPr>
          <w:p w14:paraId="2B231A8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0,79</w:t>
            </w:r>
          </w:p>
        </w:tc>
        <w:tc>
          <w:tcPr>
            <w:tcW w:w="914" w:type="pct"/>
            <w:vAlign w:val="center"/>
          </w:tcPr>
          <w:p w14:paraId="7CBC953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0,66 – 0,95</w:t>
            </w:r>
          </w:p>
        </w:tc>
        <w:tc>
          <w:tcPr>
            <w:tcW w:w="307" w:type="pct"/>
            <w:vAlign w:val="center"/>
          </w:tcPr>
          <w:p w14:paraId="69B635D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524" w:type="pct"/>
            <w:vMerge w:val="restart"/>
            <w:vAlign w:val="center"/>
          </w:tcPr>
          <w:p w14:paraId="0E3CCD3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0,422</w:t>
            </w:r>
          </w:p>
        </w:tc>
      </w:tr>
      <w:tr w:rsidR="00452443" w:rsidRPr="00A43B9C" w14:paraId="3F9E64E1" w14:textId="77777777" w:rsidTr="00C10496">
        <w:trPr>
          <w:jc w:val="center"/>
        </w:trPr>
        <w:tc>
          <w:tcPr>
            <w:tcW w:w="1091" w:type="pct"/>
            <w:vMerge/>
            <w:vAlign w:val="center"/>
          </w:tcPr>
          <w:p w14:paraId="29DF6472" w14:textId="77777777" w:rsidR="00452443" w:rsidRPr="00A43B9C" w:rsidRDefault="00452443" w:rsidP="00452443">
            <w:pPr>
              <w:spacing w:after="0" w:line="240" w:lineRule="auto"/>
              <w:rPr>
                <w:rFonts w:ascii="Times New Roman" w:hAnsi="Times New Roman" w:cs="Times New Roman"/>
                <w:sz w:val="28"/>
                <w:szCs w:val="28"/>
              </w:rPr>
            </w:pPr>
          </w:p>
        </w:tc>
        <w:tc>
          <w:tcPr>
            <w:tcW w:w="1727" w:type="pct"/>
            <w:vAlign w:val="center"/>
          </w:tcPr>
          <w:p w14:paraId="7A1D353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Карцинома</w:t>
            </w:r>
          </w:p>
        </w:tc>
        <w:tc>
          <w:tcPr>
            <w:tcW w:w="437" w:type="pct"/>
            <w:vAlign w:val="center"/>
          </w:tcPr>
          <w:p w14:paraId="4D905E7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0,98</w:t>
            </w:r>
          </w:p>
        </w:tc>
        <w:tc>
          <w:tcPr>
            <w:tcW w:w="914" w:type="pct"/>
            <w:vAlign w:val="center"/>
          </w:tcPr>
          <w:p w14:paraId="3684FE6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0,71 – 1,39</w:t>
            </w:r>
          </w:p>
        </w:tc>
        <w:tc>
          <w:tcPr>
            <w:tcW w:w="307" w:type="pct"/>
            <w:vAlign w:val="center"/>
          </w:tcPr>
          <w:p w14:paraId="27219DD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w:t>
            </w:r>
          </w:p>
        </w:tc>
        <w:tc>
          <w:tcPr>
            <w:tcW w:w="524" w:type="pct"/>
            <w:vMerge/>
          </w:tcPr>
          <w:p w14:paraId="4FB075A7"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36C6B09C" w14:textId="77777777" w:rsidTr="00C10496">
        <w:trPr>
          <w:trHeight w:val="150"/>
          <w:jc w:val="center"/>
        </w:trPr>
        <w:tc>
          <w:tcPr>
            <w:tcW w:w="1091" w:type="pct"/>
            <w:vMerge/>
            <w:vAlign w:val="center"/>
          </w:tcPr>
          <w:p w14:paraId="3A90E414" w14:textId="77777777" w:rsidR="00452443" w:rsidRPr="00A43B9C" w:rsidRDefault="00452443" w:rsidP="00452443">
            <w:pPr>
              <w:spacing w:after="0" w:line="240" w:lineRule="auto"/>
              <w:rPr>
                <w:rFonts w:ascii="Times New Roman" w:hAnsi="Times New Roman" w:cs="Times New Roman"/>
                <w:sz w:val="28"/>
                <w:szCs w:val="28"/>
              </w:rPr>
            </w:pPr>
          </w:p>
        </w:tc>
        <w:tc>
          <w:tcPr>
            <w:tcW w:w="1727" w:type="pct"/>
            <w:vAlign w:val="center"/>
          </w:tcPr>
          <w:p w14:paraId="638AB30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Цистаденокарцинома</w:t>
            </w:r>
          </w:p>
        </w:tc>
        <w:tc>
          <w:tcPr>
            <w:tcW w:w="437" w:type="pct"/>
            <w:vAlign w:val="center"/>
          </w:tcPr>
          <w:p w14:paraId="5B02CC4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0,95</w:t>
            </w:r>
          </w:p>
        </w:tc>
        <w:tc>
          <w:tcPr>
            <w:tcW w:w="914" w:type="pct"/>
            <w:vAlign w:val="center"/>
          </w:tcPr>
          <w:p w14:paraId="1563137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0,65 – 1,07</w:t>
            </w:r>
          </w:p>
        </w:tc>
        <w:tc>
          <w:tcPr>
            <w:tcW w:w="307" w:type="pct"/>
            <w:vAlign w:val="center"/>
          </w:tcPr>
          <w:p w14:paraId="14ED752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17</w:t>
            </w:r>
          </w:p>
        </w:tc>
        <w:tc>
          <w:tcPr>
            <w:tcW w:w="524" w:type="pct"/>
            <w:vMerge/>
          </w:tcPr>
          <w:p w14:paraId="74B3F4E3" w14:textId="77777777" w:rsidR="00452443" w:rsidRPr="00A43B9C" w:rsidRDefault="00452443" w:rsidP="00452443">
            <w:pPr>
              <w:spacing w:after="0" w:line="240" w:lineRule="auto"/>
              <w:jc w:val="center"/>
              <w:rPr>
                <w:rFonts w:ascii="Times New Roman" w:hAnsi="Times New Roman" w:cs="Times New Roman"/>
                <w:sz w:val="28"/>
                <w:szCs w:val="28"/>
              </w:rPr>
            </w:pPr>
          </w:p>
        </w:tc>
      </w:tr>
    </w:tbl>
    <w:p w14:paraId="7F722C28" w14:textId="77426AB0" w:rsidR="00DE7880" w:rsidRPr="00A43B9C" w:rsidRDefault="00DE7880" w:rsidP="00DE7880">
      <w:pPr>
        <w:spacing w:after="0" w:line="240" w:lineRule="auto"/>
        <w:ind w:firstLine="709"/>
        <w:jc w:val="both"/>
        <w:rPr>
          <w:rFonts w:ascii="Times New Roman" w:hAnsi="Times New Roman" w:cs="Times New Roman"/>
          <w:sz w:val="28"/>
          <w:szCs w:val="28"/>
        </w:rPr>
      </w:pPr>
    </w:p>
    <w:tbl>
      <w:tblPr>
        <w:tblStyle w:val="ad"/>
        <w:tblW w:w="10908"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6"/>
        <w:gridCol w:w="3636"/>
        <w:gridCol w:w="3636"/>
      </w:tblGrid>
      <w:tr w:rsidR="004B6507" w:rsidRPr="00A43B9C" w14:paraId="70EA8109" w14:textId="77777777" w:rsidTr="00742539">
        <w:tc>
          <w:tcPr>
            <w:tcW w:w="3636" w:type="dxa"/>
          </w:tcPr>
          <w:p w14:paraId="10C55F50" w14:textId="4B03E4D7" w:rsidR="004B6507" w:rsidRPr="00A43B9C" w:rsidRDefault="004B6507"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6F6EF873" wp14:editId="0F3E46A5">
                      <wp:extent cx="2160000" cy="2160000"/>
                      <wp:effectExtent l="0" t="0" r="12065" b="12065"/>
                      <wp:docPr id="43" name="Диаграмма 43">
                        <a:extLst xmlns:a="http://schemas.openxmlformats.org/drawingml/2006/main">
                          <a:ext uri="{FF2B5EF4-FFF2-40B4-BE49-F238E27FC236}">
                            <a16:creationId xmlns:a16="http://schemas.microsoft.com/office/drawing/2014/main" id="{4FA564EB-1DF5-483B-9FD6-4FCC015F7D25}"/>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02"/>
                        </a:graphicData>
                      </a:graphic>
                    </wp:inline>
                  </w:drawing>
                </mc:Choice>
                <mc:Fallback>
                  <w:drawing>
                    <wp:inline distT="0" distB="0" distL="0" distR="0" wp14:anchorId="6F6EF873" wp14:editId="0F3E46A5">
                      <wp:extent cx="2160000" cy="2160000"/>
                      <wp:effectExtent l="0" t="0" r="12065" b="12065"/>
                      <wp:docPr id="43" name="Диаграмма 43">
                        <a:extLst xmlns:a="http://schemas.openxmlformats.org/drawingml/2006/main">
                          <a:ext uri="{FF2B5EF4-FFF2-40B4-BE49-F238E27FC236}">
                            <a16:creationId xmlns:a16="http://schemas.microsoft.com/office/drawing/2014/main" id="{4FA564EB-1DF5-483B-9FD6-4FCC015F7D25}"/>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3" name="Диаграмма 43">
                                <a:extLst>
                                  <a:ext uri="{FF2B5EF4-FFF2-40B4-BE49-F238E27FC236}">
                                    <a16:creationId xmlns:a16="http://schemas.microsoft.com/office/drawing/2014/main" id="{4FA564EB-1DF5-483B-9FD6-4FCC015F7D25}"/>
                                  </a:ext>
                                </a:extLst>
                              </pic:cNvPr>
                              <pic:cNvPicPr>
                                <a:picLocks noGrp="1" noRot="1" noChangeAspect="1" noMove="1" noResize="1" noEditPoints="1" noAdjustHandles="1" noChangeArrowheads="1" noChangeShapeType="1"/>
                              </pic:cNvPicPr>
                            </pic:nvPicPr>
                            <pic:blipFill>
                              <a:blip r:embed="rId103"/>
                              <a:stretch>
                                <a:fillRect/>
                              </a:stretch>
                            </pic:blipFill>
                            <pic:spPr>
                              <a:xfrm>
                                <a:off x="0" y="0"/>
                                <a:ext cx="2159635" cy="2159635"/>
                              </a:xfrm>
                              <a:prstGeom prst="rect">
                                <a:avLst/>
                              </a:prstGeom>
                            </pic:spPr>
                          </pic:pic>
                        </a:graphicData>
                      </a:graphic>
                    </wp:inline>
                  </w:drawing>
                </mc:Fallback>
              </mc:AlternateContent>
            </w:r>
          </w:p>
        </w:tc>
        <w:tc>
          <w:tcPr>
            <w:tcW w:w="3636" w:type="dxa"/>
          </w:tcPr>
          <w:p w14:paraId="7EE63B41" w14:textId="268A92EA" w:rsidR="004B6507" w:rsidRPr="00A43B9C" w:rsidRDefault="004B6507"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2D32DD9F" wp14:editId="136CE299">
                      <wp:extent cx="2160000" cy="2160000"/>
                      <wp:effectExtent l="0" t="0" r="12065" b="12065"/>
                      <wp:docPr id="46" name="Диаграмма 46">
                        <a:extLst xmlns:a="http://schemas.openxmlformats.org/drawingml/2006/main">
                          <a:ext uri="{FF2B5EF4-FFF2-40B4-BE49-F238E27FC236}">
                            <a16:creationId xmlns:a16="http://schemas.microsoft.com/office/drawing/2014/main" id="{CE7EA978-BA7A-45D7-83EC-395C6AA5F39E}"/>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04"/>
                        </a:graphicData>
                      </a:graphic>
                    </wp:inline>
                  </w:drawing>
                </mc:Choice>
                <mc:Fallback>
                  <w:drawing>
                    <wp:inline distT="0" distB="0" distL="0" distR="0" wp14:anchorId="2D32DD9F" wp14:editId="136CE299">
                      <wp:extent cx="2160000" cy="2160000"/>
                      <wp:effectExtent l="0" t="0" r="12065" b="12065"/>
                      <wp:docPr id="46" name="Диаграмма 46">
                        <a:extLst xmlns:a="http://schemas.openxmlformats.org/drawingml/2006/main">
                          <a:ext uri="{FF2B5EF4-FFF2-40B4-BE49-F238E27FC236}">
                            <a16:creationId xmlns:a16="http://schemas.microsoft.com/office/drawing/2014/main" id="{CE7EA978-BA7A-45D7-83EC-395C6AA5F39E}"/>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6" name="Диаграмма 46">
                                <a:extLst>
                                  <a:ext uri="{FF2B5EF4-FFF2-40B4-BE49-F238E27FC236}">
                                    <a16:creationId xmlns:a16="http://schemas.microsoft.com/office/drawing/2014/main" id="{CE7EA978-BA7A-45D7-83EC-395C6AA5F39E}"/>
                                  </a:ext>
                                </a:extLst>
                              </pic:cNvPr>
                              <pic:cNvPicPr>
                                <a:picLocks noGrp="1" noRot="1" noChangeAspect="1" noMove="1" noResize="1" noEditPoints="1" noAdjustHandles="1" noChangeArrowheads="1" noChangeShapeType="1"/>
                              </pic:cNvPicPr>
                            </pic:nvPicPr>
                            <pic:blipFill>
                              <a:blip r:embed="rId105"/>
                              <a:stretch>
                                <a:fillRect/>
                              </a:stretch>
                            </pic:blipFill>
                            <pic:spPr>
                              <a:xfrm>
                                <a:off x="0" y="0"/>
                                <a:ext cx="2159635" cy="2159635"/>
                              </a:xfrm>
                              <a:prstGeom prst="rect">
                                <a:avLst/>
                              </a:prstGeom>
                            </pic:spPr>
                          </pic:pic>
                        </a:graphicData>
                      </a:graphic>
                    </wp:inline>
                  </w:drawing>
                </mc:Fallback>
              </mc:AlternateContent>
            </w:r>
          </w:p>
        </w:tc>
        <w:tc>
          <w:tcPr>
            <w:tcW w:w="3636" w:type="dxa"/>
          </w:tcPr>
          <w:p w14:paraId="617C197B" w14:textId="1131D41F" w:rsidR="004B6507" w:rsidRPr="00A43B9C" w:rsidRDefault="004B6507"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3FA37371" wp14:editId="7C908925">
                      <wp:extent cx="2160000" cy="2160000"/>
                      <wp:effectExtent l="0" t="0" r="12065" b="12065"/>
                      <wp:docPr id="49" name="Диаграмма 49">
                        <a:extLst xmlns:a="http://schemas.openxmlformats.org/drawingml/2006/main">
                          <a:ext uri="{FF2B5EF4-FFF2-40B4-BE49-F238E27FC236}">
                            <a16:creationId xmlns:a16="http://schemas.microsoft.com/office/drawing/2014/main" id="{0099093E-BBD5-4276-86B4-8D2C16597F0C}"/>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06"/>
                        </a:graphicData>
                      </a:graphic>
                    </wp:inline>
                  </w:drawing>
                </mc:Choice>
                <mc:Fallback>
                  <w:drawing>
                    <wp:inline distT="0" distB="0" distL="0" distR="0" wp14:anchorId="3FA37371" wp14:editId="7C908925">
                      <wp:extent cx="2160000" cy="2160000"/>
                      <wp:effectExtent l="0" t="0" r="12065" b="12065"/>
                      <wp:docPr id="49" name="Диаграмма 49">
                        <a:extLst xmlns:a="http://schemas.openxmlformats.org/drawingml/2006/main">
                          <a:ext uri="{FF2B5EF4-FFF2-40B4-BE49-F238E27FC236}">
                            <a16:creationId xmlns:a16="http://schemas.microsoft.com/office/drawing/2014/main" id="{0099093E-BBD5-4276-86B4-8D2C16597F0C}"/>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9" name="Диаграмма 49">
                                <a:extLst>
                                  <a:ext uri="{FF2B5EF4-FFF2-40B4-BE49-F238E27FC236}">
                                    <a16:creationId xmlns:a16="http://schemas.microsoft.com/office/drawing/2014/main" id="{0099093E-BBD5-4276-86B4-8D2C16597F0C}"/>
                                  </a:ext>
                                </a:extLst>
                              </pic:cNvPr>
                              <pic:cNvPicPr>
                                <a:picLocks noGrp="1" noRot="1" noChangeAspect="1" noMove="1" noResize="1" noEditPoints="1" noAdjustHandles="1" noChangeArrowheads="1" noChangeShapeType="1"/>
                              </pic:cNvPicPr>
                            </pic:nvPicPr>
                            <pic:blipFill>
                              <a:blip r:embed="rId107"/>
                              <a:stretch>
                                <a:fillRect/>
                              </a:stretch>
                            </pic:blipFill>
                            <pic:spPr>
                              <a:xfrm>
                                <a:off x="0" y="0"/>
                                <a:ext cx="2159635" cy="2159635"/>
                              </a:xfrm>
                              <a:prstGeom prst="rect">
                                <a:avLst/>
                              </a:prstGeom>
                            </pic:spPr>
                          </pic:pic>
                        </a:graphicData>
                      </a:graphic>
                    </wp:inline>
                  </w:drawing>
                </mc:Fallback>
              </mc:AlternateContent>
            </w:r>
          </w:p>
        </w:tc>
      </w:tr>
      <w:tr w:rsidR="002D7BBC" w:rsidRPr="00A43B9C" w14:paraId="64DD37DE" w14:textId="77777777" w:rsidTr="00742539">
        <w:tc>
          <w:tcPr>
            <w:tcW w:w="3636" w:type="dxa"/>
          </w:tcPr>
          <w:p w14:paraId="6F65320C" w14:textId="12C84E2A" w:rsidR="002D7BBC" w:rsidRPr="00A43B9C" w:rsidRDefault="002D7BBC" w:rsidP="002D7BBC">
            <w:pPr>
              <w:spacing w:after="0" w:line="240" w:lineRule="auto"/>
              <w:jc w:val="center"/>
              <w:rPr>
                <w:rFonts w:ascii="Times New Roman" w:hAnsi="Times New Roman" w:cs="Times New Roman"/>
                <w:sz w:val="28"/>
                <w:szCs w:val="28"/>
                <w:lang w:val="en-US"/>
              </w:rPr>
            </w:pPr>
            <w:r w:rsidRPr="00A71535">
              <w:rPr>
                <w:rFonts w:ascii="Times New Roman" w:hAnsi="Times New Roman" w:cs="Times New Roman"/>
                <w:sz w:val="24"/>
                <w:szCs w:val="24"/>
              </w:rPr>
              <w:t xml:space="preserve">а) Локализация </w:t>
            </w:r>
            <w:r w:rsidRPr="00A71535">
              <w:rPr>
                <w:rFonts w:ascii="Times New Roman" w:hAnsi="Times New Roman" w:cs="Times New Roman"/>
                <w:sz w:val="24"/>
                <w:szCs w:val="24"/>
                <w:lang w:val="en-US"/>
              </w:rPr>
              <w:t>RE</w:t>
            </w:r>
          </w:p>
        </w:tc>
        <w:tc>
          <w:tcPr>
            <w:tcW w:w="3636" w:type="dxa"/>
          </w:tcPr>
          <w:p w14:paraId="183DF943" w14:textId="1819C564" w:rsidR="002D7BBC" w:rsidRPr="00A43B9C" w:rsidRDefault="002D7BBC" w:rsidP="002D7BBC">
            <w:pPr>
              <w:spacing w:after="0" w:line="240" w:lineRule="auto"/>
              <w:jc w:val="center"/>
              <w:rPr>
                <w:rFonts w:ascii="Times New Roman" w:hAnsi="Times New Roman" w:cs="Times New Roman"/>
                <w:sz w:val="28"/>
                <w:szCs w:val="28"/>
                <w:lang w:val="en-US"/>
              </w:rPr>
            </w:pPr>
            <w:r w:rsidRPr="00A71535">
              <w:rPr>
                <w:rFonts w:ascii="Times New Roman" w:hAnsi="Times New Roman" w:cs="Times New Roman"/>
                <w:sz w:val="24"/>
                <w:szCs w:val="24"/>
              </w:rPr>
              <w:t>б)</w:t>
            </w:r>
            <w:r w:rsidRPr="00A71535">
              <w:rPr>
                <w:rFonts w:ascii="Times New Roman" w:hAnsi="Times New Roman" w:cs="Times New Roman"/>
                <w:sz w:val="24"/>
                <w:szCs w:val="24"/>
                <w:lang w:val="en-US"/>
              </w:rPr>
              <w:t xml:space="preserve"> </w:t>
            </w:r>
            <w:r w:rsidRPr="00A71535">
              <w:rPr>
                <w:rFonts w:ascii="Times New Roman" w:hAnsi="Times New Roman" w:cs="Times New Roman"/>
                <w:sz w:val="24"/>
                <w:szCs w:val="24"/>
              </w:rPr>
              <w:t xml:space="preserve">Локализация </w:t>
            </w:r>
            <w:r w:rsidRPr="00A71535">
              <w:rPr>
                <w:rFonts w:ascii="Times New Roman" w:hAnsi="Times New Roman" w:cs="Times New Roman"/>
                <w:sz w:val="24"/>
                <w:szCs w:val="24"/>
                <w:lang w:val="en-US"/>
              </w:rPr>
              <w:t>RLH</w:t>
            </w:r>
          </w:p>
        </w:tc>
        <w:tc>
          <w:tcPr>
            <w:tcW w:w="3636" w:type="dxa"/>
          </w:tcPr>
          <w:p w14:paraId="1C903F68" w14:textId="7F4E0014" w:rsidR="002D7BBC" w:rsidRPr="00A43B9C" w:rsidRDefault="002D7BBC" w:rsidP="002D7BBC">
            <w:pPr>
              <w:spacing w:after="0" w:line="240" w:lineRule="auto"/>
              <w:jc w:val="center"/>
              <w:rPr>
                <w:rFonts w:ascii="Times New Roman" w:hAnsi="Times New Roman" w:cs="Times New Roman"/>
                <w:sz w:val="28"/>
                <w:szCs w:val="28"/>
                <w:lang w:val="en-US"/>
              </w:rPr>
            </w:pPr>
            <w:r w:rsidRPr="00A71535">
              <w:rPr>
                <w:rFonts w:ascii="Times New Roman" w:hAnsi="Times New Roman" w:cs="Times New Roman"/>
                <w:sz w:val="24"/>
                <w:szCs w:val="24"/>
              </w:rPr>
              <w:t>в)</w:t>
            </w:r>
            <w:r w:rsidRPr="00A71535">
              <w:rPr>
                <w:rFonts w:ascii="Times New Roman" w:hAnsi="Times New Roman" w:cs="Times New Roman"/>
                <w:sz w:val="24"/>
                <w:szCs w:val="24"/>
                <w:lang w:val="en-US"/>
              </w:rPr>
              <w:t xml:space="preserve"> </w:t>
            </w:r>
            <w:r w:rsidRPr="00A71535">
              <w:rPr>
                <w:rFonts w:ascii="Times New Roman" w:hAnsi="Times New Roman" w:cs="Times New Roman"/>
                <w:sz w:val="24"/>
                <w:szCs w:val="24"/>
              </w:rPr>
              <w:t xml:space="preserve">Локализация </w:t>
            </w:r>
            <w:r w:rsidRPr="00A71535">
              <w:rPr>
                <w:rFonts w:ascii="Times New Roman" w:hAnsi="Times New Roman" w:cs="Times New Roman"/>
                <w:sz w:val="24"/>
                <w:szCs w:val="24"/>
                <w:lang w:val="en-US"/>
              </w:rPr>
              <w:t>RRL</w:t>
            </w:r>
          </w:p>
        </w:tc>
      </w:tr>
      <w:tr w:rsidR="004B6507" w:rsidRPr="00A43B9C" w14:paraId="525664C6" w14:textId="77777777" w:rsidTr="00AB0BE3">
        <w:tc>
          <w:tcPr>
            <w:tcW w:w="3636" w:type="dxa"/>
          </w:tcPr>
          <w:p w14:paraId="15B53D9B" w14:textId="7702C79B" w:rsidR="004B6507" w:rsidRPr="00A43B9C" w:rsidRDefault="004B6507"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40B08C08" wp14:editId="7C6F3E06">
                      <wp:extent cx="2160000" cy="2160000"/>
                      <wp:effectExtent l="0" t="0" r="12065" b="12065"/>
                      <wp:docPr id="52" name="Диаграмма 52">
                        <a:extLst xmlns:a="http://schemas.openxmlformats.org/drawingml/2006/main">
                          <a:ext uri="{FF2B5EF4-FFF2-40B4-BE49-F238E27FC236}">
                            <a16:creationId xmlns:a16="http://schemas.microsoft.com/office/drawing/2014/main" id="{FD015FA1-CB1E-4120-B6D2-2FC86522E492}"/>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08"/>
                        </a:graphicData>
                      </a:graphic>
                    </wp:inline>
                  </w:drawing>
                </mc:Choice>
                <mc:Fallback>
                  <w:drawing>
                    <wp:inline distT="0" distB="0" distL="0" distR="0" wp14:anchorId="40B08C08" wp14:editId="7C6F3E06">
                      <wp:extent cx="2160000" cy="2160000"/>
                      <wp:effectExtent l="0" t="0" r="12065" b="12065"/>
                      <wp:docPr id="52" name="Диаграмма 52">
                        <a:extLst xmlns:a="http://schemas.openxmlformats.org/drawingml/2006/main">
                          <a:ext uri="{FF2B5EF4-FFF2-40B4-BE49-F238E27FC236}">
                            <a16:creationId xmlns:a16="http://schemas.microsoft.com/office/drawing/2014/main" id="{FD015FA1-CB1E-4120-B6D2-2FC86522E492}"/>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52" name="Диаграмма 52">
                                <a:extLst>
                                  <a:ext uri="{FF2B5EF4-FFF2-40B4-BE49-F238E27FC236}">
                                    <a16:creationId xmlns:a16="http://schemas.microsoft.com/office/drawing/2014/main" id="{FD015FA1-CB1E-4120-B6D2-2FC86522E492}"/>
                                  </a:ext>
                                </a:extLst>
                              </pic:cNvPr>
                              <pic:cNvPicPr>
                                <a:picLocks noGrp="1" noRot="1" noChangeAspect="1" noMove="1" noResize="1" noEditPoints="1" noAdjustHandles="1" noChangeArrowheads="1" noChangeShapeType="1"/>
                              </pic:cNvPicPr>
                            </pic:nvPicPr>
                            <pic:blipFill>
                              <a:blip r:embed="rId109"/>
                              <a:stretch>
                                <a:fillRect/>
                              </a:stretch>
                            </pic:blipFill>
                            <pic:spPr>
                              <a:xfrm>
                                <a:off x="0" y="0"/>
                                <a:ext cx="2159635" cy="2159635"/>
                              </a:xfrm>
                              <a:prstGeom prst="rect">
                                <a:avLst/>
                              </a:prstGeom>
                            </pic:spPr>
                          </pic:pic>
                        </a:graphicData>
                      </a:graphic>
                    </wp:inline>
                  </w:drawing>
                </mc:Fallback>
              </mc:AlternateContent>
            </w:r>
          </w:p>
        </w:tc>
        <w:tc>
          <w:tcPr>
            <w:tcW w:w="3636" w:type="dxa"/>
          </w:tcPr>
          <w:p w14:paraId="650923BF" w14:textId="569EB2A4" w:rsidR="004B6507" w:rsidRPr="00A43B9C" w:rsidRDefault="004B6507"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21381FF6" wp14:editId="52AB6B1B">
                      <wp:extent cx="2160000" cy="2160000"/>
                      <wp:effectExtent l="0" t="0" r="12065" b="12065"/>
                      <wp:docPr id="55" name="Диаграмма 55">
                        <a:extLst xmlns:a="http://schemas.openxmlformats.org/drawingml/2006/main">
                          <a:ext uri="{FF2B5EF4-FFF2-40B4-BE49-F238E27FC236}">
                            <a16:creationId xmlns:a16="http://schemas.microsoft.com/office/drawing/2014/main" id="{76762819-3E9B-499F-8B5E-A6F2A2D69FE9}"/>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10"/>
                        </a:graphicData>
                      </a:graphic>
                    </wp:inline>
                  </w:drawing>
                </mc:Choice>
                <mc:Fallback>
                  <w:drawing>
                    <wp:inline distT="0" distB="0" distL="0" distR="0" wp14:anchorId="21381FF6" wp14:editId="52AB6B1B">
                      <wp:extent cx="2160000" cy="2160000"/>
                      <wp:effectExtent l="0" t="0" r="12065" b="12065"/>
                      <wp:docPr id="55" name="Диаграмма 55">
                        <a:extLst xmlns:a="http://schemas.openxmlformats.org/drawingml/2006/main">
                          <a:ext uri="{FF2B5EF4-FFF2-40B4-BE49-F238E27FC236}">
                            <a16:creationId xmlns:a16="http://schemas.microsoft.com/office/drawing/2014/main" id="{76762819-3E9B-499F-8B5E-A6F2A2D69FE9}"/>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55" name="Диаграмма 55">
                                <a:extLst>
                                  <a:ext uri="{FF2B5EF4-FFF2-40B4-BE49-F238E27FC236}">
                                    <a16:creationId xmlns:a16="http://schemas.microsoft.com/office/drawing/2014/main" id="{76762819-3E9B-499F-8B5E-A6F2A2D69FE9}"/>
                                  </a:ext>
                                </a:extLst>
                              </pic:cNvPr>
                              <pic:cNvPicPr>
                                <a:picLocks noGrp="1" noRot="1" noChangeAspect="1" noMove="1" noResize="1" noEditPoints="1" noAdjustHandles="1" noChangeArrowheads="1" noChangeShapeType="1"/>
                              </pic:cNvPicPr>
                            </pic:nvPicPr>
                            <pic:blipFill>
                              <a:blip r:embed="rId111"/>
                              <a:stretch>
                                <a:fillRect/>
                              </a:stretch>
                            </pic:blipFill>
                            <pic:spPr>
                              <a:xfrm>
                                <a:off x="0" y="0"/>
                                <a:ext cx="2159635" cy="2159635"/>
                              </a:xfrm>
                              <a:prstGeom prst="rect">
                                <a:avLst/>
                              </a:prstGeom>
                            </pic:spPr>
                          </pic:pic>
                        </a:graphicData>
                      </a:graphic>
                    </wp:inline>
                  </w:drawing>
                </mc:Fallback>
              </mc:AlternateContent>
            </w:r>
          </w:p>
        </w:tc>
        <w:tc>
          <w:tcPr>
            <w:tcW w:w="3636" w:type="dxa"/>
          </w:tcPr>
          <w:p w14:paraId="2AAD3852" w14:textId="1EC988BD" w:rsidR="00AB0BE3" w:rsidRPr="00A43B9C" w:rsidRDefault="00AB0BE3" w:rsidP="00A22DDF">
            <w:pPr>
              <w:spacing w:after="0" w:line="240" w:lineRule="auto"/>
              <w:jc w:val="center"/>
              <w:rPr>
                <w:rFonts w:ascii="Times New Roman" w:hAnsi="Times New Roman" w:cs="Times New Roman"/>
                <w:sz w:val="28"/>
                <w:szCs w:val="28"/>
              </w:rPr>
            </w:pPr>
            <w:r>
              <w:rPr>
                <w:noProof/>
              </w:rPr>
              <mc:AlternateContent>
                <mc:Choice Requires="cx1">
                  <w:drawing>
                    <wp:inline distT="0" distB="0" distL="0" distR="0" wp14:anchorId="348F8717" wp14:editId="1538DFA0">
                      <wp:extent cx="2160000" cy="2160000"/>
                      <wp:effectExtent l="0" t="0" r="12065" b="12065"/>
                      <wp:docPr id="459" name="Диаграмма 459">
                        <a:extLst xmlns:a="http://schemas.openxmlformats.org/drawingml/2006/main">
                          <a:ext uri="{FF2B5EF4-FFF2-40B4-BE49-F238E27FC236}">
                            <a16:creationId xmlns:a16="http://schemas.microsoft.com/office/drawing/2014/main" id="{CD04B147-1458-4C8F-8D77-0A5FDBE3D001}"/>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12"/>
                        </a:graphicData>
                      </a:graphic>
                    </wp:inline>
                  </w:drawing>
                </mc:Choice>
                <mc:Fallback>
                  <w:drawing>
                    <wp:inline distT="0" distB="0" distL="0" distR="0" wp14:anchorId="348F8717" wp14:editId="1538DFA0">
                      <wp:extent cx="2160000" cy="2160000"/>
                      <wp:effectExtent l="0" t="0" r="12065" b="12065"/>
                      <wp:docPr id="459" name="Диаграмма 459">
                        <a:extLst xmlns:a="http://schemas.openxmlformats.org/drawingml/2006/main">
                          <a:ext uri="{FF2B5EF4-FFF2-40B4-BE49-F238E27FC236}">
                            <a16:creationId xmlns:a16="http://schemas.microsoft.com/office/drawing/2014/main" id="{CD04B147-1458-4C8F-8D77-0A5FDBE3D001}"/>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59" name="Диаграмма 459">
                                <a:extLst>
                                  <a:ext uri="{FF2B5EF4-FFF2-40B4-BE49-F238E27FC236}">
                                    <a16:creationId xmlns:a16="http://schemas.microsoft.com/office/drawing/2014/main" id="{CD04B147-1458-4C8F-8D77-0A5FDBE3D001}"/>
                                  </a:ext>
                                </a:extLst>
                              </pic:cNvPr>
                              <pic:cNvPicPr>
                                <a:picLocks noGrp="1" noRot="1" noChangeAspect="1" noMove="1" noResize="1" noEditPoints="1" noAdjustHandles="1" noChangeArrowheads="1" noChangeShapeType="1"/>
                              </pic:cNvPicPr>
                            </pic:nvPicPr>
                            <pic:blipFill>
                              <a:blip r:embed="rId113"/>
                              <a:stretch>
                                <a:fillRect/>
                              </a:stretch>
                            </pic:blipFill>
                            <pic:spPr>
                              <a:xfrm>
                                <a:off x="0" y="0"/>
                                <a:ext cx="2159635" cy="2159635"/>
                              </a:xfrm>
                              <a:prstGeom prst="rect">
                                <a:avLst/>
                              </a:prstGeom>
                            </pic:spPr>
                          </pic:pic>
                        </a:graphicData>
                      </a:graphic>
                    </wp:inline>
                  </w:drawing>
                </mc:Fallback>
              </mc:AlternateContent>
            </w:r>
          </w:p>
        </w:tc>
      </w:tr>
      <w:tr w:rsidR="002D7BBC" w:rsidRPr="00A43B9C" w14:paraId="1BAC6C99" w14:textId="77777777" w:rsidTr="00742539">
        <w:tc>
          <w:tcPr>
            <w:tcW w:w="3636" w:type="dxa"/>
          </w:tcPr>
          <w:p w14:paraId="5764E89A" w14:textId="0A96DCE6" w:rsidR="002D7BBC" w:rsidRPr="00A43B9C" w:rsidRDefault="002D7BBC" w:rsidP="002D7BBC">
            <w:pPr>
              <w:spacing w:after="0" w:line="240" w:lineRule="auto"/>
              <w:jc w:val="center"/>
              <w:rPr>
                <w:rFonts w:ascii="Times New Roman" w:hAnsi="Times New Roman" w:cs="Times New Roman"/>
                <w:sz w:val="28"/>
                <w:szCs w:val="28"/>
                <w:lang w:val="en-US"/>
              </w:rPr>
            </w:pPr>
            <w:r w:rsidRPr="00A71535">
              <w:rPr>
                <w:rFonts w:ascii="Times New Roman" w:hAnsi="Times New Roman" w:cs="Times New Roman"/>
                <w:sz w:val="24"/>
                <w:szCs w:val="24"/>
              </w:rPr>
              <w:t>г)</w:t>
            </w:r>
            <w:r w:rsidRPr="00A71535">
              <w:rPr>
                <w:rFonts w:ascii="Times New Roman" w:hAnsi="Times New Roman" w:cs="Times New Roman"/>
                <w:sz w:val="24"/>
                <w:szCs w:val="24"/>
                <w:lang w:val="en-US"/>
              </w:rPr>
              <w:t xml:space="preserve"> </w:t>
            </w:r>
            <w:r w:rsidRPr="00A71535">
              <w:rPr>
                <w:rFonts w:ascii="Times New Roman" w:hAnsi="Times New Roman" w:cs="Times New Roman"/>
                <w:sz w:val="24"/>
                <w:szCs w:val="24"/>
              </w:rPr>
              <w:t xml:space="preserve">Локализация </w:t>
            </w:r>
            <w:r w:rsidRPr="00A71535">
              <w:rPr>
                <w:rFonts w:ascii="Times New Roman" w:hAnsi="Times New Roman" w:cs="Times New Roman"/>
                <w:sz w:val="24"/>
                <w:szCs w:val="24"/>
                <w:lang w:val="en-US"/>
              </w:rPr>
              <w:t>RU</w:t>
            </w:r>
          </w:p>
        </w:tc>
        <w:tc>
          <w:tcPr>
            <w:tcW w:w="3636" w:type="dxa"/>
          </w:tcPr>
          <w:p w14:paraId="553C52A1" w14:textId="50715F94" w:rsidR="002D7BBC" w:rsidRPr="00A43B9C" w:rsidRDefault="002D7BBC" w:rsidP="002D7BBC">
            <w:pPr>
              <w:spacing w:after="0" w:line="240" w:lineRule="auto"/>
              <w:jc w:val="center"/>
              <w:rPr>
                <w:rFonts w:ascii="Times New Roman" w:hAnsi="Times New Roman" w:cs="Times New Roman"/>
                <w:sz w:val="28"/>
                <w:szCs w:val="28"/>
                <w:lang w:val="en-US"/>
              </w:rPr>
            </w:pPr>
            <w:r w:rsidRPr="00A71535">
              <w:rPr>
                <w:rFonts w:ascii="Times New Roman" w:hAnsi="Times New Roman" w:cs="Times New Roman"/>
                <w:sz w:val="24"/>
                <w:szCs w:val="24"/>
              </w:rPr>
              <w:t>д)</w:t>
            </w:r>
            <w:r w:rsidRPr="00A71535">
              <w:rPr>
                <w:rFonts w:ascii="Times New Roman" w:hAnsi="Times New Roman" w:cs="Times New Roman"/>
                <w:sz w:val="24"/>
                <w:szCs w:val="24"/>
                <w:lang w:val="en-US"/>
              </w:rPr>
              <w:t xml:space="preserve"> </w:t>
            </w:r>
            <w:r w:rsidRPr="00A71535">
              <w:rPr>
                <w:rFonts w:ascii="Times New Roman" w:hAnsi="Times New Roman" w:cs="Times New Roman"/>
                <w:sz w:val="24"/>
                <w:szCs w:val="24"/>
              </w:rPr>
              <w:t xml:space="preserve">Локализация </w:t>
            </w:r>
            <w:r w:rsidRPr="00A71535">
              <w:rPr>
                <w:rFonts w:ascii="Times New Roman" w:hAnsi="Times New Roman" w:cs="Times New Roman"/>
                <w:sz w:val="24"/>
                <w:szCs w:val="24"/>
                <w:lang w:val="en-US"/>
              </w:rPr>
              <w:t>RLL</w:t>
            </w:r>
          </w:p>
        </w:tc>
        <w:tc>
          <w:tcPr>
            <w:tcW w:w="3636" w:type="dxa"/>
          </w:tcPr>
          <w:p w14:paraId="063ADFE8" w14:textId="66FCEEC1" w:rsidR="002D7BBC" w:rsidRPr="00A43B9C" w:rsidRDefault="002D7BBC" w:rsidP="002D7BBC">
            <w:pPr>
              <w:spacing w:after="0" w:line="240" w:lineRule="auto"/>
              <w:jc w:val="center"/>
              <w:rPr>
                <w:rFonts w:ascii="Times New Roman" w:hAnsi="Times New Roman" w:cs="Times New Roman"/>
                <w:sz w:val="28"/>
                <w:szCs w:val="28"/>
                <w:lang w:val="en-US"/>
              </w:rPr>
            </w:pPr>
            <w:r w:rsidRPr="00A71535">
              <w:rPr>
                <w:rFonts w:ascii="Times New Roman" w:hAnsi="Times New Roman" w:cs="Times New Roman"/>
                <w:sz w:val="24"/>
                <w:szCs w:val="24"/>
              </w:rPr>
              <w:t>е)</w:t>
            </w:r>
            <w:r w:rsidRPr="00A71535">
              <w:rPr>
                <w:rFonts w:ascii="Times New Roman" w:hAnsi="Times New Roman" w:cs="Times New Roman"/>
                <w:sz w:val="24"/>
                <w:szCs w:val="24"/>
                <w:lang w:val="en-US"/>
              </w:rPr>
              <w:t xml:space="preserve"> </w:t>
            </w:r>
            <w:r w:rsidRPr="00A71535">
              <w:rPr>
                <w:rFonts w:ascii="Times New Roman" w:hAnsi="Times New Roman" w:cs="Times New Roman"/>
                <w:sz w:val="24"/>
                <w:szCs w:val="24"/>
              </w:rPr>
              <w:t xml:space="preserve">Локализация </w:t>
            </w:r>
            <w:r w:rsidRPr="00A71535">
              <w:rPr>
                <w:rFonts w:ascii="Times New Roman" w:hAnsi="Times New Roman" w:cs="Times New Roman"/>
                <w:sz w:val="24"/>
                <w:szCs w:val="24"/>
                <w:lang w:val="en-US"/>
              </w:rPr>
              <w:t>RRI</w:t>
            </w:r>
          </w:p>
        </w:tc>
      </w:tr>
    </w:tbl>
    <w:p w14:paraId="75BA8FFA" w14:textId="77777777" w:rsidR="002D7BBC" w:rsidRDefault="002D7BBC" w:rsidP="002D7BBC">
      <w:pPr>
        <w:spacing w:after="0" w:line="240" w:lineRule="auto"/>
        <w:ind w:firstLine="709"/>
        <w:jc w:val="center"/>
        <w:rPr>
          <w:rFonts w:ascii="Times New Roman" w:hAnsi="Times New Roman" w:cs="Times New Roman"/>
          <w:sz w:val="28"/>
          <w:szCs w:val="28"/>
        </w:rPr>
      </w:pPr>
    </w:p>
    <w:p w14:paraId="58FD6ACB" w14:textId="6FC84E64" w:rsidR="002D7BBC" w:rsidRPr="00A43B9C" w:rsidRDefault="002D7BBC" w:rsidP="002D7BBC">
      <w:pPr>
        <w:spacing w:after="0" w:line="240" w:lineRule="auto"/>
        <w:ind w:firstLine="709"/>
        <w:jc w:val="center"/>
        <w:rPr>
          <w:rFonts w:ascii="Times New Roman" w:hAnsi="Times New Roman" w:cs="Times New Roman"/>
          <w:sz w:val="28"/>
          <w:szCs w:val="28"/>
          <w:lang w:val="kk-KZ"/>
        </w:rPr>
      </w:pPr>
      <w:r w:rsidRPr="00A43B9C">
        <w:rPr>
          <w:rFonts w:ascii="Times New Roman" w:hAnsi="Times New Roman" w:cs="Times New Roman"/>
          <w:sz w:val="28"/>
          <w:szCs w:val="28"/>
        </w:rPr>
        <w:t>Рисунок 1</w:t>
      </w:r>
      <w:r>
        <w:rPr>
          <w:rFonts w:ascii="Times New Roman" w:hAnsi="Times New Roman" w:cs="Times New Roman"/>
          <w:sz w:val="28"/>
          <w:szCs w:val="28"/>
        </w:rPr>
        <w:t>1</w:t>
      </w:r>
      <w:r w:rsidRPr="00A43B9C">
        <w:rPr>
          <w:rFonts w:ascii="Times New Roman" w:hAnsi="Times New Roman" w:cs="Times New Roman"/>
          <w:sz w:val="28"/>
          <w:szCs w:val="28"/>
        </w:rPr>
        <w:t xml:space="preserve"> - Анализ распределения уровня накопления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зависимости от </w:t>
      </w:r>
      <w:r w:rsidRPr="00A43B9C">
        <w:rPr>
          <w:rFonts w:ascii="Times New Roman" w:hAnsi="Times New Roman" w:cs="Times New Roman"/>
          <w:sz w:val="28"/>
          <w:szCs w:val="28"/>
          <w:lang w:val="kk-KZ"/>
        </w:rPr>
        <w:t xml:space="preserve">гистологического </w:t>
      </w:r>
      <w:r w:rsidRPr="00A43B9C">
        <w:rPr>
          <w:rFonts w:ascii="Times New Roman" w:hAnsi="Times New Roman" w:cs="Times New Roman"/>
          <w:sz w:val="28"/>
          <w:szCs w:val="28"/>
        </w:rPr>
        <w:t xml:space="preserve">типа </w:t>
      </w:r>
      <w:r w:rsidRPr="00A43B9C">
        <w:rPr>
          <w:rFonts w:ascii="Times New Roman" w:hAnsi="Times New Roman" w:cs="Times New Roman"/>
          <w:sz w:val="28"/>
          <w:szCs w:val="28"/>
          <w:lang w:val="kk-KZ"/>
        </w:rPr>
        <w:t>опухоли по локализациям</w:t>
      </w:r>
      <w:r>
        <w:rPr>
          <w:rFonts w:ascii="Times New Roman" w:hAnsi="Times New Roman" w:cs="Times New Roman"/>
          <w:sz w:val="28"/>
          <w:szCs w:val="28"/>
          <w:lang w:val="kk-KZ"/>
        </w:rPr>
        <w:t>, лист 1</w:t>
      </w:r>
    </w:p>
    <w:p w14:paraId="1B8121FB" w14:textId="77777777" w:rsidR="002D7BBC" w:rsidRPr="002D7BBC" w:rsidRDefault="002D7BBC" w:rsidP="002D7BBC">
      <w:pPr>
        <w:spacing w:after="0" w:line="240" w:lineRule="auto"/>
        <w:rPr>
          <w:rFonts w:ascii="Times New Roman" w:hAnsi="Times New Roman" w:cs="Times New Roman"/>
          <w:sz w:val="28"/>
          <w:szCs w:val="28"/>
          <w:lang w:val="kk-KZ"/>
        </w:rPr>
      </w:pPr>
    </w:p>
    <w:p w14:paraId="738F8BA3" w14:textId="044D1090" w:rsidR="002D7BBC" w:rsidRPr="002D7BBC" w:rsidRDefault="002D7BBC" w:rsidP="002D7BBC">
      <w:pPr>
        <w:spacing w:after="0" w:line="240" w:lineRule="auto"/>
        <w:rPr>
          <w:rFonts w:ascii="Times New Roman" w:hAnsi="Times New Roman" w:cs="Times New Roman"/>
          <w:sz w:val="28"/>
          <w:szCs w:val="28"/>
          <w:lang w:val="kk-KZ"/>
        </w:rPr>
      </w:pPr>
      <w:r w:rsidRPr="002D7BBC">
        <w:rPr>
          <w:rFonts w:ascii="Times New Roman" w:hAnsi="Times New Roman" w:cs="Times New Roman"/>
          <w:sz w:val="28"/>
          <w:szCs w:val="28"/>
          <w:lang w:val="kk-KZ"/>
        </w:rPr>
        <w:br w:type="page"/>
      </w:r>
    </w:p>
    <w:tbl>
      <w:tblPr>
        <w:tblStyle w:val="ad"/>
        <w:tblW w:w="10908"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6"/>
        <w:gridCol w:w="3636"/>
        <w:gridCol w:w="3636"/>
      </w:tblGrid>
      <w:tr w:rsidR="004B6507" w:rsidRPr="00A43B9C" w14:paraId="22099458" w14:textId="77777777" w:rsidTr="00742539">
        <w:tc>
          <w:tcPr>
            <w:tcW w:w="3636" w:type="dxa"/>
          </w:tcPr>
          <w:p w14:paraId="40CEEE97" w14:textId="20353937" w:rsidR="004B6507" w:rsidRPr="00A43B9C" w:rsidRDefault="004B6507" w:rsidP="00446A37">
            <w:pPr>
              <w:spacing w:after="0" w:line="240" w:lineRule="auto"/>
              <w:jc w:val="center"/>
              <w:rPr>
                <w:rFonts w:ascii="Times New Roman" w:hAnsi="Times New Roman" w:cs="Times New Roman"/>
                <w:sz w:val="28"/>
                <w:szCs w:val="28"/>
              </w:rPr>
            </w:pPr>
            <w:r w:rsidRPr="00A43B9C">
              <w:rPr>
                <w:noProof/>
                <w:lang w:eastAsia="ru-RU"/>
              </w:rPr>
              <w:lastRenderedPageBreak/>
              <mc:AlternateContent>
                <mc:Choice Requires="cx1">
                  <w:drawing>
                    <wp:inline distT="0" distB="0" distL="0" distR="0" wp14:anchorId="34E0A88E" wp14:editId="64E9E7D2">
                      <wp:extent cx="2160000" cy="2160000"/>
                      <wp:effectExtent l="0" t="0" r="12065" b="12065"/>
                      <wp:docPr id="61" name="Диаграмма 61">
                        <a:extLst xmlns:a="http://schemas.openxmlformats.org/drawingml/2006/main">
                          <a:ext uri="{FF2B5EF4-FFF2-40B4-BE49-F238E27FC236}">
                            <a16:creationId xmlns:a16="http://schemas.microsoft.com/office/drawing/2014/main" id="{985A8217-9B1E-4766-96B0-0B2763DB26D0}"/>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14"/>
                        </a:graphicData>
                      </a:graphic>
                    </wp:inline>
                  </w:drawing>
                </mc:Choice>
                <mc:Fallback>
                  <w:drawing>
                    <wp:inline distT="0" distB="0" distL="0" distR="0" wp14:anchorId="34E0A88E" wp14:editId="64E9E7D2">
                      <wp:extent cx="2160000" cy="2160000"/>
                      <wp:effectExtent l="0" t="0" r="12065" b="12065"/>
                      <wp:docPr id="61" name="Диаграмма 61">
                        <a:extLst xmlns:a="http://schemas.openxmlformats.org/drawingml/2006/main">
                          <a:ext uri="{FF2B5EF4-FFF2-40B4-BE49-F238E27FC236}">
                            <a16:creationId xmlns:a16="http://schemas.microsoft.com/office/drawing/2014/main" id="{985A8217-9B1E-4766-96B0-0B2763DB26D0}"/>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61" name="Диаграмма 61">
                                <a:extLst>
                                  <a:ext uri="{FF2B5EF4-FFF2-40B4-BE49-F238E27FC236}">
                                    <a16:creationId xmlns:a16="http://schemas.microsoft.com/office/drawing/2014/main" id="{985A8217-9B1E-4766-96B0-0B2763DB26D0}"/>
                                  </a:ext>
                                </a:extLst>
                              </pic:cNvPr>
                              <pic:cNvPicPr>
                                <a:picLocks noGrp="1" noRot="1" noChangeAspect="1" noMove="1" noResize="1" noEditPoints="1" noAdjustHandles="1" noChangeArrowheads="1" noChangeShapeType="1"/>
                              </pic:cNvPicPr>
                            </pic:nvPicPr>
                            <pic:blipFill>
                              <a:blip r:embed="rId115"/>
                              <a:stretch>
                                <a:fillRect/>
                              </a:stretch>
                            </pic:blipFill>
                            <pic:spPr>
                              <a:xfrm>
                                <a:off x="0" y="0"/>
                                <a:ext cx="2159635" cy="2159635"/>
                              </a:xfrm>
                              <a:prstGeom prst="rect">
                                <a:avLst/>
                              </a:prstGeom>
                            </pic:spPr>
                          </pic:pic>
                        </a:graphicData>
                      </a:graphic>
                    </wp:inline>
                  </w:drawing>
                </mc:Fallback>
              </mc:AlternateContent>
            </w:r>
          </w:p>
        </w:tc>
        <w:tc>
          <w:tcPr>
            <w:tcW w:w="3636" w:type="dxa"/>
          </w:tcPr>
          <w:p w14:paraId="5DA3FBDB" w14:textId="1F3943BE" w:rsidR="004B6507" w:rsidRPr="00A43B9C" w:rsidRDefault="004B6507"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72E89E8C" wp14:editId="005AAF23">
                      <wp:extent cx="2160000" cy="2160000"/>
                      <wp:effectExtent l="0" t="0" r="12065" b="12065"/>
                      <wp:docPr id="139" name="Диаграмма 139">
                        <a:extLst xmlns:a="http://schemas.openxmlformats.org/drawingml/2006/main">
                          <a:ext uri="{FF2B5EF4-FFF2-40B4-BE49-F238E27FC236}">
                            <a16:creationId xmlns:a16="http://schemas.microsoft.com/office/drawing/2014/main" id="{1426D18C-1051-45FA-B805-3DFFE3631435}"/>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16"/>
                        </a:graphicData>
                      </a:graphic>
                    </wp:inline>
                  </w:drawing>
                </mc:Choice>
                <mc:Fallback>
                  <w:drawing>
                    <wp:inline distT="0" distB="0" distL="0" distR="0" wp14:anchorId="72E89E8C" wp14:editId="005AAF23">
                      <wp:extent cx="2160000" cy="2160000"/>
                      <wp:effectExtent l="0" t="0" r="12065" b="12065"/>
                      <wp:docPr id="139" name="Диаграмма 139">
                        <a:extLst xmlns:a="http://schemas.openxmlformats.org/drawingml/2006/main">
                          <a:ext uri="{FF2B5EF4-FFF2-40B4-BE49-F238E27FC236}">
                            <a16:creationId xmlns:a16="http://schemas.microsoft.com/office/drawing/2014/main" id="{1426D18C-1051-45FA-B805-3DFFE3631435}"/>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39" name="Диаграмма 139">
                                <a:extLst>
                                  <a:ext uri="{FF2B5EF4-FFF2-40B4-BE49-F238E27FC236}">
                                    <a16:creationId xmlns:a16="http://schemas.microsoft.com/office/drawing/2014/main" id="{1426D18C-1051-45FA-B805-3DFFE3631435}"/>
                                  </a:ext>
                                </a:extLst>
                              </pic:cNvPr>
                              <pic:cNvPicPr>
                                <a:picLocks noGrp="1" noRot="1" noChangeAspect="1" noMove="1" noResize="1" noEditPoints="1" noAdjustHandles="1" noChangeArrowheads="1" noChangeShapeType="1"/>
                              </pic:cNvPicPr>
                            </pic:nvPicPr>
                            <pic:blipFill>
                              <a:blip r:embed="rId117"/>
                              <a:stretch>
                                <a:fillRect/>
                              </a:stretch>
                            </pic:blipFill>
                            <pic:spPr>
                              <a:xfrm>
                                <a:off x="0" y="0"/>
                                <a:ext cx="2159635" cy="2159635"/>
                              </a:xfrm>
                              <a:prstGeom prst="rect">
                                <a:avLst/>
                              </a:prstGeom>
                            </pic:spPr>
                          </pic:pic>
                        </a:graphicData>
                      </a:graphic>
                    </wp:inline>
                  </w:drawing>
                </mc:Fallback>
              </mc:AlternateContent>
            </w:r>
          </w:p>
        </w:tc>
        <w:tc>
          <w:tcPr>
            <w:tcW w:w="3636" w:type="dxa"/>
          </w:tcPr>
          <w:p w14:paraId="7701FB10" w14:textId="69189320" w:rsidR="004B6507" w:rsidRPr="00A43B9C" w:rsidRDefault="004B6507"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6ED124F7" wp14:editId="6883F89C">
                      <wp:extent cx="2160000" cy="2160000"/>
                      <wp:effectExtent l="0" t="0" r="12065" b="12065"/>
                      <wp:docPr id="86" name="Диаграмма 86">
                        <a:extLst xmlns:a="http://schemas.openxmlformats.org/drawingml/2006/main">
                          <a:ext uri="{FF2B5EF4-FFF2-40B4-BE49-F238E27FC236}">
                            <a16:creationId xmlns:a16="http://schemas.microsoft.com/office/drawing/2014/main" id="{4E72FF30-DFF9-4D64-BCE8-9870BD8525E0}"/>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18"/>
                        </a:graphicData>
                      </a:graphic>
                    </wp:inline>
                  </w:drawing>
                </mc:Choice>
                <mc:Fallback>
                  <w:drawing>
                    <wp:inline distT="0" distB="0" distL="0" distR="0" wp14:anchorId="6ED124F7" wp14:editId="6883F89C">
                      <wp:extent cx="2160000" cy="2160000"/>
                      <wp:effectExtent l="0" t="0" r="12065" b="12065"/>
                      <wp:docPr id="86" name="Диаграмма 86">
                        <a:extLst xmlns:a="http://schemas.openxmlformats.org/drawingml/2006/main">
                          <a:ext uri="{FF2B5EF4-FFF2-40B4-BE49-F238E27FC236}">
                            <a16:creationId xmlns:a16="http://schemas.microsoft.com/office/drawing/2014/main" id="{4E72FF30-DFF9-4D64-BCE8-9870BD8525E0}"/>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86" name="Диаграмма 86">
                                <a:extLst>
                                  <a:ext uri="{FF2B5EF4-FFF2-40B4-BE49-F238E27FC236}">
                                    <a16:creationId xmlns:a16="http://schemas.microsoft.com/office/drawing/2014/main" id="{4E72FF30-DFF9-4D64-BCE8-9870BD8525E0}"/>
                                  </a:ext>
                                </a:extLst>
                              </pic:cNvPr>
                              <pic:cNvPicPr>
                                <a:picLocks noGrp="1" noRot="1" noChangeAspect="1" noMove="1" noResize="1" noEditPoints="1" noAdjustHandles="1" noChangeArrowheads="1" noChangeShapeType="1"/>
                              </pic:cNvPicPr>
                            </pic:nvPicPr>
                            <pic:blipFill>
                              <a:blip r:embed="rId119"/>
                              <a:stretch>
                                <a:fillRect/>
                              </a:stretch>
                            </pic:blipFill>
                            <pic:spPr>
                              <a:xfrm>
                                <a:off x="0" y="0"/>
                                <a:ext cx="2159635" cy="2159635"/>
                              </a:xfrm>
                              <a:prstGeom prst="rect">
                                <a:avLst/>
                              </a:prstGeom>
                            </pic:spPr>
                          </pic:pic>
                        </a:graphicData>
                      </a:graphic>
                    </wp:inline>
                  </w:drawing>
                </mc:Fallback>
              </mc:AlternateContent>
            </w:r>
          </w:p>
        </w:tc>
      </w:tr>
      <w:tr w:rsidR="002D7BBC" w:rsidRPr="00A43B9C" w14:paraId="128CA10D" w14:textId="77777777" w:rsidTr="00742539">
        <w:tc>
          <w:tcPr>
            <w:tcW w:w="3636" w:type="dxa"/>
          </w:tcPr>
          <w:p w14:paraId="648CAD70" w14:textId="6D3E4B1E" w:rsidR="002D7BBC" w:rsidRPr="00A43B9C" w:rsidRDefault="002D7BBC" w:rsidP="002D7BBC">
            <w:pPr>
              <w:spacing w:after="0" w:line="240" w:lineRule="auto"/>
              <w:jc w:val="center"/>
              <w:rPr>
                <w:rFonts w:ascii="Times New Roman" w:hAnsi="Times New Roman" w:cs="Times New Roman"/>
                <w:sz w:val="28"/>
                <w:szCs w:val="28"/>
                <w:lang w:val="en-US"/>
              </w:rPr>
            </w:pPr>
            <w:r w:rsidRPr="002D7BBC">
              <w:rPr>
                <w:rFonts w:ascii="Times New Roman" w:hAnsi="Times New Roman" w:cs="Times New Roman"/>
                <w:sz w:val="24"/>
                <w:szCs w:val="24"/>
              </w:rPr>
              <w:t>ж)</w:t>
            </w:r>
            <w:r w:rsidRPr="002D7BBC">
              <w:rPr>
                <w:rFonts w:ascii="Times New Roman" w:hAnsi="Times New Roman" w:cs="Times New Roman"/>
                <w:sz w:val="24"/>
                <w:szCs w:val="24"/>
                <w:lang w:val="en-US"/>
              </w:rPr>
              <w:t xml:space="preserve"> </w:t>
            </w:r>
            <w:r w:rsidRPr="002D7BBC">
              <w:rPr>
                <w:rFonts w:ascii="Times New Roman" w:hAnsi="Times New Roman" w:cs="Times New Roman"/>
                <w:sz w:val="24"/>
                <w:szCs w:val="24"/>
              </w:rPr>
              <w:t xml:space="preserve">Локализация </w:t>
            </w:r>
            <w:r w:rsidRPr="002D7BBC">
              <w:rPr>
                <w:rFonts w:ascii="Times New Roman" w:hAnsi="Times New Roman" w:cs="Times New Roman"/>
                <w:sz w:val="24"/>
                <w:szCs w:val="24"/>
                <w:lang w:val="en-US"/>
              </w:rPr>
              <w:t>RP</w:t>
            </w:r>
          </w:p>
        </w:tc>
        <w:tc>
          <w:tcPr>
            <w:tcW w:w="3636" w:type="dxa"/>
          </w:tcPr>
          <w:p w14:paraId="03E687BE" w14:textId="3CAE3552" w:rsidR="002D7BBC" w:rsidRPr="00A43B9C" w:rsidRDefault="002D7BBC" w:rsidP="002D7BBC">
            <w:pPr>
              <w:spacing w:after="0" w:line="240" w:lineRule="auto"/>
              <w:jc w:val="center"/>
              <w:rPr>
                <w:rFonts w:ascii="Times New Roman" w:hAnsi="Times New Roman" w:cs="Times New Roman"/>
                <w:sz w:val="28"/>
                <w:szCs w:val="28"/>
                <w:lang w:val="en-US"/>
              </w:rPr>
            </w:pPr>
            <w:r w:rsidRPr="002D7BBC">
              <w:rPr>
                <w:rFonts w:ascii="Times New Roman" w:hAnsi="Times New Roman" w:cs="Times New Roman"/>
                <w:sz w:val="24"/>
                <w:szCs w:val="24"/>
              </w:rPr>
              <w:t>к)</w:t>
            </w:r>
            <w:r w:rsidRPr="002D7BBC">
              <w:rPr>
                <w:rFonts w:ascii="Times New Roman" w:hAnsi="Times New Roman" w:cs="Times New Roman"/>
                <w:sz w:val="24"/>
                <w:szCs w:val="24"/>
                <w:lang w:val="en-US"/>
              </w:rPr>
              <w:t xml:space="preserve"> </w:t>
            </w:r>
            <w:r w:rsidRPr="002D7BBC">
              <w:rPr>
                <w:rFonts w:ascii="Times New Roman" w:hAnsi="Times New Roman" w:cs="Times New Roman"/>
                <w:sz w:val="24"/>
                <w:szCs w:val="24"/>
              </w:rPr>
              <w:t xml:space="preserve">Локализация </w:t>
            </w:r>
            <w:r w:rsidRPr="002D7BBC">
              <w:rPr>
                <w:rFonts w:ascii="Times New Roman" w:hAnsi="Times New Roman" w:cs="Times New Roman"/>
                <w:sz w:val="24"/>
                <w:szCs w:val="24"/>
                <w:lang w:val="en-US"/>
              </w:rPr>
              <w:t>RLI</w:t>
            </w:r>
          </w:p>
        </w:tc>
        <w:tc>
          <w:tcPr>
            <w:tcW w:w="3636" w:type="dxa"/>
          </w:tcPr>
          <w:p w14:paraId="3DF246A3" w14:textId="7A2DB3FF" w:rsidR="002D7BBC" w:rsidRPr="00A43B9C" w:rsidRDefault="002D7BBC" w:rsidP="002D7BBC">
            <w:pPr>
              <w:spacing w:after="0" w:line="240" w:lineRule="auto"/>
              <w:jc w:val="center"/>
              <w:rPr>
                <w:rFonts w:ascii="Times New Roman" w:hAnsi="Times New Roman" w:cs="Times New Roman"/>
                <w:sz w:val="28"/>
                <w:szCs w:val="28"/>
                <w:lang w:val="en-US"/>
              </w:rPr>
            </w:pPr>
            <w:r w:rsidRPr="002D7BBC">
              <w:rPr>
                <w:rFonts w:ascii="Times New Roman" w:hAnsi="Times New Roman" w:cs="Times New Roman"/>
                <w:sz w:val="24"/>
                <w:szCs w:val="24"/>
              </w:rPr>
              <w:t>л)</w:t>
            </w:r>
            <w:r w:rsidRPr="002D7BBC">
              <w:rPr>
                <w:rFonts w:ascii="Times New Roman" w:hAnsi="Times New Roman" w:cs="Times New Roman"/>
                <w:sz w:val="24"/>
                <w:szCs w:val="24"/>
                <w:lang w:val="en-US"/>
              </w:rPr>
              <w:t xml:space="preserve"> </w:t>
            </w:r>
            <w:r w:rsidRPr="002D7BBC">
              <w:rPr>
                <w:rFonts w:ascii="Times New Roman" w:hAnsi="Times New Roman" w:cs="Times New Roman"/>
                <w:sz w:val="24"/>
                <w:szCs w:val="24"/>
              </w:rPr>
              <w:t>Локализация P</w:t>
            </w:r>
          </w:p>
        </w:tc>
      </w:tr>
    </w:tbl>
    <w:p w14:paraId="4BDA8C20" w14:textId="77777777" w:rsidR="002D7BBC" w:rsidRDefault="002D7BBC" w:rsidP="004B6507">
      <w:pPr>
        <w:spacing w:after="0" w:line="240" w:lineRule="auto"/>
        <w:ind w:firstLine="709"/>
        <w:jc w:val="center"/>
        <w:rPr>
          <w:rFonts w:ascii="Times New Roman" w:hAnsi="Times New Roman" w:cs="Times New Roman"/>
          <w:sz w:val="28"/>
          <w:szCs w:val="28"/>
        </w:rPr>
      </w:pPr>
    </w:p>
    <w:p w14:paraId="270A0D30" w14:textId="00964FFD" w:rsidR="002D7BBC" w:rsidRDefault="004B6507" w:rsidP="004B6507">
      <w:pPr>
        <w:spacing w:after="0" w:line="240" w:lineRule="auto"/>
        <w:ind w:firstLine="709"/>
        <w:jc w:val="center"/>
        <w:rPr>
          <w:rFonts w:ascii="Times New Roman" w:hAnsi="Times New Roman" w:cs="Times New Roman"/>
          <w:sz w:val="28"/>
          <w:szCs w:val="28"/>
        </w:rPr>
      </w:pPr>
      <w:r w:rsidRPr="00A43B9C">
        <w:rPr>
          <w:rFonts w:ascii="Times New Roman" w:hAnsi="Times New Roman" w:cs="Times New Roman"/>
          <w:sz w:val="28"/>
          <w:szCs w:val="28"/>
        </w:rPr>
        <w:t>Рисунок 1</w:t>
      </w:r>
      <w:r w:rsidR="00006C4D">
        <w:rPr>
          <w:rFonts w:ascii="Times New Roman" w:hAnsi="Times New Roman" w:cs="Times New Roman"/>
          <w:sz w:val="28"/>
          <w:szCs w:val="28"/>
        </w:rPr>
        <w:t>1</w:t>
      </w:r>
      <w:r w:rsidR="001D33E2" w:rsidRPr="00A43B9C">
        <w:rPr>
          <w:rFonts w:ascii="Times New Roman" w:hAnsi="Times New Roman" w:cs="Times New Roman"/>
          <w:sz w:val="28"/>
          <w:szCs w:val="28"/>
        </w:rPr>
        <w:t xml:space="preserve"> </w:t>
      </w:r>
      <w:r w:rsidR="004D5D0F">
        <w:rPr>
          <w:rFonts w:ascii="Times New Roman" w:hAnsi="Times New Roman" w:cs="Times New Roman"/>
          <w:sz w:val="28"/>
          <w:szCs w:val="28"/>
        </w:rPr>
        <w:t>-</w:t>
      </w:r>
      <w:r w:rsidRPr="00A43B9C">
        <w:rPr>
          <w:rFonts w:ascii="Times New Roman" w:hAnsi="Times New Roman" w:cs="Times New Roman"/>
          <w:sz w:val="28"/>
          <w:szCs w:val="28"/>
        </w:rPr>
        <w:t xml:space="preserve"> </w:t>
      </w:r>
      <w:r w:rsidR="002D7BBC">
        <w:rPr>
          <w:rFonts w:ascii="Times New Roman" w:hAnsi="Times New Roman" w:cs="Times New Roman"/>
          <w:sz w:val="28"/>
          <w:szCs w:val="28"/>
        </w:rPr>
        <w:t>лист 2</w:t>
      </w:r>
    </w:p>
    <w:p w14:paraId="0D1CE068" w14:textId="1DA30C98" w:rsidR="004B6507" w:rsidRPr="00A43B9C" w:rsidRDefault="004B6507" w:rsidP="004B6507">
      <w:pPr>
        <w:spacing w:after="0" w:line="240" w:lineRule="auto"/>
        <w:ind w:firstLine="709"/>
        <w:jc w:val="center"/>
        <w:rPr>
          <w:rFonts w:ascii="Times New Roman" w:hAnsi="Times New Roman" w:cs="Times New Roman"/>
          <w:sz w:val="28"/>
          <w:szCs w:val="28"/>
          <w:lang w:val="kk-KZ"/>
        </w:rPr>
      </w:pPr>
    </w:p>
    <w:p w14:paraId="54CD4C0A" w14:textId="65906D75" w:rsidR="00E46B54" w:rsidRPr="0075659D" w:rsidRDefault="00E46B54" w:rsidP="006E2E0F">
      <w:pPr>
        <w:pStyle w:val="31"/>
        <w:spacing w:before="0" w:line="240" w:lineRule="auto"/>
        <w:ind w:firstLine="709"/>
        <w:jc w:val="both"/>
        <w:rPr>
          <w:rFonts w:ascii="Times New Roman" w:eastAsia="Times New Roman" w:hAnsi="Times New Roman" w:cs="Times New Roman"/>
          <w:color w:val="auto"/>
          <w:sz w:val="28"/>
          <w:szCs w:val="28"/>
          <w:lang w:eastAsia="ru-RU"/>
        </w:rPr>
      </w:pPr>
      <w:bookmarkStart w:id="57" w:name="_Toc101861817"/>
      <w:bookmarkStart w:id="58" w:name="_Toc102937620"/>
      <w:bookmarkStart w:id="59" w:name="_Hlk101368955"/>
      <w:r w:rsidRPr="0075659D">
        <w:rPr>
          <w:rFonts w:ascii="Times New Roman" w:eastAsia="Times New Roman" w:hAnsi="Times New Roman" w:cs="Times New Roman"/>
          <w:color w:val="auto"/>
          <w:sz w:val="28"/>
          <w:szCs w:val="28"/>
          <w:lang w:eastAsia="ru-RU"/>
        </w:rPr>
        <w:t>3.</w:t>
      </w:r>
      <w:r w:rsidR="00040E82" w:rsidRPr="0075659D">
        <w:rPr>
          <w:rFonts w:ascii="Times New Roman" w:eastAsia="Times New Roman" w:hAnsi="Times New Roman" w:cs="Times New Roman"/>
          <w:color w:val="auto"/>
          <w:sz w:val="28"/>
          <w:szCs w:val="28"/>
          <w:lang w:eastAsia="ru-RU"/>
        </w:rPr>
        <w:t>1.</w:t>
      </w:r>
      <w:r w:rsidR="00B674B1" w:rsidRPr="0075659D">
        <w:rPr>
          <w:rFonts w:ascii="Times New Roman" w:eastAsia="Times New Roman" w:hAnsi="Times New Roman" w:cs="Times New Roman"/>
          <w:color w:val="auto"/>
          <w:sz w:val="28"/>
          <w:szCs w:val="28"/>
          <w:lang w:eastAsia="ru-RU"/>
        </w:rPr>
        <w:t>2</w:t>
      </w:r>
      <w:r w:rsidRPr="0075659D">
        <w:rPr>
          <w:rFonts w:ascii="Times New Roman" w:eastAsia="Times New Roman" w:hAnsi="Times New Roman" w:cs="Times New Roman"/>
          <w:color w:val="auto"/>
          <w:sz w:val="28"/>
          <w:szCs w:val="28"/>
          <w:lang w:eastAsia="ru-RU"/>
        </w:rPr>
        <w:t xml:space="preserve"> </w:t>
      </w:r>
      <w:r w:rsidR="0075659D" w:rsidRPr="0075659D">
        <w:rPr>
          <w:rFonts w:ascii="Times New Roman" w:hAnsi="Times New Roman" w:cs="Times New Roman"/>
          <w:color w:val="auto"/>
          <w:sz w:val="28"/>
          <w:szCs w:val="28"/>
          <w:lang w:eastAsia="ru-RU"/>
        </w:rPr>
        <w:t>Корреляционны</w:t>
      </w:r>
      <w:r w:rsidR="0075659D" w:rsidRPr="0075659D">
        <w:rPr>
          <w:rFonts w:ascii="Times New Roman" w:hAnsi="Times New Roman" w:cs="Times New Roman"/>
          <w:color w:val="auto"/>
          <w:sz w:val="28"/>
          <w:szCs w:val="28"/>
        </w:rPr>
        <w:t>й</w:t>
      </w:r>
      <w:r w:rsidR="0075659D" w:rsidRPr="0075659D">
        <w:rPr>
          <w:rFonts w:ascii="Times New Roman" w:hAnsi="Times New Roman" w:cs="Times New Roman"/>
          <w:color w:val="auto"/>
          <w:sz w:val="28"/>
          <w:szCs w:val="28"/>
          <w:lang w:eastAsia="ru-RU"/>
        </w:rPr>
        <w:t xml:space="preserve"> анализ уровня накопления </w:t>
      </w:r>
      <w:r w:rsidR="0075659D" w:rsidRPr="0075659D">
        <w:rPr>
          <w:rFonts w:ascii="Times New Roman" w:hAnsi="Times New Roman" w:cs="Times New Roman"/>
          <w:color w:val="auto"/>
          <w:sz w:val="28"/>
          <w:szCs w:val="28"/>
          <w:lang w:val="en-US"/>
        </w:rPr>
        <w:t>SUV</w:t>
      </w:r>
      <w:r w:rsidR="0075659D" w:rsidRPr="0075659D">
        <w:rPr>
          <w:rFonts w:ascii="Times New Roman" w:hAnsi="Times New Roman" w:cs="Times New Roman"/>
          <w:color w:val="auto"/>
          <w:sz w:val="28"/>
          <w:szCs w:val="28"/>
          <w:vertAlign w:val="subscript"/>
          <w:lang w:val="en-US"/>
        </w:rPr>
        <w:t>max</w:t>
      </w:r>
      <w:r w:rsidR="0075659D" w:rsidRPr="0075659D">
        <w:rPr>
          <w:rFonts w:ascii="Times New Roman" w:hAnsi="Times New Roman" w:cs="Times New Roman"/>
          <w:color w:val="auto"/>
          <w:sz w:val="28"/>
          <w:szCs w:val="28"/>
          <w:vertAlign w:val="subscript"/>
        </w:rPr>
        <w:t xml:space="preserve"> </w:t>
      </w:r>
      <w:r w:rsidR="0075659D" w:rsidRPr="0075659D">
        <w:rPr>
          <w:rFonts w:ascii="Times New Roman" w:hAnsi="Times New Roman" w:cs="Times New Roman"/>
          <w:color w:val="auto"/>
          <w:sz w:val="28"/>
          <w:szCs w:val="28"/>
        </w:rPr>
        <w:t>в висцеральном жире</w:t>
      </w:r>
      <w:bookmarkEnd w:id="57"/>
      <w:bookmarkEnd w:id="58"/>
    </w:p>
    <w:p w14:paraId="2CC8BDE1" w14:textId="03968D06" w:rsidR="00764616" w:rsidRPr="00A43B9C" w:rsidRDefault="00FD5BB7" w:rsidP="00764616">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Предполагаемая ассоциация повторного </w:t>
      </w:r>
      <w:r w:rsidR="00E46B54" w:rsidRPr="00A43B9C">
        <w:rPr>
          <w:rFonts w:ascii="Times New Roman" w:hAnsi="Times New Roman" w:cs="Times New Roman"/>
          <w:sz w:val="28"/>
          <w:szCs w:val="28"/>
        </w:rPr>
        <w:t>(</w:t>
      </w:r>
      <w:r w:rsidR="00E46B54" w:rsidRPr="00A43B9C">
        <w:rPr>
          <w:rFonts w:ascii="Times New Roman" w:hAnsi="Times New Roman" w:cs="Times New Roman"/>
          <w:sz w:val="28"/>
          <w:szCs w:val="28"/>
          <w:lang w:val="en-US"/>
        </w:rPr>
        <w:t>II</w:t>
      </w:r>
      <w:r w:rsidR="00E46B54" w:rsidRPr="00A43B9C">
        <w:rPr>
          <w:rFonts w:ascii="Times New Roman" w:hAnsi="Times New Roman" w:cs="Times New Roman"/>
          <w:sz w:val="28"/>
          <w:szCs w:val="28"/>
        </w:rPr>
        <w:t xml:space="preserve">) </w:t>
      </w:r>
      <w:r w:rsidR="00E46B54" w:rsidRPr="00A43B9C">
        <w:rPr>
          <w:rFonts w:ascii="Times New Roman" w:hAnsi="Times New Roman" w:cs="Times New Roman"/>
          <w:sz w:val="28"/>
          <w:szCs w:val="28"/>
          <w:vertAlign w:val="superscript"/>
        </w:rPr>
        <w:t>18</w:t>
      </w:r>
      <w:r w:rsidR="00E46B54" w:rsidRPr="00A43B9C">
        <w:rPr>
          <w:rFonts w:ascii="Times New Roman" w:hAnsi="Times New Roman" w:cs="Times New Roman"/>
          <w:sz w:val="28"/>
          <w:szCs w:val="28"/>
          <w:lang w:val="en-US"/>
        </w:rPr>
        <w:t>F</w:t>
      </w:r>
      <w:r w:rsidR="00E46B54" w:rsidRPr="00A43B9C">
        <w:rPr>
          <w:rFonts w:ascii="Times New Roman" w:hAnsi="Times New Roman" w:cs="Times New Roman"/>
          <w:sz w:val="28"/>
          <w:szCs w:val="28"/>
        </w:rPr>
        <w:t>-</w:t>
      </w:r>
      <w:r w:rsidR="00E46B54" w:rsidRPr="00A43B9C">
        <w:rPr>
          <w:rFonts w:ascii="Times New Roman" w:hAnsi="Times New Roman" w:cs="Times New Roman"/>
          <w:sz w:val="28"/>
          <w:szCs w:val="28"/>
          <w:lang w:val="en-US"/>
        </w:rPr>
        <w:t>FDG</w:t>
      </w:r>
      <w:r w:rsidR="00E46B54" w:rsidRPr="00A43B9C">
        <w:rPr>
          <w:rFonts w:ascii="Times New Roman" w:hAnsi="Times New Roman" w:cs="Times New Roman"/>
          <w:sz w:val="28"/>
          <w:szCs w:val="28"/>
        </w:rPr>
        <w:t xml:space="preserve"> ПЭТ/КТ исследования в зависимости от базового (</w:t>
      </w:r>
      <w:r w:rsidR="00E46B54" w:rsidRPr="00A43B9C">
        <w:rPr>
          <w:rFonts w:ascii="Times New Roman" w:hAnsi="Times New Roman" w:cs="Times New Roman"/>
          <w:sz w:val="28"/>
          <w:szCs w:val="28"/>
          <w:lang w:val="en-US"/>
        </w:rPr>
        <w:t>I</w:t>
      </w:r>
      <w:r w:rsidR="00E46B54"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можно описать </w:t>
      </w:r>
      <w:r w:rsidR="00E46B54" w:rsidRPr="00A43B9C">
        <w:rPr>
          <w:rFonts w:ascii="Times New Roman" w:hAnsi="Times New Roman" w:cs="Times New Roman"/>
          <w:sz w:val="28"/>
          <w:szCs w:val="28"/>
        </w:rPr>
        <w:t xml:space="preserve">уравнением линейной регрессии </w:t>
      </w:r>
      <w:r w:rsidRPr="00A43B9C">
        <w:rPr>
          <w:rFonts w:ascii="Times New Roman" w:hAnsi="Times New Roman" w:cs="Times New Roman"/>
          <w:sz w:val="28"/>
          <w:szCs w:val="28"/>
        </w:rPr>
        <w:t xml:space="preserve">с учётом </w:t>
      </w:r>
      <w:r w:rsidR="00E46B54" w:rsidRPr="00A43B9C">
        <w:rPr>
          <w:rFonts w:ascii="Times New Roman" w:hAnsi="Times New Roman" w:cs="Times New Roman"/>
          <w:sz w:val="28"/>
          <w:szCs w:val="28"/>
        </w:rPr>
        <w:t>локализаций брюшной полости и малого таза</w:t>
      </w:r>
      <w:r w:rsidRPr="00A43B9C">
        <w:rPr>
          <w:rFonts w:ascii="Times New Roman" w:hAnsi="Times New Roman" w:cs="Times New Roman"/>
          <w:sz w:val="28"/>
          <w:szCs w:val="28"/>
        </w:rPr>
        <w:t xml:space="preserve"> следующим образом:</w:t>
      </w:r>
      <w:r w:rsidR="00E46B54" w:rsidRPr="00A43B9C">
        <w:rPr>
          <w:rFonts w:ascii="Times New Roman" w:hAnsi="Times New Roman" w:cs="Times New Roman"/>
          <w:sz w:val="28"/>
          <w:szCs w:val="28"/>
        </w:rPr>
        <w:t xml:space="preserve"> </w:t>
      </w:r>
      <w:r w:rsidR="00E46B54" w:rsidRPr="00A43B9C">
        <w:rPr>
          <w:rFonts w:ascii="Times New Roman" w:hAnsi="Times New Roman" w:cs="Times New Roman"/>
          <w:sz w:val="28"/>
          <w:szCs w:val="28"/>
          <w:lang w:val="en-US"/>
        </w:rPr>
        <w:t>RE</w:t>
      </w:r>
      <w:r w:rsidR="00E46B54" w:rsidRPr="00A43B9C">
        <w:rPr>
          <w:rFonts w:ascii="Times New Roman" w:hAnsi="Times New Roman" w:cs="Times New Roman"/>
          <w:sz w:val="28"/>
          <w:szCs w:val="28"/>
        </w:rPr>
        <w:t xml:space="preserve"> (</w:t>
      </w:r>
      <w:r w:rsidR="00E46B54" w:rsidRPr="00A43B9C">
        <w:rPr>
          <w:rFonts w:ascii="Times New Roman" w:hAnsi="Times New Roman" w:cs="Times New Roman"/>
          <w:sz w:val="28"/>
          <w:szCs w:val="28"/>
          <w:lang w:val="en-US"/>
        </w:rPr>
        <w:t>Y</w:t>
      </w:r>
      <w:r w:rsidR="00E46B54" w:rsidRPr="00A43B9C">
        <w:rPr>
          <w:rFonts w:ascii="Times New Roman" w:hAnsi="Times New Roman" w:cs="Times New Roman"/>
          <w:sz w:val="28"/>
          <w:szCs w:val="28"/>
          <w:vertAlign w:val="subscript"/>
          <w:lang w:val="en-US"/>
        </w:rPr>
        <w:t>SUVmax</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RE</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II</w:t>
      </w:r>
      <w:r w:rsidR="00E46B54" w:rsidRPr="00A43B9C">
        <w:rPr>
          <w:rFonts w:ascii="Times New Roman" w:hAnsi="Times New Roman" w:cs="Times New Roman"/>
          <w:sz w:val="28"/>
          <w:szCs w:val="28"/>
        </w:rPr>
        <w:t xml:space="preserve"> = 0,189 × </w:t>
      </w:r>
      <w:r w:rsidR="00E46B54" w:rsidRPr="00A43B9C">
        <w:rPr>
          <w:rFonts w:ascii="Times New Roman" w:hAnsi="Times New Roman" w:cs="Times New Roman"/>
          <w:sz w:val="28"/>
          <w:szCs w:val="28"/>
          <w:lang w:val="en-US"/>
        </w:rPr>
        <w:t>X</w:t>
      </w:r>
      <w:r w:rsidR="00E46B54" w:rsidRPr="00A43B9C">
        <w:rPr>
          <w:rFonts w:ascii="Times New Roman" w:hAnsi="Times New Roman" w:cs="Times New Roman"/>
          <w:sz w:val="28"/>
          <w:szCs w:val="28"/>
          <w:vertAlign w:val="subscript"/>
          <w:lang w:val="en-US"/>
        </w:rPr>
        <w:t>SUVmax</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RE</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I</w:t>
      </w:r>
      <w:r w:rsidR="00E46B54" w:rsidRPr="00A43B9C">
        <w:rPr>
          <w:rFonts w:ascii="Times New Roman" w:hAnsi="Times New Roman" w:cs="Times New Roman"/>
          <w:sz w:val="28"/>
          <w:szCs w:val="28"/>
        </w:rPr>
        <w:t xml:space="preserve"> + 1,103), </w:t>
      </w:r>
      <w:r w:rsidR="00E46B54" w:rsidRPr="00A43B9C">
        <w:rPr>
          <w:rFonts w:ascii="Times New Roman" w:hAnsi="Times New Roman" w:cs="Times New Roman"/>
          <w:sz w:val="28"/>
          <w:szCs w:val="28"/>
          <w:lang w:val="en-US"/>
        </w:rPr>
        <w:t>RLH</w:t>
      </w:r>
      <w:r w:rsidR="00E46B54" w:rsidRPr="00A43B9C">
        <w:rPr>
          <w:rFonts w:ascii="Times New Roman" w:hAnsi="Times New Roman" w:cs="Times New Roman"/>
          <w:sz w:val="28"/>
          <w:szCs w:val="28"/>
        </w:rPr>
        <w:t xml:space="preserve"> (</w:t>
      </w:r>
      <w:r w:rsidR="00E46B54" w:rsidRPr="00A43B9C">
        <w:rPr>
          <w:rFonts w:ascii="Times New Roman" w:hAnsi="Times New Roman" w:cs="Times New Roman"/>
          <w:sz w:val="28"/>
          <w:szCs w:val="28"/>
          <w:lang w:val="en-US"/>
        </w:rPr>
        <w:t>Y</w:t>
      </w:r>
      <w:r w:rsidR="00E46B54" w:rsidRPr="00A43B9C">
        <w:rPr>
          <w:rFonts w:ascii="Times New Roman" w:hAnsi="Times New Roman" w:cs="Times New Roman"/>
          <w:sz w:val="28"/>
          <w:szCs w:val="28"/>
          <w:vertAlign w:val="subscript"/>
          <w:lang w:val="en-US"/>
        </w:rPr>
        <w:t>SUVmax</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RLH</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II</w:t>
      </w:r>
      <w:r w:rsidR="00E46B54" w:rsidRPr="00A43B9C">
        <w:rPr>
          <w:rFonts w:ascii="Times New Roman" w:hAnsi="Times New Roman" w:cs="Times New Roman"/>
          <w:sz w:val="28"/>
          <w:szCs w:val="28"/>
        </w:rPr>
        <w:t xml:space="preserve"> = 0,287 × </w:t>
      </w:r>
      <w:r w:rsidR="00E46B54" w:rsidRPr="00A43B9C">
        <w:rPr>
          <w:rFonts w:ascii="Times New Roman" w:hAnsi="Times New Roman" w:cs="Times New Roman"/>
          <w:sz w:val="28"/>
          <w:szCs w:val="28"/>
          <w:lang w:val="en-US"/>
        </w:rPr>
        <w:t>X</w:t>
      </w:r>
      <w:r w:rsidR="00E46B54" w:rsidRPr="00A43B9C">
        <w:rPr>
          <w:rFonts w:ascii="Times New Roman" w:hAnsi="Times New Roman" w:cs="Times New Roman"/>
          <w:sz w:val="28"/>
          <w:szCs w:val="28"/>
          <w:vertAlign w:val="subscript"/>
          <w:lang w:val="en-US"/>
        </w:rPr>
        <w:t>SUVmax</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RLH</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I</w:t>
      </w:r>
      <w:r w:rsidR="00E46B54" w:rsidRPr="00A43B9C">
        <w:rPr>
          <w:rFonts w:ascii="Times New Roman" w:hAnsi="Times New Roman" w:cs="Times New Roman"/>
          <w:sz w:val="28"/>
          <w:szCs w:val="28"/>
        </w:rPr>
        <w:t xml:space="preserve"> + 0,951), </w:t>
      </w:r>
      <w:r w:rsidR="00E46B54" w:rsidRPr="00A43B9C">
        <w:rPr>
          <w:rFonts w:ascii="Times New Roman" w:hAnsi="Times New Roman" w:cs="Times New Roman"/>
          <w:sz w:val="28"/>
          <w:szCs w:val="28"/>
          <w:lang w:val="en-US"/>
        </w:rPr>
        <w:t>RRL</w:t>
      </w:r>
      <w:r w:rsidR="00E46B54" w:rsidRPr="00A43B9C">
        <w:rPr>
          <w:rFonts w:ascii="Times New Roman" w:hAnsi="Times New Roman" w:cs="Times New Roman"/>
          <w:sz w:val="28"/>
          <w:szCs w:val="28"/>
        </w:rPr>
        <w:t xml:space="preserve"> (</w:t>
      </w:r>
      <w:r w:rsidR="00E46B54" w:rsidRPr="00A43B9C">
        <w:rPr>
          <w:rFonts w:ascii="Times New Roman" w:hAnsi="Times New Roman" w:cs="Times New Roman"/>
          <w:sz w:val="28"/>
          <w:szCs w:val="28"/>
          <w:lang w:val="en-US"/>
        </w:rPr>
        <w:t>Y</w:t>
      </w:r>
      <w:r w:rsidR="00E46B54" w:rsidRPr="00A43B9C">
        <w:rPr>
          <w:rFonts w:ascii="Times New Roman" w:hAnsi="Times New Roman" w:cs="Times New Roman"/>
          <w:sz w:val="28"/>
          <w:szCs w:val="28"/>
          <w:vertAlign w:val="subscript"/>
          <w:lang w:val="en-US"/>
        </w:rPr>
        <w:t>SUVmax</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RRL</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II</w:t>
      </w:r>
      <w:r w:rsidR="00E46B54" w:rsidRPr="00A43B9C">
        <w:rPr>
          <w:rFonts w:ascii="Times New Roman" w:hAnsi="Times New Roman" w:cs="Times New Roman"/>
          <w:sz w:val="28"/>
          <w:szCs w:val="28"/>
        </w:rPr>
        <w:t xml:space="preserve"> = 0,318 × </w:t>
      </w:r>
      <w:r w:rsidR="00E46B54" w:rsidRPr="00A43B9C">
        <w:rPr>
          <w:rFonts w:ascii="Times New Roman" w:hAnsi="Times New Roman" w:cs="Times New Roman"/>
          <w:sz w:val="28"/>
          <w:szCs w:val="28"/>
          <w:lang w:val="en-US"/>
        </w:rPr>
        <w:t>X</w:t>
      </w:r>
      <w:r w:rsidR="00E46B54" w:rsidRPr="00A43B9C">
        <w:rPr>
          <w:rFonts w:ascii="Times New Roman" w:hAnsi="Times New Roman" w:cs="Times New Roman"/>
          <w:sz w:val="28"/>
          <w:szCs w:val="28"/>
          <w:vertAlign w:val="subscript"/>
          <w:lang w:val="en-US"/>
        </w:rPr>
        <w:t>SUVmax</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RRL</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I</w:t>
      </w:r>
      <w:r w:rsidR="00E46B54" w:rsidRPr="00A43B9C">
        <w:rPr>
          <w:rFonts w:ascii="Times New Roman" w:hAnsi="Times New Roman" w:cs="Times New Roman"/>
          <w:sz w:val="28"/>
          <w:szCs w:val="28"/>
        </w:rPr>
        <w:t xml:space="preserve"> + 1,03), </w:t>
      </w:r>
      <w:r w:rsidR="00E46B54" w:rsidRPr="00A43B9C">
        <w:rPr>
          <w:rFonts w:ascii="Times New Roman" w:hAnsi="Times New Roman" w:cs="Times New Roman"/>
          <w:sz w:val="28"/>
          <w:szCs w:val="28"/>
          <w:lang w:val="en-US"/>
        </w:rPr>
        <w:t>RU</w:t>
      </w:r>
      <w:r w:rsidR="00E46B54" w:rsidRPr="00A43B9C">
        <w:rPr>
          <w:rFonts w:ascii="Times New Roman" w:hAnsi="Times New Roman" w:cs="Times New Roman"/>
          <w:sz w:val="28"/>
          <w:szCs w:val="28"/>
        </w:rPr>
        <w:t xml:space="preserve"> (</w:t>
      </w:r>
      <w:r w:rsidR="00E46B54" w:rsidRPr="00A43B9C">
        <w:rPr>
          <w:rFonts w:ascii="Times New Roman" w:hAnsi="Times New Roman" w:cs="Times New Roman"/>
          <w:sz w:val="28"/>
          <w:szCs w:val="28"/>
          <w:lang w:val="en-US"/>
        </w:rPr>
        <w:t>Y</w:t>
      </w:r>
      <w:r w:rsidR="00E46B54" w:rsidRPr="00A43B9C">
        <w:rPr>
          <w:rFonts w:ascii="Times New Roman" w:hAnsi="Times New Roman" w:cs="Times New Roman"/>
          <w:sz w:val="28"/>
          <w:szCs w:val="28"/>
          <w:vertAlign w:val="subscript"/>
          <w:lang w:val="en-US"/>
        </w:rPr>
        <w:t>SUVmax</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RU</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II</w:t>
      </w:r>
      <w:r w:rsidR="00E46B54" w:rsidRPr="00A43B9C">
        <w:rPr>
          <w:rFonts w:ascii="Times New Roman" w:hAnsi="Times New Roman" w:cs="Times New Roman"/>
          <w:sz w:val="28"/>
          <w:szCs w:val="28"/>
        </w:rPr>
        <w:t xml:space="preserve"> = 0,314 × </w:t>
      </w:r>
      <w:r w:rsidR="00E46B54" w:rsidRPr="00A43B9C">
        <w:rPr>
          <w:rFonts w:ascii="Times New Roman" w:hAnsi="Times New Roman" w:cs="Times New Roman"/>
          <w:sz w:val="28"/>
          <w:szCs w:val="28"/>
          <w:lang w:val="en-US"/>
        </w:rPr>
        <w:t>X</w:t>
      </w:r>
      <w:r w:rsidR="00E46B54" w:rsidRPr="00A43B9C">
        <w:rPr>
          <w:rFonts w:ascii="Times New Roman" w:hAnsi="Times New Roman" w:cs="Times New Roman"/>
          <w:sz w:val="28"/>
          <w:szCs w:val="28"/>
          <w:vertAlign w:val="subscript"/>
          <w:lang w:val="en-US"/>
        </w:rPr>
        <w:t>SUVmax</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RU</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I</w:t>
      </w:r>
      <w:r w:rsidR="00E46B54" w:rsidRPr="00A43B9C">
        <w:rPr>
          <w:rFonts w:ascii="Times New Roman" w:hAnsi="Times New Roman" w:cs="Times New Roman"/>
          <w:sz w:val="28"/>
          <w:szCs w:val="28"/>
        </w:rPr>
        <w:t xml:space="preserve"> + 0,82), </w:t>
      </w:r>
      <w:r w:rsidR="00E46B54" w:rsidRPr="00A43B9C">
        <w:rPr>
          <w:rFonts w:ascii="Times New Roman" w:hAnsi="Times New Roman" w:cs="Times New Roman"/>
          <w:sz w:val="28"/>
          <w:szCs w:val="28"/>
          <w:lang w:val="en-US"/>
        </w:rPr>
        <w:t>RLL</w:t>
      </w:r>
      <w:r w:rsidR="00E46B54" w:rsidRPr="00A43B9C">
        <w:rPr>
          <w:rFonts w:ascii="Times New Roman" w:hAnsi="Times New Roman" w:cs="Times New Roman"/>
          <w:sz w:val="28"/>
          <w:szCs w:val="28"/>
        </w:rPr>
        <w:t xml:space="preserve"> (</w:t>
      </w:r>
      <w:r w:rsidR="00E46B54" w:rsidRPr="00A43B9C">
        <w:rPr>
          <w:rFonts w:ascii="Times New Roman" w:hAnsi="Times New Roman" w:cs="Times New Roman"/>
          <w:sz w:val="28"/>
          <w:szCs w:val="28"/>
          <w:lang w:val="en-US"/>
        </w:rPr>
        <w:t>Y</w:t>
      </w:r>
      <w:r w:rsidR="00E46B54" w:rsidRPr="00A43B9C">
        <w:rPr>
          <w:rFonts w:ascii="Times New Roman" w:hAnsi="Times New Roman" w:cs="Times New Roman"/>
          <w:sz w:val="28"/>
          <w:szCs w:val="28"/>
          <w:vertAlign w:val="subscript"/>
          <w:lang w:val="en-US"/>
        </w:rPr>
        <w:t>SUVmax</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RLL</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II</w:t>
      </w:r>
      <w:r w:rsidR="00E46B54" w:rsidRPr="00A43B9C">
        <w:rPr>
          <w:rFonts w:ascii="Times New Roman" w:hAnsi="Times New Roman" w:cs="Times New Roman"/>
          <w:sz w:val="28"/>
          <w:szCs w:val="28"/>
        </w:rPr>
        <w:t xml:space="preserve"> = 0,197 × </w:t>
      </w:r>
      <w:r w:rsidR="00E46B54" w:rsidRPr="00A43B9C">
        <w:rPr>
          <w:rFonts w:ascii="Times New Roman" w:hAnsi="Times New Roman" w:cs="Times New Roman"/>
          <w:sz w:val="28"/>
          <w:szCs w:val="28"/>
          <w:lang w:val="en-US"/>
        </w:rPr>
        <w:t>X</w:t>
      </w:r>
      <w:r w:rsidR="00E46B54" w:rsidRPr="00A43B9C">
        <w:rPr>
          <w:rFonts w:ascii="Times New Roman" w:hAnsi="Times New Roman" w:cs="Times New Roman"/>
          <w:sz w:val="28"/>
          <w:szCs w:val="28"/>
          <w:vertAlign w:val="subscript"/>
          <w:lang w:val="en-US"/>
        </w:rPr>
        <w:t>SUVmax</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RLL</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I</w:t>
      </w:r>
      <w:r w:rsidR="00E46B54" w:rsidRPr="00A43B9C">
        <w:rPr>
          <w:rFonts w:ascii="Times New Roman" w:hAnsi="Times New Roman" w:cs="Times New Roman"/>
          <w:sz w:val="28"/>
          <w:szCs w:val="28"/>
        </w:rPr>
        <w:t xml:space="preserve"> + 1,088), </w:t>
      </w:r>
      <w:r w:rsidR="00E46B54" w:rsidRPr="00A43B9C">
        <w:rPr>
          <w:rFonts w:ascii="Times New Roman" w:hAnsi="Times New Roman" w:cs="Times New Roman"/>
          <w:sz w:val="28"/>
          <w:szCs w:val="28"/>
          <w:lang w:val="en-US"/>
        </w:rPr>
        <w:t>RRI</w:t>
      </w:r>
      <w:r w:rsidR="00E46B54" w:rsidRPr="00A43B9C">
        <w:rPr>
          <w:rFonts w:ascii="Times New Roman" w:hAnsi="Times New Roman" w:cs="Times New Roman"/>
          <w:sz w:val="28"/>
          <w:szCs w:val="28"/>
        </w:rPr>
        <w:t xml:space="preserve"> (</w:t>
      </w:r>
      <w:r w:rsidR="00E46B54" w:rsidRPr="00A43B9C">
        <w:rPr>
          <w:rFonts w:ascii="Times New Roman" w:hAnsi="Times New Roman" w:cs="Times New Roman"/>
          <w:sz w:val="28"/>
          <w:szCs w:val="28"/>
          <w:lang w:val="en-US"/>
        </w:rPr>
        <w:t>Y</w:t>
      </w:r>
      <w:r w:rsidR="00E46B54" w:rsidRPr="00A43B9C">
        <w:rPr>
          <w:rFonts w:ascii="Times New Roman" w:hAnsi="Times New Roman" w:cs="Times New Roman"/>
          <w:sz w:val="28"/>
          <w:szCs w:val="28"/>
          <w:vertAlign w:val="subscript"/>
          <w:lang w:val="en-US"/>
        </w:rPr>
        <w:t>SUVmax</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RRI</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II</w:t>
      </w:r>
      <w:r w:rsidR="00E46B54" w:rsidRPr="00A43B9C">
        <w:rPr>
          <w:rFonts w:ascii="Times New Roman" w:hAnsi="Times New Roman" w:cs="Times New Roman"/>
          <w:sz w:val="28"/>
          <w:szCs w:val="28"/>
        </w:rPr>
        <w:t xml:space="preserve"> = 0,31 × </w:t>
      </w:r>
      <w:r w:rsidR="00E46B54" w:rsidRPr="00A43B9C">
        <w:rPr>
          <w:rFonts w:ascii="Times New Roman" w:hAnsi="Times New Roman" w:cs="Times New Roman"/>
          <w:sz w:val="28"/>
          <w:szCs w:val="28"/>
          <w:lang w:val="en-US"/>
        </w:rPr>
        <w:t>X</w:t>
      </w:r>
      <w:r w:rsidR="00E46B54" w:rsidRPr="00A43B9C">
        <w:rPr>
          <w:rFonts w:ascii="Times New Roman" w:hAnsi="Times New Roman" w:cs="Times New Roman"/>
          <w:sz w:val="28"/>
          <w:szCs w:val="28"/>
          <w:vertAlign w:val="subscript"/>
          <w:lang w:val="en-US"/>
        </w:rPr>
        <w:t>SUVmax</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RRI</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I</w:t>
      </w:r>
      <w:r w:rsidR="00E46B54" w:rsidRPr="00A43B9C">
        <w:rPr>
          <w:rFonts w:ascii="Times New Roman" w:hAnsi="Times New Roman" w:cs="Times New Roman"/>
          <w:sz w:val="28"/>
          <w:szCs w:val="28"/>
        </w:rPr>
        <w:t xml:space="preserve"> + 0,611), </w:t>
      </w:r>
      <w:r w:rsidR="00E46B54" w:rsidRPr="00A43B9C">
        <w:rPr>
          <w:rFonts w:ascii="Times New Roman" w:hAnsi="Times New Roman" w:cs="Times New Roman"/>
          <w:sz w:val="28"/>
          <w:szCs w:val="28"/>
          <w:lang w:val="en-US"/>
        </w:rPr>
        <w:t>RP</w:t>
      </w:r>
      <w:r w:rsidR="00E46B54" w:rsidRPr="00A43B9C">
        <w:rPr>
          <w:rFonts w:ascii="Times New Roman" w:hAnsi="Times New Roman" w:cs="Times New Roman"/>
          <w:sz w:val="28"/>
          <w:szCs w:val="28"/>
        </w:rPr>
        <w:t xml:space="preserve"> (</w:t>
      </w:r>
      <w:r w:rsidR="00E46B54" w:rsidRPr="00A43B9C">
        <w:rPr>
          <w:rFonts w:ascii="Times New Roman" w:hAnsi="Times New Roman" w:cs="Times New Roman"/>
          <w:sz w:val="28"/>
          <w:szCs w:val="28"/>
          <w:lang w:val="en-US"/>
        </w:rPr>
        <w:t>Y</w:t>
      </w:r>
      <w:r w:rsidR="00E46B54" w:rsidRPr="00A43B9C">
        <w:rPr>
          <w:rFonts w:ascii="Times New Roman" w:hAnsi="Times New Roman" w:cs="Times New Roman"/>
          <w:sz w:val="28"/>
          <w:szCs w:val="28"/>
          <w:vertAlign w:val="subscript"/>
          <w:lang w:val="en-US"/>
        </w:rPr>
        <w:t>SUVmax</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RP</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II</w:t>
      </w:r>
      <w:r w:rsidR="00E46B54" w:rsidRPr="00A43B9C">
        <w:rPr>
          <w:rFonts w:ascii="Times New Roman" w:hAnsi="Times New Roman" w:cs="Times New Roman"/>
          <w:sz w:val="28"/>
          <w:szCs w:val="28"/>
        </w:rPr>
        <w:t xml:space="preserve"> = 0,092 × </w:t>
      </w:r>
      <w:r w:rsidR="00E46B54" w:rsidRPr="00A43B9C">
        <w:rPr>
          <w:rFonts w:ascii="Times New Roman" w:hAnsi="Times New Roman" w:cs="Times New Roman"/>
          <w:sz w:val="28"/>
          <w:szCs w:val="28"/>
          <w:lang w:val="en-US"/>
        </w:rPr>
        <w:t>X</w:t>
      </w:r>
      <w:r w:rsidR="00E46B54" w:rsidRPr="00A43B9C">
        <w:rPr>
          <w:rFonts w:ascii="Times New Roman" w:hAnsi="Times New Roman" w:cs="Times New Roman"/>
          <w:sz w:val="28"/>
          <w:szCs w:val="28"/>
          <w:vertAlign w:val="subscript"/>
          <w:lang w:val="en-US"/>
        </w:rPr>
        <w:t>SUVmax</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RP</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I</w:t>
      </w:r>
      <w:r w:rsidR="00E46B54" w:rsidRPr="00A43B9C">
        <w:rPr>
          <w:rFonts w:ascii="Times New Roman" w:hAnsi="Times New Roman" w:cs="Times New Roman"/>
          <w:sz w:val="28"/>
          <w:szCs w:val="28"/>
        </w:rPr>
        <w:t xml:space="preserve"> + 1,107), </w:t>
      </w:r>
      <w:r w:rsidR="00E46B54" w:rsidRPr="00A43B9C">
        <w:rPr>
          <w:rFonts w:ascii="Times New Roman" w:hAnsi="Times New Roman" w:cs="Times New Roman"/>
          <w:sz w:val="28"/>
          <w:szCs w:val="28"/>
          <w:lang w:val="en-US"/>
        </w:rPr>
        <w:t>RLI</w:t>
      </w:r>
      <w:r w:rsidR="00E46B54" w:rsidRPr="00A43B9C">
        <w:rPr>
          <w:rFonts w:ascii="Times New Roman" w:hAnsi="Times New Roman" w:cs="Times New Roman"/>
          <w:sz w:val="28"/>
          <w:szCs w:val="28"/>
        </w:rPr>
        <w:t xml:space="preserve"> (</w:t>
      </w:r>
      <w:r w:rsidR="00E46B54" w:rsidRPr="00A43B9C">
        <w:rPr>
          <w:rFonts w:ascii="Times New Roman" w:hAnsi="Times New Roman" w:cs="Times New Roman"/>
          <w:sz w:val="28"/>
          <w:szCs w:val="28"/>
          <w:lang w:val="en-US"/>
        </w:rPr>
        <w:t>Y</w:t>
      </w:r>
      <w:r w:rsidR="00E46B54" w:rsidRPr="00A43B9C">
        <w:rPr>
          <w:rFonts w:ascii="Times New Roman" w:hAnsi="Times New Roman" w:cs="Times New Roman"/>
          <w:sz w:val="28"/>
          <w:szCs w:val="28"/>
          <w:vertAlign w:val="subscript"/>
          <w:lang w:val="en-US"/>
        </w:rPr>
        <w:t>SUVmax</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RLI</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II</w:t>
      </w:r>
      <w:r w:rsidR="00E46B54" w:rsidRPr="00A43B9C">
        <w:rPr>
          <w:rFonts w:ascii="Times New Roman" w:hAnsi="Times New Roman" w:cs="Times New Roman"/>
          <w:sz w:val="28"/>
          <w:szCs w:val="28"/>
        </w:rPr>
        <w:t xml:space="preserve"> = 0,282 × </w:t>
      </w:r>
      <w:r w:rsidR="00E46B54" w:rsidRPr="00A43B9C">
        <w:rPr>
          <w:rFonts w:ascii="Times New Roman" w:hAnsi="Times New Roman" w:cs="Times New Roman"/>
          <w:sz w:val="28"/>
          <w:szCs w:val="28"/>
          <w:lang w:val="en-US"/>
        </w:rPr>
        <w:t>X</w:t>
      </w:r>
      <w:r w:rsidR="00E46B54" w:rsidRPr="00A43B9C">
        <w:rPr>
          <w:rFonts w:ascii="Times New Roman" w:hAnsi="Times New Roman" w:cs="Times New Roman"/>
          <w:sz w:val="28"/>
          <w:szCs w:val="28"/>
          <w:vertAlign w:val="subscript"/>
          <w:lang w:val="en-US"/>
        </w:rPr>
        <w:t>SUVmax</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RLI</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I</w:t>
      </w:r>
      <w:r w:rsidR="00E46B54" w:rsidRPr="00A43B9C">
        <w:rPr>
          <w:rFonts w:ascii="Times New Roman" w:hAnsi="Times New Roman" w:cs="Times New Roman"/>
          <w:sz w:val="28"/>
          <w:szCs w:val="28"/>
        </w:rPr>
        <w:t xml:space="preserve"> + 0,642), </w:t>
      </w:r>
      <w:r w:rsidR="00E46B54" w:rsidRPr="00A43B9C">
        <w:rPr>
          <w:rFonts w:ascii="Times New Roman" w:hAnsi="Times New Roman" w:cs="Times New Roman"/>
          <w:sz w:val="28"/>
          <w:szCs w:val="28"/>
          <w:lang w:val="en-US"/>
        </w:rPr>
        <w:t>P</w:t>
      </w:r>
      <w:r w:rsidR="00E46B54" w:rsidRPr="00A43B9C">
        <w:rPr>
          <w:rFonts w:ascii="Times New Roman" w:hAnsi="Times New Roman" w:cs="Times New Roman"/>
          <w:sz w:val="28"/>
          <w:szCs w:val="28"/>
        </w:rPr>
        <w:t xml:space="preserve"> (</w:t>
      </w:r>
      <w:r w:rsidR="00E46B54" w:rsidRPr="00A43B9C">
        <w:rPr>
          <w:rFonts w:ascii="Times New Roman" w:hAnsi="Times New Roman" w:cs="Times New Roman"/>
          <w:sz w:val="28"/>
          <w:szCs w:val="28"/>
          <w:lang w:val="en-US"/>
        </w:rPr>
        <w:t>Y</w:t>
      </w:r>
      <w:r w:rsidR="00E46B54" w:rsidRPr="00A43B9C">
        <w:rPr>
          <w:rFonts w:ascii="Times New Roman" w:hAnsi="Times New Roman" w:cs="Times New Roman"/>
          <w:sz w:val="28"/>
          <w:szCs w:val="28"/>
          <w:vertAlign w:val="subscript"/>
          <w:lang w:val="en-US"/>
        </w:rPr>
        <w:t>SUVmax</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P</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II</w:t>
      </w:r>
      <w:r w:rsidR="00E46B54" w:rsidRPr="00A43B9C">
        <w:rPr>
          <w:rFonts w:ascii="Times New Roman" w:hAnsi="Times New Roman" w:cs="Times New Roman"/>
          <w:sz w:val="28"/>
          <w:szCs w:val="28"/>
        </w:rPr>
        <w:t xml:space="preserve"> = 0,195 × </w:t>
      </w:r>
      <w:r w:rsidR="00E46B54" w:rsidRPr="00A43B9C">
        <w:rPr>
          <w:rFonts w:ascii="Times New Roman" w:hAnsi="Times New Roman" w:cs="Times New Roman"/>
          <w:sz w:val="28"/>
          <w:szCs w:val="28"/>
          <w:lang w:val="en-US"/>
        </w:rPr>
        <w:t>X</w:t>
      </w:r>
      <w:r w:rsidR="00E46B54" w:rsidRPr="00A43B9C">
        <w:rPr>
          <w:rFonts w:ascii="Times New Roman" w:hAnsi="Times New Roman" w:cs="Times New Roman"/>
          <w:sz w:val="28"/>
          <w:szCs w:val="28"/>
          <w:vertAlign w:val="subscript"/>
          <w:lang w:val="en-US"/>
        </w:rPr>
        <w:t>SUVmax</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P</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I</w:t>
      </w:r>
      <w:r w:rsidR="00E46B54" w:rsidRPr="00A43B9C">
        <w:rPr>
          <w:rFonts w:ascii="Times New Roman" w:hAnsi="Times New Roman" w:cs="Times New Roman"/>
          <w:sz w:val="28"/>
          <w:szCs w:val="28"/>
        </w:rPr>
        <w:t xml:space="preserve"> + 0,983).</w:t>
      </w:r>
      <w:r w:rsidRPr="00A43B9C">
        <w:rPr>
          <w:rFonts w:ascii="Times New Roman" w:hAnsi="Times New Roman" w:cs="Times New Roman"/>
          <w:sz w:val="28"/>
          <w:szCs w:val="28"/>
        </w:rPr>
        <w:t xml:space="preserve"> </w:t>
      </w:r>
      <w:r w:rsidR="00E46B54" w:rsidRPr="00A43B9C">
        <w:rPr>
          <w:rFonts w:ascii="Times New Roman" w:hAnsi="Times New Roman" w:cs="Times New Roman"/>
          <w:sz w:val="28"/>
          <w:szCs w:val="28"/>
        </w:rPr>
        <w:t xml:space="preserve">При увеличении </w:t>
      </w:r>
      <w:r w:rsidR="008F0399" w:rsidRPr="00A43B9C">
        <w:rPr>
          <w:rFonts w:ascii="Times New Roman" w:hAnsi="Times New Roman" w:cs="Times New Roman"/>
          <w:sz w:val="28"/>
          <w:szCs w:val="28"/>
        </w:rPr>
        <w:t xml:space="preserve">уровня </w:t>
      </w:r>
      <w:r w:rsidR="009307C9" w:rsidRPr="00A43B9C">
        <w:rPr>
          <w:rFonts w:ascii="Times New Roman" w:hAnsi="Times New Roman" w:cs="Times New Roman"/>
          <w:sz w:val="28"/>
          <w:szCs w:val="28"/>
        </w:rPr>
        <w:t>накопления</w:t>
      </w:r>
      <w:r w:rsidR="008F0399" w:rsidRPr="00A43B9C">
        <w:rPr>
          <w:rFonts w:ascii="Times New Roman" w:hAnsi="Times New Roman" w:cs="Times New Roman"/>
          <w:sz w:val="28"/>
          <w:szCs w:val="28"/>
        </w:rPr>
        <w:t xml:space="preserve"> </w:t>
      </w:r>
      <w:r w:rsidR="008F0399" w:rsidRPr="00A43B9C">
        <w:rPr>
          <w:rFonts w:ascii="Times New Roman" w:hAnsi="Times New Roman" w:cs="Times New Roman"/>
          <w:sz w:val="28"/>
          <w:szCs w:val="28"/>
          <w:lang w:val="en-US"/>
        </w:rPr>
        <w:t>SUV</w:t>
      </w:r>
      <w:r w:rsidR="008F0399" w:rsidRPr="00A43B9C">
        <w:rPr>
          <w:rFonts w:ascii="Times New Roman" w:hAnsi="Times New Roman" w:cs="Times New Roman"/>
          <w:sz w:val="28"/>
          <w:szCs w:val="28"/>
          <w:vertAlign w:val="subscript"/>
          <w:lang w:val="en-US"/>
        </w:rPr>
        <w:t>max</w:t>
      </w:r>
      <w:r w:rsidR="008F0399" w:rsidRPr="00A43B9C">
        <w:rPr>
          <w:rFonts w:ascii="Times New Roman" w:hAnsi="Times New Roman" w:cs="Times New Roman"/>
          <w:sz w:val="28"/>
          <w:szCs w:val="28"/>
        </w:rPr>
        <w:t xml:space="preserve"> базового исследования в</w:t>
      </w:r>
      <w:r w:rsidR="00EF7C89" w:rsidRPr="00EF7C89">
        <w:rPr>
          <w:rFonts w:ascii="Times New Roman" w:hAnsi="Times New Roman" w:cs="Times New Roman"/>
          <w:sz w:val="28"/>
          <w:szCs w:val="28"/>
        </w:rPr>
        <w:t xml:space="preserve"> </w:t>
      </w:r>
      <w:r w:rsidR="00EF7C89">
        <w:rPr>
          <w:rFonts w:ascii="Times New Roman" w:hAnsi="Times New Roman" w:cs="Times New Roman"/>
          <w:sz w:val="28"/>
          <w:szCs w:val="28"/>
        </w:rPr>
        <w:t xml:space="preserve">локализации </w:t>
      </w:r>
      <w:r w:rsidR="00E46B54" w:rsidRPr="00A43B9C">
        <w:rPr>
          <w:rFonts w:ascii="Times New Roman" w:hAnsi="Times New Roman" w:cs="Times New Roman"/>
          <w:sz w:val="28"/>
          <w:szCs w:val="28"/>
        </w:rPr>
        <w:t xml:space="preserve">RE на </w:t>
      </w:r>
      <w:r w:rsidR="00F311D9" w:rsidRPr="00A43B9C">
        <w:rPr>
          <w:rFonts w:ascii="Times New Roman" w:hAnsi="Times New Roman" w:cs="Times New Roman"/>
          <w:sz w:val="28"/>
          <w:szCs w:val="28"/>
        </w:rPr>
        <w:t>единицу</w:t>
      </w:r>
      <w:r w:rsidR="00E46B54" w:rsidRPr="00A43B9C">
        <w:rPr>
          <w:rFonts w:ascii="Times New Roman" w:hAnsi="Times New Roman" w:cs="Times New Roman"/>
          <w:sz w:val="28"/>
          <w:szCs w:val="28"/>
        </w:rPr>
        <w:t xml:space="preserve"> следует ожидать увеличени</w:t>
      </w:r>
      <w:r w:rsidR="00B32406" w:rsidRPr="00A43B9C">
        <w:rPr>
          <w:rFonts w:ascii="Times New Roman" w:hAnsi="Times New Roman" w:cs="Times New Roman"/>
          <w:sz w:val="28"/>
          <w:szCs w:val="28"/>
        </w:rPr>
        <w:t>я</w:t>
      </w:r>
      <w:r w:rsidR="00E46B54" w:rsidRPr="00A43B9C">
        <w:rPr>
          <w:rFonts w:ascii="Times New Roman" w:hAnsi="Times New Roman" w:cs="Times New Roman"/>
          <w:sz w:val="28"/>
          <w:szCs w:val="28"/>
        </w:rPr>
        <w:t xml:space="preserve"> </w:t>
      </w:r>
      <w:r w:rsidR="008F0399" w:rsidRPr="00A43B9C">
        <w:rPr>
          <w:rFonts w:ascii="Times New Roman" w:hAnsi="Times New Roman" w:cs="Times New Roman"/>
          <w:sz w:val="28"/>
          <w:szCs w:val="28"/>
        </w:rPr>
        <w:t xml:space="preserve">уровня </w:t>
      </w:r>
      <w:r w:rsidR="009307C9" w:rsidRPr="00A43B9C">
        <w:rPr>
          <w:rFonts w:ascii="Times New Roman" w:hAnsi="Times New Roman" w:cs="Times New Roman"/>
          <w:sz w:val="28"/>
          <w:szCs w:val="28"/>
        </w:rPr>
        <w:t>накопления</w:t>
      </w:r>
      <w:r w:rsidR="008F0399" w:rsidRPr="00A43B9C">
        <w:rPr>
          <w:rFonts w:ascii="Times New Roman" w:hAnsi="Times New Roman" w:cs="Times New Roman"/>
          <w:sz w:val="28"/>
          <w:szCs w:val="28"/>
        </w:rPr>
        <w:t xml:space="preserve"> </w:t>
      </w:r>
      <w:r w:rsidR="008F0399" w:rsidRPr="00A43B9C">
        <w:rPr>
          <w:rFonts w:ascii="Times New Roman" w:hAnsi="Times New Roman" w:cs="Times New Roman"/>
          <w:sz w:val="28"/>
          <w:szCs w:val="28"/>
          <w:lang w:val="en-US"/>
        </w:rPr>
        <w:t>SUV</w:t>
      </w:r>
      <w:r w:rsidR="008F0399" w:rsidRPr="00A43B9C">
        <w:rPr>
          <w:rFonts w:ascii="Times New Roman" w:hAnsi="Times New Roman" w:cs="Times New Roman"/>
          <w:sz w:val="28"/>
          <w:szCs w:val="28"/>
          <w:vertAlign w:val="subscript"/>
          <w:lang w:val="en-US"/>
        </w:rPr>
        <w:t>max</w:t>
      </w:r>
      <w:r w:rsidR="008F0399" w:rsidRPr="00A43B9C">
        <w:rPr>
          <w:rFonts w:ascii="Times New Roman" w:hAnsi="Times New Roman" w:cs="Times New Roman"/>
          <w:sz w:val="28"/>
          <w:szCs w:val="28"/>
        </w:rPr>
        <w:t xml:space="preserve"> в последующем исследовании </w:t>
      </w:r>
      <w:r w:rsidR="00E46B54" w:rsidRPr="00A43B9C">
        <w:rPr>
          <w:rFonts w:ascii="Times New Roman" w:hAnsi="Times New Roman" w:cs="Times New Roman"/>
          <w:sz w:val="28"/>
          <w:szCs w:val="28"/>
        </w:rPr>
        <w:t>на 0,189</w:t>
      </w:r>
      <w:r w:rsidRPr="00A43B9C">
        <w:rPr>
          <w:rFonts w:ascii="Times New Roman" w:hAnsi="Times New Roman" w:cs="Times New Roman"/>
          <w:sz w:val="28"/>
          <w:szCs w:val="28"/>
        </w:rPr>
        <w:t>,</w:t>
      </w:r>
      <w:r w:rsidR="008F0399" w:rsidRPr="00A43B9C">
        <w:rPr>
          <w:rFonts w:ascii="Times New Roman" w:hAnsi="Times New Roman" w:cs="Times New Roman"/>
          <w:sz w:val="28"/>
          <w:szCs w:val="28"/>
        </w:rPr>
        <w:t xml:space="preserve"> и</w:t>
      </w:r>
      <w:r w:rsidRPr="00A43B9C">
        <w:rPr>
          <w:rFonts w:ascii="Times New Roman" w:hAnsi="Times New Roman" w:cs="Times New Roman"/>
          <w:sz w:val="28"/>
          <w:szCs w:val="28"/>
        </w:rPr>
        <w:t xml:space="preserve"> такая</w:t>
      </w:r>
      <w:r w:rsidR="008F0399" w:rsidRPr="00A43B9C">
        <w:rPr>
          <w:rFonts w:ascii="Times New Roman" w:hAnsi="Times New Roman" w:cs="Times New Roman"/>
          <w:sz w:val="28"/>
          <w:szCs w:val="28"/>
        </w:rPr>
        <w:t xml:space="preserve"> </w:t>
      </w:r>
      <w:r w:rsidR="00E46B54" w:rsidRPr="00A43B9C">
        <w:rPr>
          <w:rFonts w:ascii="Times New Roman" w:hAnsi="Times New Roman" w:cs="Times New Roman"/>
          <w:sz w:val="28"/>
          <w:szCs w:val="28"/>
        </w:rPr>
        <w:t>модель объясняет 3,0% наблюдаемой дисперсии.</w:t>
      </w:r>
      <w:r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rPr>
        <w:t xml:space="preserve">При увеличении </w:t>
      </w:r>
      <w:r w:rsidRPr="00A43B9C">
        <w:rPr>
          <w:rFonts w:ascii="Times New Roman" w:hAnsi="Times New Roman" w:cs="Times New Roman"/>
          <w:sz w:val="28"/>
          <w:szCs w:val="28"/>
        </w:rPr>
        <w:t xml:space="preserve">же </w:t>
      </w:r>
      <w:r w:rsidR="00764616" w:rsidRPr="00A43B9C">
        <w:rPr>
          <w:rFonts w:ascii="Times New Roman" w:hAnsi="Times New Roman" w:cs="Times New Roman"/>
          <w:sz w:val="28"/>
          <w:szCs w:val="28"/>
        </w:rPr>
        <w:t xml:space="preserve">уровня </w:t>
      </w:r>
      <w:r w:rsidR="009307C9" w:rsidRPr="00A43B9C">
        <w:rPr>
          <w:rFonts w:ascii="Times New Roman" w:hAnsi="Times New Roman" w:cs="Times New Roman"/>
          <w:sz w:val="28"/>
          <w:szCs w:val="28"/>
        </w:rPr>
        <w:t>накопления</w:t>
      </w:r>
      <w:r w:rsidR="00764616"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lang w:val="en-US"/>
        </w:rPr>
        <w:t>SUV</w:t>
      </w:r>
      <w:r w:rsidR="00764616" w:rsidRPr="00A43B9C">
        <w:rPr>
          <w:rFonts w:ascii="Times New Roman" w:hAnsi="Times New Roman" w:cs="Times New Roman"/>
          <w:sz w:val="28"/>
          <w:szCs w:val="28"/>
          <w:vertAlign w:val="subscript"/>
          <w:lang w:val="en-US"/>
        </w:rPr>
        <w:t>max</w:t>
      </w:r>
      <w:r w:rsidR="00764616" w:rsidRPr="00A43B9C">
        <w:rPr>
          <w:rFonts w:ascii="Times New Roman" w:hAnsi="Times New Roman" w:cs="Times New Roman"/>
          <w:sz w:val="28"/>
          <w:szCs w:val="28"/>
        </w:rPr>
        <w:t xml:space="preserve"> базового исследования в </w:t>
      </w:r>
      <w:r w:rsidR="00C91528">
        <w:rPr>
          <w:rFonts w:ascii="Times New Roman" w:hAnsi="Times New Roman" w:cs="Times New Roman"/>
          <w:sz w:val="28"/>
          <w:szCs w:val="28"/>
        </w:rPr>
        <w:t>локализации</w:t>
      </w:r>
      <w:r w:rsidR="00C91528"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rPr>
        <w:t xml:space="preserve">RLH на </w:t>
      </w:r>
      <w:r w:rsidR="00F311D9" w:rsidRPr="00A43B9C">
        <w:rPr>
          <w:rFonts w:ascii="Times New Roman" w:hAnsi="Times New Roman" w:cs="Times New Roman"/>
          <w:sz w:val="28"/>
          <w:szCs w:val="28"/>
        </w:rPr>
        <w:t>единицу</w:t>
      </w:r>
      <w:r w:rsidR="00764616" w:rsidRPr="00A43B9C">
        <w:rPr>
          <w:rFonts w:ascii="Times New Roman" w:hAnsi="Times New Roman" w:cs="Times New Roman"/>
          <w:sz w:val="28"/>
          <w:szCs w:val="28"/>
        </w:rPr>
        <w:t xml:space="preserve"> следует ожидать увеличени</w:t>
      </w:r>
      <w:r w:rsidR="00B32406" w:rsidRPr="00A43B9C">
        <w:rPr>
          <w:rFonts w:ascii="Times New Roman" w:hAnsi="Times New Roman" w:cs="Times New Roman"/>
          <w:sz w:val="28"/>
          <w:szCs w:val="28"/>
        </w:rPr>
        <w:t>я</w:t>
      </w:r>
      <w:r w:rsidR="00764616" w:rsidRPr="00A43B9C">
        <w:rPr>
          <w:rFonts w:ascii="Times New Roman" w:hAnsi="Times New Roman" w:cs="Times New Roman"/>
          <w:sz w:val="28"/>
          <w:szCs w:val="28"/>
        </w:rPr>
        <w:t xml:space="preserve"> уровня </w:t>
      </w:r>
      <w:r w:rsidR="009307C9" w:rsidRPr="00A43B9C">
        <w:rPr>
          <w:rFonts w:ascii="Times New Roman" w:hAnsi="Times New Roman" w:cs="Times New Roman"/>
          <w:sz w:val="28"/>
          <w:szCs w:val="28"/>
        </w:rPr>
        <w:t>накопления</w:t>
      </w:r>
      <w:r w:rsidR="00764616"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lang w:val="en-US"/>
        </w:rPr>
        <w:t>SUV</w:t>
      </w:r>
      <w:r w:rsidR="00764616" w:rsidRPr="00A43B9C">
        <w:rPr>
          <w:rFonts w:ascii="Times New Roman" w:hAnsi="Times New Roman" w:cs="Times New Roman"/>
          <w:sz w:val="28"/>
          <w:szCs w:val="28"/>
          <w:vertAlign w:val="subscript"/>
          <w:lang w:val="en-US"/>
        </w:rPr>
        <w:t>max</w:t>
      </w:r>
      <w:r w:rsidR="00764616" w:rsidRPr="00A43B9C">
        <w:rPr>
          <w:rFonts w:ascii="Times New Roman" w:hAnsi="Times New Roman" w:cs="Times New Roman"/>
          <w:sz w:val="28"/>
          <w:szCs w:val="28"/>
        </w:rPr>
        <w:t xml:space="preserve"> в последующем исследовании на 0,287</w:t>
      </w:r>
      <w:r w:rsidRPr="00A43B9C">
        <w:rPr>
          <w:rFonts w:ascii="Times New Roman" w:hAnsi="Times New Roman" w:cs="Times New Roman"/>
          <w:sz w:val="28"/>
          <w:szCs w:val="28"/>
        </w:rPr>
        <w:t>,</w:t>
      </w:r>
      <w:r w:rsidR="00764616" w:rsidRPr="00A43B9C">
        <w:rPr>
          <w:rFonts w:ascii="Times New Roman" w:hAnsi="Times New Roman" w:cs="Times New Roman"/>
          <w:sz w:val="28"/>
          <w:szCs w:val="28"/>
        </w:rPr>
        <w:t xml:space="preserve"> и</w:t>
      </w:r>
      <w:r w:rsidRPr="00A43B9C">
        <w:rPr>
          <w:rFonts w:ascii="Times New Roman" w:hAnsi="Times New Roman" w:cs="Times New Roman"/>
          <w:sz w:val="28"/>
          <w:szCs w:val="28"/>
        </w:rPr>
        <w:t xml:space="preserve"> такая</w:t>
      </w:r>
      <w:r w:rsidR="00764616" w:rsidRPr="00A43B9C">
        <w:rPr>
          <w:rFonts w:ascii="Times New Roman" w:hAnsi="Times New Roman" w:cs="Times New Roman"/>
          <w:sz w:val="28"/>
          <w:szCs w:val="28"/>
        </w:rPr>
        <w:t xml:space="preserve"> модель объясняет </w:t>
      </w:r>
      <w:r w:rsidRPr="00A43B9C">
        <w:rPr>
          <w:rFonts w:ascii="Times New Roman" w:hAnsi="Times New Roman" w:cs="Times New Roman"/>
          <w:sz w:val="28"/>
          <w:szCs w:val="28"/>
        </w:rPr>
        <w:t xml:space="preserve">уже </w:t>
      </w:r>
      <w:r w:rsidR="00764616" w:rsidRPr="00A43B9C">
        <w:rPr>
          <w:rFonts w:ascii="Times New Roman" w:hAnsi="Times New Roman" w:cs="Times New Roman"/>
          <w:sz w:val="28"/>
          <w:szCs w:val="28"/>
        </w:rPr>
        <w:t>9,3% наблюдаемой дисперсии.</w:t>
      </w:r>
      <w:r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rPr>
        <w:t xml:space="preserve">При увеличении уровня </w:t>
      </w:r>
      <w:r w:rsidR="009307C9" w:rsidRPr="00A43B9C">
        <w:rPr>
          <w:rFonts w:ascii="Times New Roman" w:hAnsi="Times New Roman" w:cs="Times New Roman"/>
          <w:sz w:val="28"/>
          <w:szCs w:val="28"/>
        </w:rPr>
        <w:t>накопления</w:t>
      </w:r>
      <w:r w:rsidR="00764616"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lang w:val="en-US"/>
        </w:rPr>
        <w:t>SUV</w:t>
      </w:r>
      <w:r w:rsidR="00764616" w:rsidRPr="00A43B9C">
        <w:rPr>
          <w:rFonts w:ascii="Times New Roman" w:hAnsi="Times New Roman" w:cs="Times New Roman"/>
          <w:sz w:val="28"/>
          <w:szCs w:val="28"/>
          <w:vertAlign w:val="subscript"/>
          <w:lang w:val="en-US"/>
        </w:rPr>
        <w:t>max</w:t>
      </w:r>
      <w:r w:rsidR="00764616" w:rsidRPr="00A43B9C">
        <w:rPr>
          <w:rFonts w:ascii="Times New Roman" w:hAnsi="Times New Roman" w:cs="Times New Roman"/>
          <w:sz w:val="28"/>
          <w:szCs w:val="28"/>
        </w:rPr>
        <w:t xml:space="preserve"> базового исследования в </w:t>
      </w:r>
      <w:r w:rsidR="00C91528">
        <w:rPr>
          <w:rFonts w:ascii="Times New Roman" w:hAnsi="Times New Roman" w:cs="Times New Roman"/>
          <w:sz w:val="28"/>
          <w:szCs w:val="28"/>
        </w:rPr>
        <w:t>локализации</w:t>
      </w:r>
      <w:r w:rsidR="00C91528"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rPr>
        <w:t xml:space="preserve">RRL на </w:t>
      </w:r>
      <w:r w:rsidR="00F311D9" w:rsidRPr="00A43B9C">
        <w:rPr>
          <w:rFonts w:ascii="Times New Roman" w:hAnsi="Times New Roman" w:cs="Times New Roman"/>
          <w:sz w:val="28"/>
          <w:szCs w:val="28"/>
        </w:rPr>
        <w:t>единицу</w:t>
      </w:r>
      <w:r w:rsidR="00764616" w:rsidRPr="00A43B9C">
        <w:rPr>
          <w:rFonts w:ascii="Times New Roman" w:hAnsi="Times New Roman" w:cs="Times New Roman"/>
          <w:sz w:val="28"/>
          <w:szCs w:val="28"/>
        </w:rPr>
        <w:t xml:space="preserve"> следует ожидать увеличени</w:t>
      </w:r>
      <w:r w:rsidR="00B32406" w:rsidRPr="00A43B9C">
        <w:rPr>
          <w:rFonts w:ascii="Times New Roman" w:hAnsi="Times New Roman" w:cs="Times New Roman"/>
          <w:sz w:val="28"/>
          <w:szCs w:val="28"/>
        </w:rPr>
        <w:t>я</w:t>
      </w:r>
      <w:r w:rsidR="00764616" w:rsidRPr="00A43B9C">
        <w:rPr>
          <w:rFonts w:ascii="Times New Roman" w:hAnsi="Times New Roman" w:cs="Times New Roman"/>
          <w:sz w:val="28"/>
          <w:szCs w:val="28"/>
        </w:rPr>
        <w:t xml:space="preserve"> уровня </w:t>
      </w:r>
      <w:r w:rsidR="009307C9" w:rsidRPr="00A43B9C">
        <w:rPr>
          <w:rFonts w:ascii="Times New Roman" w:hAnsi="Times New Roman" w:cs="Times New Roman"/>
          <w:sz w:val="28"/>
          <w:szCs w:val="28"/>
        </w:rPr>
        <w:t>накопления</w:t>
      </w:r>
      <w:r w:rsidR="00764616"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lang w:val="en-US"/>
        </w:rPr>
        <w:t>SUV</w:t>
      </w:r>
      <w:r w:rsidR="00764616" w:rsidRPr="00A43B9C">
        <w:rPr>
          <w:rFonts w:ascii="Times New Roman" w:hAnsi="Times New Roman" w:cs="Times New Roman"/>
          <w:sz w:val="28"/>
          <w:szCs w:val="28"/>
          <w:vertAlign w:val="subscript"/>
          <w:lang w:val="en-US"/>
        </w:rPr>
        <w:t>max</w:t>
      </w:r>
      <w:r w:rsidR="00764616" w:rsidRPr="00A43B9C">
        <w:rPr>
          <w:rFonts w:ascii="Times New Roman" w:hAnsi="Times New Roman" w:cs="Times New Roman"/>
          <w:sz w:val="28"/>
          <w:szCs w:val="28"/>
        </w:rPr>
        <w:t xml:space="preserve"> в последующем исследовании на 0,318</w:t>
      </w:r>
      <w:r w:rsidRPr="00A43B9C">
        <w:rPr>
          <w:rFonts w:ascii="Times New Roman" w:hAnsi="Times New Roman" w:cs="Times New Roman"/>
          <w:sz w:val="28"/>
          <w:szCs w:val="28"/>
        </w:rPr>
        <w:t>,</w:t>
      </w:r>
      <w:r w:rsidR="00764616" w:rsidRPr="00A43B9C">
        <w:rPr>
          <w:rFonts w:ascii="Times New Roman" w:hAnsi="Times New Roman" w:cs="Times New Roman"/>
          <w:sz w:val="28"/>
          <w:szCs w:val="28"/>
        </w:rPr>
        <w:t xml:space="preserve"> и</w:t>
      </w:r>
      <w:r w:rsidR="004240CE" w:rsidRPr="00A43B9C">
        <w:rPr>
          <w:rFonts w:ascii="Times New Roman" w:hAnsi="Times New Roman" w:cs="Times New Roman"/>
          <w:sz w:val="28"/>
          <w:szCs w:val="28"/>
          <w:lang w:val="kk-KZ"/>
        </w:rPr>
        <w:t xml:space="preserve"> </w:t>
      </w:r>
      <w:r w:rsidRPr="00A43B9C">
        <w:rPr>
          <w:rFonts w:ascii="Times New Roman" w:hAnsi="Times New Roman" w:cs="Times New Roman"/>
          <w:sz w:val="28"/>
          <w:szCs w:val="28"/>
        </w:rPr>
        <w:t>такая</w:t>
      </w:r>
      <w:r w:rsidR="00764616" w:rsidRPr="00A43B9C">
        <w:rPr>
          <w:rFonts w:ascii="Times New Roman" w:hAnsi="Times New Roman" w:cs="Times New Roman"/>
          <w:sz w:val="28"/>
          <w:szCs w:val="28"/>
        </w:rPr>
        <w:t xml:space="preserve"> модель объясняет 9,9% наблюдаемой дисперсии.</w:t>
      </w:r>
      <w:r w:rsidRPr="00A43B9C">
        <w:rPr>
          <w:rFonts w:ascii="Times New Roman" w:hAnsi="Times New Roman" w:cs="Times New Roman"/>
          <w:sz w:val="28"/>
          <w:szCs w:val="28"/>
        </w:rPr>
        <w:t xml:space="preserve"> Более того, п</w:t>
      </w:r>
      <w:r w:rsidR="00764616" w:rsidRPr="00A43B9C">
        <w:rPr>
          <w:rFonts w:ascii="Times New Roman" w:hAnsi="Times New Roman" w:cs="Times New Roman"/>
          <w:sz w:val="28"/>
          <w:szCs w:val="28"/>
        </w:rPr>
        <w:t xml:space="preserve">ри увеличении уровня </w:t>
      </w:r>
      <w:r w:rsidR="009307C9" w:rsidRPr="00A43B9C">
        <w:rPr>
          <w:rFonts w:ascii="Times New Roman" w:hAnsi="Times New Roman" w:cs="Times New Roman"/>
          <w:sz w:val="28"/>
          <w:szCs w:val="28"/>
        </w:rPr>
        <w:t>накопления</w:t>
      </w:r>
      <w:r w:rsidR="00764616"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lang w:val="en-US"/>
        </w:rPr>
        <w:t>SUV</w:t>
      </w:r>
      <w:r w:rsidR="00764616" w:rsidRPr="00A43B9C">
        <w:rPr>
          <w:rFonts w:ascii="Times New Roman" w:hAnsi="Times New Roman" w:cs="Times New Roman"/>
          <w:sz w:val="28"/>
          <w:szCs w:val="28"/>
          <w:vertAlign w:val="subscript"/>
          <w:lang w:val="en-US"/>
        </w:rPr>
        <w:t>max</w:t>
      </w:r>
      <w:r w:rsidR="00764616" w:rsidRPr="00A43B9C">
        <w:rPr>
          <w:rFonts w:ascii="Times New Roman" w:hAnsi="Times New Roman" w:cs="Times New Roman"/>
          <w:sz w:val="28"/>
          <w:szCs w:val="28"/>
        </w:rPr>
        <w:t xml:space="preserve"> базового исследования в </w:t>
      </w:r>
      <w:r w:rsidR="00C91528">
        <w:rPr>
          <w:rFonts w:ascii="Times New Roman" w:hAnsi="Times New Roman" w:cs="Times New Roman"/>
          <w:sz w:val="28"/>
          <w:szCs w:val="28"/>
        </w:rPr>
        <w:t>локализации</w:t>
      </w:r>
      <w:r w:rsidR="00C91528"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rPr>
        <w:t xml:space="preserve">RU на </w:t>
      </w:r>
      <w:r w:rsidR="00F311D9" w:rsidRPr="00A43B9C">
        <w:rPr>
          <w:rFonts w:ascii="Times New Roman" w:hAnsi="Times New Roman" w:cs="Times New Roman"/>
          <w:sz w:val="28"/>
          <w:szCs w:val="28"/>
        </w:rPr>
        <w:t>единицу</w:t>
      </w:r>
      <w:r w:rsidR="00764616" w:rsidRPr="00A43B9C">
        <w:rPr>
          <w:rFonts w:ascii="Times New Roman" w:hAnsi="Times New Roman" w:cs="Times New Roman"/>
          <w:sz w:val="28"/>
          <w:szCs w:val="28"/>
        </w:rPr>
        <w:t xml:space="preserve"> следует ожидать увеличени</w:t>
      </w:r>
      <w:r w:rsidR="00B32406" w:rsidRPr="00A43B9C">
        <w:rPr>
          <w:rFonts w:ascii="Times New Roman" w:hAnsi="Times New Roman" w:cs="Times New Roman"/>
          <w:sz w:val="28"/>
          <w:szCs w:val="28"/>
        </w:rPr>
        <w:t>я</w:t>
      </w:r>
      <w:r w:rsidR="00764616" w:rsidRPr="00A43B9C">
        <w:rPr>
          <w:rFonts w:ascii="Times New Roman" w:hAnsi="Times New Roman" w:cs="Times New Roman"/>
          <w:sz w:val="28"/>
          <w:szCs w:val="28"/>
        </w:rPr>
        <w:t xml:space="preserve"> уровня </w:t>
      </w:r>
      <w:r w:rsidR="009307C9" w:rsidRPr="00A43B9C">
        <w:rPr>
          <w:rFonts w:ascii="Times New Roman" w:hAnsi="Times New Roman" w:cs="Times New Roman"/>
          <w:sz w:val="28"/>
          <w:szCs w:val="28"/>
        </w:rPr>
        <w:t>накопления</w:t>
      </w:r>
      <w:r w:rsidR="00764616"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lang w:val="en-US"/>
        </w:rPr>
        <w:t>SUV</w:t>
      </w:r>
      <w:r w:rsidR="00764616" w:rsidRPr="00A43B9C">
        <w:rPr>
          <w:rFonts w:ascii="Times New Roman" w:hAnsi="Times New Roman" w:cs="Times New Roman"/>
          <w:sz w:val="28"/>
          <w:szCs w:val="28"/>
          <w:vertAlign w:val="subscript"/>
          <w:lang w:val="en-US"/>
        </w:rPr>
        <w:t>max</w:t>
      </w:r>
      <w:r w:rsidR="00764616" w:rsidRPr="00A43B9C">
        <w:rPr>
          <w:rFonts w:ascii="Times New Roman" w:hAnsi="Times New Roman" w:cs="Times New Roman"/>
          <w:sz w:val="28"/>
          <w:szCs w:val="28"/>
        </w:rPr>
        <w:t xml:space="preserve"> в последующем исследовании на 0,314</w:t>
      </w:r>
      <w:r w:rsidRPr="00A43B9C">
        <w:rPr>
          <w:rFonts w:ascii="Times New Roman" w:hAnsi="Times New Roman" w:cs="Times New Roman"/>
          <w:sz w:val="28"/>
          <w:szCs w:val="28"/>
        </w:rPr>
        <w:t>,</w:t>
      </w:r>
      <w:r w:rsidR="00764616" w:rsidRPr="00A43B9C">
        <w:rPr>
          <w:rFonts w:ascii="Times New Roman" w:hAnsi="Times New Roman" w:cs="Times New Roman"/>
          <w:sz w:val="28"/>
          <w:szCs w:val="28"/>
        </w:rPr>
        <w:t xml:space="preserve"> и полученная модель объясняет </w:t>
      </w:r>
      <w:r w:rsidRPr="00A43B9C">
        <w:rPr>
          <w:rFonts w:ascii="Times New Roman" w:hAnsi="Times New Roman" w:cs="Times New Roman"/>
          <w:sz w:val="28"/>
          <w:szCs w:val="28"/>
        </w:rPr>
        <w:t xml:space="preserve">уже </w:t>
      </w:r>
      <w:r w:rsidR="00764616" w:rsidRPr="00A43B9C">
        <w:rPr>
          <w:rFonts w:ascii="Times New Roman" w:hAnsi="Times New Roman" w:cs="Times New Roman"/>
          <w:sz w:val="28"/>
          <w:szCs w:val="28"/>
        </w:rPr>
        <w:t>14,7% наблюдаемой дисперсии.</w:t>
      </w:r>
      <w:r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rPr>
        <w:t xml:space="preserve">При увеличении уровня </w:t>
      </w:r>
      <w:r w:rsidR="009307C9" w:rsidRPr="00A43B9C">
        <w:rPr>
          <w:rFonts w:ascii="Times New Roman" w:hAnsi="Times New Roman" w:cs="Times New Roman"/>
          <w:sz w:val="28"/>
          <w:szCs w:val="28"/>
        </w:rPr>
        <w:t>накопления</w:t>
      </w:r>
      <w:r w:rsidR="00764616"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lang w:val="en-US"/>
        </w:rPr>
        <w:t>SUV</w:t>
      </w:r>
      <w:r w:rsidR="00764616" w:rsidRPr="00A43B9C">
        <w:rPr>
          <w:rFonts w:ascii="Times New Roman" w:hAnsi="Times New Roman" w:cs="Times New Roman"/>
          <w:sz w:val="28"/>
          <w:szCs w:val="28"/>
          <w:vertAlign w:val="subscript"/>
          <w:lang w:val="en-US"/>
        </w:rPr>
        <w:t>max</w:t>
      </w:r>
      <w:r w:rsidR="00764616" w:rsidRPr="00A43B9C">
        <w:rPr>
          <w:rFonts w:ascii="Times New Roman" w:hAnsi="Times New Roman" w:cs="Times New Roman"/>
          <w:sz w:val="28"/>
          <w:szCs w:val="28"/>
        </w:rPr>
        <w:t xml:space="preserve"> базового исследования в </w:t>
      </w:r>
      <w:r w:rsidR="00C91528">
        <w:rPr>
          <w:rFonts w:ascii="Times New Roman" w:hAnsi="Times New Roman" w:cs="Times New Roman"/>
          <w:sz w:val="28"/>
          <w:szCs w:val="28"/>
        </w:rPr>
        <w:t>локализации</w:t>
      </w:r>
      <w:r w:rsidR="00C91528"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rPr>
        <w:t xml:space="preserve">RLL на </w:t>
      </w:r>
      <w:r w:rsidR="00F311D9" w:rsidRPr="00A43B9C">
        <w:rPr>
          <w:rFonts w:ascii="Times New Roman" w:hAnsi="Times New Roman" w:cs="Times New Roman"/>
          <w:sz w:val="28"/>
          <w:szCs w:val="28"/>
        </w:rPr>
        <w:t>единицу</w:t>
      </w:r>
      <w:r w:rsidR="00764616" w:rsidRPr="00A43B9C">
        <w:rPr>
          <w:rFonts w:ascii="Times New Roman" w:hAnsi="Times New Roman" w:cs="Times New Roman"/>
          <w:sz w:val="28"/>
          <w:szCs w:val="28"/>
        </w:rPr>
        <w:t xml:space="preserve"> следует ожидать увеличени</w:t>
      </w:r>
      <w:r w:rsidR="00B32406" w:rsidRPr="00A43B9C">
        <w:rPr>
          <w:rFonts w:ascii="Times New Roman" w:hAnsi="Times New Roman" w:cs="Times New Roman"/>
          <w:sz w:val="28"/>
          <w:szCs w:val="28"/>
        </w:rPr>
        <w:t>я</w:t>
      </w:r>
      <w:r w:rsidR="00764616" w:rsidRPr="00A43B9C">
        <w:rPr>
          <w:rFonts w:ascii="Times New Roman" w:hAnsi="Times New Roman" w:cs="Times New Roman"/>
          <w:sz w:val="28"/>
          <w:szCs w:val="28"/>
        </w:rPr>
        <w:t xml:space="preserve"> уровня </w:t>
      </w:r>
      <w:r w:rsidR="009307C9" w:rsidRPr="00A43B9C">
        <w:rPr>
          <w:rFonts w:ascii="Times New Roman" w:hAnsi="Times New Roman" w:cs="Times New Roman"/>
          <w:sz w:val="28"/>
          <w:szCs w:val="28"/>
        </w:rPr>
        <w:t>накопления</w:t>
      </w:r>
      <w:r w:rsidR="00764616"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lang w:val="en-US"/>
        </w:rPr>
        <w:t>SUV</w:t>
      </w:r>
      <w:r w:rsidR="00764616" w:rsidRPr="00A43B9C">
        <w:rPr>
          <w:rFonts w:ascii="Times New Roman" w:hAnsi="Times New Roman" w:cs="Times New Roman"/>
          <w:sz w:val="28"/>
          <w:szCs w:val="28"/>
          <w:vertAlign w:val="subscript"/>
          <w:lang w:val="en-US"/>
        </w:rPr>
        <w:t>max</w:t>
      </w:r>
      <w:r w:rsidR="00764616" w:rsidRPr="00A43B9C">
        <w:rPr>
          <w:rFonts w:ascii="Times New Roman" w:hAnsi="Times New Roman" w:cs="Times New Roman"/>
          <w:sz w:val="28"/>
          <w:szCs w:val="28"/>
        </w:rPr>
        <w:t xml:space="preserve"> в последующем исследовании на 0,197</w:t>
      </w:r>
      <w:r w:rsidRPr="00A43B9C">
        <w:rPr>
          <w:rFonts w:ascii="Times New Roman" w:hAnsi="Times New Roman" w:cs="Times New Roman"/>
          <w:sz w:val="28"/>
          <w:szCs w:val="28"/>
        </w:rPr>
        <w:t>,</w:t>
      </w:r>
      <w:r w:rsidR="00764616" w:rsidRPr="00A43B9C">
        <w:rPr>
          <w:rFonts w:ascii="Times New Roman" w:hAnsi="Times New Roman" w:cs="Times New Roman"/>
          <w:sz w:val="28"/>
          <w:szCs w:val="28"/>
        </w:rPr>
        <w:t xml:space="preserve"> и полученная модель объясняет 9,6% наблюдаемой дисперсии.</w:t>
      </w:r>
    </w:p>
    <w:p w14:paraId="1840A6F0" w14:textId="3EAE600F" w:rsidR="002E0731" w:rsidRPr="00A43B9C" w:rsidRDefault="00FD5BB7" w:rsidP="00764616">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lastRenderedPageBreak/>
        <w:t>Схожие результаты получены и для других локализаций опухоли. Так, п</w:t>
      </w:r>
      <w:r w:rsidR="00764616" w:rsidRPr="00A43B9C">
        <w:rPr>
          <w:rFonts w:ascii="Times New Roman" w:hAnsi="Times New Roman" w:cs="Times New Roman"/>
          <w:sz w:val="28"/>
          <w:szCs w:val="28"/>
        </w:rPr>
        <w:t xml:space="preserve">ри увеличении уровня </w:t>
      </w:r>
      <w:r w:rsidR="009307C9" w:rsidRPr="00A43B9C">
        <w:rPr>
          <w:rFonts w:ascii="Times New Roman" w:hAnsi="Times New Roman" w:cs="Times New Roman"/>
          <w:sz w:val="28"/>
          <w:szCs w:val="28"/>
        </w:rPr>
        <w:t>накопления</w:t>
      </w:r>
      <w:r w:rsidR="00764616"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lang w:val="en-US"/>
        </w:rPr>
        <w:t>SUV</w:t>
      </w:r>
      <w:r w:rsidR="00764616" w:rsidRPr="00A43B9C">
        <w:rPr>
          <w:rFonts w:ascii="Times New Roman" w:hAnsi="Times New Roman" w:cs="Times New Roman"/>
          <w:sz w:val="28"/>
          <w:szCs w:val="28"/>
          <w:vertAlign w:val="subscript"/>
          <w:lang w:val="en-US"/>
        </w:rPr>
        <w:t>max</w:t>
      </w:r>
      <w:r w:rsidR="00764616" w:rsidRPr="00A43B9C">
        <w:rPr>
          <w:rFonts w:ascii="Times New Roman" w:hAnsi="Times New Roman" w:cs="Times New Roman"/>
          <w:sz w:val="28"/>
          <w:szCs w:val="28"/>
        </w:rPr>
        <w:t xml:space="preserve"> базового исследования в </w:t>
      </w:r>
      <w:r w:rsidR="00C91528">
        <w:rPr>
          <w:rFonts w:ascii="Times New Roman" w:hAnsi="Times New Roman" w:cs="Times New Roman"/>
          <w:sz w:val="28"/>
          <w:szCs w:val="28"/>
        </w:rPr>
        <w:t>локализации</w:t>
      </w:r>
      <w:r w:rsidR="00C91528"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rPr>
        <w:t xml:space="preserve">RRI на </w:t>
      </w:r>
      <w:r w:rsidR="00F311D9" w:rsidRPr="00A43B9C">
        <w:rPr>
          <w:rFonts w:ascii="Times New Roman" w:hAnsi="Times New Roman" w:cs="Times New Roman"/>
          <w:sz w:val="28"/>
          <w:szCs w:val="28"/>
        </w:rPr>
        <w:t>единицу</w:t>
      </w:r>
      <w:r w:rsidR="00764616" w:rsidRPr="00A43B9C">
        <w:rPr>
          <w:rFonts w:ascii="Times New Roman" w:hAnsi="Times New Roman" w:cs="Times New Roman"/>
          <w:sz w:val="28"/>
          <w:szCs w:val="28"/>
        </w:rPr>
        <w:t xml:space="preserve"> следует ожидать увеличени</w:t>
      </w:r>
      <w:r w:rsidR="00B32406" w:rsidRPr="00A43B9C">
        <w:rPr>
          <w:rFonts w:ascii="Times New Roman" w:hAnsi="Times New Roman" w:cs="Times New Roman"/>
          <w:sz w:val="28"/>
          <w:szCs w:val="28"/>
        </w:rPr>
        <w:t>я</w:t>
      </w:r>
      <w:r w:rsidR="00764616" w:rsidRPr="00A43B9C">
        <w:rPr>
          <w:rFonts w:ascii="Times New Roman" w:hAnsi="Times New Roman" w:cs="Times New Roman"/>
          <w:sz w:val="28"/>
          <w:szCs w:val="28"/>
        </w:rPr>
        <w:t xml:space="preserve"> уровня </w:t>
      </w:r>
      <w:r w:rsidR="009307C9" w:rsidRPr="00A43B9C">
        <w:rPr>
          <w:rFonts w:ascii="Times New Roman" w:hAnsi="Times New Roman" w:cs="Times New Roman"/>
          <w:sz w:val="28"/>
          <w:szCs w:val="28"/>
        </w:rPr>
        <w:t>накопления</w:t>
      </w:r>
      <w:r w:rsidR="00764616"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lang w:val="en-US"/>
        </w:rPr>
        <w:t>SUV</w:t>
      </w:r>
      <w:r w:rsidR="00764616" w:rsidRPr="00A43B9C">
        <w:rPr>
          <w:rFonts w:ascii="Times New Roman" w:hAnsi="Times New Roman" w:cs="Times New Roman"/>
          <w:sz w:val="28"/>
          <w:szCs w:val="28"/>
          <w:vertAlign w:val="subscript"/>
          <w:lang w:val="en-US"/>
        </w:rPr>
        <w:t>max</w:t>
      </w:r>
      <w:r w:rsidR="00764616" w:rsidRPr="00A43B9C">
        <w:rPr>
          <w:rFonts w:ascii="Times New Roman" w:hAnsi="Times New Roman" w:cs="Times New Roman"/>
          <w:sz w:val="28"/>
          <w:szCs w:val="28"/>
        </w:rPr>
        <w:t xml:space="preserve"> в последующем исследовании на 0,31</w:t>
      </w:r>
      <w:r w:rsidRPr="00A43B9C">
        <w:rPr>
          <w:rFonts w:ascii="Times New Roman" w:hAnsi="Times New Roman" w:cs="Times New Roman"/>
          <w:sz w:val="28"/>
          <w:szCs w:val="28"/>
        </w:rPr>
        <w:t>,</w:t>
      </w:r>
      <w:r w:rsidR="00764616" w:rsidRPr="00A43B9C">
        <w:rPr>
          <w:rFonts w:ascii="Times New Roman" w:hAnsi="Times New Roman" w:cs="Times New Roman"/>
          <w:sz w:val="28"/>
          <w:szCs w:val="28"/>
        </w:rPr>
        <w:t xml:space="preserve"> и полученная модель объясняет 12,0% наблюдаемой дисперсии.</w:t>
      </w:r>
      <w:r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rPr>
        <w:t xml:space="preserve">При увеличении уровня </w:t>
      </w:r>
      <w:r w:rsidR="009307C9" w:rsidRPr="00A43B9C">
        <w:rPr>
          <w:rFonts w:ascii="Times New Roman" w:hAnsi="Times New Roman" w:cs="Times New Roman"/>
          <w:sz w:val="28"/>
          <w:szCs w:val="28"/>
        </w:rPr>
        <w:t>накопления</w:t>
      </w:r>
      <w:r w:rsidR="00764616"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lang w:val="en-US"/>
        </w:rPr>
        <w:t>SUV</w:t>
      </w:r>
      <w:r w:rsidR="00764616" w:rsidRPr="00A43B9C">
        <w:rPr>
          <w:rFonts w:ascii="Times New Roman" w:hAnsi="Times New Roman" w:cs="Times New Roman"/>
          <w:sz w:val="28"/>
          <w:szCs w:val="28"/>
          <w:vertAlign w:val="subscript"/>
          <w:lang w:val="en-US"/>
        </w:rPr>
        <w:t>max</w:t>
      </w:r>
      <w:r w:rsidR="00764616" w:rsidRPr="00A43B9C">
        <w:rPr>
          <w:rFonts w:ascii="Times New Roman" w:hAnsi="Times New Roman" w:cs="Times New Roman"/>
          <w:sz w:val="28"/>
          <w:szCs w:val="28"/>
        </w:rPr>
        <w:t xml:space="preserve"> базового исследования в </w:t>
      </w:r>
      <w:r w:rsidR="00C91528">
        <w:rPr>
          <w:rFonts w:ascii="Times New Roman" w:hAnsi="Times New Roman" w:cs="Times New Roman"/>
          <w:sz w:val="28"/>
          <w:szCs w:val="28"/>
        </w:rPr>
        <w:t>локализации</w:t>
      </w:r>
      <w:r w:rsidR="00C91528"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rPr>
        <w:t xml:space="preserve">RP на </w:t>
      </w:r>
      <w:r w:rsidR="00F311D9" w:rsidRPr="00A43B9C">
        <w:rPr>
          <w:rFonts w:ascii="Times New Roman" w:hAnsi="Times New Roman" w:cs="Times New Roman"/>
          <w:sz w:val="28"/>
          <w:szCs w:val="28"/>
        </w:rPr>
        <w:t>единицу</w:t>
      </w:r>
      <w:r w:rsidR="00764616" w:rsidRPr="00A43B9C">
        <w:rPr>
          <w:rFonts w:ascii="Times New Roman" w:hAnsi="Times New Roman" w:cs="Times New Roman"/>
          <w:sz w:val="28"/>
          <w:szCs w:val="28"/>
        </w:rPr>
        <w:t xml:space="preserve"> следует ожидать увеличени</w:t>
      </w:r>
      <w:r w:rsidR="00B32406" w:rsidRPr="00A43B9C">
        <w:rPr>
          <w:rFonts w:ascii="Times New Roman" w:hAnsi="Times New Roman" w:cs="Times New Roman"/>
          <w:sz w:val="28"/>
          <w:szCs w:val="28"/>
        </w:rPr>
        <w:t>я</w:t>
      </w:r>
      <w:r w:rsidR="00764616" w:rsidRPr="00A43B9C">
        <w:rPr>
          <w:rFonts w:ascii="Times New Roman" w:hAnsi="Times New Roman" w:cs="Times New Roman"/>
          <w:sz w:val="28"/>
          <w:szCs w:val="28"/>
        </w:rPr>
        <w:t xml:space="preserve"> уровня </w:t>
      </w:r>
      <w:r w:rsidR="009307C9" w:rsidRPr="00A43B9C">
        <w:rPr>
          <w:rFonts w:ascii="Times New Roman" w:hAnsi="Times New Roman" w:cs="Times New Roman"/>
          <w:sz w:val="28"/>
          <w:szCs w:val="28"/>
        </w:rPr>
        <w:t>накопления</w:t>
      </w:r>
      <w:r w:rsidR="00764616"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lang w:val="en-US"/>
        </w:rPr>
        <w:t>SUV</w:t>
      </w:r>
      <w:r w:rsidR="00764616" w:rsidRPr="00A43B9C">
        <w:rPr>
          <w:rFonts w:ascii="Times New Roman" w:hAnsi="Times New Roman" w:cs="Times New Roman"/>
          <w:sz w:val="28"/>
          <w:szCs w:val="28"/>
          <w:vertAlign w:val="subscript"/>
          <w:lang w:val="en-US"/>
        </w:rPr>
        <w:t>max</w:t>
      </w:r>
      <w:r w:rsidR="00764616" w:rsidRPr="00A43B9C">
        <w:rPr>
          <w:rFonts w:ascii="Times New Roman" w:hAnsi="Times New Roman" w:cs="Times New Roman"/>
          <w:sz w:val="28"/>
          <w:szCs w:val="28"/>
        </w:rPr>
        <w:t xml:space="preserve"> в последующем исследовании на 0,092</w:t>
      </w:r>
      <w:r w:rsidRPr="00A43B9C">
        <w:rPr>
          <w:rFonts w:ascii="Times New Roman" w:hAnsi="Times New Roman" w:cs="Times New Roman"/>
          <w:sz w:val="28"/>
          <w:szCs w:val="28"/>
        </w:rPr>
        <w:t>,</w:t>
      </w:r>
      <w:r w:rsidR="00764616" w:rsidRPr="00A43B9C">
        <w:rPr>
          <w:rFonts w:ascii="Times New Roman" w:hAnsi="Times New Roman" w:cs="Times New Roman"/>
          <w:sz w:val="28"/>
          <w:szCs w:val="28"/>
        </w:rPr>
        <w:t xml:space="preserve"> </w:t>
      </w:r>
      <w:r w:rsidRPr="00A43B9C">
        <w:rPr>
          <w:rFonts w:ascii="Times New Roman" w:hAnsi="Times New Roman" w:cs="Times New Roman"/>
          <w:sz w:val="28"/>
          <w:szCs w:val="28"/>
        </w:rPr>
        <w:t>но</w:t>
      </w:r>
      <w:r w:rsidR="00764616" w:rsidRPr="00A43B9C">
        <w:rPr>
          <w:rFonts w:ascii="Times New Roman" w:hAnsi="Times New Roman" w:cs="Times New Roman"/>
          <w:sz w:val="28"/>
          <w:szCs w:val="28"/>
        </w:rPr>
        <w:t xml:space="preserve"> полученная модель объясняет </w:t>
      </w:r>
      <w:r w:rsidRPr="00A43B9C">
        <w:rPr>
          <w:rFonts w:ascii="Times New Roman" w:hAnsi="Times New Roman" w:cs="Times New Roman"/>
          <w:sz w:val="28"/>
          <w:szCs w:val="28"/>
        </w:rPr>
        <w:t xml:space="preserve">только </w:t>
      </w:r>
      <w:r w:rsidR="00764616" w:rsidRPr="00A43B9C">
        <w:rPr>
          <w:rFonts w:ascii="Times New Roman" w:hAnsi="Times New Roman" w:cs="Times New Roman"/>
          <w:sz w:val="28"/>
          <w:szCs w:val="28"/>
        </w:rPr>
        <w:t>1,2% наблюдаемой дисперсии.</w:t>
      </w:r>
      <w:r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rPr>
        <w:t xml:space="preserve">При увеличении уровня </w:t>
      </w:r>
      <w:r w:rsidR="009307C9" w:rsidRPr="00A43B9C">
        <w:rPr>
          <w:rFonts w:ascii="Times New Roman" w:hAnsi="Times New Roman" w:cs="Times New Roman"/>
          <w:sz w:val="28"/>
          <w:szCs w:val="28"/>
        </w:rPr>
        <w:t>накопления</w:t>
      </w:r>
      <w:r w:rsidR="00764616"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lang w:val="en-US"/>
        </w:rPr>
        <w:t>SUV</w:t>
      </w:r>
      <w:r w:rsidR="00764616" w:rsidRPr="00A43B9C">
        <w:rPr>
          <w:rFonts w:ascii="Times New Roman" w:hAnsi="Times New Roman" w:cs="Times New Roman"/>
          <w:sz w:val="28"/>
          <w:szCs w:val="28"/>
          <w:vertAlign w:val="subscript"/>
          <w:lang w:val="en-US"/>
        </w:rPr>
        <w:t>max</w:t>
      </w:r>
      <w:r w:rsidR="00764616" w:rsidRPr="00A43B9C">
        <w:rPr>
          <w:rFonts w:ascii="Times New Roman" w:hAnsi="Times New Roman" w:cs="Times New Roman"/>
          <w:sz w:val="28"/>
          <w:szCs w:val="28"/>
        </w:rPr>
        <w:t xml:space="preserve"> базового исследования в </w:t>
      </w:r>
      <w:r w:rsidR="00C91528">
        <w:rPr>
          <w:rFonts w:ascii="Times New Roman" w:hAnsi="Times New Roman" w:cs="Times New Roman"/>
          <w:sz w:val="28"/>
          <w:szCs w:val="28"/>
        </w:rPr>
        <w:t>локализации</w:t>
      </w:r>
      <w:r w:rsidR="00C91528"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rPr>
        <w:t xml:space="preserve">RLI на </w:t>
      </w:r>
      <w:r w:rsidR="00F311D9" w:rsidRPr="00A43B9C">
        <w:rPr>
          <w:rFonts w:ascii="Times New Roman" w:hAnsi="Times New Roman" w:cs="Times New Roman"/>
          <w:sz w:val="28"/>
          <w:szCs w:val="28"/>
        </w:rPr>
        <w:t>единицу</w:t>
      </w:r>
      <w:r w:rsidR="00764616" w:rsidRPr="00A43B9C">
        <w:rPr>
          <w:rFonts w:ascii="Times New Roman" w:hAnsi="Times New Roman" w:cs="Times New Roman"/>
          <w:sz w:val="28"/>
          <w:szCs w:val="28"/>
        </w:rPr>
        <w:t xml:space="preserve"> следует ожидать увеличени</w:t>
      </w:r>
      <w:r w:rsidR="00B32406" w:rsidRPr="00A43B9C">
        <w:rPr>
          <w:rFonts w:ascii="Times New Roman" w:hAnsi="Times New Roman" w:cs="Times New Roman"/>
          <w:sz w:val="28"/>
          <w:szCs w:val="28"/>
        </w:rPr>
        <w:t>я</w:t>
      </w:r>
      <w:r w:rsidR="00764616" w:rsidRPr="00A43B9C">
        <w:rPr>
          <w:rFonts w:ascii="Times New Roman" w:hAnsi="Times New Roman" w:cs="Times New Roman"/>
          <w:sz w:val="28"/>
          <w:szCs w:val="28"/>
        </w:rPr>
        <w:t xml:space="preserve"> уровня </w:t>
      </w:r>
      <w:r w:rsidR="009307C9" w:rsidRPr="00A43B9C">
        <w:rPr>
          <w:rFonts w:ascii="Times New Roman" w:hAnsi="Times New Roman" w:cs="Times New Roman"/>
          <w:sz w:val="28"/>
          <w:szCs w:val="28"/>
        </w:rPr>
        <w:t>накопления</w:t>
      </w:r>
      <w:r w:rsidR="00764616"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lang w:val="en-US"/>
        </w:rPr>
        <w:t>SUV</w:t>
      </w:r>
      <w:r w:rsidR="00764616" w:rsidRPr="00A43B9C">
        <w:rPr>
          <w:rFonts w:ascii="Times New Roman" w:hAnsi="Times New Roman" w:cs="Times New Roman"/>
          <w:sz w:val="28"/>
          <w:szCs w:val="28"/>
          <w:vertAlign w:val="subscript"/>
          <w:lang w:val="en-US"/>
        </w:rPr>
        <w:t>max</w:t>
      </w:r>
      <w:r w:rsidR="00764616" w:rsidRPr="00A43B9C">
        <w:rPr>
          <w:rFonts w:ascii="Times New Roman" w:hAnsi="Times New Roman" w:cs="Times New Roman"/>
          <w:sz w:val="28"/>
          <w:szCs w:val="28"/>
        </w:rPr>
        <w:t xml:space="preserve"> в последующем исследовании на 0,282</w:t>
      </w:r>
      <w:r w:rsidRPr="00A43B9C">
        <w:rPr>
          <w:rFonts w:ascii="Times New Roman" w:hAnsi="Times New Roman" w:cs="Times New Roman"/>
          <w:sz w:val="28"/>
          <w:szCs w:val="28"/>
        </w:rPr>
        <w:t>,</w:t>
      </w:r>
      <w:r w:rsidR="00764616" w:rsidRPr="00A43B9C">
        <w:rPr>
          <w:rFonts w:ascii="Times New Roman" w:hAnsi="Times New Roman" w:cs="Times New Roman"/>
          <w:sz w:val="28"/>
          <w:szCs w:val="28"/>
        </w:rPr>
        <w:t xml:space="preserve"> и полученная модель объясняет </w:t>
      </w:r>
      <w:r w:rsidRPr="00A43B9C">
        <w:rPr>
          <w:rFonts w:ascii="Times New Roman" w:hAnsi="Times New Roman" w:cs="Times New Roman"/>
          <w:sz w:val="28"/>
          <w:szCs w:val="28"/>
        </w:rPr>
        <w:t xml:space="preserve">уже </w:t>
      </w:r>
      <w:r w:rsidR="00764616" w:rsidRPr="00A43B9C">
        <w:rPr>
          <w:rFonts w:ascii="Times New Roman" w:hAnsi="Times New Roman" w:cs="Times New Roman"/>
          <w:sz w:val="28"/>
          <w:szCs w:val="28"/>
        </w:rPr>
        <w:t>13,1% наблюдаемой дисперсии.</w:t>
      </w:r>
      <w:r w:rsidRPr="00A43B9C">
        <w:rPr>
          <w:rFonts w:ascii="Times New Roman" w:hAnsi="Times New Roman" w:cs="Times New Roman"/>
          <w:sz w:val="28"/>
          <w:szCs w:val="28"/>
        </w:rPr>
        <w:t xml:space="preserve"> И наконец п</w:t>
      </w:r>
      <w:r w:rsidR="00764616" w:rsidRPr="00A43B9C">
        <w:rPr>
          <w:rFonts w:ascii="Times New Roman" w:hAnsi="Times New Roman" w:cs="Times New Roman"/>
          <w:sz w:val="28"/>
          <w:szCs w:val="28"/>
        </w:rPr>
        <w:t xml:space="preserve">ри увеличении уровня </w:t>
      </w:r>
      <w:r w:rsidR="009307C9" w:rsidRPr="00A43B9C">
        <w:rPr>
          <w:rFonts w:ascii="Times New Roman" w:hAnsi="Times New Roman" w:cs="Times New Roman"/>
          <w:sz w:val="28"/>
          <w:szCs w:val="28"/>
        </w:rPr>
        <w:t>накопления</w:t>
      </w:r>
      <w:r w:rsidR="00764616"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lang w:val="en-US"/>
        </w:rPr>
        <w:t>SUV</w:t>
      </w:r>
      <w:r w:rsidR="00764616" w:rsidRPr="00A43B9C">
        <w:rPr>
          <w:rFonts w:ascii="Times New Roman" w:hAnsi="Times New Roman" w:cs="Times New Roman"/>
          <w:sz w:val="28"/>
          <w:szCs w:val="28"/>
          <w:vertAlign w:val="subscript"/>
          <w:lang w:val="en-US"/>
        </w:rPr>
        <w:t>max</w:t>
      </w:r>
      <w:r w:rsidR="00764616" w:rsidRPr="00A43B9C">
        <w:rPr>
          <w:rFonts w:ascii="Times New Roman" w:hAnsi="Times New Roman" w:cs="Times New Roman"/>
          <w:sz w:val="28"/>
          <w:szCs w:val="28"/>
        </w:rPr>
        <w:t xml:space="preserve"> базового исследования в </w:t>
      </w:r>
      <w:r w:rsidR="00C91528">
        <w:rPr>
          <w:rFonts w:ascii="Times New Roman" w:hAnsi="Times New Roman" w:cs="Times New Roman"/>
          <w:sz w:val="28"/>
          <w:szCs w:val="28"/>
        </w:rPr>
        <w:t>локализации</w:t>
      </w:r>
      <w:r w:rsidR="00C91528" w:rsidRPr="00C91528">
        <w:rPr>
          <w:rFonts w:ascii="Times New Roman" w:hAnsi="Times New Roman" w:cs="Times New Roman"/>
          <w:sz w:val="28"/>
          <w:szCs w:val="28"/>
        </w:rPr>
        <w:t xml:space="preserve"> </w:t>
      </w:r>
      <w:r w:rsidR="00764616" w:rsidRPr="00A43B9C">
        <w:rPr>
          <w:rFonts w:ascii="Times New Roman" w:hAnsi="Times New Roman" w:cs="Times New Roman"/>
          <w:sz w:val="28"/>
          <w:szCs w:val="28"/>
          <w:lang w:val="en-US"/>
        </w:rPr>
        <w:t>P</w:t>
      </w:r>
      <w:r w:rsidR="00764616" w:rsidRPr="00A43B9C">
        <w:rPr>
          <w:rFonts w:ascii="Times New Roman" w:hAnsi="Times New Roman" w:cs="Times New Roman"/>
          <w:sz w:val="28"/>
          <w:szCs w:val="28"/>
        </w:rPr>
        <w:t xml:space="preserve"> на </w:t>
      </w:r>
      <w:r w:rsidR="00F311D9" w:rsidRPr="00A43B9C">
        <w:rPr>
          <w:rFonts w:ascii="Times New Roman" w:hAnsi="Times New Roman" w:cs="Times New Roman"/>
          <w:sz w:val="28"/>
          <w:szCs w:val="28"/>
        </w:rPr>
        <w:t>единицу</w:t>
      </w:r>
      <w:r w:rsidR="00764616" w:rsidRPr="00A43B9C">
        <w:rPr>
          <w:rFonts w:ascii="Times New Roman" w:hAnsi="Times New Roman" w:cs="Times New Roman"/>
          <w:sz w:val="28"/>
          <w:szCs w:val="28"/>
        </w:rPr>
        <w:t xml:space="preserve"> следует ожидать увеличени</w:t>
      </w:r>
      <w:r w:rsidR="00B32406" w:rsidRPr="00A43B9C">
        <w:rPr>
          <w:rFonts w:ascii="Times New Roman" w:hAnsi="Times New Roman" w:cs="Times New Roman"/>
          <w:sz w:val="28"/>
          <w:szCs w:val="28"/>
        </w:rPr>
        <w:t>я</w:t>
      </w:r>
      <w:r w:rsidR="00764616" w:rsidRPr="00A43B9C">
        <w:rPr>
          <w:rFonts w:ascii="Times New Roman" w:hAnsi="Times New Roman" w:cs="Times New Roman"/>
          <w:sz w:val="28"/>
          <w:szCs w:val="28"/>
        </w:rPr>
        <w:t xml:space="preserve"> уровня </w:t>
      </w:r>
      <w:r w:rsidR="009307C9" w:rsidRPr="00A43B9C">
        <w:rPr>
          <w:rFonts w:ascii="Times New Roman" w:hAnsi="Times New Roman" w:cs="Times New Roman"/>
          <w:sz w:val="28"/>
          <w:szCs w:val="28"/>
        </w:rPr>
        <w:t>накопления</w:t>
      </w:r>
      <w:r w:rsidR="00764616"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lang w:val="en-US"/>
        </w:rPr>
        <w:t>SUV</w:t>
      </w:r>
      <w:r w:rsidR="00764616" w:rsidRPr="00A43B9C">
        <w:rPr>
          <w:rFonts w:ascii="Times New Roman" w:hAnsi="Times New Roman" w:cs="Times New Roman"/>
          <w:sz w:val="28"/>
          <w:szCs w:val="28"/>
          <w:vertAlign w:val="subscript"/>
          <w:lang w:val="en-US"/>
        </w:rPr>
        <w:t>max</w:t>
      </w:r>
      <w:r w:rsidR="00764616" w:rsidRPr="00A43B9C">
        <w:rPr>
          <w:rFonts w:ascii="Times New Roman" w:hAnsi="Times New Roman" w:cs="Times New Roman"/>
          <w:sz w:val="28"/>
          <w:szCs w:val="28"/>
        </w:rPr>
        <w:t xml:space="preserve"> в последующем исследовании на 0,195</w:t>
      </w:r>
      <w:r w:rsidRPr="00A43B9C">
        <w:rPr>
          <w:rFonts w:ascii="Times New Roman" w:hAnsi="Times New Roman" w:cs="Times New Roman"/>
          <w:sz w:val="28"/>
          <w:szCs w:val="28"/>
        </w:rPr>
        <w:t>,</w:t>
      </w:r>
      <w:r w:rsidR="00764616" w:rsidRPr="00A43B9C">
        <w:rPr>
          <w:rFonts w:ascii="Times New Roman" w:hAnsi="Times New Roman" w:cs="Times New Roman"/>
          <w:sz w:val="28"/>
          <w:szCs w:val="28"/>
        </w:rPr>
        <w:t xml:space="preserve"> и полученная модель объясняет 5,1% наблюдаемой дисперсии.</w:t>
      </w:r>
      <w:r w:rsidRPr="00A43B9C">
        <w:rPr>
          <w:rFonts w:ascii="Times New Roman" w:hAnsi="Times New Roman" w:cs="Times New Roman"/>
          <w:sz w:val="28"/>
          <w:szCs w:val="28"/>
        </w:rPr>
        <w:t xml:space="preserve"> </w:t>
      </w:r>
      <w:r w:rsidR="002E0731" w:rsidRPr="00A43B9C">
        <w:rPr>
          <w:rFonts w:ascii="Times New Roman" w:hAnsi="Times New Roman" w:cs="Times New Roman"/>
          <w:sz w:val="28"/>
          <w:szCs w:val="28"/>
        </w:rPr>
        <w:t>Данные результаты отражены в таблице 11</w:t>
      </w:r>
      <w:r w:rsidR="005E7848" w:rsidRPr="00A43B9C">
        <w:rPr>
          <w:rFonts w:ascii="Times New Roman" w:hAnsi="Times New Roman" w:cs="Times New Roman"/>
          <w:sz w:val="28"/>
          <w:szCs w:val="28"/>
        </w:rPr>
        <w:t xml:space="preserve"> и рисунке 1</w:t>
      </w:r>
      <w:r w:rsidR="00006C4D">
        <w:rPr>
          <w:rFonts w:ascii="Times New Roman" w:hAnsi="Times New Roman" w:cs="Times New Roman"/>
          <w:sz w:val="28"/>
          <w:szCs w:val="28"/>
        </w:rPr>
        <w:t>2</w:t>
      </w:r>
      <w:r w:rsidR="002E0731" w:rsidRPr="00A43B9C">
        <w:rPr>
          <w:rFonts w:ascii="Times New Roman" w:hAnsi="Times New Roman" w:cs="Times New Roman"/>
          <w:sz w:val="28"/>
          <w:szCs w:val="28"/>
        </w:rPr>
        <w:t>.</w:t>
      </w:r>
    </w:p>
    <w:p w14:paraId="794683FA" w14:textId="3FDB916B" w:rsidR="008F0399" w:rsidRDefault="008F0399" w:rsidP="00E46B54">
      <w:pPr>
        <w:spacing w:after="0" w:line="240" w:lineRule="auto"/>
        <w:jc w:val="both"/>
        <w:rPr>
          <w:rFonts w:ascii="Times New Roman" w:hAnsi="Times New Roman" w:cs="Times New Roman"/>
          <w:sz w:val="28"/>
          <w:szCs w:val="28"/>
        </w:rPr>
      </w:pPr>
    </w:p>
    <w:p w14:paraId="618C0700" w14:textId="5A12D6B1" w:rsidR="00E46B54" w:rsidRPr="00A43B9C" w:rsidRDefault="000A6F86" w:rsidP="00D12CD6">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11 -</w:t>
      </w:r>
      <w:r w:rsidR="00E46B54" w:rsidRPr="00A43B9C">
        <w:rPr>
          <w:rFonts w:ascii="Times New Roman" w:hAnsi="Times New Roman" w:cs="Times New Roman"/>
          <w:sz w:val="28"/>
          <w:szCs w:val="28"/>
        </w:rPr>
        <w:t xml:space="preserve"> Результаты корреляционного анализа </w:t>
      </w:r>
      <w:r w:rsidR="00E46B54" w:rsidRPr="00A43B9C">
        <w:rPr>
          <w:rFonts w:ascii="Times New Roman" w:hAnsi="Times New Roman" w:cs="Times New Roman"/>
          <w:sz w:val="28"/>
          <w:szCs w:val="28"/>
          <w:lang w:val="kk-KZ"/>
        </w:rPr>
        <w:t>накоплени</w:t>
      </w:r>
      <w:r w:rsidR="00FD5BB7" w:rsidRPr="00A43B9C">
        <w:rPr>
          <w:rFonts w:ascii="Times New Roman" w:hAnsi="Times New Roman" w:cs="Times New Roman"/>
          <w:sz w:val="28"/>
          <w:szCs w:val="28"/>
          <w:lang w:val="kk-KZ"/>
        </w:rPr>
        <w:t>я</w:t>
      </w:r>
      <w:r w:rsidR="00E46B54" w:rsidRPr="00A43B9C">
        <w:rPr>
          <w:rFonts w:ascii="Times New Roman" w:hAnsi="Times New Roman" w:cs="Times New Roman"/>
          <w:sz w:val="28"/>
          <w:szCs w:val="28"/>
          <w:lang w:val="kk-KZ"/>
        </w:rPr>
        <w:t xml:space="preserve"> </w:t>
      </w:r>
      <w:r w:rsidR="00E46B54" w:rsidRPr="00A43B9C">
        <w:rPr>
          <w:rFonts w:ascii="Times New Roman" w:hAnsi="Times New Roman" w:cs="Times New Roman"/>
          <w:sz w:val="28"/>
          <w:szCs w:val="28"/>
          <w:lang w:val="en-US"/>
        </w:rPr>
        <w:t>SUV</w:t>
      </w:r>
      <w:r w:rsidR="00E46B54" w:rsidRPr="00A43B9C">
        <w:rPr>
          <w:rFonts w:ascii="Times New Roman" w:hAnsi="Times New Roman" w:cs="Times New Roman"/>
          <w:sz w:val="28"/>
          <w:szCs w:val="28"/>
          <w:vertAlign w:val="subscript"/>
          <w:lang w:val="en-US"/>
        </w:rPr>
        <w:t>max</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rPr>
        <w:t>при базовом и последующем обследованиях</w:t>
      </w:r>
    </w:p>
    <w:p w14:paraId="619A4BCE" w14:textId="77777777" w:rsidR="00D12CD6" w:rsidRPr="00A43B9C" w:rsidRDefault="00D12CD6" w:rsidP="00D12CD6">
      <w:pPr>
        <w:spacing w:after="0" w:line="240" w:lineRule="auto"/>
        <w:jc w:val="both"/>
        <w:rPr>
          <w:rFonts w:ascii="Times New Roman" w:hAnsi="Times New Roman" w:cs="Times New Roman"/>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0"/>
        <w:gridCol w:w="846"/>
        <w:gridCol w:w="2120"/>
        <w:gridCol w:w="986"/>
        <w:gridCol w:w="3632"/>
      </w:tblGrid>
      <w:tr w:rsidR="003F439D" w:rsidRPr="00A43B9C" w14:paraId="00F83C7B" w14:textId="77777777" w:rsidTr="00F87FE6">
        <w:trPr>
          <w:jc w:val="center"/>
        </w:trPr>
        <w:tc>
          <w:tcPr>
            <w:tcW w:w="582" w:type="pct"/>
            <w:vMerge w:val="restart"/>
            <w:vAlign w:val="center"/>
          </w:tcPr>
          <w:p w14:paraId="08FF589A" w14:textId="2396BCE1" w:rsidR="003F439D" w:rsidRPr="007856D3" w:rsidRDefault="007856D3" w:rsidP="00446A37">
            <w:pPr>
              <w:spacing w:after="0" w:line="240" w:lineRule="auto"/>
              <w:jc w:val="center"/>
              <w:rPr>
                <w:rFonts w:ascii="Times New Roman" w:hAnsi="Times New Roman" w:cs="Times New Roman"/>
                <w:sz w:val="28"/>
                <w:szCs w:val="28"/>
              </w:rPr>
            </w:pPr>
            <w:bookmarkStart w:id="60" w:name="_Hlk133856380"/>
            <w:r>
              <w:rPr>
                <w:rFonts w:ascii="Times New Roman" w:hAnsi="Times New Roman" w:cs="Times New Roman"/>
                <w:sz w:val="28"/>
                <w:szCs w:val="28"/>
              </w:rPr>
              <w:t>Локализация</w:t>
            </w:r>
          </w:p>
        </w:tc>
        <w:tc>
          <w:tcPr>
            <w:tcW w:w="4418" w:type="pct"/>
            <w:gridSpan w:val="4"/>
            <w:vAlign w:val="center"/>
          </w:tcPr>
          <w:p w14:paraId="46F6B12F" w14:textId="77777777" w:rsidR="003F439D" w:rsidRPr="00A43B9C" w:rsidRDefault="003F439D"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Характеристика корреляционной связи</w:t>
            </w:r>
          </w:p>
        </w:tc>
      </w:tr>
      <w:tr w:rsidR="003F439D" w:rsidRPr="00A43B9C" w14:paraId="1639CCE7" w14:textId="77777777" w:rsidTr="00290AA2">
        <w:trPr>
          <w:jc w:val="center"/>
        </w:trPr>
        <w:tc>
          <w:tcPr>
            <w:tcW w:w="582" w:type="pct"/>
            <w:vMerge/>
          </w:tcPr>
          <w:p w14:paraId="4E34FD72" w14:textId="77777777" w:rsidR="003F439D" w:rsidRPr="00A43B9C" w:rsidRDefault="003F439D" w:rsidP="00446A37">
            <w:pPr>
              <w:spacing w:after="0" w:line="240" w:lineRule="auto"/>
              <w:jc w:val="center"/>
              <w:rPr>
                <w:rFonts w:ascii="Times New Roman" w:hAnsi="Times New Roman" w:cs="Times New Roman"/>
                <w:sz w:val="28"/>
                <w:szCs w:val="28"/>
              </w:rPr>
            </w:pPr>
          </w:p>
        </w:tc>
        <w:tc>
          <w:tcPr>
            <w:tcW w:w="453" w:type="pct"/>
            <w:vAlign w:val="center"/>
          </w:tcPr>
          <w:p w14:paraId="61EBD22F" w14:textId="77777777" w:rsidR="003F439D" w:rsidRPr="00A43B9C" w:rsidRDefault="003F439D"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ρ</w:t>
            </w:r>
          </w:p>
        </w:tc>
        <w:tc>
          <w:tcPr>
            <w:tcW w:w="1314" w:type="pct"/>
            <w:vAlign w:val="center"/>
          </w:tcPr>
          <w:p w14:paraId="2EEB3D3A" w14:textId="3675A275" w:rsidR="003F439D" w:rsidRPr="00A43B9C" w:rsidRDefault="00FD5BB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Выраженность ассоциации</w:t>
            </w:r>
            <w:r w:rsidR="003F439D" w:rsidRPr="00A43B9C">
              <w:rPr>
                <w:rFonts w:ascii="Times New Roman" w:hAnsi="Times New Roman" w:cs="Times New Roman"/>
                <w:sz w:val="28"/>
                <w:szCs w:val="28"/>
              </w:rPr>
              <w:t xml:space="preserve"> по шкале Чеддока</w:t>
            </w:r>
          </w:p>
        </w:tc>
        <w:tc>
          <w:tcPr>
            <w:tcW w:w="530" w:type="pct"/>
            <w:vAlign w:val="center"/>
          </w:tcPr>
          <w:p w14:paraId="11989FFB" w14:textId="77777777" w:rsidR="003F439D" w:rsidRPr="00A43B9C" w:rsidRDefault="003F439D"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w:t>
            </w:r>
          </w:p>
        </w:tc>
        <w:tc>
          <w:tcPr>
            <w:tcW w:w="2120" w:type="pct"/>
            <w:vAlign w:val="center"/>
          </w:tcPr>
          <w:p w14:paraId="273E25B8" w14:textId="77777777" w:rsidR="003F439D" w:rsidRPr="00A43B9C" w:rsidRDefault="003F439D"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Результат</w:t>
            </w:r>
          </w:p>
        </w:tc>
      </w:tr>
      <w:tr w:rsidR="003F439D" w:rsidRPr="00A43B9C" w14:paraId="495AD2BD" w14:textId="77777777" w:rsidTr="00290AA2">
        <w:trPr>
          <w:jc w:val="center"/>
        </w:trPr>
        <w:tc>
          <w:tcPr>
            <w:tcW w:w="582" w:type="pct"/>
            <w:vAlign w:val="center"/>
          </w:tcPr>
          <w:p w14:paraId="42767137" w14:textId="77777777" w:rsidR="003F439D" w:rsidRPr="00A43B9C" w:rsidRDefault="003F439D" w:rsidP="003F439D">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RE</w:t>
            </w:r>
          </w:p>
        </w:tc>
        <w:tc>
          <w:tcPr>
            <w:tcW w:w="453" w:type="pct"/>
            <w:vAlign w:val="center"/>
          </w:tcPr>
          <w:p w14:paraId="54E226C4" w14:textId="6ACFC17A"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0,259</w:t>
            </w:r>
          </w:p>
        </w:tc>
        <w:tc>
          <w:tcPr>
            <w:tcW w:w="1314" w:type="pct"/>
            <w:vAlign w:val="center"/>
          </w:tcPr>
          <w:p w14:paraId="02F61A9A" w14:textId="7AEAF1F3"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Слабая</w:t>
            </w:r>
          </w:p>
        </w:tc>
        <w:tc>
          <w:tcPr>
            <w:tcW w:w="530" w:type="pct"/>
            <w:vAlign w:val="center"/>
          </w:tcPr>
          <w:p w14:paraId="366740EA" w14:textId="39EBEF50"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0,061</w:t>
            </w:r>
          </w:p>
        </w:tc>
        <w:tc>
          <w:tcPr>
            <w:tcW w:w="2120" w:type="pct"/>
          </w:tcPr>
          <w:p w14:paraId="323228FA" w14:textId="10C9FD55"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Слаб</w:t>
            </w:r>
            <w:r w:rsidR="00FD5BB7" w:rsidRPr="00A43B9C">
              <w:rPr>
                <w:rFonts w:ascii="Times New Roman" w:hAnsi="Times New Roman" w:cs="Times New Roman"/>
                <w:sz w:val="28"/>
                <w:szCs w:val="28"/>
              </w:rPr>
              <w:t>ая</w:t>
            </w:r>
            <w:r w:rsidRPr="00A43B9C">
              <w:rPr>
                <w:rFonts w:ascii="Times New Roman" w:hAnsi="Times New Roman" w:cs="Times New Roman"/>
                <w:sz w:val="28"/>
                <w:szCs w:val="28"/>
              </w:rPr>
              <w:t xml:space="preserve"> прямая </w:t>
            </w:r>
            <w:r w:rsidR="00FD5BB7" w:rsidRPr="00A43B9C">
              <w:rPr>
                <w:rFonts w:ascii="Times New Roman" w:hAnsi="Times New Roman" w:cs="Times New Roman"/>
                <w:sz w:val="28"/>
                <w:szCs w:val="28"/>
              </w:rPr>
              <w:t>ассоциация</w:t>
            </w:r>
          </w:p>
        </w:tc>
      </w:tr>
      <w:tr w:rsidR="003F439D" w:rsidRPr="00A43B9C" w14:paraId="54679E70" w14:textId="77777777" w:rsidTr="00290AA2">
        <w:trPr>
          <w:jc w:val="center"/>
        </w:trPr>
        <w:tc>
          <w:tcPr>
            <w:tcW w:w="582" w:type="pct"/>
            <w:vAlign w:val="center"/>
          </w:tcPr>
          <w:p w14:paraId="3C538749" w14:textId="77777777" w:rsidR="003F439D" w:rsidRPr="00A43B9C" w:rsidRDefault="003F439D" w:rsidP="003F439D">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RLH</w:t>
            </w:r>
          </w:p>
        </w:tc>
        <w:tc>
          <w:tcPr>
            <w:tcW w:w="453" w:type="pct"/>
            <w:vAlign w:val="center"/>
          </w:tcPr>
          <w:p w14:paraId="6B79C133" w14:textId="53ECC3EA"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0,249</w:t>
            </w:r>
          </w:p>
        </w:tc>
        <w:tc>
          <w:tcPr>
            <w:tcW w:w="1314" w:type="pct"/>
            <w:vAlign w:val="center"/>
          </w:tcPr>
          <w:p w14:paraId="38F5BEE2" w14:textId="17723897"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Слабая</w:t>
            </w:r>
          </w:p>
        </w:tc>
        <w:tc>
          <w:tcPr>
            <w:tcW w:w="530" w:type="pct"/>
            <w:vAlign w:val="center"/>
          </w:tcPr>
          <w:p w14:paraId="46A8B998" w14:textId="1C5A83B9"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0,072</w:t>
            </w:r>
          </w:p>
        </w:tc>
        <w:tc>
          <w:tcPr>
            <w:tcW w:w="2120" w:type="pct"/>
          </w:tcPr>
          <w:p w14:paraId="51E4DFB9" w14:textId="2F0EA379"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Слаб</w:t>
            </w:r>
            <w:r w:rsidR="00FD5BB7" w:rsidRPr="00A43B9C">
              <w:rPr>
                <w:rFonts w:ascii="Times New Roman" w:hAnsi="Times New Roman" w:cs="Times New Roman"/>
                <w:sz w:val="28"/>
                <w:szCs w:val="28"/>
              </w:rPr>
              <w:t>ая</w:t>
            </w:r>
            <w:r w:rsidR="009A791E">
              <w:rPr>
                <w:rFonts w:ascii="Times New Roman" w:hAnsi="Times New Roman" w:cs="Times New Roman"/>
                <w:sz w:val="28"/>
                <w:szCs w:val="28"/>
              </w:rPr>
              <w:t xml:space="preserve"> </w:t>
            </w:r>
            <w:r w:rsidRPr="00A43B9C">
              <w:rPr>
                <w:rFonts w:ascii="Times New Roman" w:hAnsi="Times New Roman" w:cs="Times New Roman"/>
                <w:sz w:val="28"/>
                <w:szCs w:val="28"/>
              </w:rPr>
              <w:t xml:space="preserve">прямая </w:t>
            </w:r>
            <w:r w:rsidR="00FD5BB7" w:rsidRPr="00A43B9C">
              <w:rPr>
                <w:rFonts w:ascii="Times New Roman" w:hAnsi="Times New Roman" w:cs="Times New Roman"/>
                <w:sz w:val="28"/>
                <w:szCs w:val="28"/>
              </w:rPr>
              <w:t>ассоциация</w:t>
            </w:r>
          </w:p>
        </w:tc>
      </w:tr>
      <w:tr w:rsidR="003F439D" w:rsidRPr="00A43B9C" w14:paraId="749CF903" w14:textId="77777777" w:rsidTr="00290AA2">
        <w:trPr>
          <w:jc w:val="center"/>
        </w:trPr>
        <w:tc>
          <w:tcPr>
            <w:tcW w:w="582" w:type="pct"/>
            <w:vAlign w:val="center"/>
          </w:tcPr>
          <w:p w14:paraId="26360D8C" w14:textId="77777777" w:rsidR="003F439D" w:rsidRPr="00A43B9C" w:rsidRDefault="003F439D" w:rsidP="003F439D">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RRL</w:t>
            </w:r>
          </w:p>
        </w:tc>
        <w:tc>
          <w:tcPr>
            <w:tcW w:w="453" w:type="pct"/>
            <w:vAlign w:val="center"/>
          </w:tcPr>
          <w:p w14:paraId="02B28C0E" w14:textId="46E28B5B"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0,264</w:t>
            </w:r>
          </w:p>
        </w:tc>
        <w:tc>
          <w:tcPr>
            <w:tcW w:w="1314" w:type="pct"/>
            <w:vAlign w:val="center"/>
          </w:tcPr>
          <w:p w14:paraId="16B3A08C" w14:textId="3850775B"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Слабая</w:t>
            </w:r>
          </w:p>
        </w:tc>
        <w:tc>
          <w:tcPr>
            <w:tcW w:w="530" w:type="pct"/>
            <w:vAlign w:val="center"/>
          </w:tcPr>
          <w:p w14:paraId="0422DBD4" w14:textId="4ED95D63"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0,056</w:t>
            </w:r>
          </w:p>
        </w:tc>
        <w:tc>
          <w:tcPr>
            <w:tcW w:w="2120" w:type="pct"/>
          </w:tcPr>
          <w:p w14:paraId="48580AA3" w14:textId="6C2C856F"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Слаб</w:t>
            </w:r>
            <w:r w:rsidR="00FD5BB7" w:rsidRPr="00A43B9C">
              <w:rPr>
                <w:rFonts w:ascii="Times New Roman" w:hAnsi="Times New Roman" w:cs="Times New Roman"/>
                <w:sz w:val="28"/>
                <w:szCs w:val="28"/>
              </w:rPr>
              <w:t>ая</w:t>
            </w:r>
            <w:r w:rsidRPr="00A43B9C">
              <w:rPr>
                <w:rFonts w:ascii="Times New Roman" w:hAnsi="Times New Roman" w:cs="Times New Roman"/>
                <w:sz w:val="28"/>
                <w:szCs w:val="28"/>
              </w:rPr>
              <w:t xml:space="preserve"> прямая </w:t>
            </w:r>
            <w:r w:rsidR="00FD5BB7" w:rsidRPr="00A43B9C">
              <w:rPr>
                <w:rFonts w:ascii="Times New Roman" w:hAnsi="Times New Roman" w:cs="Times New Roman"/>
                <w:sz w:val="28"/>
                <w:szCs w:val="28"/>
              </w:rPr>
              <w:t>ассоциация</w:t>
            </w:r>
          </w:p>
        </w:tc>
      </w:tr>
      <w:tr w:rsidR="003F439D" w:rsidRPr="00A43B9C" w14:paraId="37ABE2E2" w14:textId="77777777" w:rsidTr="00290AA2">
        <w:trPr>
          <w:jc w:val="center"/>
        </w:trPr>
        <w:tc>
          <w:tcPr>
            <w:tcW w:w="582" w:type="pct"/>
            <w:vAlign w:val="center"/>
          </w:tcPr>
          <w:p w14:paraId="4509D436" w14:textId="77777777" w:rsidR="003F439D" w:rsidRPr="00A43B9C" w:rsidRDefault="003F439D" w:rsidP="003F439D">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RU</w:t>
            </w:r>
          </w:p>
        </w:tc>
        <w:tc>
          <w:tcPr>
            <w:tcW w:w="453" w:type="pct"/>
            <w:vAlign w:val="center"/>
          </w:tcPr>
          <w:p w14:paraId="251EF9A7" w14:textId="00F9499E"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0,285</w:t>
            </w:r>
          </w:p>
        </w:tc>
        <w:tc>
          <w:tcPr>
            <w:tcW w:w="1314" w:type="pct"/>
            <w:vAlign w:val="center"/>
          </w:tcPr>
          <w:p w14:paraId="305C53EF" w14:textId="4813FD30"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Слабая</w:t>
            </w:r>
          </w:p>
        </w:tc>
        <w:tc>
          <w:tcPr>
            <w:tcW w:w="530" w:type="pct"/>
            <w:vAlign w:val="center"/>
          </w:tcPr>
          <w:p w14:paraId="610CD09D" w14:textId="57AC4FCE"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0,038*</w:t>
            </w:r>
          </w:p>
        </w:tc>
        <w:tc>
          <w:tcPr>
            <w:tcW w:w="2120" w:type="pct"/>
          </w:tcPr>
          <w:p w14:paraId="43ABFA3E" w14:textId="571E3826"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Слаб</w:t>
            </w:r>
            <w:r w:rsidR="00FD5BB7" w:rsidRPr="00A43B9C">
              <w:rPr>
                <w:rFonts w:ascii="Times New Roman" w:hAnsi="Times New Roman" w:cs="Times New Roman"/>
                <w:sz w:val="28"/>
                <w:szCs w:val="28"/>
              </w:rPr>
              <w:t>ая</w:t>
            </w:r>
            <w:r w:rsidRPr="00A43B9C">
              <w:rPr>
                <w:rFonts w:ascii="Times New Roman" w:hAnsi="Times New Roman" w:cs="Times New Roman"/>
                <w:sz w:val="28"/>
                <w:szCs w:val="28"/>
              </w:rPr>
              <w:t xml:space="preserve"> прямая </w:t>
            </w:r>
            <w:r w:rsidR="00FD5BB7" w:rsidRPr="00A43B9C">
              <w:rPr>
                <w:rFonts w:ascii="Times New Roman" w:hAnsi="Times New Roman" w:cs="Times New Roman"/>
                <w:sz w:val="28"/>
                <w:szCs w:val="28"/>
              </w:rPr>
              <w:t>ассоциация</w:t>
            </w:r>
          </w:p>
        </w:tc>
      </w:tr>
      <w:tr w:rsidR="003F439D" w:rsidRPr="00A43B9C" w14:paraId="6D077F2B" w14:textId="77777777" w:rsidTr="00290AA2">
        <w:trPr>
          <w:jc w:val="center"/>
        </w:trPr>
        <w:tc>
          <w:tcPr>
            <w:tcW w:w="582" w:type="pct"/>
            <w:vAlign w:val="center"/>
          </w:tcPr>
          <w:p w14:paraId="582BC115" w14:textId="77777777" w:rsidR="003F439D" w:rsidRPr="00A43B9C" w:rsidRDefault="003F439D" w:rsidP="003F439D">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RLL</w:t>
            </w:r>
          </w:p>
        </w:tc>
        <w:tc>
          <w:tcPr>
            <w:tcW w:w="453" w:type="pct"/>
            <w:vAlign w:val="center"/>
          </w:tcPr>
          <w:p w14:paraId="219B1953" w14:textId="226A1DE1"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0,023</w:t>
            </w:r>
          </w:p>
        </w:tc>
        <w:tc>
          <w:tcPr>
            <w:tcW w:w="1314" w:type="pct"/>
            <w:vAlign w:val="center"/>
          </w:tcPr>
          <w:p w14:paraId="56273EB2" w14:textId="3D5CF09B"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 xml:space="preserve">Нет </w:t>
            </w:r>
            <w:r w:rsidR="00FD5BB7" w:rsidRPr="00A43B9C">
              <w:rPr>
                <w:rFonts w:ascii="Times New Roman" w:hAnsi="Times New Roman" w:cs="Times New Roman"/>
                <w:sz w:val="28"/>
                <w:szCs w:val="28"/>
              </w:rPr>
              <w:t>ассоциации</w:t>
            </w:r>
          </w:p>
        </w:tc>
        <w:tc>
          <w:tcPr>
            <w:tcW w:w="530" w:type="pct"/>
            <w:vAlign w:val="center"/>
          </w:tcPr>
          <w:p w14:paraId="3A9D1FAF" w14:textId="77AA5E59"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0,873</w:t>
            </w:r>
          </w:p>
        </w:tc>
        <w:tc>
          <w:tcPr>
            <w:tcW w:w="2120" w:type="pct"/>
          </w:tcPr>
          <w:p w14:paraId="38D5616E" w14:textId="31874C3E"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 xml:space="preserve">Отсутствует </w:t>
            </w:r>
            <w:r w:rsidR="00FD5BB7" w:rsidRPr="00A43B9C">
              <w:rPr>
                <w:rFonts w:ascii="Times New Roman" w:hAnsi="Times New Roman" w:cs="Times New Roman"/>
                <w:sz w:val="28"/>
                <w:szCs w:val="28"/>
              </w:rPr>
              <w:t>ассоциация</w:t>
            </w:r>
          </w:p>
        </w:tc>
      </w:tr>
      <w:tr w:rsidR="003F439D" w:rsidRPr="00A43B9C" w14:paraId="221B45CD" w14:textId="77777777" w:rsidTr="00290AA2">
        <w:trPr>
          <w:jc w:val="center"/>
        </w:trPr>
        <w:tc>
          <w:tcPr>
            <w:tcW w:w="582" w:type="pct"/>
            <w:vAlign w:val="center"/>
          </w:tcPr>
          <w:p w14:paraId="53A67607" w14:textId="77777777" w:rsidR="003F439D" w:rsidRPr="00A43B9C" w:rsidRDefault="003F439D" w:rsidP="003F439D">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RRI</w:t>
            </w:r>
          </w:p>
        </w:tc>
        <w:tc>
          <w:tcPr>
            <w:tcW w:w="453" w:type="pct"/>
            <w:vAlign w:val="center"/>
          </w:tcPr>
          <w:p w14:paraId="340AC97A" w14:textId="612895A6"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0,239</w:t>
            </w:r>
          </w:p>
        </w:tc>
        <w:tc>
          <w:tcPr>
            <w:tcW w:w="1314" w:type="pct"/>
            <w:vAlign w:val="center"/>
          </w:tcPr>
          <w:p w14:paraId="1CE02C7B" w14:textId="0FD2A86E"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Слабая</w:t>
            </w:r>
          </w:p>
        </w:tc>
        <w:tc>
          <w:tcPr>
            <w:tcW w:w="530" w:type="pct"/>
            <w:vAlign w:val="center"/>
          </w:tcPr>
          <w:p w14:paraId="5F173862" w14:textId="3B32FEFF"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0,085</w:t>
            </w:r>
          </w:p>
        </w:tc>
        <w:tc>
          <w:tcPr>
            <w:tcW w:w="2120" w:type="pct"/>
          </w:tcPr>
          <w:p w14:paraId="18DAEF4E" w14:textId="3267C8E7"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Слаб</w:t>
            </w:r>
            <w:r w:rsidR="00FD5BB7" w:rsidRPr="00A43B9C">
              <w:rPr>
                <w:rFonts w:ascii="Times New Roman" w:hAnsi="Times New Roman" w:cs="Times New Roman"/>
                <w:sz w:val="28"/>
                <w:szCs w:val="28"/>
              </w:rPr>
              <w:t>ая</w:t>
            </w:r>
            <w:r w:rsidRPr="00A43B9C">
              <w:rPr>
                <w:rFonts w:ascii="Times New Roman" w:hAnsi="Times New Roman" w:cs="Times New Roman"/>
                <w:sz w:val="28"/>
                <w:szCs w:val="28"/>
              </w:rPr>
              <w:t xml:space="preserve"> прямая </w:t>
            </w:r>
            <w:r w:rsidR="00FD5BB7" w:rsidRPr="00A43B9C">
              <w:rPr>
                <w:rFonts w:ascii="Times New Roman" w:hAnsi="Times New Roman" w:cs="Times New Roman"/>
                <w:sz w:val="28"/>
                <w:szCs w:val="28"/>
              </w:rPr>
              <w:t>ассоциация</w:t>
            </w:r>
          </w:p>
        </w:tc>
      </w:tr>
      <w:tr w:rsidR="003F439D" w:rsidRPr="00A43B9C" w14:paraId="7F4A8172" w14:textId="77777777" w:rsidTr="00290AA2">
        <w:trPr>
          <w:jc w:val="center"/>
        </w:trPr>
        <w:tc>
          <w:tcPr>
            <w:tcW w:w="582" w:type="pct"/>
            <w:vAlign w:val="center"/>
          </w:tcPr>
          <w:p w14:paraId="0B51815F" w14:textId="77777777" w:rsidR="003F439D" w:rsidRPr="00A43B9C" w:rsidRDefault="003F439D" w:rsidP="003F439D">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RP</w:t>
            </w:r>
          </w:p>
        </w:tc>
        <w:tc>
          <w:tcPr>
            <w:tcW w:w="453" w:type="pct"/>
            <w:vAlign w:val="center"/>
          </w:tcPr>
          <w:p w14:paraId="50DCE051" w14:textId="7BA2A7B6"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0,079</w:t>
            </w:r>
          </w:p>
        </w:tc>
        <w:tc>
          <w:tcPr>
            <w:tcW w:w="1314" w:type="pct"/>
            <w:vAlign w:val="center"/>
          </w:tcPr>
          <w:p w14:paraId="44967637" w14:textId="5293163E"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 xml:space="preserve">Нет </w:t>
            </w:r>
            <w:r w:rsidR="00FD5BB7" w:rsidRPr="00A43B9C">
              <w:rPr>
                <w:rFonts w:ascii="Times New Roman" w:hAnsi="Times New Roman" w:cs="Times New Roman"/>
                <w:sz w:val="28"/>
                <w:szCs w:val="28"/>
              </w:rPr>
              <w:t>ассоциации</w:t>
            </w:r>
          </w:p>
        </w:tc>
        <w:tc>
          <w:tcPr>
            <w:tcW w:w="530" w:type="pct"/>
            <w:vAlign w:val="center"/>
          </w:tcPr>
          <w:p w14:paraId="5B42004F" w14:textId="32E08066"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0,572</w:t>
            </w:r>
          </w:p>
        </w:tc>
        <w:tc>
          <w:tcPr>
            <w:tcW w:w="2120" w:type="pct"/>
          </w:tcPr>
          <w:p w14:paraId="0E12B8DC" w14:textId="3591E430"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 xml:space="preserve">Отсутствует </w:t>
            </w:r>
            <w:r w:rsidR="00FD5BB7" w:rsidRPr="00A43B9C">
              <w:rPr>
                <w:rFonts w:ascii="Times New Roman" w:hAnsi="Times New Roman" w:cs="Times New Roman"/>
                <w:sz w:val="28"/>
                <w:szCs w:val="28"/>
              </w:rPr>
              <w:t>ассоциация</w:t>
            </w:r>
          </w:p>
        </w:tc>
      </w:tr>
      <w:tr w:rsidR="003F439D" w:rsidRPr="00A43B9C" w14:paraId="30BF3931" w14:textId="77777777" w:rsidTr="00290AA2">
        <w:trPr>
          <w:jc w:val="center"/>
        </w:trPr>
        <w:tc>
          <w:tcPr>
            <w:tcW w:w="582" w:type="pct"/>
            <w:vAlign w:val="center"/>
          </w:tcPr>
          <w:p w14:paraId="6854F516" w14:textId="77777777" w:rsidR="003F439D" w:rsidRPr="00A43B9C" w:rsidRDefault="003F439D" w:rsidP="003F439D">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RLI</w:t>
            </w:r>
          </w:p>
        </w:tc>
        <w:tc>
          <w:tcPr>
            <w:tcW w:w="453" w:type="pct"/>
            <w:vAlign w:val="center"/>
          </w:tcPr>
          <w:p w14:paraId="1E4B44CE" w14:textId="360D124B"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0,306</w:t>
            </w:r>
          </w:p>
        </w:tc>
        <w:tc>
          <w:tcPr>
            <w:tcW w:w="1314" w:type="pct"/>
            <w:vAlign w:val="center"/>
          </w:tcPr>
          <w:p w14:paraId="489B5752" w14:textId="17BAF7A6"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Умеренная</w:t>
            </w:r>
          </w:p>
        </w:tc>
        <w:tc>
          <w:tcPr>
            <w:tcW w:w="530" w:type="pct"/>
            <w:vAlign w:val="center"/>
          </w:tcPr>
          <w:p w14:paraId="0A71BF62" w14:textId="520CDECD"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0,026*</w:t>
            </w:r>
          </w:p>
        </w:tc>
        <w:tc>
          <w:tcPr>
            <w:tcW w:w="2120" w:type="pct"/>
          </w:tcPr>
          <w:p w14:paraId="48C7B6DE" w14:textId="4B4C1631"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Умеренн</w:t>
            </w:r>
            <w:r w:rsidR="00FD5BB7" w:rsidRPr="00A43B9C">
              <w:rPr>
                <w:rFonts w:ascii="Times New Roman" w:hAnsi="Times New Roman" w:cs="Times New Roman"/>
                <w:sz w:val="28"/>
                <w:szCs w:val="28"/>
              </w:rPr>
              <w:t xml:space="preserve">ая </w:t>
            </w:r>
            <w:r w:rsidRPr="00A43B9C">
              <w:rPr>
                <w:rFonts w:ascii="Times New Roman" w:hAnsi="Times New Roman" w:cs="Times New Roman"/>
                <w:sz w:val="28"/>
                <w:szCs w:val="28"/>
              </w:rPr>
              <w:t xml:space="preserve">прямая </w:t>
            </w:r>
            <w:r w:rsidR="00FD5BB7" w:rsidRPr="00A43B9C">
              <w:rPr>
                <w:rFonts w:ascii="Times New Roman" w:hAnsi="Times New Roman" w:cs="Times New Roman"/>
                <w:sz w:val="28"/>
                <w:szCs w:val="28"/>
              </w:rPr>
              <w:t>ассоциация</w:t>
            </w:r>
          </w:p>
        </w:tc>
      </w:tr>
      <w:tr w:rsidR="003F439D" w:rsidRPr="00A43B9C" w14:paraId="310579A8" w14:textId="77777777" w:rsidTr="00290AA2">
        <w:trPr>
          <w:jc w:val="center"/>
        </w:trPr>
        <w:tc>
          <w:tcPr>
            <w:tcW w:w="582" w:type="pct"/>
            <w:vAlign w:val="center"/>
          </w:tcPr>
          <w:p w14:paraId="3301DEC6" w14:textId="77777777" w:rsidR="003F439D" w:rsidRPr="00A43B9C" w:rsidRDefault="003F439D" w:rsidP="003F439D">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P</w:t>
            </w:r>
          </w:p>
        </w:tc>
        <w:tc>
          <w:tcPr>
            <w:tcW w:w="453" w:type="pct"/>
            <w:vAlign w:val="center"/>
          </w:tcPr>
          <w:p w14:paraId="69CC20D4" w14:textId="09044EF9"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0,151</w:t>
            </w:r>
          </w:p>
        </w:tc>
        <w:tc>
          <w:tcPr>
            <w:tcW w:w="1314" w:type="pct"/>
            <w:vAlign w:val="center"/>
          </w:tcPr>
          <w:p w14:paraId="5714491E" w14:textId="7EE11F4A"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Слабая</w:t>
            </w:r>
          </w:p>
        </w:tc>
        <w:tc>
          <w:tcPr>
            <w:tcW w:w="530" w:type="pct"/>
            <w:vAlign w:val="center"/>
          </w:tcPr>
          <w:p w14:paraId="4045F783" w14:textId="030B9F09"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0,282</w:t>
            </w:r>
          </w:p>
        </w:tc>
        <w:tc>
          <w:tcPr>
            <w:tcW w:w="2120" w:type="pct"/>
          </w:tcPr>
          <w:p w14:paraId="573540D8" w14:textId="27ADC1E1"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Слаб</w:t>
            </w:r>
            <w:r w:rsidR="00FD5BB7" w:rsidRPr="00A43B9C">
              <w:rPr>
                <w:rFonts w:ascii="Times New Roman" w:hAnsi="Times New Roman" w:cs="Times New Roman"/>
                <w:sz w:val="28"/>
                <w:szCs w:val="28"/>
              </w:rPr>
              <w:t>ая</w:t>
            </w:r>
            <w:r w:rsidRPr="00A43B9C">
              <w:rPr>
                <w:rFonts w:ascii="Times New Roman" w:hAnsi="Times New Roman" w:cs="Times New Roman"/>
                <w:sz w:val="28"/>
                <w:szCs w:val="28"/>
              </w:rPr>
              <w:t xml:space="preserve"> прямая </w:t>
            </w:r>
            <w:r w:rsidR="00FD5BB7" w:rsidRPr="00A43B9C">
              <w:rPr>
                <w:rFonts w:ascii="Times New Roman" w:hAnsi="Times New Roman" w:cs="Times New Roman"/>
                <w:sz w:val="28"/>
                <w:szCs w:val="28"/>
              </w:rPr>
              <w:t>ассоциация</w:t>
            </w:r>
          </w:p>
        </w:tc>
      </w:tr>
      <w:bookmarkEnd w:id="60"/>
    </w:tbl>
    <w:p w14:paraId="0E9CBE85" w14:textId="2E45B62E" w:rsidR="003F439D" w:rsidRPr="00A43B9C" w:rsidRDefault="003F439D" w:rsidP="00E46B54">
      <w:pPr>
        <w:spacing w:after="0" w:line="240" w:lineRule="auto"/>
        <w:jc w:val="center"/>
        <w:rPr>
          <w:rFonts w:ascii="Times New Roman" w:hAnsi="Times New Roman" w:cs="Times New Roman"/>
          <w:sz w:val="28"/>
          <w:szCs w:val="28"/>
        </w:rPr>
      </w:pPr>
    </w:p>
    <w:tbl>
      <w:tblPr>
        <w:tblStyle w:val="ad"/>
        <w:tblW w:w="10908"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6"/>
        <w:gridCol w:w="3636"/>
        <w:gridCol w:w="3636"/>
      </w:tblGrid>
      <w:tr w:rsidR="00243F47" w:rsidRPr="00A43B9C" w14:paraId="49ACEAAC" w14:textId="77777777" w:rsidTr="00533F3C">
        <w:tc>
          <w:tcPr>
            <w:tcW w:w="3636" w:type="dxa"/>
          </w:tcPr>
          <w:p w14:paraId="6AB0F4D4" w14:textId="349AE4CD" w:rsidR="00243F47" w:rsidRPr="00A43B9C" w:rsidRDefault="00267046" w:rsidP="00446A37">
            <w:pPr>
              <w:spacing w:after="0" w:line="240" w:lineRule="auto"/>
              <w:jc w:val="center"/>
              <w:rPr>
                <w:rFonts w:ascii="Times New Roman" w:hAnsi="Times New Roman" w:cs="Times New Roman"/>
                <w:sz w:val="28"/>
                <w:szCs w:val="28"/>
              </w:rPr>
            </w:pPr>
            <w:bookmarkStart w:id="61" w:name="_Hlk133856313"/>
            <w:r w:rsidRPr="00A43B9C">
              <w:rPr>
                <w:noProof/>
                <w:lang w:eastAsia="ru-RU"/>
              </w:rPr>
              <w:lastRenderedPageBreak/>
              <w:drawing>
                <wp:inline distT="0" distB="0" distL="0" distR="0" wp14:anchorId="35485DEC" wp14:editId="3447EB38">
                  <wp:extent cx="2160000" cy="2160000"/>
                  <wp:effectExtent l="0" t="0" r="12065" b="12065"/>
                  <wp:docPr id="122" name="Диаграмма 122">
                    <a:extLst xmlns:a="http://schemas.openxmlformats.org/drawingml/2006/main">
                      <a:ext uri="{FF2B5EF4-FFF2-40B4-BE49-F238E27FC236}">
                        <a16:creationId xmlns:a16="http://schemas.microsoft.com/office/drawing/2014/main" id="{2A17AA5F-C027-4BD1-8C83-AC3E47AF67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tc>
        <w:tc>
          <w:tcPr>
            <w:tcW w:w="3636" w:type="dxa"/>
          </w:tcPr>
          <w:p w14:paraId="21AD4A80" w14:textId="781FEB1E" w:rsidR="00243F47" w:rsidRPr="00A43B9C" w:rsidRDefault="00267046" w:rsidP="00446A37">
            <w:pPr>
              <w:spacing w:after="0" w:line="240" w:lineRule="auto"/>
              <w:jc w:val="center"/>
              <w:rPr>
                <w:rFonts w:ascii="Times New Roman" w:hAnsi="Times New Roman" w:cs="Times New Roman"/>
                <w:sz w:val="28"/>
                <w:szCs w:val="28"/>
              </w:rPr>
            </w:pPr>
            <w:r w:rsidRPr="00A43B9C">
              <w:rPr>
                <w:noProof/>
                <w:lang w:eastAsia="ru-RU"/>
              </w:rPr>
              <w:drawing>
                <wp:inline distT="0" distB="0" distL="0" distR="0" wp14:anchorId="7B8BC6F2" wp14:editId="3C5C253B">
                  <wp:extent cx="2160000" cy="2160000"/>
                  <wp:effectExtent l="0" t="0" r="12065" b="12065"/>
                  <wp:docPr id="123" name="Диаграмма 123">
                    <a:extLst xmlns:a="http://schemas.openxmlformats.org/drawingml/2006/main">
                      <a:ext uri="{FF2B5EF4-FFF2-40B4-BE49-F238E27FC236}">
                        <a16:creationId xmlns:a16="http://schemas.microsoft.com/office/drawing/2014/main" id="{A8BBD147-C0DE-4E76-9EC0-BC25ADEB5A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tc>
        <w:tc>
          <w:tcPr>
            <w:tcW w:w="3636" w:type="dxa"/>
          </w:tcPr>
          <w:p w14:paraId="100FD00B" w14:textId="7D864299" w:rsidR="00243F47" w:rsidRPr="00A43B9C" w:rsidRDefault="00267046" w:rsidP="00446A37">
            <w:pPr>
              <w:spacing w:after="0" w:line="240" w:lineRule="auto"/>
              <w:jc w:val="center"/>
              <w:rPr>
                <w:rFonts w:ascii="Times New Roman" w:hAnsi="Times New Roman" w:cs="Times New Roman"/>
                <w:sz w:val="28"/>
                <w:szCs w:val="28"/>
              </w:rPr>
            </w:pPr>
            <w:r w:rsidRPr="00A43B9C">
              <w:rPr>
                <w:noProof/>
                <w:lang w:eastAsia="ru-RU"/>
              </w:rPr>
              <w:drawing>
                <wp:inline distT="0" distB="0" distL="0" distR="0" wp14:anchorId="22B5E876" wp14:editId="37A3BA87">
                  <wp:extent cx="2160000" cy="2160000"/>
                  <wp:effectExtent l="0" t="0" r="12065" b="12065"/>
                  <wp:docPr id="124" name="Диаграмма 124">
                    <a:extLst xmlns:a="http://schemas.openxmlformats.org/drawingml/2006/main">
                      <a:ext uri="{FF2B5EF4-FFF2-40B4-BE49-F238E27FC236}">
                        <a16:creationId xmlns:a16="http://schemas.microsoft.com/office/drawing/2014/main" id="{BF7230E8-C3D5-4AF3-863B-E5C1A9C5D3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tc>
      </w:tr>
      <w:tr w:rsidR="005E7848" w:rsidRPr="00451963" w14:paraId="061C0F64" w14:textId="77777777" w:rsidTr="00533F3C">
        <w:tc>
          <w:tcPr>
            <w:tcW w:w="3636" w:type="dxa"/>
          </w:tcPr>
          <w:p w14:paraId="09B39690" w14:textId="7C4BF001" w:rsidR="005E7848" w:rsidRPr="00E45A02" w:rsidRDefault="005E7848" w:rsidP="005E7848">
            <w:pPr>
              <w:spacing w:after="0" w:line="240" w:lineRule="auto"/>
              <w:jc w:val="center"/>
              <w:rPr>
                <w:rFonts w:ascii="Times New Roman" w:hAnsi="Times New Roman" w:cs="Times New Roman"/>
                <w:sz w:val="24"/>
                <w:szCs w:val="24"/>
                <w:lang w:val="en-US"/>
              </w:rPr>
            </w:pPr>
            <w:r w:rsidRPr="00451963">
              <w:rPr>
                <w:rFonts w:ascii="Times New Roman" w:hAnsi="Times New Roman" w:cs="Times New Roman"/>
                <w:sz w:val="24"/>
                <w:szCs w:val="24"/>
              </w:rPr>
              <w:t>а)</w:t>
            </w:r>
            <w:r w:rsidR="00451963" w:rsidRPr="00451963">
              <w:rPr>
                <w:rFonts w:ascii="Times New Roman" w:hAnsi="Times New Roman" w:cs="Times New Roman"/>
                <w:sz w:val="24"/>
                <w:szCs w:val="24"/>
              </w:rPr>
              <w:t xml:space="preserve"> Локализация </w:t>
            </w:r>
            <w:r w:rsidR="00E45A02">
              <w:rPr>
                <w:rFonts w:ascii="Times New Roman" w:hAnsi="Times New Roman" w:cs="Times New Roman"/>
                <w:sz w:val="24"/>
                <w:szCs w:val="24"/>
                <w:lang w:val="en-US"/>
              </w:rPr>
              <w:t>RE</w:t>
            </w:r>
          </w:p>
        </w:tc>
        <w:tc>
          <w:tcPr>
            <w:tcW w:w="3636" w:type="dxa"/>
          </w:tcPr>
          <w:p w14:paraId="49A3D021" w14:textId="31BFEF48" w:rsidR="005E7848" w:rsidRPr="00E45A02" w:rsidRDefault="005E7848" w:rsidP="005E7848">
            <w:pPr>
              <w:spacing w:after="0" w:line="240" w:lineRule="auto"/>
              <w:jc w:val="center"/>
              <w:rPr>
                <w:rFonts w:ascii="Times New Roman" w:hAnsi="Times New Roman" w:cs="Times New Roman"/>
                <w:sz w:val="24"/>
                <w:szCs w:val="24"/>
                <w:lang w:val="en-US"/>
              </w:rPr>
            </w:pPr>
            <w:r w:rsidRPr="00451963">
              <w:rPr>
                <w:rFonts w:ascii="Times New Roman" w:hAnsi="Times New Roman" w:cs="Times New Roman"/>
                <w:sz w:val="24"/>
                <w:szCs w:val="24"/>
              </w:rPr>
              <w:t>б)</w:t>
            </w:r>
            <w:r w:rsidR="00E45A02" w:rsidRPr="00451963">
              <w:rPr>
                <w:rFonts w:ascii="Times New Roman" w:hAnsi="Times New Roman" w:cs="Times New Roman"/>
                <w:sz w:val="24"/>
                <w:szCs w:val="24"/>
              </w:rPr>
              <w:t xml:space="preserve"> Локализация</w:t>
            </w:r>
            <w:r w:rsidR="00E45A02">
              <w:rPr>
                <w:rFonts w:ascii="Times New Roman" w:hAnsi="Times New Roman" w:cs="Times New Roman"/>
                <w:sz w:val="24"/>
                <w:szCs w:val="24"/>
                <w:lang w:val="en-US"/>
              </w:rPr>
              <w:t xml:space="preserve"> RLH</w:t>
            </w:r>
          </w:p>
        </w:tc>
        <w:tc>
          <w:tcPr>
            <w:tcW w:w="3636" w:type="dxa"/>
          </w:tcPr>
          <w:p w14:paraId="2C745636" w14:textId="458D104B" w:rsidR="005E7848" w:rsidRPr="00E45A02" w:rsidRDefault="005E7848" w:rsidP="005E7848">
            <w:pPr>
              <w:spacing w:after="0" w:line="240" w:lineRule="auto"/>
              <w:jc w:val="center"/>
              <w:rPr>
                <w:rFonts w:ascii="Times New Roman" w:hAnsi="Times New Roman" w:cs="Times New Roman"/>
                <w:sz w:val="24"/>
                <w:szCs w:val="24"/>
                <w:lang w:val="en-US"/>
              </w:rPr>
            </w:pPr>
            <w:r w:rsidRPr="00451963">
              <w:rPr>
                <w:rFonts w:ascii="Times New Roman" w:hAnsi="Times New Roman" w:cs="Times New Roman"/>
                <w:sz w:val="24"/>
                <w:szCs w:val="24"/>
              </w:rPr>
              <w:t>в)</w:t>
            </w:r>
            <w:r w:rsidR="00E45A02" w:rsidRPr="00451963">
              <w:rPr>
                <w:rFonts w:ascii="Times New Roman" w:hAnsi="Times New Roman" w:cs="Times New Roman"/>
                <w:sz w:val="24"/>
                <w:szCs w:val="24"/>
              </w:rPr>
              <w:t xml:space="preserve"> Локализация</w:t>
            </w:r>
            <w:r w:rsidR="00E45A02">
              <w:rPr>
                <w:rFonts w:ascii="Times New Roman" w:hAnsi="Times New Roman" w:cs="Times New Roman"/>
                <w:sz w:val="24"/>
                <w:szCs w:val="24"/>
                <w:lang w:val="en-US"/>
              </w:rPr>
              <w:t xml:space="preserve"> RRL</w:t>
            </w:r>
          </w:p>
        </w:tc>
      </w:tr>
      <w:tr w:rsidR="00243F47" w:rsidRPr="00A43B9C" w14:paraId="00A9EE29" w14:textId="77777777" w:rsidTr="00533F3C">
        <w:tc>
          <w:tcPr>
            <w:tcW w:w="3636" w:type="dxa"/>
          </w:tcPr>
          <w:p w14:paraId="7D872486" w14:textId="5719AB87" w:rsidR="00243F47" w:rsidRPr="00A43B9C" w:rsidRDefault="00267046" w:rsidP="00446A37">
            <w:pPr>
              <w:spacing w:after="0" w:line="240" w:lineRule="auto"/>
              <w:jc w:val="center"/>
              <w:rPr>
                <w:rFonts w:ascii="Times New Roman" w:hAnsi="Times New Roman" w:cs="Times New Roman"/>
                <w:sz w:val="28"/>
                <w:szCs w:val="28"/>
              </w:rPr>
            </w:pPr>
            <w:r w:rsidRPr="00A43B9C">
              <w:rPr>
                <w:noProof/>
                <w:lang w:eastAsia="ru-RU"/>
              </w:rPr>
              <w:drawing>
                <wp:inline distT="0" distB="0" distL="0" distR="0" wp14:anchorId="0ED6347C" wp14:editId="4AA835BD">
                  <wp:extent cx="2160000" cy="2160000"/>
                  <wp:effectExtent l="0" t="0" r="12065" b="12065"/>
                  <wp:docPr id="125" name="Диаграмма 125">
                    <a:extLst xmlns:a="http://schemas.openxmlformats.org/drawingml/2006/main">
                      <a:ext uri="{FF2B5EF4-FFF2-40B4-BE49-F238E27FC236}">
                        <a16:creationId xmlns:a16="http://schemas.microsoft.com/office/drawing/2014/main" id="{85C37571-22E7-4CEC-BE1D-6E3FCD745A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tc>
        <w:tc>
          <w:tcPr>
            <w:tcW w:w="3636" w:type="dxa"/>
          </w:tcPr>
          <w:p w14:paraId="44912789" w14:textId="364363DF" w:rsidR="00243F47" w:rsidRPr="00A43B9C" w:rsidRDefault="00267046" w:rsidP="00446A37">
            <w:pPr>
              <w:spacing w:after="0" w:line="240" w:lineRule="auto"/>
              <w:jc w:val="center"/>
              <w:rPr>
                <w:rFonts w:ascii="Times New Roman" w:hAnsi="Times New Roman" w:cs="Times New Roman"/>
                <w:sz w:val="28"/>
                <w:szCs w:val="28"/>
              </w:rPr>
            </w:pPr>
            <w:r w:rsidRPr="00A43B9C">
              <w:rPr>
                <w:noProof/>
                <w:lang w:eastAsia="ru-RU"/>
              </w:rPr>
              <w:drawing>
                <wp:inline distT="0" distB="0" distL="0" distR="0" wp14:anchorId="525B4178" wp14:editId="11EB822C">
                  <wp:extent cx="2160000" cy="2160000"/>
                  <wp:effectExtent l="0" t="0" r="12065" b="12065"/>
                  <wp:docPr id="126" name="Диаграмма 126">
                    <a:extLst xmlns:a="http://schemas.openxmlformats.org/drawingml/2006/main">
                      <a:ext uri="{FF2B5EF4-FFF2-40B4-BE49-F238E27FC236}">
                        <a16:creationId xmlns:a16="http://schemas.microsoft.com/office/drawing/2014/main" id="{4260DBAE-C2FE-4697-BF09-786AD04A4E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tc>
        <w:tc>
          <w:tcPr>
            <w:tcW w:w="3636" w:type="dxa"/>
          </w:tcPr>
          <w:p w14:paraId="0FA67A2E" w14:textId="12995E3B" w:rsidR="00243F47" w:rsidRPr="00A43B9C" w:rsidRDefault="00267046" w:rsidP="00446A37">
            <w:pPr>
              <w:spacing w:after="0" w:line="240" w:lineRule="auto"/>
              <w:jc w:val="center"/>
              <w:rPr>
                <w:rFonts w:ascii="Times New Roman" w:hAnsi="Times New Roman" w:cs="Times New Roman"/>
                <w:sz w:val="28"/>
                <w:szCs w:val="28"/>
              </w:rPr>
            </w:pPr>
            <w:r w:rsidRPr="00A43B9C">
              <w:rPr>
                <w:noProof/>
                <w:lang w:eastAsia="ru-RU"/>
              </w:rPr>
              <w:drawing>
                <wp:inline distT="0" distB="0" distL="0" distR="0" wp14:anchorId="20C0C06C" wp14:editId="1DA2B18C">
                  <wp:extent cx="2160000" cy="2160000"/>
                  <wp:effectExtent l="0" t="0" r="12065" b="12065"/>
                  <wp:docPr id="127" name="Диаграмма 127">
                    <a:extLst xmlns:a="http://schemas.openxmlformats.org/drawingml/2006/main">
                      <a:ext uri="{FF2B5EF4-FFF2-40B4-BE49-F238E27FC236}">
                        <a16:creationId xmlns:a16="http://schemas.microsoft.com/office/drawing/2014/main" id="{7E81FB9A-48A7-48C4-97B7-F6C36EA006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tc>
      </w:tr>
      <w:tr w:rsidR="005E7848" w:rsidRPr="00451963" w14:paraId="474BA2A1" w14:textId="77777777" w:rsidTr="00533F3C">
        <w:tc>
          <w:tcPr>
            <w:tcW w:w="3636" w:type="dxa"/>
          </w:tcPr>
          <w:p w14:paraId="12225E42" w14:textId="441EFC40" w:rsidR="005E7848" w:rsidRPr="00E45A02" w:rsidRDefault="005E7848" w:rsidP="005E7848">
            <w:pPr>
              <w:spacing w:after="0" w:line="240" w:lineRule="auto"/>
              <w:jc w:val="center"/>
              <w:rPr>
                <w:rFonts w:ascii="Times New Roman" w:hAnsi="Times New Roman" w:cs="Times New Roman"/>
                <w:sz w:val="24"/>
                <w:szCs w:val="24"/>
                <w:lang w:val="en-US"/>
              </w:rPr>
            </w:pPr>
            <w:r w:rsidRPr="00451963">
              <w:rPr>
                <w:rFonts w:ascii="Times New Roman" w:hAnsi="Times New Roman" w:cs="Times New Roman"/>
                <w:sz w:val="24"/>
                <w:szCs w:val="24"/>
              </w:rPr>
              <w:t>г)</w:t>
            </w:r>
            <w:r w:rsidR="00E45A02" w:rsidRPr="00451963">
              <w:rPr>
                <w:rFonts w:ascii="Times New Roman" w:hAnsi="Times New Roman" w:cs="Times New Roman"/>
                <w:sz w:val="24"/>
                <w:szCs w:val="24"/>
              </w:rPr>
              <w:t xml:space="preserve"> Локализация</w:t>
            </w:r>
            <w:r w:rsidR="00E45A02">
              <w:rPr>
                <w:rFonts w:ascii="Times New Roman" w:hAnsi="Times New Roman" w:cs="Times New Roman"/>
                <w:sz w:val="24"/>
                <w:szCs w:val="24"/>
                <w:lang w:val="en-US"/>
              </w:rPr>
              <w:t xml:space="preserve"> RU</w:t>
            </w:r>
          </w:p>
        </w:tc>
        <w:tc>
          <w:tcPr>
            <w:tcW w:w="3636" w:type="dxa"/>
          </w:tcPr>
          <w:p w14:paraId="4B86C8C4" w14:textId="6CD2FF42" w:rsidR="005E7848" w:rsidRPr="00E45A02" w:rsidRDefault="005E7848" w:rsidP="005E7848">
            <w:pPr>
              <w:spacing w:after="0" w:line="240" w:lineRule="auto"/>
              <w:jc w:val="center"/>
              <w:rPr>
                <w:rFonts w:ascii="Times New Roman" w:hAnsi="Times New Roman" w:cs="Times New Roman"/>
                <w:sz w:val="24"/>
                <w:szCs w:val="24"/>
                <w:lang w:val="en-US"/>
              </w:rPr>
            </w:pPr>
            <w:r w:rsidRPr="00451963">
              <w:rPr>
                <w:rFonts w:ascii="Times New Roman" w:hAnsi="Times New Roman" w:cs="Times New Roman"/>
                <w:sz w:val="24"/>
                <w:szCs w:val="24"/>
              </w:rPr>
              <w:t>д)</w:t>
            </w:r>
            <w:r w:rsidR="00E45A02" w:rsidRPr="00451963">
              <w:rPr>
                <w:rFonts w:ascii="Times New Roman" w:hAnsi="Times New Roman" w:cs="Times New Roman"/>
                <w:sz w:val="24"/>
                <w:szCs w:val="24"/>
              </w:rPr>
              <w:t xml:space="preserve"> Локализация</w:t>
            </w:r>
            <w:r w:rsidR="00E45A02">
              <w:rPr>
                <w:rFonts w:ascii="Times New Roman" w:hAnsi="Times New Roman" w:cs="Times New Roman"/>
                <w:sz w:val="24"/>
                <w:szCs w:val="24"/>
                <w:lang w:val="en-US"/>
              </w:rPr>
              <w:t xml:space="preserve"> RLL</w:t>
            </w:r>
          </w:p>
        </w:tc>
        <w:tc>
          <w:tcPr>
            <w:tcW w:w="3636" w:type="dxa"/>
          </w:tcPr>
          <w:p w14:paraId="0CD0F4CA" w14:textId="7D190909" w:rsidR="005E7848" w:rsidRPr="00E45A02" w:rsidRDefault="005E7848" w:rsidP="005E7848">
            <w:pPr>
              <w:spacing w:after="0" w:line="240" w:lineRule="auto"/>
              <w:jc w:val="center"/>
              <w:rPr>
                <w:rFonts w:ascii="Times New Roman" w:hAnsi="Times New Roman" w:cs="Times New Roman"/>
                <w:sz w:val="24"/>
                <w:szCs w:val="24"/>
                <w:lang w:val="en-US"/>
              </w:rPr>
            </w:pPr>
            <w:r w:rsidRPr="00451963">
              <w:rPr>
                <w:rFonts w:ascii="Times New Roman" w:hAnsi="Times New Roman" w:cs="Times New Roman"/>
                <w:sz w:val="24"/>
                <w:szCs w:val="24"/>
              </w:rPr>
              <w:t>е)</w:t>
            </w:r>
            <w:r w:rsidR="00E45A02" w:rsidRPr="00451963">
              <w:rPr>
                <w:rFonts w:ascii="Times New Roman" w:hAnsi="Times New Roman" w:cs="Times New Roman"/>
                <w:sz w:val="24"/>
                <w:szCs w:val="24"/>
              </w:rPr>
              <w:t xml:space="preserve"> Локализация</w:t>
            </w:r>
            <w:r w:rsidR="00E45A02">
              <w:rPr>
                <w:rFonts w:ascii="Times New Roman" w:hAnsi="Times New Roman" w:cs="Times New Roman"/>
                <w:sz w:val="24"/>
                <w:szCs w:val="24"/>
                <w:lang w:val="en-US"/>
              </w:rPr>
              <w:t xml:space="preserve"> RRI</w:t>
            </w:r>
          </w:p>
        </w:tc>
      </w:tr>
      <w:tr w:rsidR="00243F47" w:rsidRPr="00A43B9C" w14:paraId="690CA9B8" w14:textId="77777777" w:rsidTr="00533F3C">
        <w:tc>
          <w:tcPr>
            <w:tcW w:w="3636" w:type="dxa"/>
          </w:tcPr>
          <w:p w14:paraId="3BAACBA3" w14:textId="4EE8F300" w:rsidR="00243F47" w:rsidRPr="00A43B9C" w:rsidRDefault="00267046" w:rsidP="00446A37">
            <w:pPr>
              <w:spacing w:after="0" w:line="240" w:lineRule="auto"/>
              <w:jc w:val="center"/>
              <w:rPr>
                <w:rFonts w:ascii="Times New Roman" w:hAnsi="Times New Roman" w:cs="Times New Roman"/>
                <w:sz w:val="28"/>
                <w:szCs w:val="28"/>
              </w:rPr>
            </w:pPr>
            <w:r w:rsidRPr="00A43B9C">
              <w:rPr>
                <w:noProof/>
                <w:lang w:eastAsia="ru-RU"/>
              </w:rPr>
              <w:drawing>
                <wp:inline distT="0" distB="0" distL="0" distR="0" wp14:anchorId="59BF209D" wp14:editId="14530A2B">
                  <wp:extent cx="2160000" cy="2160000"/>
                  <wp:effectExtent l="0" t="0" r="12065" b="12065"/>
                  <wp:docPr id="128" name="Диаграмма 128">
                    <a:extLst xmlns:a="http://schemas.openxmlformats.org/drawingml/2006/main">
                      <a:ext uri="{FF2B5EF4-FFF2-40B4-BE49-F238E27FC236}">
                        <a16:creationId xmlns:a16="http://schemas.microsoft.com/office/drawing/2014/main" id="{C87E61C9-45B8-4165-AFDF-167FACC726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tc>
        <w:tc>
          <w:tcPr>
            <w:tcW w:w="3636" w:type="dxa"/>
          </w:tcPr>
          <w:p w14:paraId="2252FB31" w14:textId="2A20684C" w:rsidR="00243F47" w:rsidRPr="00A43B9C" w:rsidRDefault="00267046" w:rsidP="00446A37">
            <w:pPr>
              <w:spacing w:after="0" w:line="240" w:lineRule="auto"/>
              <w:jc w:val="center"/>
              <w:rPr>
                <w:rFonts w:ascii="Times New Roman" w:hAnsi="Times New Roman" w:cs="Times New Roman"/>
                <w:sz w:val="28"/>
                <w:szCs w:val="28"/>
              </w:rPr>
            </w:pPr>
            <w:r w:rsidRPr="00A43B9C">
              <w:rPr>
                <w:noProof/>
                <w:lang w:eastAsia="ru-RU"/>
              </w:rPr>
              <w:drawing>
                <wp:inline distT="0" distB="0" distL="0" distR="0" wp14:anchorId="384E054D" wp14:editId="242E1EB6">
                  <wp:extent cx="2160000" cy="2160000"/>
                  <wp:effectExtent l="0" t="0" r="12065" b="12065"/>
                  <wp:docPr id="129" name="Диаграмма 129">
                    <a:extLst xmlns:a="http://schemas.openxmlformats.org/drawingml/2006/main">
                      <a:ext uri="{FF2B5EF4-FFF2-40B4-BE49-F238E27FC236}">
                        <a16:creationId xmlns:a16="http://schemas.microsoft.com/office/drawing/2014/main" id="{04FBC834-CE39-4E51-A8BB-CE55982604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tc>
        <w:tc>
          <w:tcPr>
            <w:tcW w:w="3636" w:type="dxa"/>
          </w:tcPr>
          <w:p w14:paraId="647B4B82" w14:textId="46C8C36A" w:rsidR="00243F47" w:rsidRPr="00A43B9C" w:rsidRDefault="00267046" w:rsidP="00446A37">
            <w:pPr>
              <w:spacing w:after="0" w:line="240" w:lineRule="auto"/>
              <w:jc w:val="center"/>
              <w:rPr>
                <w:rFonts w:ascii="Times New Roman" w:hAnsi="Times New Roman" w:cs="Times New Roman"/>
                <w:sz w:val="28"/>
                <w:szCs w:val="28"/>
              </w:rPr>
            </w:pPr>
            <w:r w:rsidRPr="00A43B9C">
              <w:rPr>
                <w:noProof/>
                <w:lang w:eastAsia="ru-RU"/>
              </w:rPr>
              <w:drawing>
                <wp:inline distT="0" distB="0" distL="0" distR="0" wp14:anchorId="1EFD8B8E" wp14:editId="7FDF9C73">
                  <wp:extent cx="2160000" cy="2160000"/>
                  <wp:effectExtent l="0" t="0" r="12065" b="12065"/>
                  <wp:docPr id="130" name="Диаграмма 130">
                    <a:extLst xmlns:a="http://schemas.openxmlformats.org/drawingml/2006/main">
                      <a:ext uri="{FF2B5EF4-FFF2-40B4-BE49-F238E27FC236}">
                        <a16:creationId xmlns:a16="http://schemas.microsoft.com/office/drawing/2014/main" id="{1DCCE7FE-7C0B-47AD-A5BF-2ED7E931AB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tc>
      </w:tr>
      <w:tr w:rsidR="005E7848" w:rsidRPr="00451963" w14:paraId="115F2938" w14:textId="77777777" w:rsidTr="00533F3C">
        <w:tc>
          <w:tcPr>
            <w:tcW w:w="3636" w:type="dxa"/>
          </w:tcPr>
          <w:p w14:paraId="25D7DC79" w14:textId="00E88988" w:rsidR="005E7848" w:rsidRPr="00E45A02" w:rsidRDefault="005E7848" w:rsidP="005E7848">
            <w:pPr>
              <w:spacing w:after="0" w:line="240" w:lineRule="auto"/>
              <w:jc w:val="center"/>
              <w:rPr>
                <w:rFonts w:ascii="Times New Roman" w:hAnsi="Times New Roman" w:cs="Times New Roman"/>
                <w:sz w:val="24"/>
                <w:szCs w:val="24"/>
                <w:lang w:val="en-US"/>
              </w:rPr>
            </w:pPr>
            <w:r w:rsidRPr="00451963">
              <w:rPr>
                <w:rFonts w:ascii="Times New Roman" w:hAnsi="Times New Roman" w:cs="Times New Roman"/>
                <w:sz w:val="24"/>
                <w:szCs w:val="24"/>
              </w:rPr>
              <w:t>ж)</w:t>
            </w:r>
            <w:r w:rsidR="00E45A02" w:rsidRPr="00451963">
              <w:rPr>
                <w:rFonts w:ascii="Times New Roman" w:hAnsi="Times New Roman" w:cs="Times New Roman"/>
                <w:sz w:val="24"/>
                <w:szCs w:val="24"/>
              </w:rPr>
              <w:t xml:space="preserve"> Локализация</w:t>
            </w:r>
            <w:r w:rsidR="00E45A02">
              <w:rPr>
                <w:rFonts w:ascii="Times New Roman" w:hAnsi="Times New Roman" w:cs="Times New Roman"/>
                <w:sz w:val="24"/>
                <w:szCs w:val="24"/>
                <w:lang w:val="en-US"/>
              </w:rPr>
              <w:t xml:space="preserve"> RP</w:t>
            </w:r>
          </w:p>
        </w:tc>
        <w:tc>
          <w:tcPr>
            <w:tcW w:w="3636" w:type="dxa"/>
          </w:tcPr>
          <w:p w14:paraId="6531E59F" w14:textId="58B8378D" w:rsidR="005E7848" w:rsidRPr="00E45A02" w:rsidRDefault="005E7848" w:rsidP="005E7848">
            <w:pPr>
              <w:spacing w:after="0" w:line="240" w:lineRule="auto"/>
              <w:jc w:val="center"/>
              <w:rPr>
                <w:rFonts w:ascii="Times New Roman" w:hAnsi="Times New Roman" w:cs="Times New Roman"/>
                <w:sz w:val="24"/>
                <w:szCs w:val="24"/>
                <w:lang w:val="en-US"/>
              </w:rPr>
            </w:pPr>
            <w:r w:rsidRPr="00451963">
              <w:rPr>
                <w:rFonts w:ascii="Times New Roman" w:hAnsi="Times New Roman" w:cs="Times New Roman"/>
                <w:sz w:val="24"/>
                <w:szCs w:val="24"/>
              </w:rPr>
              <w:t>к)</w:t>
            </w:r>
            <w:r w:rsidR="00E45A02" w:rsidRPr="00451963">
              <w:rPr>
                <w:rFonts w:ascii="Times New Roman" w:hAnsi="Times New Roman" w:cs="Times New Roman"/>
                <w:sz w:val="24"/>
                <w:szCs w:val="24"/>
              </w:rPr>
              <w:t xml:space="preserve"> Локализация</w:t>
            </w:r>
            <w:r w:rsidR="00E45A02">
              <w:rPr>
                <w:rFonts w:ascii="Times New Roman" w:hAnsi="Times New Roman" w:cs="Times New Roman"/>
                <w:sz w:val="24"/>
                <w:szCs w:val="24"/>
                <w:lang w:val="en-US"/>
              </w:rPr>
              <w:t xml:space="preserve"> RLI</w:t>
            </w:r>
          </w:p>
        </w:tc>
        <w:tc>
          <w:tcPr>
            <w:tcW w:w="3636" w:type="dxa"/>
          </w:tcPr>
          <w:p w14:paraId="4642F288" w14:textId="33F03519" w:rsidR="005E7848" w:rsidRPr="00E45A02" w:rsidRDefault="005E7848" w:rsidP="005E7848">
            <w:pPr>
              <w:spacing w:after="0" w:line="240" w:lineRule="auto"/>
              <w:jc w:val="center"/>
              <w:rPr>
                <w:rFonts w:ascii="Times New Roman" w:hAnsi="Times New Roman" w:cs="Times New Roman"/>
                <w:sz w:val="24"/>
                <w:szCs w:val="24"/>
                <w:lang w:val="en-US"/>
              </w:rPr>
            </w:pPr>
            <w:r w:rsidRPr="00451963">
              <w:rPr>
                <w:rFonts w:ascii="Times New Roman" w:hAnsi="Times New Roman" w:cs="Times New Roman"/>
                <w:sz w:val="24"/>
                <w:szCs w:val="24"/>
              </w:rPr>
              <w:t>л)</w:t>
            </w:r>
            <w:r w:rsidR="00E45A02" w:rsidRPr="00451963">
              <w:rPr>
                <w:rFonts w:ascii="Times New Roman" w:hAnsi="Times New Roman" w:cs="Times New Roman"/>
                <w:sz w:val="24"/>
                <w:szCs w:val="24"/>
              </w:rPr>
              <w:t xml:space="preserve"> Локализация</w:t>
            </w:r>
            <w:r w:rsidR="00E45A02">
              <w:rPr>
                <w:rFonts w:ascii="Times New Roman" w:hAnsi="Times New Roman" w:cs="Times New Roman"/>
                <w:sz w:val="24"/>
                <w:szCs w:val="24"/>
                <w:lang w:val="en-US"/>
              </w:rPr>
              <w:t xml:space="preserve"> P</w:t>
            </w:r>
          </w:p>
        </w:tc>
      </w:tr>
      <w:bookmarkEnd w:id="61"/>
    </w:tbl>
    <w:p w14:paraId="0BAA7B97" w14:textId="77777777" w:rsidR="00451963" w:rsidRDefault="00451963" w:rsidP="00243F47">
      <w:pPr>
        <w:spacing w:after="0" w:line="240" w:lineRule="auto"/>
        <w:jc w:val="center"/>
        <w:rPr>
          <w:rFonts w:ascii="Times New Roman" w:hAnsi="Times New Roman" w:cs="Times New Roman"/>
          <w:sz w:val="28"/>
          <w:szCs w:val="28"/>
        </w:rPr>
      </w:pPr>
    </w:p>
    <w:p w14:paraId="2F9C207F" w14:textId="662DAC84" w:rsidR="00243F47" w:rsidRPr="00E45A02" w:rsidRDefault="00243F47" w:rsidP="00243F4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1</w:t>
      </w:r>
      <w:r w:rsidR="00006C4D">
        <w:rPr>
          <w:rFonts w:ascii="Times New Roman" w:hAnsi="Times New Roman" w:cs="Times New Roman"/>
          <w:sz w:val="28"/>
          <w:szCs w:val="28"/>
        </w:rPr>
        <w:t>2</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График регрессионной функции уровня </w:t>
      </w:r>
      <w:r w:rsidR="009307C9" w:rsidRPr="00A43B9C">
        <w:rPr>
          <w:rFonts w:ascii="Times New Roman" w:hAnsi="Times New Roman" w:cs="Times New Roman"/>
          <w:sz w:val="28"/>
          <w:szCs w:val="28"/>
        </w:rPr>
        <w:t xml:space="preserve">накопления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w:t>
      </w:r>
      <w:r w:rsidR="00FD5BB7" w:rsidRPr="00A43B9C">
        <w:rPr>
          <w:rFonts w:ascii="Times New Roman" w:eastAsia="NewtonC" w:hAnsi="Times New Roman" w:cs="Times New Roman"/>
          <w:sz w:val="28"/>
          <w:szCs w:val="28"/>
        </w:rPr>
        <w:t>по локализациям</w:t>
      </w:r>
    </w:p>
    <w:p w14:paraId="3825D33A" w14:textId="77777777" w:rsidR="00451963" w:rsidRPr="00A43B9C" w:rsidRDefault="00451963" w:rsidP="00243F47">
      <w:pPr>
        <w:spacing w:after="0" w:line="240" w:lineRule="auto"/>
        <w:jc w:val="center"/>
        <w:rPr>
          <w:rFonts w:ascii="Times New Roman" w:hAnsi="Times New Roman" w:cs="Times New Roman"/>
          <w:sz w:val="28"/>
          <w:szCs w:val="28"/>
        </w:rPr>
      </w:pPr>
    </w:p>
    <w:p w14:paraId="29D5E86B" w14:textId="12F3241A" w:rsidR="00820F93" w:rsidRPr="00E45A02" w:rsidRDefault="00820F93" w:rsidP="006E2E0F">
      <w:pPr>
        <w:pStyle w:val="31"/>
        <w:spacing w:before="0" w:line="240" w:lineRule="auto"/>
        <w:ind w:firstLine="709"/>
        <w:jc w:val="both"/>
        <w:rPr>
          <w:rFonts w:ascii="Times New Roman" w:eastAsia="Times New Roman" w:hAnsi="Times New Roman" w:cs="Times New Roman"/>
          <w:color w:val="auto"/>
          <w:sz w:val="28"/>
          <w:szCs w:val="28"/>
          <w:lang w:eastAsia="ru-RU"/>
        </w:rPr>
      </w:pPr>
      <w:bookmarkStart w:id="62" w:name="_Toc101861818"/>
      <w:bookmarkStart w:id="63" w:name="_Toc102937621"/>
      <w:bookmarkEnd w:id="59"/>
      <w:r w:rsidRPr="00E45A02">
        <w:rPr>
          <w:rFonts w:ascii="Times New Roman" w:eastAsia="Times New Roman" w:hAnsi="Times New Roman" w:cs="Times New Roman"/>
          <w:color w:val="auto"/>
          <w:sz w:val="28"/>
          <w:szCs w:val="28"/>
          <w:lang w:eastAsia="ru-RU"/>
        </w:rPr>
        <w:t>3.</w:t>
      </w:r>
      <w:r w:rsidR="00040E82" w:rsidRPr="00E45A02">
        <w:rPr>
          <w:rFonts w:ascii="Times New Roman" w:eastAsia="Times New Roman" w:hAnsi="Times New Roman" w:cs="Times New Roman"/>
          <w:color w:val="auto"/>
          <w:sz w:val="28"/>
          <w:szCs w:val="28"/>
          <w:lang w:eastAsia="ru-RU"/>
        </w:rPr>
        <w:t>1.</w:t>
      </w:r>
      <w:r w:rsidR="00B674B1" w:rsidRPr="00E45A02">
        <w:rPr>
          <w:rFonts w:ascii="Times New Roman" w:eastAsia="Times New Roman" w:hAnsi="Times New Roman" w:cs="Times New Roman"/>
          <w:color w:val="auto"/>
          <w:sz w:val="28"/>
          <w:szCs w:val="28"/>
          <w:lang w:eastAsia="ru-RU"/>
        </w:rPr>
        <w:t>3</w:t>
      </w:r>
      <w:r w:rsidRPr="00E45A02">
        <w:rPr>
          <w:rFonts w:ascii="Times New Roman" w:eastAsia="Times New Roman" w:hAnsi="Times New Roman" w:cs="Times New Roman"/>
          <w:color w:val="auto"/>
          <w:sz w:val="28"/>
          <w:szCs w:val="28"/>
          <w:lang w:eastAsia="ru-RU"/>
        </w:rPr>
        <w:t xml:space="preserve"> </w:t>
      </w:r>
      <w:r w:rsidR="0075659D" w:rsidRPr="00E45A02">
        <w:rPr>
          <w:rFonts w:ascii="Times New Roman" w:hAnsi="Times New Roman" w:cs="Times New Roman"/>
          <w:color w:val="auto"/>
          <w:sz w:val="28"/>
          <w:szCs w:val="28"/>
          <w:lang w:eastAsia="ru-RU"/>
        </w:rPr>
        <w:t xml:space="preserve">Динамика уровня накопления </w:t>
      </w:r>
      <w:r w:rsidR="0075659D" w:rsidRPr="00E45A02">
        <w:rPr>
          <w:rFonts w:ascii="Times New Roman" w:hAnsi="Times New Roman" w:cs="Times New Roman"/>
          <w:color w:val="auto"/>
          <w:sz w:val="28"/>
          <w:szCs w:val="28"/>
          <w:lang w:val="en-US" w:eastAsia="ru-RU"/>
        </w:rPr>
        <w:t>SUV</w:t>
      </w:r>
      <w:r w:rsidR="0075659D" w:rsidRPr="00E45A02">
        <w:rPr>
          <w:rFonts w:ascii="Times New Roman" w:hAnsi="Times New Roman" w:cs="Times New Roman"/>
          <w:color w:val="auto"/>
          <w:sz w:val="28"/>
          <w:szCs w:val="28"/>
          <w:vertAlign w:val="subscript"/>
          <w:lang w:val="en-US" w:eastAsia="ru-RU"/>
        </w:rPr>
        <w:t>max</w:t>
      </w:r>
      <w:r w:rsidR="0075659D" w:rsidRPr="00E45A02">
        <w:rPr>
          <w:rFonts w:ascii="Times New Roman" w:hAnsi="Times New Roman" w:cs="Times New Roman"/>
          <w:color w:val="auto"/>
          <w:sz w:val="28"/>
          <w:szCs w:val="28"/>
          <w:lang w:eastAsia="ru-RU"/>
        </w:rPr>
        <w:t xml:space="preserve"> в висцеральном жире в зависимости от </w:t>
      </w:r>
      <w:r w:rsidR="00FD338B" w:rsidRPr="00E45A02">
        <w:rPr>
          <w:rFonts w:ascii="Times New Roman" w:hAnsi="Times New Roman" w:cs="Times New Roman"/>
          <w:color w:val="auto"/>
          <w:sz w:val="28"/>
          <w:szCs w:val="28"/>
          <w:lang w:eastAsia="ru-RU"/>
        </w:rPr>
        <w:t>метастатического поражения брюшины</w:t>
      </w:r>
      <w:bookmarkEnd w:id="62"/>
      <w:bookmarkEnd w:id="63"/>
    </w:p>
    <w:p w14:paraId="2DFFE628" w14:textId="5C319B6D" w:rsidR="00B00C52" w:rsidRPr="00A43B9C" w:rsidRDefault="00EF7C89" w:rsidP="00B00C52">
      <w:pPr>
        <w:spacing w:after="0" w:line="240" w:lineRule="auto"/>
        <w:ind w:firstLine="709"/>
        <w:jc w:val="both"/>
        <w:rPr>
          <w:rFonts w:ascii="Times New Roman" w:hAnsi="Times New Roman" w:cs="Times New Roman"/>
          <w:sz w:val="28"/>
          <w:szCs w:val="28"/>
        </w:rPr>
      </w:pPr>
      <w:bookmarkStart w:id="64" w:name="_Hlk101444839"/>
      <w:r>
        <w:rPr>
          <w:rFonts w:ascii="Times New Roman" w:hAnsi="Times New Roman" w:cs="Times New Roman"/>
          <w:sz w:val="28"/>
          <w:szCs w:val="28"/>
        </w:rPr>
        <w:t xml:space="preserve">В результате проведенного анализа показана динамика уровня накопления </w:t>
      </w:r>
      <w:r w:rsidR="001A0532" w:rsidRPr="00A43B9C">
        <w:rPr>
          <w:rFonts w:ascii="Times New Roman" w:eastAsia="Times New Roman" w:hAnsi="Times New Roman" w:cs="Times New Roman"/>
          <w:sz w:val="28"/>
          <w:szCs w:val="28"/>
          <w:lang w:val="en-US" w:eastAsia="ru-RU"/>
        </w:rPr>
        <w:t>SUV</w:t>
      </w:r>
      <w:r w:rsidR="001A0532" w:rsidRPr="00A43B9C">
        <w:rPr>
          <w:rFonts w:ascii="Times New Roman" w:eastAsia="Times New Roman" w:hAnsi="Times New Roman" w:cs="Times New Roman"/>
          <w:sz w:val="28"/>
          <w:szCs w:val="28"/>
          <w:vertAlign w:val="subscript"/>
          <w:lang w:val="en-US" w:eastAsia="ru-RU"/>
        </w:rPr>
        <w:t>max</w:t>
      </w:r>
      <w:r w:rsidR="001A0532" w:rsidRPr="00A43B9C">
        <w:rPr>
          <w:rFonts w:ascii="Times New Roman" w:hAnsi="Times New Roman" w:cs="Times New Roman"/>
          <w:sz w:val="28"/>
          <w:szCs w:val="28"/>
        </w:rPr>
        <w:t xml:space="preserve"> в </w:t>
      </w:r>
      <w:r w:rsidR="00CE4E98" w:rsidRPr="00A43B9C">
        <w:rPr>
          <w:rFonts w:ascii="Times New Roman" w:eastAsia="Times New Roman" w:hAnsi="Times New Roman" w:cs="Times New Roman"/>
          <w:sz w:val="28"/>
          <w:szCs w:val="28"/>
          <w:lang w:val="en-US" w:eastAsia="ru-RU"/>
        </w:rPr>
        <w:t>VAT</w:t>
      </w:r>
      <w:r w:rsidR="00CE4E98" w:rsidRPr="00A43B9C">
        <w:rPr>
          <w:rFonts w:ascii="Times New Roman" w:eastAsia="Times New Roman" w:hAnsi="Times New Roman" w:cs="Times New Roman"/>
          <w:sz w:val="28"/>
          <w:szCs w:val="28"/>
          <w:lang w:eastAsia="ru-RU"/>
        </w:rPr>
        <w:t xml:space="preserve"> </w:t>
      </w:r>
      <w:r w:rsidR="00B00C52" w:rsidRPr="00A43B9C">
        <w:rPr>
          <w:rFonts w:ascii="Times New Roman" w:eastAsia="Times New Roman" w:hAnsi="Times New Roman" w:cs="Times New Roman"/>
          <w:sz w:val="28"/>
          <w:szCs w:val="28"/>
          <w:lang w:eastAsia="ru-RU"/>
        </w:rPr>
        <w:t xml:space="preserve">при различных локализациях </w:t>
      </w:r>
      <w:r w:rsidR="00FD5BB7" w:rsidRPr="00A43B9C">
        <w:rPr>
          <w:rFonts w:ascii="Times New Roman" w:eastAsia="Times New Roman" w:hAnsi="Times New Roman" w:cs="Times New Roman"/>
          <w:sz w:val="28"/>
          <w:szCs w:val="28"/>
          <w:lang w:eastAsia="ru-RU"/>
        </w:rPr>
        <w:t xml:space="preserve">опухоли в </w:t>
      </w:r>
      <w:r w:rsidR="00B00C52" w:rsidRPr="00A43B9C">
        <w:rPr>
          <w:rFonts w:ascii="Times New Roman" w:eastAsia="Times New Roman" w:hAnsi="Times New Roman" w:cs="Times New Roman"/>
          <w:sz w:val="28"/>
          <w:szCs w:val="28"/>
          <w:lang w:eastAsia="ru-RU"/>
        </w:rPr>
        <w:t xml:space="preserve">брюшной полости и малого таза </w:t>
      </w:r>
      <w:r w:rsidR="00B00C52" w:rsidRPr="00A43B9C">
        <w:rPr>
          <w:rFonts w:ascii="Times New Roman" w:hAnsi="Times New Roman" w:cs="Times New Roman"/>
          <w:sz w:val="28"/>
          <w:szCs w:val="28"/>
        </w:rPr>
        <w:t xml:space="preserve">в зависимости от статуса </w:t>
      </w:r>
      <w:r w:rsidR="001C40D1" w:rsidRPr="00A43B9C">
        <w:rPr>
          <w:rFonts w:ascii="Times New Roman" w:hAnsi="Times New Roman" w:cs="Times New Roman"/>
          <w:sz w:val="28"/>
          <w:szCs w:val="28"/>
          <w:lang w:val="en-US"/>
        </w:rPr>
        <w:t>LM</w:t>
      </w:r>
      <w:r w:rsidR="00B00C52" w:rsidRPr="00A43B9C">
        <w:rPr>
          <w:rFonts w:ascii="Times New Roman" w:hAnsi="Times New Roman" w:cs="Times New Roman"/>
          <w:sz w:val="28"/>
          <w:szCs w:val="28"/>
        </w:rPr>
        <w:t xml:space="preserve"> </w:t>
      </w:r>
      <w:r w:rsidR="00025941" w:rsidRPr="00A43B9C">
        <w:rPr>
          <w:rFonts w:ascii="Times New Roman" w:hAnsi="Times New Roman" w:cs="Times New Roman"/>
          <w:sz w:val="28"/>
          <w:szCs w:val="28"/>
        </w:rPr>
        <w:t xml:space="preserve">(таблица 12) </w:t>
      </w:r>
      <w:r w:rsidR="00B00C52" w:rsidRPr="00A43B9C">
        <w:rPr>
          <w:rFonts w:ascii="Times New Roman" w:hAnsi="Times New Roman" w:cs="Times New Roman"/>
          <w:sz w:val="28"/>
          <w:szCs w:val="28"/>
        </w:rPr>
        <w:t xml:space="preserve">в сравнении </w:t>
      </w:r>
      <w:r w:rsidR="00B00C52" w:rsidRPr="00A43B9C">
        <w:rPr>
          <w:rFonts w:ascii="Times New Roman" w:hAnsi="Times New Roman" w:cs="Times New Roman"/>
          <w:sz w:val="28"/>
          <w:szCs w:val="28"/>
        </w:rPr>
        <w:lastRenderedPageBreak/>
        <w:t>с базовым (</w:t>
      </w:r>
      <w:r w:rsidR="00B00C52" w:rsidRPr="00A43B9C">
        <w:rPr>
          <w:rFonts w:ascii="Times New Roman" w:hAnsi="Times New Roman" w:cs="Times New Roman"/>
          <w:sz w:val="28"/>
          <w:szCs w:val="28"/>
          <w:lang w:val="en-US"/>
        </w:rPr>
        <w:t>I</w:t>
      </w:r>
      <w:r w:rsidR="00B00C52" w:rsidRPr="00A43B9C">
        <w:rPr>
          <w:rFonts w:ascii="Times New Roman" w:hAnsi="Times New Roman" w:cs="Times New Roman"/>
          <w:sz w:val="28"/>
          <w:szCs w:val="28"/>
        </w:rPr>
        <w:t>) и результатами последующего (</w:t>
      </w:r>
      <w:r w:rsidR="00B00C52" w:rsidRPr="00A43B9C">
        <w:rPr>
          <w:rFonts w:ascii="Times New Roman" w:hAnsi="Times New Roman" w:cs="Times New Roman"/>
          <w:sz w:val="28"/>
          <w:szCs w:val="28"/>
          <w:lang w:val="en-US"/>
        </w:rPr>
        <w:t>II</w:t>
      </w:r>
      <w:r w:rsidR="00B00C52" w:rsidRPr="00A43B9C">
        <w:rPr>
          <w:rFonts w:ascii="Times New Roman" w:hAnsi="Times New Roman" w:cs="Times New Roman"/>
          <w:sz w:val="28"/>
          <w:szCs w:val="28"/>
        </w:rPr>
        <w:t xml:space="preserve">) </w:t>
      </w:r>
      <w:r w:rsidR="00B00C52" w:rsidRPr="00A43B9C">
        <w:rPr>
          <w:rFonts w:ascii="Times New Roman" w:hAnsi="Times New Roman" w:cs="Times New Roman"/>
          <w:sz w:val="28"/>
          <w:szCs w:val="28"/>
          <w:vertAlign w:val="superscript"/>
        </w:rPr>
        <w:t>18</w:t>
      </w:r>
      <w:r w:rsidR="00B00C52" w:rsidRPr="00A43B9C">
        <w:rPr>
          <w:rFonts w:ascii="Times New Roman" w:hAnsi="Times New Roman" w:cs="Times New Roman"/>
          <w:sz w:val="28"/>
          <w:szCs w:val="28"/>
          <w:lang w:val="en-US"/>
        </w:rPr>
        <w:t>F</w:t>
      </w:r>
      <w:r w:rsidR="00B00C52" w:rsidRPr="00A43B9C">
        <w:rPr>
          <w:rFonts w:ascii="Times New Roman" w:hAnsi="Times New Roman" w:cs="Times New Roman"/>
          <w:sz w:val="28"/>
          <w:szCs w:val="28"/>
        </w:rPr>
        <w:t>-</w:t>
      </w:r>
      <w:r w:rsidR="00B00C52" w:rsidRPr="00A43B9C">
        <w:rPr>
          <w:rFonts w:ascii="Times New Roman" w:hAnsi="Times New Roman" w:cs="Times New Roman"/>
          <w:sz w:val="28"/>
          <w:szCs w:val="28"/>
          <w:lang w:val="en-US"/>
        </w:rPr>
        <w:t>FDG</w:t>
      </w:r>
      <w:r w:rsidR="00B00C52" w:rsidRPr="00A43B9C">
        <w:rPr>
          <w:rFonts w:ascii="Times New Roman" w:hAnsi="Times New Roman" w:cs="Times New Roman"/>
          <w:sz w:val="28"/>
          <w:szCs w:val="28"/>
        </w:rPr>
        <w:t xml:space="preserve"> ПЭТ/КТ исследовани</w:t>
      </w:r>
      <w:r w:rsidR="00FD5BB7" w:rsidRPr="00A43B9C">
        <w:rPr>
          <w:rFonts w:ascii="Times New Roman" w:hAnsi="Times New Roman" w:cs="Times New Roman"/>
          <w:sz w:val="28"/>
          <w:szCs w:val="28"/>
        </w:rPr>
        <w:t>й</w:t>
      </w:r>
      <w:r w:rsidR="00CE4E98" w:rsidRPr="00A43B9C">
        <w:rPr>
          <w:rFonts w:ascii="Times New Roman" w:hAnsi="Times New Roman" w:cs="Times New Roman"/>
          <w:sz w:val="28"/>
          <w:szCs w:val="28"/>
        </w:rPr>
        <w:t xml:space="preserve"> (</w:t>
      </w:r>
      <w:r w:rsidR="00025941" w:rsidRPr="00A43B9C">
        <w:rPr>
          <w:rFonts w:ascii="Times New Roman" w:hAnsi="Times New Roman" w:cs="Times New Roman"/>
          <w:sz w:val="28"/>
          <w:szCs w:val="28"/>
        </w:rPr>
        <w:t xml:space="preserve">рисунок </w:t>
      </w:r>
      <w:r w:rsidR="00CE4E98" w:rsidRPr="00A43B9C">
        <w:rPr>
          <w:rFonts w:ascii="Times New Roman" w:hAnsi="Times New Roman" w:cs="Times New Roman"/>
          <w:sz w:val="28"/>
          <w:szCs w:val="28"/>
        </w:rPr>
        <w:t>1</w:t>
      </w:r>
      <w:r w:rsidR="00006C4D">
        <w:rPr>
          <w:rFonts w:ascii="Times New Roman" w:hAnsi="Times New Roman" w:cs="Times New Roman"/>
          <w:sz w:val="28"/>
          <w:szCs w:val="28"/>
        </w:rPr>
        <w:t>3</w:t>
      </w:r>
      <w:r w:rsidR="00CE4E98" w:rsidRPr="00A43B9C">
        <w:rPr>
          <w:rFonts w:ascii="Times New Roman" w:hAnsi="Times New Roman" w:cs="Times New Roman"/>
          <w:sz w:val="28"/>
          <w:szCs w:val="28"/>
        </w:rPr>
        <w:t>)</w:t>
      </w:r>
      <w:r w:rsidR="00290AA2">
        <w:rPr>
          <w:rFonts w:ascii="Times New Roman" w:hAnsi="Times New Roman" w:cs="Times New Roman"/>
          <w:sz w:val="28"/>
          <w:szCs w:val="28"/>
        </w:rPr>
        <w:t xml:space="preserve">, для </w:t>
      </w:r>
      <w:r w:rsidR="00290AA2">
        <w:rPr>
          <w:rFonts w:ascii="Times New Roman" w:hAnsi="Times New Roman" w:cs="Times New Roman"/>
          <w:sz w:val="28"/>
          <w:szCs w:val="28"/>
          <w:lang w:val="en-US"/>
        </w:rPr>
        <w:t>nLM</w:t>
      </w:r>
      <w:r w:rsidR="00290AA2" w:rsidRPr="00290AA2">
        <w:rPr>
          <w:rFonts w:ascii="Times New Roman" w:hAnsi="Times New Roman" w:cs="Times New Roman"/>
          <w:sz w:val="28"/>
          <w:szCs w:val="28"/>
        </w:rPr>
        <w:t xml:space="preserve"> </w:t>
      </w:r>
      <w:r w:rsidR="00290AA2">
        <w:rPr>
          <w:rFonts w:ascii="Times New Roman" w:hAnsi="Times New Roman" w:cs="Times New Roman"/>
          <w:sz w:val="28"/>
          <w:szCs w:val="28"/>
          <w:lang w:val="en-US"/>
        </w:rPr>
        <w:t>n</w:t>
      </w:r>
      <w:r w:rsidR="00290AA2" w:rsidRPr="00290AA2">
        <w:rPr>
          <w:rFonts w:ascii="Times New Roman" w:hAnsi="Times New Roman" w:cs="Times New Roman"/>
          <w:sz w:val="28"/>
          <w:szCs w:val="28"/>
        </w:rPr>
        <w:t xml:space="preserve"> = 25, </w:t>
      </w:r>
      <w:r w:rsidR="00290AA2">
        <w:rPr>
          <w:rFonts w:ascii="Times New Roman" w:hAnsi="Times New Roman" w:cs="Times New Roman"/>
          <w:sz w:val="28"/>
          <w:szCs w:val="28"/>
        </w:rPr>
        <w:t xml:space="preserve">для </w:t>
      </w:r>
      <w:r w:rsidR="00290AA2">
        <w:rPr>
          <w:rFonts w:ascii="Times New Roman" w:hAnsi="Times New Roman" w:cs="Times New Roman"/>
          <w:sz w:val="28"/>
          <w:szCs w:val="28"/>
          <w:lang w:val="en-US"/>
        </w:rPr>
        <w:t>pLM</w:t>
      </w:r>
      <w:r w:rsidR="00290AA2" w:rsidRPr="00290AA2">
        <w:rPr>
          <w:rFonts w:ascii="Times New Roman" w:hAnsi="Times New Roman" w:cs="Times New Roman"/>
          <w:sz w:val="28"/>
          <w:szCs w:val="28"/>
        </w:rPr>
        <w:t xml:space="preserve"> </w:t>
      </w:r>
      <w:r w:rsidR="00290AA2">
        <w:rPr>
          <w:rFonts w:ascii="Times New Roman" w:hAnsi="Times New Roman" w:cs="Times New Roman"/>
          <w:sz w:val="28"/>
          <w:szCs w:val="28"/>
          <w:lang w:val="en-US"/>
        </w:rPr>
        <w:t>n</w:t>
      </w:r>
      <w:r w:rsidR="00290AA2" w:rsidRPr="00290AA2">
        <w:rPr>
          <w:rFonts w:ascii="Times New Roman" w:hAnsi="Times New Roman" w:cs="Times New Roman"/>
          <w:sz w:val="28"/>
          <w:szCs w:val="28"/>
        </w:rPr>
        <w:t xml:space="preserve"> = 28</w:t>
      </w:r>
      <w:r w:rsidR="00B00C52" w:rsidRPr="00A43B9C">
        <w:rPr>
          <w:rFonts w:ascii="Times New Roman" w:hAnsi="Times New Roman" w:cs="Times New Roman"/>
          <w:sz w:val="28"/>
          <w:szCs w:val="28"/>
        </w:rPr>
        <w:t>.</w:t>
      </w:r>
    </w:p>
    <w:p w14:paraId="4D2D506A" w14:textId="77777777" w:rsidR="00B00C52" w:rsidRPr="00A43B9C" w:rsidRDefault="00B00C52" w:rsidP="00B00C52">
      <w:pPr>
        <w:spacing w:after="0" w:line="240" w:lineRule="auto"/>
        <w:ind w:firstLine="709"/>
        <w:jc w:val="both"/>
        <w:rPr>
          <w:rFonts w:ascii="Times New Roman" w:hAnsi="Times New Roman" w:cs="Times New Roman"/>
          <w:sz w:val="28"/>
          <w:szCs w:val="28"/>
        </w:rPr>
      </w:pPr>
    </w:p>
    <w:p w14:paraId="5E72E213" w14:textId="3D42E492" w:rsidR="00B00C52" w:rsidRPr="00A43B9C" w:rsidRDefault="000A6F86" w:rsidP="00D12CD6">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12 -</w:t>
      </w:r>
      <w:r w:rsidR="00B00C52" w:rsidRPr="00A43B9C">
        <w:rPr>
          <w:rFonts w:ascii="Times New Roman" w:hAnsi="Times New Roman" w:cs="Times New Roman"/>
          <w:sz w:val="28"/>
          <w:szCs w:val="28"/>
        </w:rPr>
        <w:t xml:space="preserve"> Динамика </w:t>
      </w:r>
      <w:r w:rsidR="00B00C52" w:rsidRPr="00A43B9C">
        <w:rPr>
          <w:rFonts w:ascii="Times New Roman" w:eastAsia="Times New Roman" w:hAnsi="Times New Roman" w:cs="Times New Roman"/>
          <w:sz w:val="28"/>
          <w:szCs w:val="28"/>
          <w:lang w:eastAsia="ru-RU"/>
        </w:rPr>
        <w:t xml:space="preserve">уровня </w:t>
      </w:r>
      <w:r w:rsidR="009307C9" w:rsidRPr="00A43B9C">
        <w:rPr>
          <w:rFonts w:ascii="Times New Roman" w:hAnsi="Times New Roman" w:cs="Times New Roman"/>
          <w:sz w:val="28"/>
          <w:szCs w:val="28"/>
        </w:rPr>
        <w:t>накопления</w:t>
      </w:r>
      <w:r w:rsidR="00B00C52" w:rsidRPr="00A43B9C">
        <w:rPr>
          <w:rFonts w:ascii="Times New Roman" w:eastAsia="Times New Roman" w:hAnsi="Times New Roman" w:cs="Times New Roman"/>
          <w:sz w:val="28"/>
          <w:szCs w:val="28"/>
          <w:lang w:eastAsia="ru-RU"/>
        </w:rPr>
        <w:t xml:space="preserve"> </w:t>
      </w:r>
      <w:r w:rsidR="00B00C52" w:rsidRPr="00A43B9C">
        <w:rPr>
          <w:rFonts w:ascii="Times New Roman" w:eastAsia="Times New Roman" w:hAnsi="Times New Roman" w:cs="Times New Roman"/>
          <w:sz w:val="28"/>
          <w:szCs w:val="28"/>
          <w:lang w:val="en-US" w:eastAsia="ru-RU"/>
        </w:rPr>
        <w:t>SUV</w:t>
      </w:r>
      <w:r w:rsidR="00B00C52" w:rsidRPr="00A43B9C">
        <w:rPr>
          <w:rFonts w:ascii="Times New Roman" w:eastAsia="Times New Roman" w:hAnsi="Times New Roman" w:cs="Times New Roman"/>
          <w:sz w:val="28"/>
          <w:szCs w:val="28"/>
          <w:vertAlign w:val="subscript"/>
          <w:lang w:val="en-US" w:eastAsia="ru-RU"/>
        </w:rPr>
        <w:t>max</w:t>
      </w:r>
      <w:r w:rsidR="00B00C52" w:rsidRPr="00A43B9C">
        <w:rPr>
          <w:rFonts w:ascii="Times New Roman" w:eastAsia="Times New Roman" w:hAnsi="Times New Roman" w:cs="Times New Roman"/>
          <w:sz w:val="28"/>
          <w:szCs w:val="28"/>
          <w:lang w:eastAsia="ru-RU"/>
        </w:rPr>
        <w:t xml:space="preserve"> в зависимости от статуса</w:t>
      </w:r>
      <w:r w:rsidR="00B00C52" w:rsidRPr="00A43B9C">
        <w:rPr>
          <w:rFonts w:ascii="Times New Roman" w:hAnsi="Times New Roman" w:cs="Times New Roman"/>
          <w:sz w:val="28"/>
          <w:szCs w:val="28"/>
        </w:rPr>
        <w:t xml:space="preserve"> </w:t>
      </w:r>
      <w:r w:rsidR="001C40D1" w:rsidRPr="00A43B9C">
        <w:rPr>
          <w:rFonts w:ascii="Times New Roman" w:hAnsi="Times New Roman" w:cs="Times New Roman"/>
          <w:sz w:val="28"/>
          <w:szCs w:val="28"/>
          <w:lang w:val="en-US"/>
        </w:rPr>
        <w:t>LM</w:t>
      </w:r>
    </w:p>
    <w:p w14:paraId="7C600587" w14:textId="77777777" w:rsidR="00D12CD6" w:rsidRPr="00A43B9C" w:rsidRDefault="00D12CD6" w:rsidP="00D12CD6">
      <w:pPr>
        <w:spacing w:after="0" w:line="240" w:lineRule="auto"/>
        <w:jc w:val="both"/>
        <w:rPr>
          <w:rFonts w:ascii="Times New Roman" w:hAnsi="Times New Roman" w:cs="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0"/>
        <w:gridCol w:w="776"/>
        <w:gridCol w:w="960"/>
        <w:gridCol w:w="1872"/>
        <w:gridCol w:w="960"/>
        <w:gridCol w:w="1872"/>
        <w:gridCol w:w="1144"/>
      </w:tblGrid>
      <w:tr w:rsidR="00B00C52" w:rsidRPr="00A43B9C" w14:paraId="0B50B429" w14:textId="77777777" w:rsidTr="00290AA2">
        <w:trPr>
          <w:jc w:val="center"/>
        </w:trPr>
        <w:tc>
          <w:tcPr>
            <w:tcW w:w="0" w:type="auto"/>
            <w:vMerge w:val="restart"/>
            <w:vAlign w:val="center"/>
          </w:tcPr>
          <w:p w14:paraId="7857DE7F"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Локализация</w:t>
            </w:r>
          </w:p>
        </w:tc>
        <w:tc>
          <w:tcPr>
            <w:tcW w:w="0" w:type="auto"/>
            <w:vMerge w:val="restart"/>
            <w:vAlign w:val="center"/>
          </w:tcPr>
          <w:p w14:paraId="5DFFA80B"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LM</w:t>
            </w:r>
          </w:p>
        </w:tc>
        <w:tc>
          <w:tcPr>
            <w:tcW w:w="0" w:type="auto"/>
            <w:gridSpan w:val="4"/>
            <w:vAlign w:val="center"/>
          </w:tcPr>
          <w:p w14:paraId="33DE9C37" w14:textId="7ABF43FE"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 xml:space="preserve">Этапы наблюдения по уровню </w:t>
            </w:r>
            <w:r w:rsidR="009307C9" w:rsidRPr="00A43B9C">
              <w:rPr>
                <w:rFonts w:ascii="Times New Roman" w:hAnsi="Times New Roman" w:cs="Times New Roman"/>
                <w:sz w:val="28"/>
                <w:szCs w:val="28"/>
              </w:rPr>
              <w:t>накопления</w:t>
            </w:r>
            <w:r w:rsidR="00336C46" w:rsidRPr="00A43B9C">
              <w:rPr>
                <w:rFonts w:ascii="Times New Roman" w:hAnsi="Times New Roman" w:cs="Times New Roman"/>
                <w:sz w:val="28"/>
                <w:szCs w:val="28"/>
              </w:rPr>
              <w:t xml:space="preserve"> </w:t>
            </w:r>
            <w:r w:rsidR="001A0532" w:rsidRPr="00A43B9C">
              <w:rPr>
                <w:rFonts w:ascii="Times New Roman" w:hAnsi="Times New Roman" w:cs="Times New Roman"/>
                <w:sz w:val="28"/>
                <w:szCs w:val="28"/>
                <w:lang w:val="en-US"/>
              </w:rPr>
              <w:t>SUV</w:t>
            </w:r>
            <w:r w:rsidR="001A0532" w:rsidRPr="00A43B9C">
              <w:rPr>
                <w:rFonts w:ascii="Times New Roman" w:hAnsi="Times New Roman" w:cs="Times New Roman"/>
                <w:sz w:val="28"/>
                <w:szCs w:val="28"/>
                <w:vertAlign w:val="subscript"/>
                <w:lang w:val="en-US"/>
              </w:rPr>
              <w:t>max</w:t>
            </w:r>
          </w:p>
        </w:tc>
        <w:tc>
          <w:tcPr>
            <w:tcW w:w="0" w:type="auto"/>
            <w:vMerge w:val="restart"/>
            <w:vAlign w:val="center"/>
          </w:tcPr>
          <w:p w14:paraId="7E1BCB3C"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w:t>
            </w:r>
          </w:p>
        </w:tc>
      </w:tr>
      <w:tr w:rsidR="00B00C52" w:rsidRPr="00A43B9C" w14:paraId="218DA63A" w14:textId="77777777" w:rsidTr="00290AA2">
        <w:trPr>
          <w:jc w:val="center"/>
        </w:trPr>
        <w:tc>
          <w:tcPr>
            <w:tcW w:w="0" w:type="auto"/>
            <w:vMerge/>
          </w:tcPr>
          <w:p w14:paraId="321C4A02" w14:textId="77777777" w:rsidR="00B00C52" w:rsidRPr="00A43B9C" w:rsidRDefault="00B00C52" w:rsidP="007E4204">
            <w:pPr>
              <w:spacing w:after="0" w:line="240" w:lineRule="auto"/>
              <w:rPr>
                <w:rFonts w:ascii="Times New Roman" w:hAnsi="Times New Roman" w:cs="Times New Roman"/>
                <w:sz w:val="28"/>
                <w:szCs w:val="28"/>
              </w:rPr>
            </w:pPr>
          </w:p>
        </w:tc>
        <w:tc>
          <w:tcPr>
            <w:tcW w:w="0" w:type="auto"/>
            <w:vMerge/>
          </w:tcPr>
          <w:p w14:paraId="025002A6" w14:textId="77777777" w:rsidR="00B00C52" w:rsidRPr="00A43B9C" w:rsidRDefault="00B00C52" w:rsidP="007E4204">
            <w:pPr>
              <w:spacing w:after="0" w:line="240" w:lineRule="auto"/>
              <w:rPr>
                <w:rFonts w:ascii="Times New Roman" w:hAnsi="Times New Roman" w:cs="Times New Roman"/>
                <w:sz w:val="28"/>
                <w:szCs w:val="28"/>
              </w:rPr>
            </w:pPr>
          </w:p>
        </w:tc>
        <w:tc>
          <w:tcPr>
            <w:tcW w:w="0" w:type="auto"/>
            <w:gridSpan w:val="2"/>
            <w:vAlign w:val="center"/>
          </w:tcPr>
          <w:p w14:paraId="52825E90"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w:t>
            </w:r>
          </w:p>
        </w:tc>
        <w:tc>
          <w:tcPr>
            <w:tcW w:w="0" w:type="auto"/>
            <w:gridSpan w:val="2"/>
            <w:vAlign w:val="center"/>
          </w:tcPr>
          <w:p w14:paraId="6E72A65C"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w:t>
            </w:r>
          </w:p>
        </w:tc>
        <w:tc>
          <w:tcPr>
            <w:tcW w:w="0" w:type="auto"/>
            <w:vMerge/>
          </w:tcPr>
          <w:p w14:paraId="3F65056B" w14:textId="77777777" w:rsidR="00B00C52" w:rsidRPr="00A43B9C" w:rsidRDefault="00B00C52" w:rsidP="007E4204">
            <w:pPr>
              <w:spacing w:after="0" w:line="240" w:lineRule="auto"/>
              <w:rPr>
                <w:rFonts w:ascii="Times New Roman" w:hAnsi="Times New Roman" w:cs="Times New Roman"/>
                <w:sz w:val="28"/>
                <w:szCs w:val="28"/>
              </w:rPr>
            </w:pPr>
          </w:p>
        </w:tc>
      </w:tr>
      <w:tr w:rsidR="00B00C52" w:rsidRPr="00A43B9C" w14:paraId="7AC1A638" w14:textId="77777777" w:rsidTr="00290AA2">
        <w:trPr>
          <w:jc w:val="center"/>
        </w:trPr>
        <w:tc>
          <w:tcPr>
            <w:tcW w:w="0" w:type="auto"/>
            <w:vMerge/>
          </w:tcPr>
          <w:p w14:paraId="522EB611" w14:textId="77777777" w:rsidR="00B00C52" w:rsidRPr="00A43B9C" w:rsidRDefault="00B00C52" w:rsidP="007E4204">
            <w:pPr>
              <w:spacing w:after="0" w:line="240" w:lineRule="auto"/>
              <w:rPr>
                <w:rFonts w:ascii="Times New Roman" w:hAnsi="Times New Roman" w:cs="Times New Roman"/>
                <w:sz w:val="28"/>
                <w:szCs w:val="28"/>
              </w:rPr>
            </w:pPr>
          </w:p>
        </w:tc>
        <w:tc>
          <w:tcPr>
            <w:tcW w:w="0" w:type="auto"/>
            <w:vMerge/>
          </w:tcPr>
          <w:p w14:paraId="650B9073" w14:textId="77777777" w:rsidR="00B00C52" w:rsidRPr="00A43B9C" w:rsidRDefault="00B00C52" w:rsidP="007E4204">
            <w:pPr>
              <w:spacing w:after="0" w:line="240" w:lineRule="auto"/>
              <w:rPr>
                <w:rFonts w:ascii="Times New Roman" w:hAnsi="Times New Roman" w:cs="Times New Roman"/>
                <w:sz w:val="28"/>
                <w:szCs w:val="28"/>
              </w:rPr>
            </w:pPr>
          </w:p>
        </w:tc>
        <w:tc>
          <w:tcPr>
            <w:tcW w:w="0" w:type="auto"/>
            <w:vAlign w:val="center"/>
          </w:tcPr>
          <w:p w14:paraId="07B189A9"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Me</w:t>
            </w:r>
          </w:p>
        </w:tc>
        <w:tc>
          <w:tcPr>
            <w:tcW w:w="0" w:type="auto"/>
            <w:vAlign w:val="center"/>
          </w:tcPr>
          <w:p w14:paraId="40FAD1DD"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Q₁ – Q₃</w:t>
            </w:r>
          </w:p>
        </w:tc>
        <w:tc>
          <w:tcPr>
            <w:tcW w:w="0" w:type="auto"/>
            <w:vAlign w:val="center"/>
          </w:tcPr>
          <w:p w14:paraId="7151F156"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Me</w:t>
            </w:r>
          </w:p>
        </w:tc>
        <w:tc>
          <w:tcPr>
            <w:tcW w:w="0" w:type="auto"/>
            <w:vAlign w:val="center"/>
          </w:tcPr>
          <w:p w14:paraId="6FA45937"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Q₁ – Q₃</w:t>
            </w:r>
          </w:p>
        </w:tc>
        <w:tc>
          <w:tcPr>
            <w:tcW w:w="0" w:type="auto"/>
            <w:vMerge/>
          </w:tcPr>
          <w:p w14:paraId="0EFF7F41" w14:textId="77777777" w:rsidR="00B00C52" w:rsidRPr="00A43B9C" w:rsidRDefault="00B00C52" w:rsidP="007E4204">
            <w:pPr>
              <w:spacing w:after="0" w:line="240" w:lineRule="auto"/>
              <w:rPr>
                <w:rFonts w:ascii="Times New Roman" w:hAnsi="Times New Roman" w:cs="Times New Roman"/>
                <w:sz w:val="28"/>
                <w:szCs w:val="28"/>
              </w:rPr>
            </w:pPr>
          </w:p>
        </w:tc>
      </w:tr>
      <w:tr w:rsidR="00B00C52" w:rsidRPr="00A43B9C" w14:paraId="0BF2CCE0" w14:textId="77777777" w:rsidTr="00290AA2">
        <w:trPr>
          <w:jc w:val="center"/>
        </w:trPr>
        <w:tc>
          <w:tcPr>
            <w:tcW w:w="0" w:type="auto"/>
            <w:vMerge w:val="restart"/>
            <w:vAlign w:val="center"/>
          </w:tcPr>
          <w:p w14:paraId="7212A8BA"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RE</w:t>
            </w:r>
          </w:p>
        </w:tc>
        <w:tc>
          <w:tcPr>
            <w:tcW w:w="0" w:type="auto"/>
            <w:vAlign w:val="center"/>
          </w:tcPr>
          <w:p w14:paraId="50DFE779"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rPr>
              <w:t>LM</w:t>
            </w:r>
          </w:p>
        </w:tc>
        <w:tc>
          <w:tcPr>
            <w:tcW w:w="0" w:type="auto"/>
            <w:vAlign w:val="center"/>
          </w:tcPr>
          <w:p w14:paraId="38BFE932" w14:textId="6787C1CF"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0,79</w:t>
            </w:r>
          </w:p>
        </w:tc>
        <w:tc>
          <w:tcPr>
            <w:tcW w:w="0" w:type="auto"/>
            <w:vAlign w:val="center"/>
          </w:tcPr>
          <w:p w14:paraId="3561EDA5"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0,61 – 1,30</w:t>
            </w:r>
          </w:p>
        </w:tc>
        <w:tc>
          <w:tcPr>
            <w:tcW w:w="0" w:type="auto"/>
            <w:vAlign w:val="center"/>
          </w:tcPr>
          <w:p w14:paraId="08E69B8D" w14:textId="53AEEAAF"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1,27</w:t>
            </w:r>
          </w:p>
        </w:tc>
        <w:tc>
          <w:tcPr>
            <w:tcW w:w="0" w:type="auto"/>
            <w:vAlign w:val="center"/>
          </w:tcPr>
          <w:p w14:paraId="11EA2414"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1,06 – 1,65</w:t>
            </w:r>
          </w:p>
        </w:tc>
        <w:tc>
          <w:tcPr>
            <w:tcW w:w="0" w:type="auto"/>
            <w:vAlign w:val="center"/>
          </w:tcPr>
          <w:p w14:paraId="5E76BB0D"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&lt;0,001*</w:t>
            </w:r>
          </w:p>
        </w:tc>
      </w:tr>
      <w:tr w:rsidR="00B00C52" w:rsidRPr="00A43B9C" w14:paraId="60D79549" w14:textId="77777777" w:rsidTr="00290AA2">
        <w:trPr>
          <w:jc w:val="center"/>
        </w:trPr>
        <w:tc>
          <w:tcPr>
            <w:tcW w:w="0" w:type="auto"/>
            <w:vMerge/>
            <w:vAlign w:val="center"/>
          </w:tcPr>
          <w:p w14:paraId="7CAA571B" w14:textId="77777777" w:rsidR="00B00C52" w:rsidRPr="00A43B9C" w:rsidRDefault="00B00C52" w:rsidP="007E4204">
            <w:pPr>
              <w:spacing w:after="0" w:line="240" w:lineRule="auto"/>
              <w:jc w:val="center"/>
              <w:rPr>
                <w:rFonts w:ascii="Times New Roman" w:hAnsi="Times New Roman" w:cs="Times New Roman"/>
                <w:sz w:val="28"/>
                <w:szCs w:val="28"/>
                <w:lang w:val="en-US"/>
              </w:rPr>
            </w:pPr>
          </w:p>
        </w:tc>
        <w:tc>
          <w:tcPr>
            <w:tcW w:w="0" w:type="auto"/>
            <w:vAlign w:val="center"/>
          </w:tcPr>
          <w:p w14:paraId="2DDCADAE"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p</w:t>
            </w:r>
            <w:r w:rsidRPr="00A43B9C">
              <w:rPr>
                <w:rFonts w:ascii="Times New Roman" w:hAnsi="Times New Roman" w:cs="Times New Roman"/>
                <w:sz w:val="28"/>
                <w:szCs w:val="28"/>
              </w:rPr>
              <w:t>LM</w:t>
            </w:r>
          </w:p>
        </w:tc>
        <w:tc>
          <w:tcPr>
            <w:tcW w:w="0" w:type="auto"/>
            <w:vAlign w:val="center"/>
          </w:tcPr>
          <w:p w14:paraId="05FFC441" w14:textId="5A50B87E"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0,83</w:t>
            </w:r>
          </w:p>
        </w:tc>
        <w:tc>
          <w:tcPr>
            <w:tcW w:w="0" w:type="auto"/>
            <w:vAlign w:val="center"/>
          </w:tcPr>
          <w:p w14:paraId="4018B580"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0,65 – 1,15</w:t>
            </w:r>
          </w:p>
        </w:tc>
        <w:tc>
          <w:tcPr>
            <w:tcW w:w="0" w:type="auto"/>
            <w:vAlign w:val="center"/>
          </w:tcPr>
          <w:p w14:paraId="0EF7B8B5" w14:textId="2E8CAA76"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1,10</w:t>
            </w:r>
          </w:p>
        </w:tc>
        <w:tc>
          <w:tcPr>
            <w:tcW w:w="0" w:type="auto"/>
            <w:vAlign w:val="center"/>
          </w:tcPr>
          <w:p w14:paraId="5075BCFD"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0,96 – 1,38</w:t>
            </w:r>
          </w:p>
        </w:tc>
        <w:tc>
          <w:tcPr>
            <w:tcW w:w="0" w:type="auto"/>
            <w:vAlign w:val="center"/>
          </w:tcPr>
          <w:p w14:paraId="4FE00974"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0,074</w:t>
            </w:r>
          </w:p>
        </w:tc>
      </w:tr>
      <w:tr w:rsidR="00B00C52" w:rsidRPr="00A43B9C" w14:paraId="0B08FA9E" w14:textId="77777777" w:rsidTr="00290AA2">
        <w:trPr>
          <w:jc w:val="center"/>
        </w:trPr>
        <w:tc>
          <w:tcPr>
            <w:tcW w:w="0" w:type="auto"/>
            <w:vMerge/>
            <w:vAlign w:val="center"/>
          </w:tcPr>
          <w:p w14:paraId="4986EBCF" w14:textId="77777777" w:rsidR="00B00C52" w:rsidRPr="00A43B9C" w:rsidRDefault="00B00C52" w:rsidP="007E4204">
            <w:pPr>
              <w:spacing w:after="0" w:line="240" w:lineRule="auto"/>
              <w:jc w:val="center"/>
              <w:rPr>
                <w:rFonts w:ascii="Times New Roman" w:hAnsi="Times New Roman" w:cs="Times New Roman"/>
                <w:sz w:val="28"/>
                <w:szCs w:val="28"/>
              </w:rPr>
            </w:pPr>
          </w:p>
        </w:tc>
        <w:tc>
          <w:tcPr>
            <w:tcW w:w="0" w:type="auto"/>
            <w:vAlign w:val="center"/>
          </w:tcPr>
          <w:p w14:paraId="58113951"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w:t>
            </w:r>
          </w:p>
        </w:tc>
        <w:tc>
          <w:tcPr>
            <w:tcW w:w="0" w:type="auto"/>
            <w:gridSpan w:val="2"/>
            <w:vAlign w:val="center"/>
          </w:tcPr>
          <w:p w14:paraId="27D0BF74"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0,824</w:t>
            </w:r>
          </w:p>
        </w:tc>
        <w:tc>
          <w:tcPr>
            <w:tcW w:w="0" w:type="auto"/>
            <w:gridSpan w:val="2"/>
            <w:vAlign w:val="center"/>
          </w:tcPr>
          <w:p w14:paraId="0E4D959E"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0,035*</w:t>
            </w:r>
          </w:p>
        </w:tc>
        <w:tc>
          <w:tcPr>
            <w:tcW w:w="0" w:type="auto"/>
            <w:vAlign w:val="center"/>
          </w:tcPr>
          <w:p w14:paraId="51718505" w14:textId="77777777" w:rsidR="00B00C52" w:rsidRPr="00A43B9C" w:rsidRDefault="00B00C52" w:rsidP="007E4204">
            <w:pPr>
              <w:spacing w:after="0" w:line="240" w:lineRule="auto"/>
              <w:jc w:val="center"/>
              <w:rPr>
                <w:rFonts w:ascii="Times New Roman" w:hAnsi="Times New Roman" w:cs="Times New Roman"/>
                <w:sz w:val="28"/>
                <w:szCs w:val="28"/>
              </w:rPr>
            </w:pPr>
          </w:p>
        </w:tc>
      </w:tr>
      <w:tr w:rsidR="00B00C52" w:rsidRPr="00A43B9C" w14:paraId="2723D0D5" w14:textId="77777777" w:rsidTr="00290AA2">
        <w:trPr>
          <w:jc w:val="center"/>
        </w:trPr>
        <w:tc>
          <w:tcPr>
            <w:tcW w:w="0" w:type="auto"/>
            <w:vMerge w:val="restart"/>
            <w:vAlign w:val="center"/>
          </w:tcPr>
          <w:p w14:paraId="72834527"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RLH</w:t>
            </w:r>
          </w:p>
        </w:tc>
        <w:tc>
          <w:tcPr>
            <w:tcW w:w="0" w:type="auto"/>
            <w:vAlign w:val="center"/>
          </w:tcPr>
          <w:p w14:paraId="3100ED7E"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rPr>
              <w:t>LM</w:t>
            </w:r>
          </w:p>
        </w:tc>
        <w:tc>
          <w:tcPr>
            <w:tcW w:w="0" w:type="auto"/>
            <w:vAlign w:val="center"/>
          </w:tcPr>
          <w:p w14:paraId="0BA3CC39" w14:textId="3044D742"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0,74</w:t>
            </w:r>
          </w:p>
        </w:tc>
        <w:tc>
          <w:tcPr>
            <w:tcW w:w="0" w:type="auto"/>
            <w:vAlign w:val="center"/>
          </w:tcPr>
          <w:p w14:paraId="25DE6B32"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0,58 – 1,18</w:t>
            </w:r>
          </w:p>
        </w:tc>
        <w:tc>
          <w:tcPr>
            <w:tcW w:w="0" w:type="auto"/>
            <w:vAlign w:val="center"/>
          </w:tcPr>
          <w:p w14:paraId="60C31163" w14:textId="19041CF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1,25</w:t>
            </w:r>
          </w:p>
        </w:tc>
        <w:tc>
          <w:tcPr>
            <w:tcW w:w="0" w:type="auto"/>
            <w:vAlign w:val="center"/>
          </w:tcPr>
          <w:p w14:paraId="367EF3F5"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0,91 – 1,48</w:t>
            </w:r>
          </w:p>
        </w:tc>
        <w:tc>
          <w:tcPr>
            <w:tcW w:w="0" w:type="auto"/>
            <w:vAlign w:val="center"/>
          </w:tcPr>
          <w:p w14:paraId="3F61D48C"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0,015*</w:t>
            </w:r>
          </w:p>
        </w:tc>
      </w:tr>
      <w:tr w:rsidR="00B00C52" w:rsidRPr="00A43B9C" w14:paraId="57EC378D" w14:textId="77777777" w:rsidTr="00290AA2">
        <w:trPr>
          <w:jc w:val="center"/>
        </w:trPr>
        <w:tc>
          <w:tcPr>
            <w:tcW w:w="0" w:type="auto"/>
            <w:vMerge/>
            <w:vAlign w:val="center"/>
          </w:tcPr>
          <w:p w14:paraId="240F4A48" w14:textId="77777777" w:rsidR="00B00C52" w:rsidRPr="00A43B9C" w:rsidRDefault="00B00C52" w:rsidP="007E4204">
            <w:pPr>
              <w:spacing w:after="0" w:line="240" w:lineRule="auto"/>
              <w:jc w:val="center"/>
              <w:rPr>
                <w:rFonts w:ascii="Times New Roman" w:hAnsi="Times New Roman" w:cs="Times New Roman"/>
                <w:sz w:val="28"/>
                <w:szCs w:val="28"/>
                <w:lang w:val="en-US"/>
              </w:rPr>
            </w:pPr>
          </w:p>
        </w:tc>
        <w:tc>
          <w:tcPr>
            <w:tcW w:w="0" w:type="auto"/>
            <w:vAlign w:val="center"/>
          </w:tcPr>
          <w:p w14:paraId="79A169E5"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p</w:t>
            </w:r>
            <w:r w:rsidRPr="00A43B9C">
              <w:rPr>
                <w:rFonts w:ascii="Times New Roman" w:hAnsi="Times New Roman" w:cs="Times New Roman"/>
                <w:sz w:val="28"/>
                <w:szCs w:val="28"/>
              </w:rPr>
              <w:t>LM</w:t>
            </w:r>
          </w:p>
        </w:tc>
        <w:tc>
          <w:tcPr>
            <w:tcW w:w="0" w:type="auto"/>
            <w:vAlign w:val="center"/>
          </w:tcPr>
          <w:p w14:paraId="406869CE" w14:textId="0041DE34"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w:t>
            </w:r>
          </w:p>
        </w:tc>
        <w:tc>
          <w:tcPr>
            <w:tcW w:w="0" w:type="auto"/>
            <w:vAlign w:val="center"/>
          </w:tcPr>
          <w:p w14:paraId="00AFE82B"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0,49 – 1,02</w:t>
            </w:r>
          </w:p>
        </w:tc>
        <w:tc>
          <w:tcPr>
            <w:tcW w:w="0" w:type="auto"/>
            <w:vAlign w:val="center"/>
          </w:tcPr>
          <w:p w14:paraId="776A7569" w14:textId="0CE43648"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1,10</w:t>
            </w:r>
          </w:p>
        </w:tc>
        <w:tc>
          <w:tcPr>
            <w:tcW w:w="0" w:type="auto"/>
            <w:vAlign w:val="center"/>
          </w:tcPr>
          <w:p w14:paraId="4A273B66"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0,93 – 1,33</w:t>
            </w:r>
          </w:p>
        </w:tc>
        <w:tc>
          <w:tcPr>
            <w:tcW w:w="0" w:type="auto"/>
            <w:vAlign w:val="center"/>
          </w:tcPr>
          <w:p w14:paraId="5E1E9FFB"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&lt;0,001*</w:t>
            </w:r>
          </w:p>
        </w:tc>
      </w:tr>
      <w:tr w:rsidR="00B00C52" w:rsidRPr="00A43B9C" w14:paraId="2EC137C7" w14:textId="77777777" w:rsidTr="00290AA2">
        <w:trPr>
          <w:jc w:val="center"/>
        </w:trPr>
        <w:tc>
          <w:tcPr>
            <w:tcW w:w="0" w:type="auto"/>
            <w:vMerge/>
            <w:vAlign w:val="center"/>
          </w:tcPr>
          <w:p w14:paraId="1C1BEE1F" w14:textId="77777777" w:rsidR="00B00C52" w:rsidRPr="00A43B9C" w:rsidRDefault="00B00C52" w:rsidP="007E4204">
            <w:pPr>
              <w:spacing w:after="0" w:line="240" w:lineRule="auto"/>
              <w:jc w:val="center"/>
              <w:rPr>
                <w:rFonts w:ascii="Times New Roman" w:hAnsi="Times New Roman" w:cs="Times New Roman"/>
                <w:sz w:val="28"/>
                <w:szCs w:val="28"/>
              </w:rPr>
            </w:pPr>
          </w:p>
        </w:tc>
        <w:tc>
          <w:tcPr>
            <w:tcW w:w="0" w:type="auto"/>
            <w:vAlign w:val="center"/>
          </w:tcPr>
          <w:p w14:paraId="768AE331"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p</w:t>
            </w:r>
          </w:p>
        </w:tc>
        <w:tc>
          <w:tcPr>
            <w:tcW w:w="0" w:type="auto"/>
            <w:gridSpan w:val="2"/>
            <w:vAlign w:val="center"/>
          </w:tcPr>
          <w:p w14:paraId="493AB707"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0,521</w:t>
            </w:r>
          </w:p>
        </w:tc>
        <w:tc>
          <w:tcPr>
            <w:tcW w:w="0" w:type="auto"/>
            <w:gridSpan w:val="2"/>
            <w:vAlign w:val="center"/>
          </w:tcPr>
          <w:p w14:paraId="6C8C547E"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0,373</w:t>
            </w:r>
          </w:p>
        </w:tc>
        <w:tc>
          <w:tcPr>
            <w:tcW w:w="0" w:type="auto"/>
            <w:vAlign w:val="center"/>
          </w:tcPr>
          <w:p w14:paraId="5E925484" w14:textId="77777777" w:rsidR="00B00C52" w:rsidRPr="00A43B9C" w:rsidRDefault="00B00C52" w:rsidP="007E4204">
            <w:pPr>
              <w:spacing w:after="0" w:line="240" w:lineRule="auto"/>
              <w:jc w:val="center"/>
              <w:rPr>
                <w:rFonts w:ascii="Times New Roman" w:hAnsi="Times New Roman" w:cs="Times New Roman"/>
                <w:sz w:val="28"/>
                <w:szCs w:val="28"/>
              </w:rPr>
            </w:pPr>
          </w:p>
        </w:tc>
      </w:tr>
      <w:tr w:rsidR="00B00C52" w:rsidRPr="00A43B9C" w14:paraId="5D114092" w14:textId="77777777" w:rsidTr="00290AA2">
        <w:trPr>
          <w:jc w:val="center"/>
        </w:trPr>
        <w:tc>
          <w:tcPr>
            <w:tcW w:w="0" w:type="auto"/>
            <w:vMerge w:val="restart"/>
            <w:vAlign w:val="center"/>
          </w:tcPr>
          <w:p w14:paraId="45858F61"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RRL</w:t>
            </w:r>
          </w:p>
        </w:tc>
        <w:tc>
          <w:tcPr>
            <w:tcW w:w="0" w:type="auto"/>
            <w:vAlign w:val="center"/>
          </w:tcPr>
          <w:p w14:paraId="2FDA5E05"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rPr>
              <w:t>LM</w:t>
            </w:r>
          </w:p>
        </w:tc>
        <w:tc>
          <w:tcPr>
            <w:tcW w:w="0" w:type="auto"/>
            <w:vAlign w:val="center"/>
          </w:tcPr>
          <w:p w14:paraId="6755C13A" w14:textId="40D1833A"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1,05</w:t>
            </w:r>
          </w:p>
        </w:tc>
        <w:tc>
          <w:tcPr>
            <w:tcW w:w="0" w:type="auto"/>
            <w:vAlign w:val="center"/>
          </w:tcPr>
          <w:p w14:paraId="5FE2BEFC"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0,73 – 1,46</w:t>
            </w:r>
          </w:p>
        </w:tc>
        <w:tc>
          <w:tcPr>
            <w:tcW w:w="0" w:type="auto"/>
            <w:vAlign w:val="center"/>
          </w:tcPr>
          <w:p w14:paraId="18C5BF7D" w14:textId="4B2352D3"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1,55</w:t>
            </w:r>
          </w:p>
        </w:tc>
        <w:tc>
          <w:tcPr>
            <w:tcW w:w="0" w:type="auto"/>
            <w:vAlign w:val="center"/>
          </w:tcPr>
          <w:p w14:paraId="754FCE23"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1,18 – 1,69</w:t>
            </w:r>
          </w:p>
        </w:tc>
        <w:tc>
          <w:tcPr>
            <w:tcW w:w="0" w:type="auto"/>
            <w:vAlign w:val="center"/>
          </w:tcPr>
          <w:p w14:paraId="11A4099B"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0,022*</w:t>
            </w:r>
          </w:p>
        </w:tc>
      </w:tr>
      <w:tr w:rsidR="00B00C52" w:rsidRPr="00A43B9C" w14:paraId="42C1BA8B" w14:textId="77777777" w:rsidTr="00290AA2">
        <w:trPr>
          <w:jc w:val="center"/>
        </w:trPr>
        <w:tc>
          <w:tcPr>
            <w:tcW w:w="0" w:type="auto"/>
            <w:vMerge/>
            <w:vAlign w:val="center"/>
          </w:tcPr>
          <w:p w14:paraId="79E702E4" w14:textId="77777777" w:rsidR="00B00C52" w:rsidRPr="00A43B9C" w:rsidRDefault="00B00C52" w:rsidP="007E4204">
            <w:pPr>
              <w:spacing w:after="0" w:line="240" w:lineRule="auto"/>
              <w:jc w:val="center"/>
              <w:rPr>
                <w:rFonts w:ascii="Times New Roman" w:hAnsi="Times New Roman" w:cs="Times New Roman"/>
                <w:sz w:val="28"/>
                <w:szCs w:val="28"/>
                <w:lang w:val="en-US"/>
              </w:rPr>
            </w:pPr>
          </w:p>
        </w:tc>
        <w:tc>
          <w:tcPr>
            <w:tcW w:w="0" w:type="auto"/>
            <w:vAlign w:val="center"/>
          </w:tcPr>
          <w:p w14:paraId="2E66ED93"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p</w:t>
            </w:r>
            <w:r w:rsidRPr="00A43B9C">
              <w:rPr>
                <w:rFonts w:ascii="Times New Roman" w:hAnsi="Times New Roman" w:cs="Times New Roman"/>
                <w:sz w:val="28"/>
                <w:szCs w:val="28"/>
              </w:rPr>
              <w:t>LM</w:t>
            </w:r>
          </w:p>
        </w:tc>
        <w:tc>
          <w:tcPr>
            <w:tcW w:w="0" w:type="auto"/>
            <w:vAlign w:val="center"/>
          </w:tcPr>
          <w:p w14:paraId="3DB4E6E9" w14:textId="103EDA59"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0,91</w:t>
            </w:r>
          </w:p>
        </w:tc>
        <w:tc>
          <w:tcPr>
            <w:tcW w:w="0" w:type="auto"/>
            <w:vAlign w:val="center"/>
          </w:tcPr>
          <w:p w14:paraId="600B4F8F"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0,65 – 1,13</w:t>
            </w:r>
          </w:p>
        </w:tc>
        <w:tc>
          <w:tcPr>
            <w:tcW w:w="0" w:type="auto"/>
            <w:vAlign w:val="center"/>
          </w:tcPr>
          <w:p w14:paraId="2CF815C4" w14:textId="4EFB0AB9"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1,14</w:t>
            </w:r>
          </w:p>
        </w:tc>
        <w:tc>
          <w:tcPr>
            <w:tcW w:w="0" w:type="auto"/>
            <w:vAlign w:val="center"/>
          </w:tcPr>
          <w:p w14:paraId="4467BA7F"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0,92 – 1,49</w:t>
            </w:r>
          </w:p>
        </w:tc>
        <w:tc>
          <w:tcPr>
            <w:tcW w:w="0" w:type="auto"/>
            <w:vAlign w:val="center"/>
          </w:tcPr>
          <w:p w14:paraId="5A6A801D"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0,002*</w:t>
            </w:r>
          </w:p>
        </w:tc>
      </w:tr>
      <w:tr w:rsidR="00B00C52" w:rsidRPr="00A43B9C" w14:paraId="25614475" w14:textId="77777777" w:rsidTr="00290AA2">
        <w:trPr>
          <w:jc w:val="center"/>
        </w:trPr>
        <w:tc>
          <w:tcPr>
            <w:tcW w:w="0" w:type="auto"/>
            <w:vMerge/>
            <w:vAlign w:val="center"/>
          </w:tcPr>
          <w:p w14:paraId="1D1E3074" w14:textId="77777777" w:rsidR="00B00C52" w:rsidRPr="00A43B9C" w:rsidRDefault="00B00C52" w:rsidP="007E4204">
            <w:pPr>
              <w:spacing w:after="0" w:line="240" w:lineRule="auto"/>
              <w:jc w:val="center"/>
              <w:rPr>
                <w:rFonts w:ascii="Times New Roman" w:hAnsi="Times New Roman" w:cs="Times New Roman"/>
                <w:sz w:val="28"/>
                <w:szCs w:val="28"/>
              </w:rPr>
            </w:pPr>
          </w:p>
        </w:tc>
        <w:tc>
          <w:tcPr>
            <w:tcW w:w="0" w:type="auto"/>
            <w:vAlign w:val="center"/>
          </w:tcPr>
          <w:p w14:paraId="2A359055"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p</w:t>
            </w:r>
          </w:p>
        </w:tc>
        <w:tc>
          <w:tcPr>
            <w:tcW w:w="0" w:type="auto"/>
            <w:gridSpan w:val="2"/>
            <w:vAlign w:val="center"/>
          </w:tcPr>
          <w:p w14:paraId="63EEDD93"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0,090</w:t>
            </w:r>
          </w:p>
        </w:tc>
        <w:tc>
          <w:tcPr>
            <w:tcW w:w="0" w:type="auto"/>
            <w:gridSpan w:val="2"/>
            <w:vAlign w:val="center"/>
          </w:tcPr>
          <w:p w14:paraId="5DB7424B"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0,167</w:t>
            </w:r>
          </w:p>
        </w:tc>
        <w:tc>
          <w:tcPr>
            <w:tcW w:w="0" w:type="auto"/>
            <w:vAlign w:val="center"/>
          </w:tcPr>
          <w:p w14:paraId="5A7714AE" w14:textId="77777777" w:rsidR="00B00C52" w:rsidRPr="00A43B9C" w:rsidRDefault="00B00C52" w:rsidP="007E4204">
            <w:pPr>
              <w:spacing w:after="0" w:line="240" w:lineRule="auto"/>
              <w:jc w:val="center"/>
              <w:rPr>
                <w:rFonts w:ascii="Times New Roman" w:hAnsi="Times New Roman" w:cs="Times New Roman"/>
                <w:sz w:val="28"/>
                <w:szCs w:val="28"/>
              </w:rPr>
            </w:pPr>
          </w:p>
        </w:tc>
      </w:tr>
      <w:tr w:rsidR="00B00C52" w:rsidRPr="00A43B9C" w14:paraId="380F133D" w14:textId="77777777" w:rsidTr="00290AA2">
        <w:trPr>
          <w:jc w:val="center"/>
        </w:trPr>
        <w:tc>
          <w:tcPr>
            <w:tcW w:w="0" w:type="auto"/>
            <w:vMerge w:val="restart"/>
            <w:vAlign w:val="center"/>
          </w:tcPr>
          <w:p w14:paraId="1F8C0FE7"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RU</w:t>
            </w:r>
          </w:p>
        </w:tc>
        <w:tc>
          <w:tcPr>
            <w:tcW w:w="0" w:type="auto"/>
            <w:vAlign w:val="center"/>
          </w:tcPr>
          <w:p w14:paraId="5B4ACAC3"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nLM</w:t>
            </w:r>
          </w:p>
        </w:tc>
        <w:tc>
          <w:tcPr>
            <w:tcW w:w="0" w:type="auto"/>
            <w:vAlign w:val="center"/>
          </w:tcPr>
          <w:p w14:paraId="5F517D5E" w14:textId="72BFBD79"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0,91</w:t>
            </w:r>
          </w:p>
        </w:tc>
        <w:tc>
          <w:tcPr>
            <w:tcW w:w="0" w:type="auto"/>
            <w:vAlign w:val="center"/>
          </w:tcPr>
          <w:p w14:paraId="544379E1"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0,65 – 1,17</w:t>
            </w:r>
          </w:p>
        </w:tc>
        <w:tc>
          <w:tcPr>
            <w:tcW w:w="0" w:type="auto"/>
            <w:vAlign w:val="center"/>
          </w:tcPr>
          <w:p w14:paraId="3BA79ACF" w14:textId="2B587403"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1,11</w:t>
            </w:r>
          </w:p>
        </w:tc>
        <w:tc>
          <w:tcPr>
            <w:tcW w:w="0" w:type="auto"/>
            <w:vAlign w:val="center"/>
          </w:tcPr>
          <w:p w14:paraId="27EACA85"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0,95 – 1,23</w:t>
            </w:r>
          </w:p>
        </w:tc>
        <w:tc>
          <w:tcPr>
            <w:tcW w:w="0" w:type="auto"/>
            <w:vAlign w:val="center"/>
          </w:tcPr>
          <w:p w14:paraId="7568298E"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0,048*</w:t>
            </w:r>
          </w:p>
        </w:tc>
      </w:tr>
      <w:tr w:rsidR="00B00C52" w:rsidRPr="00A43B9C" w14:paraId="27FBA040" w14:textId="77777777" w:rsidTr="00290AA2">
        <w:trPr>
          <w:jc w:val="center"/>
        </w:trPr>
        <w:tc>
          <w:tcPr>
            <w:tcW w:w="0" w:type="auto"/>
            <w:vMerge/>
            <w:vAlign w:val="center"/>
          </w:tcPr>
          <w:p w14:paraId="3561DF4E" w14:textId="77777777" w:rsidR="00B00C52" w:rsidRPr="00A43B9C" w:rsidRDefault="00B00C52" w:rsidP="007E4204">
            <w:pPr>
              <w:spacing w:after="0" w:line="240" w:lineRule="auto"/>
              <w:jc w:val="center"/>
              <w:rPr>
                <w:rFonts w:ascii="Times New Roman" w:hAnsi="Times New Roman" w:cs="Times New Roman"/>
                <w:sz w:val="28"/>
                <w:szCs w:val="28"/>
                <w:lang w:val="en-US"/>
              </w:rPr>
            </w:pPr>
          </w:p>
        </w:tc>
        <w:tc>
          <w:tcPr>
            <w:tcW w:w="0" w:type="auto"/>
            <w:vAlign w:val="center"/>
          </w:tcPr>
          <w:p w14:paraId="06C08C81"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p</w:t>
            </w:r>
            <w:r w:rsidRPr="00A43B9C">
              <w:rPr>
                <w:rFonts w:ascii="Times New Roman" w:hAnsi="Times New Roman" w:cs="Times New Roman"/>
                <w:sz w:val="28"/>
                <w:szCs w:val="28"/>
              </w:rPr>
              <w:t>LM</w:t>
            </w:r>
          </w:p>
        </w:tc>
        <w:tc>
          <w:tcPr>
            <w:tcW w:w="0" w:type="auto"/>
            <w:vAlign w:val="center"/>
          </w:tcPr>
          <w:p w14:paraId="23DAEA2F" w14:textId="7986C038"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0,74</w:t>
            </w:r>
          </w:p>
        </w:tc>
        <w:tc>
          <w:tcPr>
            <w:tcW w:w="0" w:type="auto"/>
            <w:vAlign w:val="center"/>
          </w:tcPr>
          <w:p w14:paraId="2056E531"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0,64 – 1,06</w:t>
            </w:r>
          </w:p>
        </w:tc>
        <w:tc>
          <w:tcPr>
            <w:tcW w:w="0" w:type="auto"/>
            <w:vAlign w:val="center"/>
          </w:tcPr>
          <w:p w14:paraId="40A353A8" w14:textId="0F55385E"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1,13</w:t>
            </w:r>
          </w:p>
        </w:tc>
        <w:tc>
          <w:tcPr>
            <w:tcW w:w="0" w:type="auto"/>
            <w:vAlign w:val="center"/>
          </w:tcPr>
          <w:p w14:paraId="54CD191D"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0,89 – 1,25</w:t>
            </w:r>
          </w:p>
        </w:tc>
        <w:tc>
          <w:tcPr>
            <w:tcW w:w="0" w:type="auto"/>
            <w:vAlign w:val="center"/>
          </w:tcPr>
          <w:p w14:paraId="5B495981"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0,005*</w:t>
            </w:r>
          </w:p>
        </w:tc>
      </w:tr>
      <w:tr w:rsidR="00B00C52" w:rsidRPr="00A43B9C" w14:paraId="7F63D711" w14:textId="77777777" w:rsidTr="00290AA2">
        <w:trPr>
          <w:jc w:val="center"/>
        </w:trPr>
        <w:tc>
          <w:tcPr>
            <w:tcW w:w="0" w:type="auto"/>
            <w:vMerge/>
            <w:vAlign w:val="center"/>
          </w:tcPr>
          <w:p w14:paraId="7B3F90C9" w14:textId="77777777" w:rsidR="00B00C52" w:rsidRPr="00A43B9C" w:rsidRDefault="00B00C52" w:rsidP="007E4204">
            <w:pPr>
              <w:spacing w:after="0" w:line="240" w:lineRule="auto"/>
              <w:jc w:val="center"/>
              <w:rPr>
                <w:rFonts w:ascii="Times New Roman" w:hAnsi="Times New Roman" w:cs="Times New Roman"/>
                <w:sz w:val="28"/>
                <w:szCs w:val="28"/>
              </w:rPr>
            </w:pPr>
          </w:p>
        </w:tc>
        <w:tc>
          <w:tcPr>
            <w:tcW w:w="0" w:type="auto"/>
            <w:vAlign w:val="center"/>
          </w:tcPr>
          <w:p w14:paraId="50A2718B"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p</w:t>
            </w:r>
          </w:p>
        </w:tc>
        <w:tc>
          <w:tcPr>
            <w:tcW w:w="0" w:type="auto"/>
            <w:gridSpan w:val="2"/>
            <w:vAlign w:val="center"/>
          </w:tcPr>
          <w:p w14:paraId="02EACB86"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0,417</w:t>
            </w:r>
          </w:p>
        </w:tc>
        <w:tc>
          <w:tcPr>
            <w:tcW w:w="0" w:type="auto"/>
            <w:gridSpan w:val="2"/>
            <w:vAlign w:val="center"/>
          </w:tcPr>
          <w:p w14:paraId="048E87FC"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0,880</w:t>
            </w:r>
          </w:p>
        </w:tc>
        <w:tc>
          <w:tcPr>
            <w:tcW w:w="0" w:type="auto"/>
            <w:vAlign w:val="center"/>
          </w:tcPr>
          <w:p w14:paraId="6B0379C8" w14:textId="77777777" w:rsidR="00B00C52" w:rsidRPr="00A43B9C" w:rsidRDefault="00B00C52" w:rsidP="007E4204">
            <w:pPr>
              <w:spacing w:after="0" w:line="240" w:lineRule="auto"/>
              <w:jc w:val="center"/>
              <w:rPr>
                <w:rFonts w:ascii="Times New Roman" w:hAnsi="Times New Roman" w:cs="Times New Roman"/>
                <w:sz w:val="28"/>
                <w:szCs w:val="28"/>
              </w:rPr>
            </w:pPr>
          </w:p>
        </w:tc>
      </w:tr>
      <w:tr w:rsidR="00B00C52" w:rsidRPr="00A43B9C" w14:paraId="7AB5E89E" w14:textId="77777777" w:rsidTr="00290AA2">
        <w:trPr>
          <w:jc w:val="center"/>
        </w:trPr>
        <w:tc>
          <w:tcPr>
            <w:tcW w:w="0" w:type="auto"/>
            <w:vMerge w:val="restart"/>
            <w:vAlign w:val="center"/>
          </w:tcPr>
          <w:p w14:paraId="343EADF9"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RLL</w:t>
            </w:r>
          </w:p>
        </w:tc>
        <w:tc>
          <w:tcPr>
            <w:tcW w:w="0" w:type="auto"/>
            <w:vAlign w:val="center"/>
          </w:tcPr>
          <w:p w14:paraId="63A4FA9A"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nLM</w:t>
            </w:r>
          </w:p>
        </w:tc>
        <w:tc>
          <w:tcPr>
            <w:tcW w:w="0" w:type="auto"/>
            <w:vAlign w:val="center"/>
          </w:tcPr>
          <w:p w14:paraId="4B2EDB48" w14:textId="4B629DB1"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0,94</w:t>
            </w:r>
          </w:p>
        </w:tc>
        <w:tc>
          <w:tcPr>
            <w:tcW w:w="0" w:type="auto"/>
            <w:vAlign w:val="center"/>
          </w:tcPr>
          <w:p w14:paraId="5F9F443A"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0,76 – 1,15</w:t>
            </w:r>
          </w:p>
        </w:tc>
        <w:tc>
          <w:tcPr>
            <w:tcW w:w="0" w:type="auto"/>
            <w:vAlign w:val="center"/>
          </w:tcPr>
          <w:p w14:paraId="7C09548F" w14:textId="6298CA6D"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1,26</w:t>
            </w:r>
          </w:p>
        </w:tc>
        <w:tc>
          <w:tcPr>
            <w:tcW w:w="0" w:type="auto"/>
            <w:vAlign w:val="center"/>
          </w:tcPr>
          <w:p w14:paraId="0CFDFCF2"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1,08 – 1,64</w:t>
            </w:r>
          </w:p>
        </w:tc>
        <w:tc>
          <w:tcPr>
            <w:tcW w:w="0" w:type="auto"/>
            <w:vAlign w:val="center"/>
          </w:tcPr>
          <w:p w14:paraId="06DD814C"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0,127</w:t>
            </w:r>
          </w:p>
        </w:tc>
      </w:tr>
      <w:tr w:rsidR="00B00C52" w:rsidRPr="00A43B9C" w14:paraId="11A13F5A" w14:textId="77777777" w:rsidTr="00290AA2">
        <w:trPr>
          <w:jc w:val="center"/>
        </w:trPr>
        <w:tc>
          <w:tcPr>
            <w:tcW w:w="0" w:type="auto"/>
            <w:vMerge/>
            <w:vAlign w:val="center"/>
          </w:tcPr>
          <w:p w14:paraId="2FA9F574" w14:textId="77777777" w:rsidR="00B00C52" w:rsidRPr="00A43B9C" w:rsidRDefault="00B00C52" w:rsidP="007E4204">
            <w:pPr>
              <w:spacing w:after="0" w:line="240" w:lineRule="auto"/>
              <w:jc w:val="center"/>
              <w:rPr>
                <w:rFonts w:ascii="Times New Roman" w:hAnsi="Times New Roman" w:cs="Times New Roman"/>
                <w:sz w:val="28"/>
                <w:szCs w:val="28"/>
                <w:lang w:val="en-US"/>
              </w:rPr>
            </w:pPr>
          </w:p>
        </w:tc>
        <w:tc>
          <w:tcPr>
            <w:tcW w:w="0" w:type="auto"/>
            <w:vAlign w:val="center"/>
          </w:tcPr>
          <w:p w14:paraId="263A26F4"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p</w:t>
            </w:r>
            <w:r w:rsidRPr="00A43B9C">
              <w:rPr>
                <w:rFonts w:ascii="Times New Roman" w:hAnsi="Times New Roman" w:cs="Times New Roman"/>
                <w:sz w:val="28"/>
                <w:szCs w:val="28"/>
              </w:rPr>
              <w:t>LM</w:t>
            </w:r>
          </w:p>
        </w:tc>
        <w:tc>
          <w:tcPr>
            <w:tcW w:w="0" w:type="auto"/>
            <w:vAlign w:val="center"/>
          </w:tcPr>
          <w:p w14:paraId="1FF520E1" w14:textId="499D7F8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0,95</w:t>
            </w:r>
          </w:p>
        </w:tc>
        <w:tc>
          <w:tcPr>
            <w:tcW w:w="0" w:type="auto"/>
            <w:vAlign w:val="center"/>
          </w:tcPr>
          <w:p w14:paraId="19FB2119"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0,67 – 1,10</w:t>
            </w:r>
          </w:p>
        </w:tc>
        <w:tc>
          <w:tcPr>
            <w:tcW w:w="0" w:type="auto"/>
            <w:vAlign w:val="center"/>
          </w:tcPr>
          <w:p w14:paraId="523168E3" w14:textId="4CEDC915"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1,22</w:t>
            </w:r>
          </w:p>
        </w:tc>
        <w:tc>
          <w:tcPr>
            <w:tcW w:w="0" w:type="auto"/>
            <w:vAlign w:val="center"/>
          </w:tcPr>
          <w:p w14:paraId="4C91BE21"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1,05 – 1,45</w:t>
            </w:r>
          </w:p>
        </w:tc>
        <w:tc>
          <w:tcPr>
            <w:tcW w:w="0" w:type="auto"/>
            <w:vAlign w:val="center"/>
          </w:tcPr>
          <w:p w14:paraId="0E37E6E3"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0,012*</w:t>
            </w:r>
          </w:p>
        </w:tc>
      </w:tr>
      <w:tr w:rsidR="00B00C52" w:rsidRPr="00A43B9C" w14:paraId="03C5EF78" w14:textId="77777777" w:rsidTr="00290AA2">
        <w:trPr>
          <w:jc w:val="center"/>
        </w:trPr>
        <w:tc>
          <w:tcPr>
            <w:tcW w:w="0" w:type="auto"/>
            <w:vMerge/>
            <w:vAlign w:val="center"/>
          </w:tcPr>
          <w:p w14:paraId="72080B9A" w14:textId="77777777" w:rsidR="00B00C52" w:rsidRPr="00A43B9C" w:rsidRDefault="00B00C52" w:rsidP="007E4204">
            <w:pPr>
              <w:spacing w:after="0" w:line="240" w:lineRule="auto"/>
              <w:jc w:val="center"/>
              <w:rPr>
                <w:rFonts w:ascii="Times New Roman" w:hAnsi="Times New Roman" w:cs="Times New Roman"/>
                <w:sz w:val="28"/>
                <w:szCs w:val="28"/>
              </w:rPr>
            </w:pPr>
          </w:p>
        </w:tc>
        <w:tc>
          <w:tcPr>
            <w:tcW w:w="0" w:type="auto"/>
            <w:vAlign w:val="center"/>
          </w:tcPr>
          <w:p w14:paraId="39B1FDB8"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p</w:t>
            </w:r>
          </w:p>
        </w:tc>
        <w:tc>
          <w:tcPr>
            <w:tcW w:w="0" w:type="auto"/>
            <w:gridSpan w:val="2"/>
            <w:vAlign w:val="center"/>
          </w:tcPr>
          <w:p w14:paraId="7C5F4F89"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0,359</w:t>
            </w:r>
          </w:p>
        </w:tc>
        <w:tc>
          <w:tcPr>
            <w:tcW w:w="0" w:type="auto"/>
            <w:gridSpan w:val="2"/>
            <w:vAlign w:val="center"/>
          </w:tcPr>
          <w:p w14:paraId="6F7B36D9"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0,545</w:t>
            </w:r>
          </w:p>
        </w:tc>
        <w:tc>
          <w:tcPr>
            <w:tcW w:w="0" w:type="auto"/>
            <w:vAlign w:val="center"/>
          </w:tcPr>
          <w:p w14:paraId="64F41B3D" w14:textId="77777777" w:rsidR="00B00C52" w:rsidRPr="00A43B9C" w:rsidRDefault="00B00C52" w:rsidP="007E4204">
            <w:pPr>
              <w:spacing w:after="0" w:line="240" w:lineRule="auto"/>
              <w:jc w:val="center"/>
              <w:rPr>
                <w:rFonts w:ascii="Times New Roman" w:hAnsi="Times New Roman" w:cs="Times New Roman"/>
                <w:sz w:val="28"/>
                <w:szCs w:val="28"/>
              </w:rPr>
            </w:pPr>
          </w:p>
        </w:tc>
      </w:tr>
      <w:tr w:rsidR="00B00C52" w:rsidRPr="00A43B9C" w14:paraId="3E559C6D" w14:textId="77777777" w:rsidTr="00290AA2">
        <w:trPr>
          <w:jc w:val="center"/>
        </w:trPr>
        <w:tc>
          <w:tcPr>
            <w:tcW w:w="0" w:type="auto"/>
            <w:vMerge w:val="restart"/>
            <w:vAlign w:val="center"/>
          </w:tcPr>
          <w:p w14:paraId="5B808F2E"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RRI</w:t>
            </w:r>
          </w:p>
        </w:tc>
        <w:tc>
          <w:tcPr>
            <w:tcW w:w="0" w:type="auto"/>
            <w:vAlign w:val="center"/>
          </w:tcPr>
          <w:p w14:paraId="6E01C794"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nLM</w:t>
            </w:r>
          </w:p>
        </w:tc>
        <w:tc>
          <w:tcPr>
            <w:tcW w:w="0" w:type="auto"/>
            <w:vAlign w:val="center"/>
          </w:tcPr>
          <w:p w14:paraId="555259DF" w14:textId="6D81F77E"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0,57</w:t>
            </w:r>
          </w:p>
        </w:tc>
        <w:tc>
          <w:tcPr>
            <w:tcW w:w="0" w:type="auto"/>
            <w:vAlign w:val="center"/>
          </w:tcPr>
          <w:p w14:paraId="534EA96F"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0,48 – 0,91</w:t>
            </w:r>
          </w:p>
        </w:tc>
        <w:tc>
          <w:tcPr>
            <w:tcW w:w="0" w:type="auto"/>
            <w:vAlign w:val="center"/>
          </w:tcPr>
          <w:p w14:paraId="0BC6F6F9" w14:textId="679F4742"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0,84</w:t>
            </w:r>
          </w:p>
        </w:tc>
        <w:tc>
          <w:tcPr>
            <w:tcW w:w="0" w:type="auto"/>
            <w:vAlign w:val="center"/>
          </w:tcPr>
          <w:p w14:paraId="6AFD544B"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0,68 – 1,03</w:t>
            </w:r>
          </w:p>
        </w:tc>
        <w:tc>
          <w:tcPr>
            <w:tcW w:w="0" w:type="auto"/>
            <w:vAlign w:val="center"/>
          </w:tcPr>
          <w:p w14:paraId="1397B709"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0,027*</w:t>
            </w:r>
          </w:p>
        </w:tc>
      </w:tr>
      <w:tr w:rsidR="00B00C52" w:rsidRPr="00A43B9C" w14:paraId="2B534EA7" w14:textId="77777777" w:rsidTr="00290AA2">
        <w:trPr>
          <w:jc w:val="center"/>
        </w:trPr>
        <w:tc>
          <w:tcPr>
            <w:tcW w:w="0" w:type="auto"/>
            <w:vMerge/>
            <w:vAlign w:val="center"/>
          </w:tcPr>
          <w:p w14:paraId="755ED85D" w14:textId="77777777" w:rsidR="00B00C52" w:rsidRPr="00A43B9C" w:rsidRDefault="00B00C52" w:rsidP="007E4204">
            <w:pPr>
              <w:spacing w:after="0" w:line="240" w:lineRule="auto"/>
              <w:jc w:val="center"/>
              <w:rPr>
                <w:rFonts w:ascii="Times New Roman" w:hAnsi="Times New Roman" w:cs="Times New Roman"/>
                <w:sz w:val="28"/>
                <w:szCs w:val="28"/>
                <w:lang w:val="en-US"/>
              </w:rPr>
            </w:pPr>
          </w:p>
        </w:tc>
        <w:tc>
          <w:tcPr>
            <w:tcW w:w="0" w:type="auto"/>
            <w:vAlign w:val="center"/>
          </w:tcPr>
          <w:p w14:paraId="529F4EA9"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p</w:t>
            </w:r>
            <w:r w:rsidRPr="00A43B9C">
              <w:rPr>
                <w:rFonts w:ascii="Times New Roman" w:hAnsi="Times New Roman" w:cs="Times New Roman"/>
                <w:sz w:val="28"/>
                <w:szCs w:val="28"/>
              </w:rPr>
              <w:t>LM</w:t>
            </w:r>
          </w:p>
        </w:tc>
        <w:tc>
          <w:tcPr>
            <w:tcW w:w="0" w:type="auto"/>
            <w:vAlign w:val="center"/>
          </w:tcPr>
          <w:p w14:paraId="4499925E" w14:textId="6C24EE6C"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0,54</w:t>
            </w:r>
          </w:p>
        </w:tc>
        <w:tc>
          <w:tcPr>
            <w:tcW w:w="0" w:type="auto"/>
            <w:vAlign w:val="center"/>
          </w:tcPr>
          <w:p w14:paraId="52910C58"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0,46 – 0,75</w:t>
            </w:r>
          </w:p>
        </w:tc>
        <w:tc>
          <w:tcPr>
            <w:tcW w:w="0" w:type="auto"/>
            <w:vAlign w:val="center"/>
          </w:tcPr>
          <w:p w14:paraId="219370E6" w14:textId="1E86C254"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0,76</w:t>
            </w:r>
          </w:p>
        </w:tc>
        <w:tc>
          <w:tcPr>
            <w:tcW w:w="0" w:type="auto"/>
            <w:vAlign w:val="center"/>
          </w:tcPr>
          <w:p w14:paraId="305EF4BB"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0,66 – 0,83</w:t>
            </w:r>
          </w:p>
        </w:tc>
        <w:tc>
          <w:tcPr>
            <w:tcW w:w="0" w:type="auto"/>
            <w:vAlign w:val="center"/>
          </w:tcPr>
          <w:p w14:paraId="45DF8738"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0,001*</w:t>
            </w:r>
          </w:p>
        </w:tc>
      </w:tr>
      <w:tr w:rsidR="00B00C52" w:rsidRPr="00A43B9C" w14:paraId="24C1291D" w14:textId="77777777" w:rsidTr="00290AA2">
        <w:trPr>
          <w:jc w:val="center"/>
        </w:trPr>
        <w:tc>
          <w:tcPr>
            <w:tcW w:w="0" w:type="auto"/>
            <w:vMerge/>
            <w:vAlign w:val="center"/>
          </w:tcPr>
          <w:p w14:paraId="35FD384E" w14:textId="77777777" w:rsidR="00B00C52" w:rsidRPr="00A43B9C" w:rsidRDefault="00B00C52" w:rsidP="007E4204">
            <w:pPr>
              <w:spacing w:after="0" w:line="240" w:lineRule="auto"/>
              <w:jc w:val="center"/>
              <w:rPr>
                <w:rFonts w:ascii="Times New Roman" w:hAnsi="Times New Roman" w:cs="Times New Roman"/>
                <w:sz w:val="28"/>
                <w:szCs w:val="28"/>
              </w:rPr>
            </w:pPr>
          </w:p>
        </w:tc>
        <w:tc>
          <w:tcPr>
            <w:tcW w:w="0" w:type="auto"/>
            <w:vAlign w:val="center"/>
          </w:tcPr>
          <w:p w14:paraId="4E65E7CB"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p</w:t>
            </w:r>
          </w:p>
        </w:tc>
        <w:tc>
          <w:tcPr>
            <w:tcW w:w="0" w:type="auto"/>
            <w:gridSpan w:val="2"/>
            <w:vAlign w:val="center"/>
          </w:tcPr>
          <w:p w14:paraId="367A4052"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0,397</w:t>
            </w:r>
          </w:p>
        </w:tc>
        <w:tc>
          <w:tcPr>
            <w:tcW w:w="0" w:type="auto"/>
            <w:gridSpan w:val="2"/>
            <w:vAlign w:val="center"/>
          </w:tcPr>
          <w:p w14:paraId="0B026102"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0,212</w:t>
            </w:r>
          </w:p>
        </w:tc>
        <w:tc>
          <w:tcPr>
            <w:tcW w:w="0" w:type="auto"/>
            <w:vAlign w:val="center"/>
          </w:tcPr>
          <w:p w14:paraId="75504DAF" w14:textId="318EB38F" w:rsidR="00B00C52" w:rsidRPr="00A43B9C" w:rsidRDefault="00B00C52" w:rsidP="007E4204">
            <w:pPr>
              <w:spacing w:after="0" w:line="240" w:lineRule="auto"/>
              <w:jc w:val="center"/>
              <w:rPr>
                <w:rFonts w:ascii="Times New Roman" w:hAnsi="Times New Roman" w:cs="Times New Roman"/>
                <w:sz w:val="28"/>
                <w:szCs w:val="28"/>
              </w:rPr>
            </w:pPr>
          </w:p>
        </w:tc>
      </w:tr>
      <w:tr w:rsidR="00B00C52" w:rsidRPr="00A43B9C" w14:paraId="0C289366" w14:textId="77777777" w:rsidTr="00290AA2">
        <w:trPr>
          <w:jc w:val="center"/>
        </w:trPr>
        <w:tc>
          <w:tcPr>
            <w:tcW w:w="0" w:type="auto"/>
            <w:vMerge w:val="restart"/>
            <w:vAlign w:val="center"/>
          </w:tcPr>
          <w:p w14:paraId="2152FECD"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RP</w:t>
            </w:r>
          </w:p>
        </w:tc>
        <w:tc>
          <w:tcPr>
            <w:tcW w:w="0" w:type="auto"/>
            <w:vAlign w:val="center"/>
          </w:tcPr>
          <w:p w14:paraId="0805B9F8"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rPr>
              <w:t>LM</w:t>
            </w:r>
          </w:p>
        </w:tc>
        <w:tc>
          <w:tcPr>
            <w:tcW w:w="0" w:type="auto"/>
            <w:vAlign w:val="center"/>
          </w:tcPr>
          <w:p w14:paraId="5EBC1B1C" w14:textId="2A28D97A"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0,92</w:t>
            </w:r>
          </w:p>
        </w:tc>
        <w:tc>
          <w:tcPr>
            <w:tcW w:w="0" w:type="auto"/>
            <w:vAlign w:val="center"/>
          </w:tcPr>
          <w:p w14:paraId="7168EDF7"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0,69 – 1,18</w:t>
            </w:r>
          </w:p>
        </w:tc>
        <w:tc>
          <w:tcPr>
            <w:tcW w:w="0" w:type="auto"/>
            <w:vAlign w:val="center"/>
          </w:tcPr>
          <w:p w14:paraId="617E130A" w14:textId="10B062E4"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1,23</w:t>
            </w:r>
          </w:p>
        </w:tc>
        <w:tc>
          <w:tcPr>
            <w:tcW w:w="0" w:type="auto"/>
            <w:vAlign w:val="center"/>
          </w:tcPr>
          <w:p w14:paraId="3CAD5FA4"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1,03 – 1,39</w:t>
            </w:r>
          </w:p>
        </w:tc>
        <w:tc>
          <w:tcPr>
            <w:tcW w:w="0" w:type="auto"/>
            <w:vAlign w:val="center"/>
          </w:tcPr>
          <w:p w14:paraId="623AFDD4"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0,057</w:t>
            </w:r>
          </w:p>
        </w:tc>
      </w:tr>
      <w:tr w:rsidR="00B00C52" w:rsidRPr="00A43B9C" w14:paraId="317A8A4D" w14:textId="77777777" w:rsidTr="00290AA2">
        <w:trPr>
          <w:jc w:val="center"/>
        </w:trPr>
        <w:tc>
          <w:tcPr>
            <w:tcW w:w="0" w:type="auto"/>
            <w:vMerge/>
            <w:vAlign w:val="center"/>
          </w:tcPr>
          <w:p w14:paraId="0BAB5A51" w14:textId="77777777" w:rsidR="00B00C52" w:rsidRPr="00A43B9C" w:rsidRDefault="00B00C52" w:rsidP="007E4204">
            <w:pPr>
              <w:spacing w:after="0" w:line="240" w:lineRule="auto"/>
              <w:jc w:val="center"/>
              <w:rPr>
                <w:rFonts w:ascii="Times New Roman" w:hAnsi="Times New Roman" w:cs="Times New Roman"/>
                <w:sz w:val="28"/>
                <w:szCs w:val="28"/>
                <w:lang w:val="en-US"/>
              </w:rPr>
            </w:pPr>
          </w:p>
        </w:tc>
        <w:tc>
          <w:tcPr>
            <w:tcW w:w="0" w:type="auto"/>
            <w:vAlign w:val="center"/>
          </w:tcPr>
          <w:p w14:paraId="47B499FC"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p</w:t>
            </w:r>
            <w:r w:rsidRPr="00A43B9C">
              <w:rPr>
                <w:rFonts w:ascii="Times New Roman" w:hAnsi="Times New Roman" w:cs="Times New Roman"/>
                <w:sz w:val="28"/>
                <w:szCs w:val="28"/>
              </w:rPr>
              <w:t>LM</w:t>
            </w:r>
          </w:p>
        </w:tc>
        <w:tc>
          <w:tcPr>
            <w:tcW w:w="0" w:type="auto"/>
            <w:vAlign w:val="center"/>
          </w:tcPr>
          <w:p w14:paraId="76843A1A" w14:textId="2B405595"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0,80</w:t>
            </w:r>
          </w:p>
        </w:tc>
        <w:tc>
          <w:tcPr>
            <w:tcW w:w="0" w:type="auto"/>
            <w:vAlign w:val="center"/>
          </w:tcPr>
          <w:p w14:paraId="49B5E451"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0,66 – 1,02</w:t>
            </w:r>
          </w:p>
        </w:tc>
        <w:tc>
          <w:tcPr>
            <w:tcW w:w="0" w:type="auto"/>
            <w:vAlign w:val="center"/>
          </w:tcPr>
          <w:p w14:paraId="6204CE6A" w14:textId="461F7EC6"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1,19</w:t>
            </w:r>
          </w:p>
        </w:tc>
        <w:tc>
          <w:tcPr>
            <w:tcW w:w="0" w:type="auto"/>
            <w:vAlign w:val="center"/>
          </w:tcPr>
          <w:p w14:paraId="6D6FB449"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1,00 – 1,29</w:t>
            </w:r>
          </w:p>
        </w:tc>
        <w:tc>
          <w:tcPr>
            <w:tcW w:w="0" w:type="auto"/>
            <w:vAlign w:val="center"/>
          </w:tcPr>
          <w:p w14:paraId="7164576B"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0,001*</w:t>
            </w:r>
          </w:p>
        </w:tc>
      </w:tr>
      <w:tr w:rsidR="00B00C52" w:rsidRPr="00A43B9C" w14:paraId="6C7F8BDF" w14:textId="77777777" w:rsidTr="00290AA2">
        <w:trPr>
          <w:jc w:val="center"/>
        </w:trPr>
        <w:tc>
          <w:tcPr>
            <w:tcW w:w="0" w:type="auto"/>
            <w:vMerge/>
            <w:vAlign w:val="center"/>
          </w:tcPr>
          <w:p w14:paraId="45186B23" w14:textId="77777777" w:rsidR="00B00C52" w:rsidRPr="00A43B9C" w:rsidRDefault="00B00C52" w:rsidP="007E4204">
            <w:pPr>
              <w:spacing w:after="0" w:line="240" w:lineRule="auto"/>
              <w:jc w:val="center"/>
              <w:rPr>
                <w:rFonts w:ascii="Times New Roman" w:hAnsi="Times New Roman" w:cs="Times New Roman"/>
                <w:sz w:val="28"/>
                <w:szCs w:val="28"/>
              </w:rPr>
            </w:pPr>
          </w:p>
        </w:tc>
        <w:tc>
          <w:tcPr>
            <w:tcW w:w="0" w:type="auto"/>
            <w:vAlign w:val="center"/>
          </w:tcPr>
          <w:p w14:paraId="54D2FC46"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p</w:t>
            </w:r>
          </w:p>
        </w:tc>
        <w:tc>
          <w:tcPr>
            <w:tcW w:w="0" w:type="auto"/>
            <w:gridSpan w:val="2"/>
            <w:vAlign w:val="center"/>
          </w:tcPr>
          <w:p w14:paraId="3D24EC1C"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0,226</w:t>
            </w:r>
          </w:p>
        </w:tc>
        <w:tc>
          <w:tcPr>
            <w:tcW w:w="0" w:type="auto"/>
            <w:gridSpan w:val="2"/>
            <w:vAlign w:val="center"/>
          </w:tcPr>
          <w:p w14:paraId="4C82D07A"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0,593</w:t>
            </w:r>
          </w:p>
        </w:tc>
        <w:tc>
          <w:tcPr>
            <w:tcW w:w="0" w:type="auto"/>
            <w:vAlign w:val="center"/>
          </w:tcPr>
          <w:p w14:paraId="5184BE26" w14:textId="4A8B3D2E" w:rsidR="00B00C52" w:rsidRPr="00A43B9C" w:rsidRDefault="00B00C52" w:rsidP="007E4204">
            <w:pPr>
              <w:spacing w:after="0" w:line="240" w:lineRule="auto"/>
              <w:jc w:val="center"/>
              <w:rPr>
                <w:rFonts w:ascii="Times New Roman" w:hAnsi="Times New Roman" w:cs="Times New Roman"/>
                <w:sz w:val="28"/>
                <w:szCs w:val="28"/>
              </w:rPr>
            </w:pPr>
          </w:p>
        </w:tc>
      </w:tr>
      <w:tr w:rsidR="00B00C52" w:rsidRPr="00A43B9C" w14:paraId="60B05130" w14:textId="77777777" w:rsidTr="00290AA2">
        <w:trPr>
          <w:jc w:val="center"/>
        </w:trPr>
        <w:tc>
          <w:tcPr>
            <w:tcW w:w="0" w:type="auto"/>
            <w:vMerge w:val="restart"/>
            <w:vAlign w:val="center"/>
          </w:tcPr>
          <w:p w14:paraId="7425E292"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RLI</w:t>
            </w:r>
          </w:p>
        </w:tc>
        <w:tc>
          <w:tcPr>
            <w:tcW w:w="0" w:type="auto"/>
            <w:vAlign w:val="center"/>
          </w:tcPr>
          <w:p w14:paraId="6C71DEEB"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rPr>
              <w:t>LM</w:t>
            </w:r>
          </w:p>
        </w:tc>
        <w:tc>
          <w:tcPr>
            <w:tcW w:w="0" w:type="auto"/>
            <w:vAlign w:val="center"/>
          </w:tcPr>
          <w:p w14:paraId="6781BC27" w14:textId="6220BA14"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0,68</w:t>
            </w:r>
          </w:p>
        </w:tc>
        <w:tc>
          <w:tcPr>
            <w:tcW w:w="0" w:type="auto"/>
            <w:vAlign w:val="center"/>
          </w:tcPr>
          <w:p w14:paraId="771C1BD3"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0,47 – 0,99</w:t>
            </w:r>
          </w:p>
        </w:tc>
        <w:tc>
          <w:tcPr>
            <w:tcW w:w="0" w:type="auto"/>
            <w:vAlign w:val="center"/>
          </w:tcPr>
          <w:p w14:paraId="0C6470EE" w14:textId="2B8D49D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0,89</w:t>
            </w:r>
          </w:p>
        </w:tc>
        <w:tc>
          <w:tcPr>
            <w:tcW w:w="0" w:type="auto"/>
            <w:vAlign w:val="center"/>
          </w:tcPr>
          <w:p w14:paraId="044D16EF"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0,77 – 1,08</w:t>
            </w:r>
          </w:p>
        </w:tc>
        <w:tc>
          <w:tcPr>
            <w:tcW w:w="0" w:type="auto"/>
            <w:vAlign w:val="center"/>
          </w:tcPr>
          <w:p w14:paraId="1C757258"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0,055</w:t>
            </w:r>
          </w:p>
        </w:tc>
      </w:tr>
      <w:tr w:rsidR="00B00C52" w:rsidRPr="00A43B9C" w14:paraId="084C39C1" w14:textId="77777777" w:rsidTr="00290AA2">
        <w:trPr>
          <w:jc w:val="center"/>
        </w:trPr>
        <w:tc>
          <w:tcPr>
            <w:tcW w:w="0" w:type="auto"/>
            <w:vMerge/>
            <w:vAlign w:val="center"/>
          </w:tcPr>
          <w:p w14:paraId="6727999E" w14:textId="77777777" w:rsidR="00B00C52" w:rsidRPr="00A43B9C" w:rsidRDefault="00B00C52" w:rsidP="007E4204">
            <w:pPr>
              <w:spacing w:after="0" w:line="240" w:lineRule="auto"/>
              <w:jc w:val="center"/>
              <w:rPr>
                <w:rFonts w:ascii="Times New Roman" w:hAnsi="Times New Roman" w:cs="Times New Roman"/>
                <w:sz w:val="28"/>
                <w:szCs w:val="28"/>
                <w:lang w:val="en-US"/>
              </w:rPr>
            </w:pPr>
          </w:p>
        </w:tc>
        <w:tc>
          <w:tcPr>
            <w:tcW w:w="0" w:type="auto"/>
            <w:vAlign w:val="center"/>
          </w:tcPr>
          <w:p w14:paraId="753D33E9"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p</w:t>
            </w:r>
            <w:r w:rsidRPr="00A43B9C">
              <w:rPr>
                <w:rFonts w:ascii="Times New Roman" w:hAnsi="Times New Roman" w:cs="Times New Roman"/>
                <w:sz w:val="28"/>
                <w:szCs w:val="28"/>
              </w:rPr>
              <w:t>LM</w:t>
            </w:r>
          </w:p>
        </w:tc>
        <w:tc>
          <w:tcPr>
            <w:tcW w:w="0" w:type="auto"/>
            <w:vAlign w:val="center"/>
          </w:tcPr>
          <w:p w14:paraId="47FD78F7" w14:textId="5BE55532"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0,54</w:t>
            </w:r>
          </w:p>
        </w:tc>
        <w:tc>
          <w:tcPr>
            <w:tcW w:w="0" w:type="auto"/>
            <w:vAlign w:val="center"/>
          </w:tcPr>
          <w:p w14:paraId="6216775E"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0,44 – 0,61</w:t>
            </w:r>
          </w:p>
        </w:tc>
        <w:tc>
          <w:tcPr>
            <w:tcW w:w="0" w:type="auto"/>
            <w:vAlign w:val="center"/>
          </w:tcPr>
          <w:p w14:paraId="12EE309C" w14:textId="703CC3C6"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0,80</w:t>
            </w:r>
          </w:p>
        </w:tc>
        <w:tc>
          <w:tcPr>
            <w:tcW w:w="0" w:type="auto"/>
            <w:vAlign w:val="center"/>
          </w:tcPr>
          <w:p w14:paraId="56CB93E2"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0,62 – 0,91</w:t>
            </w:r>
          </w:p>
        </w:tc>
        <w:tc>
          <w:tcPr>
            <w:tcW w:w="0" w:type="auto"/>
            <w:vAlign w:val="center"/>
          </w:tcPr>
          <w:p w14:paraId="5AF51C51"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0,005*</w:t>
            </w:r>
          </w:p>
        </w:tc>
      </w:tr>
      <w:tr w:rsidR="00B00C52" w:rsidRPr="00A43B9C" w14:paraId="34862BF6" w14:textId="77777777" w:rsidTr="00290AA2">
        <w:trPr>
          <w:jc w:val="center"/>
        </w:trPr>
        <w:tc>
          <w:tcPr>
            <w:tcW w:w="0" w:type="auto"/>
            <w:vMerge/>
            <w:vAlign w:val="center"/>
          </w:tcPr>
          <w:p w14:paraId="6F504AEC" w14:textId="77777777" w:rsidR="00B00C52" w:rsidRPr="00A43B9C" w:rsidRDefault="00B00C52" w:rsidP="007E4204">
            <w:pPr>
              <w:spacing w:after="0" w:line="240" w:lineRule="auto"/>
              <w:jc w:val="center"/>
              <w:rPr>
                <w:rFonts w:ascii="Times New Roman" w:hAnsi="Times New Roman" w:cs="Times New Roman"/>
                <w:sz w:val="28"/>
                <w:szCs w:val="28"/>
              </w:rPr>
            </w:pPr>
          </w:p>
        </w:tc>
        <w:tc>
          <w:tcPr>
            <w:tcW w:w="0" w:type="auto"/>
            <w:vAlign w:val="center"/>
          </w:tcPr>
          <w:p w14:paraId="76572735"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p</w:t>
            </w:r>
          </w:p>
        </w:tc>
        <w:tc>
          <w:tcPr>
            <w:tcW w:w="0" w:type="auto"/>
            <w:gridSpan w:val="2"/>
            <w:vAlign w:val="center"/>
          </w:tcPr>
          <w:p w14:paraId="0888169E"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0,103</w:t>
            </w:r>
          </w:p>
        </w:tc>
        <w:tc>
          <w:tcPr>
            <w:tcW w:w="0" w:type="auto"/>
            <w:gridSpan w:val="2"/>
            <w:vAlign w:val="center"/>
          </w:tcPr>
          <w:p w14:paraId="67D85056"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0,063</w:t>
            </w:r>
          </w:p>
        </w:tc>
        <w:tc>
          <w:tcPr>
            <w:tcW w:w="0" w:type="auto"/>
            <w:vAlign w:val="center"/>
          </w:tcPr>
          <w:p w14:paraId="708EE222" w14:textId="5AB6EB72" w:rsidR="00B00C52" w:rsidRPr="00A43B9C" w:rsidRDefault="00B00C52" w:rsidP="007E4204">
            <w:pPr>
              <w:spacing w:after="0" w:line="240" w:lineRule="auto"/>
              <w:jc w:val="center"/>
              <w:rPr>
                <w:rFonts w:ascii="Times New Roman" w:hAnsi="Times New Roman" w:cs="Times New Roman"/>
                <w:sz w:val="28"/>
                <w:szCs w:val="28"/>
              </w:rPr>
            </w:pPr>
          </w:p>
        </w:tc>
      </w:tr>
      <w:tr w:rsidR="00B00C52" w:rsidRPr="00A43B9C" w14:paraId="61970E71" w14:textId="77777777" w:rsidTr="00290AA2">
        <w:trPr>
          <w:jc w:val="center"/>
        </w:trPr>
        <w:tc>
          <w:tcPr>
            <w:tcW w:w="0" w:type="auto"/>
            <w:vMerge w:val="restart"/>
            <w:vAlign w:val="center"/>
          </w:tcPr>
          <w:p w14:paraId="1A514EB7"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P</w:t>
            </w:r>
          </w:p>
        </w:tc>
        <w:tc>
          <w:tcPr>
            <w:tcW w:w="0" w:type="auto"/>
            <w:vAlign w:val="center"/>
          </w:tcPr>
          <w:p w14:paraId="3C458DDC"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rPr>
              <w:t>LM</w:t>
            </w:r>
          </w:p>
        </w:tc>
        <w:tc>
          <w:tcPr>
            <w:tcW w:w="0" w:type="auto"/>
            <w:vAlign w:val="center"/>
          </w:tcPr>
          <w:p w14:paraId="5360006C" w14:textId="41892578"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0,96</w:t>
            </w:r>
          </w:p>
        </w:tc>
        <w:tc>
          <w:tcPr>
            <w:tcW w:w="0" w:type="auto"/>
            <w:vAlign w:val="center"/>
          </w:tcPr>
          <w:p w14:paraId="24FCFE5C"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0,68 – 1,23</w:t>
            </w:r>
          </w:p>
        </w:tc>
        <w:tc>
          <w:tcPr>
            <w:tcW w:w="0" w:type="auto"/>
            <w:vAlign w:val="center"/>
          </w:tcPr>
          <w:p w14:paraId="18B6E212" w14:textId="459DC616"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1,16</w:t>
            </w:r>
          </w:p>
        </w:tc>
        <w:tc>
          <w:tcPr>
            <w:tcW w:w="0" w:type="auto"/>
            <w:vAlign w:val="center"/>
          </w:tcPr>
          <w:p w14:paraId="3B0B8D6D"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1,01 – 1,44</w:t>
            </w:r>
          </w:p>
        </w:tc>
        <w:tc>
          <w:tcPr>
            <w:tcW w:w="0" w:type="auto"/>
            <w:vAlign w:val="center"/>
          </w:tcPr>
          <w:p w14:paraId="453D73FA"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0,037*</w:t>
            </w:r>
          </w:p>
        </w:tc>
      </w:tr>
      <w:tr w:rsidR="00B00C52" w:rsidRPr="00A43B9C" w14:paraId="5D9331C2" w14:textId="77777777" w:rsidTr="00290AA2">
        <w:trPr>
          <w:jc w:val="center"/>
        </w:trPr>
        <w:tc>
          <w:tcPr>
            <w:tcW w:w="0" w:type="auto"/>
            <w:vMerge/>
          </w:tcPr>
          <w:p w14:paraId="7B11EFF8" w14:textId="77777777" w:rsidR="00B00C52" w:rsidRPr="00A43B9C" w:rsidRDefault="00B00C52" w:rsidP="007E4204">
            <w:pPr>
              <w:spacing w:after="0" w:line="240" w:lineRule="auto"/>
              <w:jc w:val="center"/>
              <w:rPr>
                <w:rFonts w:ascii="Times New Roman" w:hAnsi="Times New Roman" w:cs="Times New Roman"/>
                <w:sz w:val="28"/>
                <w:szCs w:val="28"/>
                <w:lang w:val="en-US"/>
              </w:rPr>
            </w:pPr>
          </w:p>
        </w:tc>
        <w:tc>
          <w:tcPr>
            <w:tcW w:w="0" w:type="auto"/>
            <w:vAlign w:val="center"/>
          </w:tcPr>
          <w:p w14:paraId="7A300503"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p</w:t>
            </w:r>
            <w:r w:rsidRPr="00A43B9C">
              <w:rPr>
                <w:rFonts w:ascii="Times New Roman" w:hAnsi="Times New Roman" w:cs="Times New Roman"/>
                <w:sz w:val="28"/>
                <w:szCs w:val="28"/>
              </w:rPr>
              <w:t>LM</w:t>
            </w:r>
          </w:p>
        </w:tc>
        <w:tc>
          <w:tcPr>
            <w:tcW w:w="0" w:type="auto"/>
            <w:vAlign w:val="center"/>
          </w:tcPr>
          <w:p w14:paraId="1F3D311D" w14:textId="788674FF"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0,80</w:t>
            </w:r>
          </w:p>
        </w:tc>
        <w:tc>
          <w:tcPr>
            <w:tcW w:w="0" w:type="auto"/>
            <w:vAlign w:val="center"/>
          </w:tcPr>
          <w:p w14:paraId="0991E41B"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0,65 – 1,00</w:t>
            </w:r>
          </w:p>
        </w:tc>
        <w:tc>
          <w:tcPr>
            <w:tcW w:w="0" w:type="auto"/>
            <w:vAlign w:val="center"/>
          </w:tcPr>
          <w:p w14:paraId="3CE8869F" w14:textId="4C165440"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1,14</w:t>
            </w:r>
          </w:p>
        </w:tc>
        <w:tc>
          <w:tcPr>
            <w:tcW w:w="0" w:type="auto"/>
            <w:vAlign w:val="center"/>
          </w:tcPr>
          <w:p w14:paraId="3F815F0C"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0,91 – 1,36</w:t>
            </w:r>
          </w:p>
        </w:tc>
        <w:tc>
          <w:tcPr>
            <w:tcW w:w="0" w:type="auto"/>
            <w:vAlign w:val="center"/>
          </w:tcPr>
          <w:p w14:paraId="61282EAB"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0,003*</w:t>
            </w:r>
          </w:p>
        </w:tc>
      </w:tr>
      <w:tr w:rsidR="00B00C52" w:rsidRPr="00A43B9C" w14:paraId="6636EB2D" w14:textId="77777777" w:rsidTr="00290AA2">
        <w:trPr>
          <w:jc w:val="center"/>
        </w:trPr>
        <w:tc>
          <w:tcPr>
            <w:tcW w:w="0" w:type="auto"/>
            <w:vMerge/>
          </w:tcPr>
          <w:p w14:paraId="72E8BEEF" w14:textId="77777777" w:rsidR="00B00C52" w:rsidRPr="00A43B9C" w:rsidRDefault="00B00C52" w:rsidP="007E4204">
            <w:pPr>
              <w:spacing w:after="0" w:line="240" w:lineRule="auto"/>
              <w:jc w:val="center"/>
              <w:rPr>
                <w:rFonts w:ascii="Times New Roman" w:hAnsi="Times New Roman" w:cs="Times New Roman"/>
                <w:sz w:val="28"/>
                <w:szCs w:val="28"/>
              </w:rPr>
            </w:pPr>
          </w:p>
        </w:tc>
        <w:tc>
          <w:tcPr>
            <w:tcW w:w="0" w:type="auto"/>
            <w:vAlign w:val="center"/>
          </w:tcPr>
          <w:p w14:paraId="65F1C065"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p</w:t>
            </w:r>
          </w:p>
        </w:tc>
        <w:tc>
          <w:tcPr>
            <w:tcW w:w="0" w:type="auto"/>
            <w:gridSpan w:val="2"/>
            <w:vAlign w:val="center"/>
          </w:tcPr>
          <w:p w14:paraId="066EE05A"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0,199</w:t>
            </w:r>
          </w:p>
        </w:tc>
        <w:tc>
          <w:tcPr>
            <w:tcW w:w="0" w:type="auto"/>
            <w:gridSpan w:val="2"/>
            <w:vAlign w:val="center"/>
          </w:tcPr>
          <w:p w14:paraId="66A18142"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0,363</w:t>
            </w:r>
          </w:p>
        </w:tc>
        <w:tc>
          <w:tcPr>
            <w:tcW w:w="0" w:type="auto"/>
            <w:vAlign w:val="center"/>
          </w:tcPr>
          <w:p w14:paraId="5CE8B364" w14:textId="3673572C" w:rsidR="00B00C52" w:rsidRPr="00A43B9C" w:rsidRDefault="00B00C52" w:rsidP="007E4204">
            <w:pPr>
              <w:spacing w:after="0" w:line="240" w:lineRule="auto"/>
              <w:jc w:val="center"/>
              <w:rPr>
                <w:rFonts w:ascii="Times New Roman" w:hAnsi="Times New Roman" w:cs="Times New Roman"/>
                <w:sz w:val="28"/>
                <w:szCs w:val="28"/>
              </w:rPr>
            </w:pPr>
          </w:p>
        </w:tc>
      </w:tr>
    </w:tbl>
    <w:p w14:paraId="7FB54C30" w14:textId="450E3814" w:rsidR="00B00C52" w:rsidRDefault="00B00C52" w:rsidP="00B00C52">
      <w:pPr>
        <w:spacing w:after="0" w:line="240" w:lineRule="auto"/>
        <w:ind w:firstLine="709"/>
        <w:rPr>
          <w:rFonts w:ascii="Times New Roman" w:hAnsi="Times New Roman" w:cs="Times New Roman"/>
          <w:sz w:val="28"/>
          <w:szCs w:val="28"/>
        </w:rPr>
      </w:pPr>
    </w:p>
    <w:tbl>
      <w:tblPr>
        <w:tblStyle w:val="ad"/>
        <w:tblW w:w="930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06"/>
      </w:tblGrid>
      <w:tr w:rsidR="00105031" w:rsidRPr="00A43B9C" w14:paraId="76C8AF5A" w14:textId="77777777" w:rsidTr="00E45A02">
        <w:tc>
          <w:tcPr>
            <w:tcW w:w="9306" w:type="dxa"/>
            <w:vAlign w:val="center"/>
          </w:tcPr>
          <w:p w14:paraId="35643C40" w14:textId="77777777" w:rsidR="00105031" w:rsidRPr="00A43B9C" w:rsidRDefault="00105031" w:rsidP="00446A37">
            <w:pPr>
              <w:spacing w:after="0" w:line="240" w:lineRule="auto"/>
              <w:jc w:val="center"/>
              <w:rPr>
                <w:rFonts w:ascii="Times New Roman" w:hAnsi="Times New Roman" w:cs="Times New Roman"/>
                <w:sz w:val="28"/>
                <w:szCs w:val="28"/>
              </w:rPr>
            </w:pPr>
            <w:r w:rsidRPr="00A43B9C">
              <w:rPr>
                <w:noProof/>
                <w:lang w:eastAsia="ru-RU"/>
              </w:rPr>
              <w:lastRenderedPageBreak/>
              <mc:AlternateContent>
                <mc:Choice Requires="cx1">
                  <w:drawing>
                    <wp:inline distT="0" distB="0" distL="0" distR="0" wp14:anchorId="43FD2F68" wp14:editId="6127E5EA">
                      <wp:extent cx="5760000" cy="1800000"/>
                      <wp:effectExtent l="0" t="0" r="12700" b="10160"/>
                      <wp:docPr id="293" name="Диаграмма 293">
                        <a:extLst xmlns:a="http://schemas.openxmlformats.org/drawingml/2006/main">
                          <a:ext uri="{FF2B5EF4-FFF2-40B4-BE49-F238E27FC236}">
                            <a16:creationId xmlns:a16="http://schemas.microsoft.com/office/drawing/2014/main" id="{58C62635-A304-49FB-A8ED-9912B7D4E5AF}"/>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29"/>
                        </a:graphicData>
                      </a:graphic>
                    </wp:inline>
                  </w:drawing>
                </mc:Choice>
                <mc:Fallback>
                  <w:drawing>
                    <wp:inline distT="0" distB="0" distL="0" distR="0" wp14:anchorId="43FD2F68" wp14:editId="6127E5EA">
                      <wp:extent cx="5760000" cy="1800000"/>
                      <wp:effectExtent l="0" t="0" r="12700" b="10160"/>
                      <wp:docPr id="293" name="Диаграмма 293">
                        <a:extLst xmlns:a="http://schemas.openxmlformats.org/drawingml/2006/main">
                          <a:ext uri="{FF2B5EF4-FFF2-40B4-BE49-F238E27FC236}">
                            <a16:creationId xmlns:a16="http://schemas.microsoft.com/office/drawing/2014/main" id="{58C62635-A304-49FB-A8ED-9912B7D4E5AF}"/>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93" name="Диаграмма 293">
                                <a:extLst>
                                  <a:ext uri="{FF2B5EF4-FFF2-40B4-BE49-F238E27FC236}">
                                    <a16:creationId xmlns:a16="http://schemas.microsoft.com/office/drawing/2014/main" id="{58C62635-A304-49FB-A8ED-9912B7D4E5AF}"/>
                                  </a:ext>
                                </a:extLst>
                              </pic:cNvPr>
                              <pic:cNvPicPr>
                                <a:picLocks noGrp="1" noRot="1" noChangeAspect="1" noMove="1" noResize="1" noEditPoints="1" noAdjustHandles="1" noChangeArrowheads="1" noChangeShapeType="1"/>
                              </pic:cNvPicPr>
                            </pic:nvPicPr>
                            <pic:blipFill>
                              <a:blip r:embed="rId130"/>
                              <a:stretch>
                                <a:fillRect/>
                              </a:stretch>
                            </pic:blipFill>
                            <pic:spPr>
                              <a:xfrm>
                                <a:off x="0" y="0"/>
                                <a:ext cx="5759450" cy="1799590"/>
                              </a:xfrm>
                              <a:prstGeom prst="rect">
                                <a:avLst/>
                              </a:prstGeom>
                            </pic:spPr>
                          </pic:pic>
                        </a:graphicData>
                      </a:graphic>
                    </wp:inline>
                  </w:drawing>
                </mc:Fallback>
              </mc:AlternateContent>
            </w:r>
          </w:p>
        </w:tc>
      </w:tr>
      <w:tr w:rsidR="00105031" w:rsidRPr="00E45A02" w14:paraId="0191A632" w14:textId="77777777" w:rsidTr="00E45A02">
        <w:tc>
          <w:tcPr>
            <w:tcW w:w="9306" w:type="dxa"/>
            <w:vAlign w:val="center"/>
          </w:tcPr>
          <w:p w14:paraId="718EF655" w14:textId="2080709A" w:rsidR="00105031" w:rsidRPr="00E45A02" w:rsidRDefault="005E7848" w:rsidP="00446A37">
            <w:pPr>
              <w:spacing w:after="0" w:line="240" w:lineRule="auto"/>
              <w:jc w:val="center"/>
              <w:rPr>
                <w:noProof/>
                <w:sz w:val="24"/>
                <w:szCs w:val="24"/>
                <w:lang w:val="en-US" w:eastAsia="ru-RU"/>
              </w:rPr>
            </w:pPr>
            <w:r w:rsidRPr="00E45A02">
              <w:rPr>
                <w:rFonts w:ascii="Times New Roman" w:hAnsi="Times New Roman" w:cs="Times New Roman"/>
                <w:sz w:val="24"/>
                <w:szCs w:val="24"/>
              </w:rPr>
              <w:t>а)</w:t>
            </w:r>
            <w:r w:rsidR="00E45A02" w:rsidRPr="00E45A02">
              <w:rPr>
                <w:rFonts w:ascii="Times New Roman" w:hAnsi="Times New Roman" w:cs="Times New Roman"/>
                <w:sz w:val="24"/>
                <w:szCs w:val="24"/>
                <w:lang w:val="en-US"/>
              </w:rPr>
              <w:t xml:space="preserve"> </w:t>
            </w:r>
            <w:r w:rsidR="00E45A02" w:rsidRPr="00E45A02">
              <w:rPr>
                <w:rFonts w:ascii="Times New Roman" w:hAnsi="Times New Roman" w:cs="Times New Roman"/>
                <w:sz w:val="24"/>
                <w:szCs w:val="24"/>
              </w:rPr>
              <w:t>Локализация</w:t>
            </w:r>
            <w:r w:rsidR="00E45A02">
              <w:rPr>
                <w:rFonts w:ascii="Times New Roman" w:hAnsi="Times New Roman" w:cs="Times New Roman"/>
                <w:sz w:val="24"/>
                <w:szCs w:val="24"/>
                <w:lang w:val="en-US"/>
              </w:rPr>
              <w:t xml:space="preserve"> RE</w:t>
            </w:r>
          </w:p>
        </w:tc>
      </w:tr>
      <w:tr w:rsidR="00105031" w:rsidRPr="00A43B9C" w14:paraId="76162AB3" w14:textId="77777777" w:rsidTr="00E45A02">
        <w:tc>
          <w:tcPr>
            <w:tcW w:w="9306" w:type="dxa"/>
            <w:vAlign w:val="center"/>
          </w:tcPr>
          <w:p w14:paraId="0BFC0CE7" w14:textId="77777777" w:rsidR="00105031" w:rsidRPr="00A43B9C" w:rsidRDefault="00105031" w:rsidP="00446A37">
            <w:pPr>
              <w:spacing w:after="0" w:line="240" w:lineRule="auto"/>
              <w:jc w:val="center"/>
              <w:rPr>
                <w:rFonts w:ascii="Times New Roman" w:hAnsi="Times New Roman" w:cs="Times New Roman"/>
                <w:sz w:val="28"/>
                <w:szCs w:val="28"/>
                <w:lang w:val="en-US"/>
              </w:rPr>
            </w:pPr>
            <w:r w:rsidRPr="00A43B9C">
              <w:rPr>
                <w:noProof/>
                <w:lang w:eastAsia="ru-RU"/>
              </w:rPr>
              <mc:AlternateContent>
                <mc:Choice Requires="cx1">
                  <w:drawing>
                    <wp:inline distT="0" distB="0" distL="0" distR="0" wp14:anchorId="0A088F9A" wp14:editId="5131D882">
                      <wp:extent cx="5760000" cy="1800000"/>
                      <wp:effectExtent l="0" t="0" r="12700" b="10160"/>
                      <wp:docPr id="295" name="Диаграмма 295">
                        <a:extLst xmlns:a="http://schemas.openxmlformats.org/drawingml/2006/main">
                          <a:ext uri="{FF2B5EF4-FFF2-40B4-BE49-F238E27FC236}">
                            <a16:creationId xmlns:a16="http://schemas.microsoft.com/office/drawing/2014/main" id="{273B8CB5-595A-40DE-9DAC-2C0E8CDDCBFB}"/>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31"/>
                        </a:graphicData>
                      </a:graphic>
                    </wp:inline>
                  </w:drawing>
                </mc:Choice>
                <mc:Fallback>
                  <w:drawing>
                    <wp:inline distT="0" distB="0" distL="0" distR="0" wp14:anchorId="0A088F9A" wp14:editId="5131D882">
                      <wp:extent cx="5760000" cy="1800000"/>
                      <wp:effectExtent l="0" t="0" r="12700" b="10160"/>
                      <wp:docPr id="295" name="Диаграмма 295">
                        <a:extLst xmlns:a="http://schemas.openxmlformats.org/drawingml/2006/main">
                          <a:ext uri="{FF2B5EF4-FFF2-40B4-BE49-F238E27FC236}">
                            <a16:creationId xmlns:a16="http://schemas.microsoft.com/office/drawing/2014/main" id="{273B8CB5-595A-40DE-9DAC-2C0E8CDDCBFB}"/>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95" name="Диаграмма 295">
                                <a:extLst>
                                  <a:ext uri="{FF2B5EF4-FFF2-40B4-BE49-F238E27FC236}">
                                    <a16:creationId xmlns:a16="http://schemas.microsoft.com/office/drawing/2014/main" id="{273B8CB5-595A-40DE-9DAC-2C0E8CDDCBFB}"/>
                                  </a:ext>
                                </a:extLst>
                              </pic:cNvPr>
                              <pic:cNvPicPr>
                                <a:picLocks noGrp="1" noRot="1" noChangeAspect="1" noMove="1" noResize="1" noEditPoints="1" noAdjustHandles="1" noChangeArrowheads="1" noChangeShapeType="1"/>
                              </pic:cNvPicPr>
                            </pic:nvPicPr>
                            <pic:blipFill>
                              <a:blip r:embed="rId132"/>
                              <a:stretch>
                                <a:fillRect/>
                              </a:stretch>
                            </pic:blipFill>
                            <pic:spPr>
                              <a:xfrm>
                                <a:off x="0" y="0"/>
                                <a:ext cx="5759450" cy="1799590"/>
                              </a:xfrm>
                              <a:prstGeom prst="rect">
                                <a:avLst/>
                              </a:prstGeom>
                            </pic:spPr>
                          </pic:pic>
                        </a:graphicData>
                      </a:graphic>
                    </wp:inline>
                  </w:drawing>
                </mc:Fallback>
              </mc:AlternateContent>
            </w:r>
          </w:p>
        </w:tc>
      </w:tr>
      <w:tr w:rsidR="00105031" w:rsidRPr="00E45A02" w14:paraId="5E0B2BF4" w14:textId="77777777" w:rsidTr="00E45A02">
        <w:tc>
          <w:tcPr>
            <w:tcW w:w="9306" w:type="dxa"/>
            <w:vAlign w:val="center"/>
          </w:tcPr>
          <w:p w14:paraId="4436D667" w14:textId="668406D6" w:rsidR="00105031" w:rsidRPr="00E45A02" w:rsidRDefault="005E7848" w:rsidP="00446A37">
            <w:pPr>
              <w:spacing w:after="0" w:line="240" w:lineRule="auto"/>
              <w:jc w:val="center"/>
              <w:rPr>
                <w:noProof/>
                <w:sz w:val="24"/>
                <w:szCs w:val="24"/>
                <w:lang w:val="en-US" w:eastAsia="ru-RU"/>
              </w:rPr>
            </w:pPr>
            <w:r w:rsidRPr="00E45A02">
              <w:rPr>
                <w:rFonts w:ascii="Times New Roman" w:hAnsi="Times New Roman" w:cs="Times New Roman"/>
                <w:sz w:val="24"/>
                <w:szCs w:val="24"/>
              </w:rPr>
              <w:t>б)</w:t>
            </w:r>
            <w:r w:rsidR="00E45A02">
              <w:rPr>
                <w:rFonts w:ascii="Times New Roman" w:hAnsi="Times New Roman" w:cs="Times New Roman"/>
                <w:sz w:val="24"/>
                <w:szCs w:val="24"/>
                <w:lang w:val="en-US"/>
              </w:rPr>
              <w:t xml:space="preserve"> </w:t>
            </w:r>
            <w:r w:rsidR="00E45A02" w:rsidRPr="00451963">
              <w:rPr>
                <w:rFonts w:ascii="Times New Roman" w:hAnsi="Times New Roman" w:cs="Times New Roman"/>
                <w:sz w:val="24"/>
                <w:szCs w:val="24"/>
              </w:rPr>
              <w:t>Локализация</w:t>
            </w:r>
            <w:r w:rsidR="00E45A02">
              <w:rPr>
                <w:rFonts w:ascii="Times New Roman" w:hAnsi="Times New Roman" w:cs="Times New Roman"/>
                <w:sz w:val="24"/>
                <w:szCs w:val="24"/>
                <w:lang w:val="en-US"/>
              </w:rPr>
              <w:t xml:space="preserve"> RLH</w:t>
            </w:r>
          </w:p>
        </w:tc>
      </w:tr>
      <w:tr w:rsidR="00105031" w:rsidRPr="00A43B9C" w14:paraId="7C60D7EA" w14:textId="77777777" w:rsidTr="00E45A02">
        <w:tc>
          <w:tcPr>
            <w:tcW w:w="9306" w:type="dxa"/>
            <w:vAlign w:val="center"/>
          </w:tcPr>
          <w:p w14:paraId="4B711CDF" w14:textId="77777777" w:rsidR="00105031" w:rsidRPr="00A43B9C" w:rsidRDefault="00105031"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2C55D75D" wp14:editId="216518F2">
                      <wp:extent cx="5760000" cy="1800000"/>
                      <wp:effectExtent l="0" t="0" r="12700" b="10160"/>
                      <wp:docPr id="296" name="Диаграмма 296">
                        <a:extLst xmlns:a="http://schemas.openxmlformats.org/drawingml/2006/main">
                          <a:ext uri="{FF2B5EF4-FFF2-40B4-BE49-F238E27FC236}">
                            <a16:creationId xmlns:a16="http://schemas.microsoft.com/office/drawing/2014/main" id="{C13A4F99-E393-4D8B-A030-1AD1C8745FF9}"/>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33"/>
                        </a:graphicData>
                      </a:graphic>
                    </wp:inline>
                  </w:drawing>
                </mc:Choice>
                <mc:Fallback>
                  <w:drawing>
                    <wp:inline distT="0" distB="0" distL="0" distR="0" wp14:anchorId="2C55D75D" wp14:editId="216518F2">
                      <wp:extent cx="5760000" cy="1800000"/>
                      <wp:effectExtent l="0" t="0" r="12700" b="10160"/>
                      <wp:docPr id="296" name="Диаграмма 296">
                        <a:extLst xmlns:a="http://schemas.openxmlformats.org/drawingml/2006/main">
                          <a:ext uri="{FF2B5EF4-FFF2-40B4-BE49-F238E27FC236}">
                            <a16:creationId xmlns:a16="http://schemas.microsoft.com/office/drawing/2014/main" id="{C13A4F99-E393-4D8B-A030-1AD1C8745FF9}"/>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96" name="Диаграмма 296">
                                <a:extLst>
                                  <a:ext uri="{FF2B5EF4-FFF2-40B4-BE49-F238E27FC236}">
                                    <a16:creationId xmlns:a16="http://schemas.microsoft.com/office/drawing/2014/main" id="{C13A4F99-E393-4D8B-A030-1AD1C8745FF9}"/>
                                  </a:ext>
                                </a:extLst>
                              </pic:cNvPr>
                              <pic:cNvPicPr>
                                <a:picLocks noGrp="1" noRot="1" noChangeAspect="1" noMove="1" noResize="1" noEditPoints="1" noAdjustHandles="1" noChangeArrowheads="1" noChangeShapeType="1"/>
                              </pic:cNvPicPr>
                            </pic:nvPicPr>
                            <pic:blipFill>
                              <a:blip r:embed="rId134"/>
                              <a:stretch>
                                <a:fillRect/>
                              </a:stretch>
                            </pic:blipFill>
                            <pic:spPr>
                              <a:xfrm>
                                <a:off x="0" y="0"/>
                                <a:ext cx="5759450" cy="1799590"/>
                              </a:xfrm>
                              <a:prstGeom prst="rect">
                                <a:avLst/>
                              </a:prstGeom>
                            </pic:spPr>
                          </pic:pic>
                        </a:graphicData>
                      </a:graphic>
                    </wp:inline>
                  </w:drawing>
                </mc:Fallback>
              </mc:AlternateContent>
            </w:r>
          </w:p>
        </w:tc>
      </w:tr>
      <w:tr w:rsidR="00105031" w:rsidRPr="00E45A02" w14:paraId="5E86097C" w14:textId="77777777" w:rsidTr="00E45A02">
        <w:tc>
          <w:tcPr>
            <w:tcW w:w="9306" w:type="dxa"/>
            <w:vAlign w:val="center"/>
          </w:tcPr>
          <w:p w14:paraId="3C89F969" w14:textId="19D40CBC" w:rsidR="00105031" w:rsidRPr="00E45A02" w:rsidRDefault="005E7848" w:rsidP="00446A37">
            <w:pPr>
              <w:spacing w:after="0" w:line="240" w:lineRule="auto"/>
              <w:jc w:val="center"/>
              <w:rPr>
                <w:noProof/>
                <w:sz w:val="24"/>
                <w:szCs w:val="24"/>
                <w:lang w:val="en-US" w:eastAsia="ru-RU"/>
              </w:rPr>
            </w:pPr>
            <w:r w:rsidRPr="00E45A02">
              <w:rPr>
                <w:rFonts w:ascii="Times New Roman" w:hAnsi="Times New Roman" w:cs="Times New Roman"/>
                <w:sz w:val="24"/>
                <w:szCs w:val="24"/>
              </w:rPr>
              <w:t>в)</w:t>
            </w:r>
            <w:r w:rsidR="00E45A02">
              <w:rPr>
                <w:rFonts w:ascii="Times New Roman" w:hAnsi="Times New Roman" w:cs="Times New Roman"/>
                <w:sz w:val="24"/>
                <w:szCs w:val="24"/>
                <w:lang w:val="en-US"/>
              </w:rPr>
              <w:t xml:space="preserve"> </w:t>
            </w:r>
            <w:r w:rsidR="00E45A02" w:rsidRPr="00451963">
              <w:rPr>
                <w:rFonts w:ascii="Times New Roman" w:hAnsi="Times New Roman" w:cs="Times New Roman"/>
                <w:sz w:val="24"/>
                <w:szCs w:val="24"/>
              </w:rPr>
              <w:t>Локализация</w:t>
            </w:r>
            <w:r w:rsidR="00E45A02">
              <w:rPr>
                <w:rFonts w:ascii="Times New Roman" w:hAnsi="Times New Roman" w:cs="Times New Roman"/>
                <w:sz w:val="24"/>
                <w:szCs w:val="24"/>
                <w:lang w:val="en-US"/>
              </w:rPr>
              <w:t xml:space="preserve"> RRL</w:t>
            </w:r>
          </w:p>
        </w:tc>
      </w:tr>
      <w:tr w:rsidR="00105031" w:rsidRPr="00A43B9C" w14:paraId="09205053" w14:textId="77777777" w:rsidTr="00E45A02">
        <w:tc>
          <w:tcPr>
            <w:tcW w:w="9306" w:type="dxa"/>
            <w:vAlign w:val="center"/>
          </w:tcPr>
          <w:p w14:paraId="2A481C54" w14:textId="77777777" w:rsidR="00105031" w:rsidRPr="00A43B9C" w:rsidRDefault="00105031"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00B4FAE7" wp14:editId="27D34B00">
                      <wp:extent cx="5760000" cy="1872000"/>
                      <wp:effectExtent l="0" t="0" r="12700" b="13970"/>
                      <wp:docPr id="297" name="Диаграмма 297">
                        <a:extLst xmlns:a="http://schemas.openxmlformats.org/drawingml/2006/main">
                          <a:ext uri="{FF2B5EF4-FFF2-40B4-BE49-F238E27FC236}">
                            <a16:creationId xmlns:a16="http://schemas.microsoft.com/office/drawing/2014/main" id="{A9AD6CEF-CA19-4894-868E-872D2A9F7EC2}"/>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35"/>
                        </a:graphicData>
                      </a:graphic>
                    </wp:inline>
                  </w:drawing>
                </mc:Choice>
                <mc:Fallback>
                  <w:drawing>
                    <wp:inline distT="0" distB="0" distL="0" distR="0" wp14:anchorId="00B4FAE7" wp14:editId="27D34B00">
                      <wp:extent cx="5760000" cy="1872000"/>
                      <wp:effectExtent l="0" t="0" r="12700" b="13970"/>
                      <wp:docPr id="297" name="Диаграмма 297">
                        <a:extLst xmlns:a="http://schemas.openxmlformats.org/drawingml/2006/main">
                          <a:ext uri="{FF2B5EF4-FFF2-40B4-BE49-F238E27FC236}">
                            <a16:creationId xmlns:a16="http://schemas.microsoft.com/office/drawing/2014/main" id="{A9AD6CEF-CA19-4894-868E-872D2A9F7EC2}"/>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97" name="Диаграмма 297">
                                <a:extLst>
                                  <a:ext uri="{FF2B5EF4-FFF2-40B4-BE49-F238E27FC236}">
                                    <a16:creationId xmlns:a16="http://schemas.microsoft.com/office/drawing/2014/main" id="{A9AD6CEF-CA19-4894-868E-872D2A9F7EC2}"/>
                                  </a:ext>
                                </a:extLst>
                              </pic:cNvPr>
                              <pic:cNvPicPr>
                                <a:picLocks noGrp="1" noRot="1" noChangeAspect="1" noMove="1" noResize="1" noEditPoints="1" noAdjustHandles="1" noChangeArrowheads="1" noChangeShapeType="1"/>
                              </pic:cNvPicPr>
                            </pic:nvPicPr>
                            <pic:blipFill>
                              <a:blip r:embed="rId136"/>
                              <a:stretch>
                                <a:fillRect/>
                              </a:stretch>
                            </pic:blipFill>
                            <pic:spPr>
                              <a:xfrm>
                                <a:off x="0" y="0"/>
                                <a:ext cx="5759450" cy="1871980"/>
                              </a:xfrm>
                              <a:prstGeom prst="rect">
                                <a:avLst/>
                              </a:prstGeom>
                            </pic:spPr>
                          </pic:pic>
                        </a:graphicData>
                      </a:graphic>
                    </wp:inline>
                  </w:drawing>
                </mc:Fallback>
              </mc:AlternateContent>
            </w:r>
          </w:p>
        </w:tc>
      </w:tr>
      <w:tr w:rsidR="00105031" w:rsidRPr="00E45A02" w14:paraId="53B165DF" w14:textId="77777777" w:rsidTr="00E45A02">
        <w:tc>
          <w:tcPr>
            <w:tcW w:w="9306" w:type="dxa"/>
            <w:vAlign w:val="center"/>
          </w:tcPr>
          <w:p w14:paraId="72627D4B" w14:textId="4D129A29" w:rsidR="00105031" w:rsidRPr="00E45A02" w:rsidRDefault="005E7848" w:rsidP="00446A37">
            <w:pPr>
              <w:spacing w:after="0" w:line="240" w:lineRule="auto"/>
              <w:jc w:val="center"/>
              <w:rPr>
                <w:noProof/>
                <w:sz w:val="24"/>
                <w:szCs w:val="24"/>
                <w:lang w:val="en-US" w:eastAsia="ru-RU"/>
              </w:rPr>
            </w:pPr>
            <w:r w:rsidRPr="00E45A02">
              <w:rPr>
                <w:rFonts w:ascii="Times New Roman" w:hAnsi="Times New Roman" w:cs="Times New Roman"/>
                <w:sz w:val="24"/>
                <w:szCs w:val="24"/>
              </w:rPr>
              <w:t>г)</w:t>
            </w:r>
            <w:r w:rsidR="00E45A02" w:rsidRPr="00451963">
              <w:rPr>
                <w:rFonts w:ascii="Times New Roman" w:hAnsi="Times New Roman" w:cs="Times New Roman"/>
                <w:sz w:val="24"/>
                <w:szCs w:val="24"/>
              </w:rPr>
              <w:t xml:space="preserve"> Локализация</w:t>
            </w:r>
            <w:r w:rsidR="00E45A02">
              <w:rPr>
                <w:rFonts w:ascii="Times New Roman" w:hAnsi="Times New Roman" w:cs="Times New Roman"/>
                <w:sz w:val="24"/>
                <w:szCs w:val="24"/>
                <w:lang w:val="en-US"/>
              </w:rPr>
              <w:t xml:space="preserve"> RU</w:t>
            </w:r>
          </w:p>
        </w:tc>
      </w:tr>
    </w:tbl>
    <w:p w14:paraId="4ABEDACA" w14:textId="77777777" w:rsidR="00E45A02" w:rsidRDefault="00E45A02" w:rsidP="00E45A02">
      <w:pPr>
        <w:spacing w:after="0" w:line="240" w:lineRule="auto"/>
        <w:rPr>
          <w:rFonts w:ascii="Times New Roman" w:hAnsi="Times New Roman" w:cs="Times New Roman"/>
          <w:sz w:val="28"/>
          <w:szCs w:val="28"/>
        </w:rPr>
      </w:pPr>
    </w:p>
    <w:p w14:paraId="0E6A57CA" w14:textId="34CA5961" w:rsidR="00E45A02" w:rsidRPr="00E45A02" w:rsidRDefault="00E45A02" w:rsidP="00E45A02">
      <w:pPr>
        <w:spacing w:after="0" w:line="240" w:lineRule="auto"/>
        <w:ind w:firstLine="709"/>
        <w:jc w:val="center"/>
        <w:rPr>
          <w:rFonts w:ascii="Times New Roman" w:hAnsi="Times New Roman" w:cs="Times New Roman"/>
          <w:sz w:val="28"/>
          <w:szCs w:val="28"/>
        </w:rPr>
      </w:pPr>
      <w:r w:rsidRPr="00A43B9C">
        <w:rPr>
          <w:rFonts w:ascii="Times New Roman" w:hAnsi="Times New Roman" w:cs="Times New Roman"/>
          <w:sz w:val="28"/>
          <w:szCs w:val="28"/>
        </w:rPr>
        <w:t>Рисунок 1</w:t>
      </w:r>
      <w:r>
        <w:rPr>
          <w:rFonts w:ascii="Times New Roman" w:hAnsi="Times New Roman" w:cs="Times New Roman"/>
          <w:sz w:val="28"/>
          <w:szCs w:val="28"/>
        </w:rPr>
        <w:t>3</w:t>
      </w:r>
      <w:r w:rsidRPr="00A43B9C">
        <w:rPr>
          <w:rFonts w:ascii="Times New Roman" w:hAnsi="Times New Roman" w:cs="Times New Roman"/>
          <w:sz w:val="28"/>
          <w:szCs w:val="28"/>
        </w:rPr>
        <w:t xml:space="preserve"> - Динамика уровня накопления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зависимости от </w:t>
      </w:r>
      <w:r w:rsidRPr="00A43B9C">
        <w:rPr>
          <w:rFonts w:ascii="Times New Roman" w:hAnsi="Times New Roman" w:cs="Times New Roman"/>
          <w:sz w:val="28"/>
          <w:szCs w:val="28"/>
          <w:lang w:val="en-US"/>
        </w:rPr>
        <w:t>LM</w:t>
      </w:r>
      <w:r w:rsidRPr="00A43B9C">
        <w:rPr>
          <w:rFonts w:ascii="Times New Roman" w:eastAsia="NewtonC" w:hAnsi="Times New Roman" w:cs="Times New Roman"/>
          <w:sz w:val="28"/>
          <w:szCs w:val="28"/>
        </w:rPr>
        <w:t xml:space="preserve"> по локализациям</w:t>
      </w:r>
      <w:r>
        <w:rPr>
          <w:rFonts w:ascii="Times New Roman" w:eastAsia="NewtonC" w:hAnsi="Times New Roman" w:cs="Times New Roman"/>
          <w:sz w:val="28"/>
          <w:szCs w:val="28"/>
        </w:rPr>
        <w:t>, лист 1</w:t>
      </w:r>
      <w:r w:rsidRPr="00E45A02">
        <w:rPr>
          <w:rFonts w:ascii="Times New Roman" w:hAnsi="Times New Roman" w:cs="Times New Roman"/>
          <w:sz w:val="28"/>
          <w:szCs w:val="28"/>
        </w:rPr>
        <w:br w:type="page"/>
      </w:r>
    </w:p>
    <w:tbl>
      <w:tblPr>
        <w:tblStyle w:val="ad"/>
        <w:tblW w:w="930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06"/>
      </w:tblGrid>
      <w:tr w:rsidR="00105031" w:rsidRPr="00A43B9C" w14:paraId="5749FA33" w14:textId="77777777" w:rsidTr="00E45A02">
        <w:tc>
          <w:tcPr>
            <w:tcW w:w="9306" w:type="dxa"/>
            <w:vAlign w:val="center"/>
          </w:tcPr>
          <w:p w14:paraId="37B6478F" w14:textId="77777777" w:rsidR="00105031" w:rsidRPr="00A43B9C" w:rsidRDefault="00105031" w:rsidP="00446A37">
            <w:pPr>
              <w:spacing w:after="0" w:line="240" w:lineRule="auto"/>
              <w:jc w:val="center"/>
              <w:rPr>
                <w:rFonts w:ascii="Times New Roman" w:hAnsi="Times New Roman" w:cs="Times New Roman"/>
                <w:sz w:val="28"/>
                <w:szCs w:val="28"/>
              </w:rPr>
            </w:pPr>
            <w:r w:rsidRPr="00A43B9C">
              <w:rPr>
                <w:noProof/>
                <w:lang w:eastAsia="ru-RU"/>
              </w:rPr>
              <w:lastRenderedPageBreak/>
              <mc:AlternateContent>
                <mc:Choice Requires="cx1">
                  <w:drawing>
                    <wp:inline distT="0" distB="0" distL="0" distR="0" wp14:anchorId="327565EF" wp14:editId="552ECECB">
                      <wp:extent cx="5760000" cy="1800000"/>
                      <wp:effectExtent l="0" t="0" r="12700" b="10160"/>
                      <wp:docPr id="298" name="Диаграмма 298">
                        <a:extLst xmlns:a="http://schemas.openxmlformats.org/drawingml/2006/main">
                          <a:ext uri="{FF2B5EF4-FFF2-40B4-BE49-F238E27FC236}">
                            <a16:creationId xmlns:a16="http://schemas.microsoft.com/office/drawing/2014/main" id="{5C97CC9A-FFAC-43A7-BBB9-D6E688171E2D}"/>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37"/>
                        </a:graphicData>
                      </a:graphic>
                    </wp:inline>
                  </w:drawing>
                </mc:Choice>
                <mc:Fallback>
                  <w:drawing>
                    <wp:inline distT="0" distB="0" distL="0" distR="0" wp14:anchorId="327565EF" wp14:editId="552ECECB">
                      <wp:extent cx="5760000" cy="1800000"/>
                      <wp:effectExtent l="0" t="0" r="12700" b="10160"/>
                      <wp:docPr id="298" name="Диаграмма 298">
                        <a:extLst xmlns:a="http://schemas.openxmlformats.org/drawingml/2006/main">
                          <a:ext uri="{FF2B5EF4-FFF2-40B4-BE49-F238E27FC236}">
                            <a16:creationId xmlns:a16="http://schemas.microsoft.com/office/drawing/2014/main" id="{5C97CC9A-FFAC-43A7-BBB9-D6E688171E2D}"/>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98" name="Диаграмма 298">
                                <a:extLst>
                                  <a:ext uri="{FF2B5EF4-FFF2-40B4-BE49-F238E27FC236}">
                                    <a16:creationId xmlns:a16="http://schemas.microsoft.com/office/drawing/2014/main" id="{5C97CC9A-FFAC-43A7-BBB9-D6E688171E2D}"/>
                                  </a:ext>
                                </a:extLst>
                              </pic:cNvPr>
                              <pic:cNvPicPr>
                                <a:picLocks noGrp="1" noRot="1" noChangeAspect="1" noMove="1" noResize="1" noEditPoints="1" noAdjustHandles="1" noChangeArrowheads="1" noChangeShapeType="1"/>
                              </pic:cNvPicPr>
                            </pic:nvPicPr>
                            <pic:blipFill>
                              <a:blip r:embed="rId138"/>
                              <a:stretch>
                                <a:fillRect/>
                              </a:stretch>
                            </pic:blipFill>
                            <pic:spPr>
                              <a:xfrm>
                                <a:off x="0" y="0"/>
                                <a:ext cx="5759450" cy="1799590"/>
                              </a:xfrm>
                              <a:prstGeom prst="rect">
                                <a:avLst/>
                              </a:prstGeom>
                            </pic:spPr>
                          </pic:pic>
                        </a:graphicData>
                      </a:graphic>
                    </wp:inline>
                  </w:drawing>
                </mc:Fallback>
              </mc:AlternateContent>
            </w:r>
          </w:p>
        </w:tc>
      </w:tr>
      <w:tr w:rsidR="00105031" w:rsidRPr="00E45A02" w14:paraId="5AC849EC" w14:textId="77777777" w:rsidTr="00E45A02">
        <w:tc>
          <w:tcPr>
            <w:tcW w:w="9306" w:type="dxa"/>
            <w:vAlign w:val="center"/>
          </w:tcPr>
          <w:p w14:paraId="3CEBB932" w14:textId="030DC2D8" w:rsidR="00105031" w:rsidRPr="00E45A02" w:rsidRDefault="005E7848" w:rsidP="00446A37">
            <w:pPr>
              <w:spacing w:after="0" w:line="240" w:lineRule="auto"/>
              <w:jc w:val="center"/>
              <w:rPr>
                <w:noProof/>
                <w:sz w:val="24"/>
                <w:szCs w:val="24"/>
                <w:lang w:val="en-US" w:eastAsia="ru-RU"/>
              </w:rPr>
            </w:pPr>
            <w:r w:rsidRPr="00E45A02">
              <w:rPr>
                <w:rFonts w:ascii="Times New Roman" w:hAnsi="Times New Roman" w:cs="Times New Roman"/>
                <w:sz w:val="24"/>
                <w:szCs w:val="24"/>
              </w:rPr>
              <w:t>д)</w:t>
            </w:r>
            <w:r w:rsidR="00E45A02">
              <w:rPr>
                <w:rFonts w:ascii="Times New Roman" w:hAnsi="Times New Roman" w:cs="Times New Roman"/>
                <w:sz w:val="24"/>
                <w:szCs w:val="24"/>
              </w:rPr>
              <w:t xml:space="preserve"> Локализация </w:t>
            </w:r>
            <w:r w:rsidR="00E45A02">
              <w:rPr>
                <w:rFonts w:ascii="Times New Roman" w:hAnsi="Times New Roman" w:cs="Times New Roman"/>
                <w:sz w:val="24"/>
                <w:szCs w:val="24"/>
                <w:lang w:val="en-US"/>
              </w:rPr>
              <w:t>RLL</w:t>
            </w:r>
          </w:p>
        </w:tc>
      </w:tr>
      <w:tr w:rsidR="00105031" w:rsidRPr="00A43B9C" w14:paraId="71A3822A" w14:textId="77777777" w:rsidTr="00E45A02">
        <w:tc>
          <w:tcPr>
            <w:tcW w:w="9306" w:type="dxa"/>
            <w:vAlign w:val="center"/>
          </w:tcPr>
          <w:p w14:paraId="4C105BAE" w14:textId="77777777" w:rsidR="00105031" w:rsidRPr="00A43B9C" w:rsidRDefault="00105031"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5882C94D" wp14:editId="0BB58408">
                      <wp:extent cx="5760000" cy="1800000"/>
                      <wp:effectExtent l="0" t="0" r="12700" b="10160"/>
                      <wp:docPr id="299" name="Диаграмма 299">
                        <a:extLst xmlns:a="http://schemas.openxmlformats.org/drawingml/2006/main">
                          <a:ext uri="{FF2B5EF4-FFF2-40B4-BE49-F238E27FC236}">
                            <a16:creationId xmlns:a16="http://schemas.microsoft.com/office/drawing/2014/main" id="{513F1B54-5C70-44A1-AFF7-A72C983C86E8}"/>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39"/>
                        </a:graphicData>
                      </a:graphic>
                    </wp:inline>
                  </w:drawing>
                </mc:Choice>
                <mc:Fallback>
                  <w:drawing>
                    <wp:inline distT="0" distB="0" distL="0" distR="0" wp14:anchorId="5882C94D" wp14:editId="0BB58408">
                      <wp:extent cx="5760000" cy="1800000"/>
                      <wp:effectExtent l="0" t="0" r="12700" b="10160"/>
                      <wp:docPr id="299" name="Диаграмма 299">
                        <a:extLst xmlns:a="http://schemas.openxmlformats.org/drawingml/2006/main">
                          <a:ext uri="{FF2B5EF4-FFF2-40B4-BE49-F238E27FC236}">
                            <a16:creationId xmlns:a16="http://schemas.microsoft.com/office/drawing/2014/main" id="{513F1B54-5C70-44A1-AFF7-A72C983C86E8}"/>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99" name="Диаграмма 299">
                                <a:extLst>
                                  <a:ext uri="{FF2B5EF4-FFF2-40B4-BE49-F238E27FC236}">
                                    <a16:creationId xmlns:a16="http://schemas.microsoft.com/office/drawing/2014/main" id="{513F1B54-5C70-44A1-AFF7-A72C983C86E8}"/>
                                  </a:ext>
                                </a:extLst>
                              </pic:cNvPr>
                              <pic:cNvPicPr>
                                <a:picLocks noGrp="1" noRot="1" noChangeAspect="1" noMove="1" noResize="1" noEditPoints="1" noAdjustHandles="1" noChangeArrowheads="1" noChangeShapeType="1"/>
                              </pic:cNvPicPr>
                            </pic:nvPicPr>
                            <pic:blipFill>
                              <a:blip r:embed="rId140"/>
                              <a:stretch>
                                <a:fillRect/>
                              </a:stretch>
                            </pic:blipFill>
                            <pic:spPr>
                              <a:xfrm>
                                <a:off x="0" y="0"/>
                                <a:ext cx="5759450" cy="1799590"/>
                              </a:xfrm>
                              <a:prstGeom prst="rect">
                                <a:avLst/>
                              </a:prstGeom>
                            </pic:spPr>
                          </pic:pic>
                        </a:graphicData>
                      </a:graphic>
                    </wp:inline>
                  </w:drawing>
                </mc:Fallback>
              </mc:AlternateContent>
            </w:r>
          </w:p>
        </w:tc>
      </w:tr>
      <w:tr w:rsidR="00105031" w:rsidRPr="00E45A02" w14:paraId="7EACA70B" w14:textId="77777777" w:rsidTr="00E45A02">
        <w:tc>
          <w:tcPr>
            <w:tcW w:w="9306" w:type="dxa"/>
            <w:vAlign w:val="center"/>
          </w:tcPr>
          <w:p w14:paraId="1B3C5167" w14:textId="3217A894" w:rsidR="00105031" w:rsidRPr="00E45A02" w:rsidRDefault="005E7848" w:rsidP="00C911FB">
            <w:pPr>
              <w:spacing w:after="0" w:line="240" w:lineRule="auto"/>
              <w:jc w:val="center"/>
              <w:rPr>
                <w:noProof/>
                <w:sz w:val="24"/>
                <w:szCs w:val="24"/>
                <w:lang w:val="en-US" w:eastAsia="ru-RU"/>
              </w:rPr>
            </w:pPr>
            <w:r w:rsidRPr="00E45A02">
              <w:rPr>
                <w:rFonts w:ascii="Times New Roman" w:hAnsi="Times New Roman" w:cs="Times New Roman"/>
                <w:sz w:val="24"/>
                <w:szCs w:val="24"/>
              </w:rPr>
              <w:t>е)</w:t>
            </w:r>
            <w:r w:rsidR="00E45A02">
              <w:rPr>
                <w:rFonts w:ascii="Times New Roman" w:hAnsi="Times New Roman" w:cs="Times New Roman"/>
                <w:sz w:val="24"/>
                <w:szCs w:val="24"/>
              </w:rPr>
              <w:t xml:space="preserve"> Локализация</w:t>
            </w:r>
            <w:r w:rsidR="00E45A02">
              <w:rPr>
                <w:rFonts w:ascii="Times New Roman" w:hAnsi="Times New Roman" w:cs="Times New Roman"/>
                <w:sz w:val="24"/>
                <w:szCs w:val="24"/>
                <w:lang w:val="en-US"/>
              </w:rPr>
              <w:t xml:space="preserve"> RRI</w:t>
            </w:r>
          </w:p>
        </w:tc>
      </w:tr>
      <w:tr w:rsidR="00105031" w:rsidRPr="00A43B9C" w14:paraId="75B3BAC5" w14:textId="77777777" w:rsidTr="00E45A02">
        <w:tc>
          <w:tcPr>
            <w:tcW w:w="9306" w:type="dxa"/>
            <w:vAlign w:val="center"/>
          </w:tcPr>
          <w:p w14:paraId="28C58C0E" w14:textId="77777777" w:rsidR="00105031" w:rsidRPr="00A43B9C" w:rsidRDefault="00105031" w:rsidP="00C911FB">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17C5CE9B" wp14:editId="7D65AB2B">
                      <wp:extent cx="5760000" cy="1800000"/>
                      <wp:effectExtent l="0" t="0" r="12700" b="10160"/>
                      <wp:docPr id="300" name="Диаграмма 300">
                        <a:extLst xmlns:a="http://schemas.openxmlformats.org/drawingml/2006/main">
                          <a:ext uri="{FF2B5EF4-FFF2-40B4-BE49-F238E27FC236}">
                            <a16:creationId xmlns:a16="http://schemas.microsoft.com/office/drawing/2014/main" id="{3258B4F5-7593-4067-8B52-AF755F4602E4}"/>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41"/>
                        </a:graphicData>
                      </a:graphic>
                    </wp:inline>
                  </w:drawing>
                </mc:Choice>
                <mc:Fallback>
                  <w:drawing>
                    <wp:inline distT="0" distB="0" distL="0" distR="0" wp14:anchorId="17C5CE9B" wp14:editId="7D65AB2B">
                      <wp:extent cx="5760000" cy="1800000"/>
                      <wp:effectExtent l="0" t="0" r="12700" b="10160"/>
                      <wp:docPr id="300" name="Диаграмма 300">
                        <a:extLst xmlns:a="http://schemas.openxmlformats.org/drawingml/2006/main">
                          <a:ext uri="{FF2B5EF4-FFF2-40B4-BE49-F238E27FC236}">
                            <a16:creationId xmlns:a16="http://schemas.microsoft.com/office/drawing/2014/main" id="{3258B4F5-7593-4067-8B52-AF755F4602E4}"/>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00" name="Диаграмма 300">
                                <a:extLst>
                                  <a:ext uri="{FF2B5EF4-FFF2-40B4-BE49-F238E27FC236}">
                                    <a16:creationId xmlns:a16="http://schemas.microsoft.com/office/drawing/2014/main" id="{3258B4F5-7593-4067-8B52-AF755F4602E4}"/>
                                  </a:ext>
                                </a:extLst>
                              </pic:cNvPr>
                              <pic:cNvPicPr>
                                <a:picLocks noGrp="1" noRot="1" noChangeAspect="1" noMove="1" noResize="1" noEditPoints="1" noAdjustHandles="1" noChangeArrowheads="1" noChangeShapeType="1"/>
                              </pic:cNvPicPr>
                            </pic:nvPicPr>
                            <pic:blipFill>
                              <a:blip r:embed="rId142"/>
                              <a:stretch>
                                <a:fillRect/>
                              </a:stretch>
                            </pic:blipFill>
                            <pic:spPr>
                              <a:xfrm>
                                <a:off x="0" y="0"/>
                                <a:ext cx="5759450" cy="1799590"/>
                              </a:xfrm>
                              <a:prstGeom prst="rect">
                                <a:avLst/>
                              </a:prstGeom>
                            </pic:spPr>
                          </pic:pic>
                        </a:graphicData>
                      </a:graphic>
                    </wp:inline>
                  </w:drawing>
                </mc:Fallback>
              </mc:AlternateContent>
            </w:r>
          </w:p>
        </w:tc>
      </w:tr>
      <w:tr w:rsidR="00105031" w:rsidRPr="00E45A02" w14:paraId="43FB0197" w14:textId="77777777" w:rsidTr="00E45A02">
        <w:tc>
          <w:tcPr>
            <w:tcW w:w="9306" w:type="dxa"/>
            <w:vAlign w:val="center"/>
          </w:tcPr>
          <w:p w14:paraId="249515B1" w14:textId="766A73F9" w:rsidR="00105031" w:rsidRPr="00E45A02" w:rsidRDefault="00465BDF" w:rsidP="00C911FB">
            <w:pPr>
              <w:spacing w:after="0" w:line="240" w:lineRule="auto"/>
              <w:jc w:val="center"/>
              <w:rPr>
                <w:noProof/>
                <w:sz w:val="24"/>
                <w:szCs w:val="24"/>
                <w:lang w:val="en-US" w:eastAsia="ru-RU"/>
              </w:rPr>
            </w:pPr>
            <w:r w:rsidRPr="00E45A02">
              <w:rPr>
                <w:rFonts w:ascii="Times New Roman" w:hAnsi="Times New Roman" w:cs="Times New Roman"/>
                <w:sz w:val="24"/>
                <w:szCs w:val="24"/>
              </w:rPr>
              <w:t>ж)</w:t>
            </w:r>
            <w:r w:rsidR="00E45A02">
              <w:rPr>
                <w:rFonts w:ascii="Times New Roman" w:hAnsi="Times New Roman" w:cs="Times New Roman"/>
                <w:sz w:val="24"/>
                <w:szCs w:val="24"/>
              </w:rPr>
              <w:t xml:space="preserve"> Локализация</w:t>
            </w:r>
            <w:r w:rsidR="00E45A02">
              <w:rPr>
                <w:rFonts w:ascii="Times New Roman" w:hAnsi="Times New Roman" w:cs="Times New Roman"/>
                <w:sz w:val="24"/>
                <w:szCs w:val="24"/>
                <w:lang w:val="en-US"/>
              </w:rPr>
              <w:t xml:space="preserve"> RP</w:t>
            </w:r>
          </w:p>
        </w:tc>
      </w:tr>
      <w:tr w:rsidR="00105031" w:rsidRPr="00A43B9C" w14:paraId="4039E241" w14:textId="77777777" w:rsidTr="00E45A02">
        <w:tc>
          <w:tcPr>
            <w:tcW w:w="9306" w:type="dxa"/>
            <w:vAlign w:val="center"/>
          </w:tcPr>
          <w:p w14:paraId="0B1102A4" w14:textId="77777777" w:rsidR="00105031" w:rsidRPr="00A43B9C" w:rsidRDefault="00105031" w:rsidP="00C911FB">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32E19B26" wp14:editId="12CDC8CA">
                      <wp:extent cx="5760000" cy="1800000"/>
                      <wp:effectExtent l="0" t="0" r="12700" b="10160"/>
                      <wp:docPr id="301" name="Диаграмма 301">
                        <a:extLst xmlns:a="http://schemas.openxmlformats.org/drawingml/2006/main">
                          <a:ext uri="{FF2B5EF4-FFF2-40B4-BE49-F238E27FC236}">
                            <a16:creationId xmlns:a16="http://schemas.microsoft.com/office/drawing/2014/main" id="{ED6164E4-0D00-4C00-AD48-34AFD4AF5026}"/>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43"/>
                        </a:graphicData>
                      </a:graphic>
                    </wp:inline>
                  </w:drawing>
                </mc:Choice>
                <mc:Fallback>
                  <w:drawing>
                    <wp:inline distT="0" distB="0" distL="0" distR="0" wp14:anchorId="32E19B26" wp14:editId="12CDC8CA">
                      <wp:extent cx="5760000" cy="1800000"/>
                      <wp:effectExtent l="0" t="0" r="12700" b="10160"/>
                      <wp:docPr id="301" name="Диаграмма 301">
                        <a:extLst xmlns:a="http://schemas.openxmlformats.org/drawingml/2006/main">
                          <a:ext uri="{FF2B5EF4-FFF2-40B4-BE49-F238E27FC236}">
                            <a16:creationId xmlns:a16="http://schemas.microsoft.com/office/drawing/2014/main" id="{ED6164E4-0D00-4C00-AD48-34AFD4AF5026}"/>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01" name="Диаграмма 301">
                                <a:extLst>
                                  <a:ext uri="{FF2B5EF4-FFF2-40B4-BE49-F238E27FC236}">
                                    <a16:creationId xmlns:a16="http://schemas.microsoft.com/office/drawing/2014/main" id="{ED6164E4-0D00-4C00-AD48-34AFD4AF5026}"/>
                                  </a:ext>
                                </a:extLst>
                              </pic:cNvPr>
                              <pic:cNvPicPr>
                                <a:picLocks noGrp="1" noRot="1" noChangeAspect="1" noMove="1" noResize="1" noEditPoints="1" noAdjustHandles="1" noChangeArrowheads="1" noChangeShapeType="1"/>
                              </pic:cNvPicPr>
                            </pic:nvPicPr>
                            <pic:blipFill>
                              <a:blip r:embed="rId144"/>
                              <a:stretch>
                                <a:fillRect/>
                              </a:stretch>
                            </pic:blipFill>
                            <pic:spPr>
                              <a:xfrm>
                                <a:off x="0" y="0"/>
                                <a:ext cx="5759450" cy="1799590"/>
                              </a:xfrm>
                              <a:prstGeom prst="rect">
                                <a:avLst/>
                              </a:prstGeom>
                            </pic:spPr>
                          </pic:pic>
                        </a:graphicData>
                      </a:graphic>
                    </wp:inline>
                  </w:drawing>
                </mc:Fallback>
              </mc:AlternateContent>
            </w:r>
          </w:p>
        </w:tc>
      </w:tr>
      <w:tr w:rsidR="00105031" w:rsidRPr="00E45A02" w14:paraId="3EA554DB" w14:textId="77777777" w:rsidTr="00E45A02">
        <w:tc>
          <w:tcPr>
            <w:tcW w:w="9306" w:type="dxa"/>
            <w:vAlign w:val="center"/>
          </w:tcPr>
          <w:p w14:paraId="1A95FD45" w14:textId="7D957B10" w:rsidR="00105031" w:rsidRPr="00E45A02" w:rsidRDefault="005E7848" w:rsidP="00C911FB">
            <w:pPr>
              <w:spacing w:after="0" w:line="240" w:lineRule="auto"/>
              <w:jc w:val="center"/>
              <w:rPr>
                <w:noProof/>
                <w:sz w:val="24"/>
                <w:szCs w:val="24"/>
                <w:lang w:val="en-US" w:eastAsia="ru-RU"/>
              </w:rPr>
            </w:pPr>
            <w:r w:rsidRPr="00E45A02">
              <w:rPr>
                <w:rFonts w:ascii="Times New Roman" w:hAnsi="Times New Roman" w:cs="Times New Roman"/>
                <w:sz w:val="24"/>
                <w:szCs w:val="24"/>
              </w:rPr>
              <w:t>к)</w:t>
            </w:r>
            <w:r w:rsidR="00E45A02">
              <w:rPr>
                <w:rFonts w:ascii="Times New Roman" w:hAnsi="Times New Roman" w:cs="Times New Roman"/>
                <w:sz w:val="24"/>
                <w:szCs w:val="24"/>
              </w:rPr>
              <w:t xml:space="preserve"> Локализация</w:t>
            </w:r>
            <w:r w:rsidR="00E45A02">
              <w:rPr>
                <w:rFonts w:ascii="Times New Roman" w:hAnsi="Times New Roman" w:cs="Times New Roman"/>
                <w:sz w:val="24"/>
                <w:szCs w:val="24"/>
                <w:lang w:val="en-US"/>
              </w:rPr>
              <w:t xml:space="preserve"> RLI</w:t>
            </w:r>
          </w:p>
        </w:tc>
      </w:tr>
    </w:tbl>
    <w:p w14:paraId="2C78D0A3" w14:textId="77777777" w:rsidR="00E45A02" w:rsidRDefault="00E45A02" w:rsidP="00E45A02">
      <w:pPr>
        <w:spacing w:after="0" w:line="240" w:lineRule="auto"/>
        <w:rPr>
          <w:rFonts w:ascii="Times New Roman" w:hAnsi="Times New Roman" w:cs="Times New Roman"/>
          <w:sz w:val="28"/>
          <w:szCs w:val="28"/>
        </w:rPr>
      </w:pPr>
    </w:p>
    <w:p w14:paraId="0C26E219" w14:textId="6357527F" w:rsidR="00E45A02" w:rsidRPr="00E45A02" w:rsidRDefault="00E45A02" w:rsidP="00E45A02">
      <w:pPr>
        <w:spacing w:after="0" w:line="240" w:lineRule="auto"/>
        <w:ind w:firstLine="709"/>
        <w:jc w:val="center"/>
        <w:rPr>
          <w:rFonts w:ascii="Times New Roman" w:hAnsi="Times New Roman" w:cs="Times New Roman"/>
          <w:sz w:val="28"/>
          <w:szCs w:val="28"/>
        </w:rPr>
      </w:pPr>
      <w:r w:rsidRPr="00A43B9C">
        <w:rPr>
          <w:rFonts w:ascii="Times New Roman" w:hAnsi="Times New Roman" w:cs="Times New Roman"/>
          <w:sz w:val="28"/>
          <w:szCs w:val="28"/>
        </w:rPr>
        <w:t>Рисунок 1</w:t>
      </w:r>
      <w:r>
        <w:rPr>
          <w:rFonts w:ascii="Times New Roman" w:hAnsi="Times New Roman" w:cs="Times New Roman"/>
          <w:sz w:val="28"/>
          <w:szCs w:val="28"/>
          <w:lang w:val="en-US"/>
        </w:rPr>
        <w:t>3</w:t>
      </w:r>
      <w:r w:rsidRPr="00A43B9C">
        <w:rPr>
          <w:rFonts w:ascii="Times New Roman" w:hAnsi="Times New Roman" w:cs="Times New Roman"/>
          <w:sz w:val="28"/>
          <w:szCs w:val="28"/>
        </w:rPr>
        <w:t xml:space="preserve"> </w:t>
      </w:r>
      <w:r w:rsidR="004D5D0F">
        <w:rPr>
          <w:rFonts w:ascii="Times New Roman" w:hAnsi="Times New Roman" w:cs="Times New Roman"/>
          <w:sz w:val="28"/>
          <w:szCs w:val="28"/>
        </w:rPr>
        <w:t>-</w:t>
      </w:r>
      <w:r w:rsidRPr="00A43B9C">
        <w:rPr>
          <w:rFonts w:ascii="Times New Roman" w:hAnsi="Times New Roman" w:cs="Times New Roman"/>
          <w:sz w:val="28"/>
          <w:szCs w:val="28"/>
        </w:rPr>
        <w:t xml:space="preserve"> </w:t>
      </w:r>
      <w:r>
        <w:rPr>
          <w:rFonts w:ascii="Times New Roman" w:hAnsi="Times New Roman" w:cs="Times New Roman"/>
          <w:sz w:val="28"/>
          <w:szCs w:val="28"/>
        </w:rPr>
        <w:t>лист 2</w:t>
      </w:r>
      <w:r w:rsidRPr="00E45A02">
        <w:rPr>
          <w:rFonts w:ascii="Times New Roman" w:hAnsi="Times New Roman" w:cs="Times New Roman"/>
          <w:sz w:val="28"/>
          <w:szCs w:val="28"/>
        </w:rPr>
        <w:br w:type="page"/>
      </w:r>
    </w:p>
    <w:tbl>
      <w:tblPr>
        <w:tblStyle w:val="ad"/>
        <w:tblW w:w="930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06"/>
      </w:tblGrid>
      <w:tr w:rsidR="00105031" w:rsidRPr="00A43B9C" w14:paraId="1C84C624" w14:textId="77777777" w:rsidTr="00E45A02">
        <w:tc>
          <w:tcPr>
            <w:tcW w:w="9306" w:type="dxa"/>
            <w:vAlign w:val="center"/>
          </w:tcPr>
          <w:p w14:paraId="07A9AB29" w14:textId="77777777" w:rsidR="00105031" w:rsidRPr="00A43B9C" w:rsidRDefault="00105031" w:rsidP="00C911FB">
            <w:pPr>
              <w:spacing w:after="0" w:line="240" w:lineRule="auto"/>
              <w:jc w:val="center"/>
              <w:rPr>
                <w:rFonts w:ascii="Times New Roman" w:hAnsi="Times New Roman" w:cs="Times New Roman"/>
                <w:sz w:val="28"/>
                <w:szCs w:val="28"/>
              </w:rPr>
            </w:pPr>
            <w:r w:rsidRPr="00A43B9C">
              <w:rPr>
                <w:noProof/>
                <w:lang w:eastAsia="ru-RU"/>
              </w:rPr>
              <w:lastRenderedPageBreak/>
              <mc:AlternateContent>
                <mc:Choice Requires="cx1">
                  <w:drawing>
                    <wp:inline distT="0" distB="0" distL="0" distR="0" wp14:anchorId="569A7A31" wp14:editId="32F7C307">
                      <wp:extent cx="5760000" cy="1800000"/>
                      <wp:effectExtent l="0" t="0" r="12700" b="10160"/>
                      <wp:docPr id="302" name="Диаграмма 302">
                        <a:extLst xmlns:a="http://schemas.openxmlformats.org/drawingml/2006/main">
                          <a:ext uri="{FF2B5EF4-FFF2-40B4-BE49-F238E27FC236}">
                            <a16:creationId xmlns:a16="http://schemas.microsoft.com/office/drawing/2014/main" id="{D2B3EC61-058E-4E65-A6E6-139EE2995D33}"/>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45"/>
                        </a:graphicData>
                      </a:graphic>
                    </wp:inline>
                  </w:drawing>
                </mc:Choice>
                <mc:Fallback>
                  <w:drawing>
                    <wp:inline distT="0" distB="0" distL="0" distR="0" wp14:anchorId="569A7A31" wp14:editId="32F7C307">
                      <wp:extent cx="5760000" cy="1800000"/>
                      <wp:effectExtent l="0" t="0" r="12700" b="10160"/>
                      <wp:docPr id="302" name="Диаграмма 302">
                        <a:extLst xmlns:a="http://schemas.openxmlformats.org/drawingml/2006/main">
                          <a:ext uri="{FF2B5EF4-FFF2-40B4-BE49-F238E27FC236}">
                            <a16:creationId xmlns:a16="http://schemas.microsoft.com/office/drawing/2014/main" id="{D2B3EC61-058E-4E65-A6E6-139EE2995D33}"/>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02" name="Диаграмма 302">
                                <a:extLst>
                                  <a:ext uri="{FF2B5EF4-FFF2-40B4-BE49-F238E27FC236}">
                                    <a16:creationId xmlns:a16="http://schemas.microsoft.com/office/drawing/2014/main" id="{D2B3EC61-058E-4E65-A6E6-139EE2995D33}"/>
                                  </a:ext>
                                </a:extLst>
                              </pic:cNvPr>
                              <pic:cNvPicPr>
                                <a:picLocks noGrp="1" noRot="1" noChangeAspect="1" noMove="1" noResize="1" noEditPoints="1" noAdjustHandles="1" noChangeArrowheads="1" noChangeShapeType="1"/>
                              </pic:cNvPicPr>
                            </pic:nvPicPr>
                            <pic:blipFill>
                              <a:blip r:embed="rId146"/>
                              <a:stretch>
                                <a:fillRect/>
                              </a:stretch>
                            </pic:blipFill>
                            <pic:spPr>
                              <a:xfrm>
                                <a:off x="0" y="0"/>
                                <a:ext cx="5759450" cy="1799590"/>
                              </a:xfrm>
                              <a:prstGeom prst="rect">
                                <a:avLst/>
                              </a:prstGeom>
                            </pic:spPr>
                          </pic:pic>
                        </a:graphicData>
                      </a:graphic>
                    </wp:inline>
                  </w:drawing>
                </mc:Fallback>
              </mc:AlternateContent>
            </w:r>
          </w:p>
        </w:tc>
      </w:tr>
      <w:tr w:rsidR="00105031" w:rsidRPr="00E45A02" w14:paraId="0D77830A" w14:textId="77777777" w:rsidTr="00E45A02">
        <w:tc>
          <w:tcPr>
            <w:tcW w:w="9306" w:type="dxa"/>
            <w:vAlign w:val="center"/>
          </w:tcPr>
          <w:p w14:paraId="053A5A55" w14:textId="4FC5F588" w:rsidR="00105031" w:rsidRPr="00E45A02" w:rsidRDefault="005E7848" w:rsidP="00C911FB">
            <w:pPr>
              <w:spacing w:after="0" w:line="240" w:lineRule="auto"/>
              <w:jc w:val="center"/>
              <w:rPr>
                <w:noProof/>
                <w:sz w:val="24"/>
                <w:szCs w:val="24"/>
                <w:lang w:eastAsia="ru-RU"/>
              </w:rPr>
            </w:pPr>
            <w:r w:rsidRPr="00E45A02">
              <w:rPr>
                <w:rFonts w:ascii="Times New Roman" w:hAnsi="Times New Roman" w:cs="Times New Roman"/>
                <w:sz w:val="24"/>
                <w:szCs w:val="24"/>
              </w:rPr>
              <w:t>л)</w:t>
            </w:r>
            <w:r w:rsidR="00E45A02" w:rsidRPr="00E45A02">
              <w:rPr>
                <w:rFonts w:ascii="Times New Roman" w:hAnsi="Times New Roman" w:cs="Times New Roman"/>
                <w:sz w:val="24"/>
                <w:szCs w:val="24"/>
              </w:rPr>
              <w:t xml:space="preserve"> Локализация </w:t>
            </w:r>
            <w:r w:rsidR="00E45A02" w:rsidRPr="00E45A02">
              <w:rPr>
                <w:rFonts w:ascii="Times New Roman" w:hAnsi="Times New Roman" w:cs="Times New Roman"/>
                <w:sz w:val="24"/>
                <w:szCs w:val="24"/>
                <w:lang w:val="en-US"/>
              </w:rPr>
              <w:t>P</w:t>
            </w:r>
          </w:p>
        </w:tc>
      </w:tr>
    </w:tbl>
    <w:p w14:paraId="73915B64" w14:textId="77777777" w:rsidR="00E45A02" w:rsidRDefault="00E45A02" w:rsidP="00025941">
      <w:pPr>
        <w:spacing w:after="0" w:line="240" w:lineRule="auto"/>
        <w:ind w:firstLine="709"/>
        <w:jc w:val="center"/>
        <w:rPr>
          <w:rFonts w:ascii="Times New Roman" w:hAnsi="Times New Roman" w:cs="Times New Roman"/>
          <w:sz w:val="28"/>
          <w:szCs w:val="28"/>
        </w:rPr>
      </w:pPr>
    </w:p>
    <w:p w14:paraId="2EC77870" w14:textId="0F502261" w:rsidR="00025941" w:rsidRPr="00A43B9C" w:rsidRDefault="00025941" w:rsidP="00025941">
      <w:pPr>
        <w:spacing w:after="0" w:line="240" w:lineRule="auto"/>
        <w:ind w:firstLine="709"/>
        <w:jc w:val="center"/>
        <w:rPr>
          <w:rFonts w:ascii="Times New Roman" w:hAnsi="Times New Roman" w:cs="Times New Roman"/>
          <w:sz w:val="28"/>
          <w:szCs w:val="28"/>
        </w:rPr>
      </w:pPr>
      <w:r w:rsidRPr="00A43B9C">
        <w:rPr>
          <w:rFonts w:ascii="Times New Roman" w:hAnsi="Times New Roman" w:cs="Times New Roman"/>
          <w:sz w:val="28"/>
          <w:szCs w:val="28"/>
        </w:rPr>
        <w:t>Рисунок 1</w:t>
      </w:r>
      <w:r w:rsidR="00006C4D">
        <w:rPr>
          <w:rFonts w:ascii="Times New Roman" w:hAnsi="Times New Roman" w:cs="Times New Roman"/>
          <w:sz w:val="28"/>
          <w:szCs w:val="28"/>
        </w:rPr>
        <w:t>3</w:t>
      </w:r>
      <w:r w:rsidR="001D33E2" w:rsidRPr="00A43B9C">
        <w:rPr>
          <w:rFonts w:ascii="Times New Roman" w:hAnsi="Times New Roman" w:cs="Times New Roman"/>
          <w:sz w:val="28"/>
          <w:szCs w:val="28"/>
        </w:rPr>
        <w:t xml:space="preserve"> </w:t>
      </w:r>
      <w:r w:rsidR="004D5D0F">
        <w:rPr>
          <w:rFonts w:ascii="Times New Roman" w:hAnsi="Times New Roman" w:cs="Times New Roman"/>
          <w:sz w:val="28"/>
          <w:szCs w:val="28"/>
        </w:rPr>
        <w:t>-</w:t>
      </w:r>
      <w:r w:rsidRPr="00A43B9C">
        <w:rPr>
          <w:rFonts w:ascii="Times New Roman" w:hAnsi="Times New Roman" w:cs="Times New Roman"/>
          <w:sz w:val="28"/>
          <w:szCs w:val="28"/>
        </w:rPr>
        <w:t xml:space="preserve"> </w:t>
      </w:r>
      <w:r w:rsidR="00E45A02">
        <w:rPr>
          <w:rFonts w:ascii="Times New Roman" w:hAnsi="Times New Roman" w:cs="Times New Roman"/>
          <w:sz w:val="28"/>
          <w:szCs w:val="28"/>
        </w:rPr>
        <w:t>лист 3</w:t>
      </w:r>
    </w:p>
    <w:p w14:paraId="599E45EE" w14:textId="77777777" w:rsidR="00025941" w:rsidRPr="00A43B9C" w:rsidRDefault="00025941" w:rsidP="00B00C52">
      <w:pPr>
        <w:spacing w:after="0" w:line="240" w:lineRule="auto"/>
        <w:ind w:firstLine="709"/>
        <w:rPr>
          <w:rFonts w:ascii="Times New Roman" w:hAnsi="Times New Roman" w:cs="Times New Roman"/>
          <w:sz w:val="28"/>
          <w:szCs w:val="28"/>
        </w:rPr>
      </w:pPr>
    </w:p>
    <w:p w14:paraId="0EC5E6A6" w14:textId="4BA3D4B0" w:rsidR="00B00C52" w:rsidRPr="00A43B9C" w:rsidRDefault="00EF7C89" w:rsidP="00B00C52">
      <w:pPr>
        <w:spacing w:after="0" w:line="240" w:lineRule="auto"/>
        <w:ind w:firstLine="709"/>
        <w:jc w:val="both"/>
        <w:rPr>
          <w:rFonts w:ascii="Times New Roman" w:hAnsi="Times New Roman" w:cs="Times New Roman"/>
          <w:sz w:val="28"/>
          <w:szCs w:val="28"/>
        </w:rPr>
      </w:pPr>
      <w:bookmarkStart w:id="65" w:name="_Hlk116574529"/>
      <w:r>
        <w:rPr>
          <w:rFonts w:ascii="Times New Roman" w:hAnsi="Times New Roman" w:cs="Times New Roman"/>
          <w:sz w:val="28"/>
          <w:szCs w:val="28"/>
        </w:rPr>
        <w:t xml:space="preserve">Анализ по статусу </w:t>
      </w:r>
      <w:r w:rsidR="00B00C52" w:rsidRPr="00A43B9C">
        <w:rPr>
          <w:rFonts w:ascii="Times New Roman" w:hAnsi="Times New Roman" w:cs="Times New Roman"/>
          <w:sz w:val="28"/>
          <w:szCs w:val="28"/>
          <w:lang w:val="en-US"/>
        </w:rPr>
        <w:t>LM</w:t>
      </w:r>
      <w:r w:rsidR="00B00C52" w:rsidRPr="00A43B9C">
        <w:rPr>
          <w:rFonts w:ascii="Times New Roman" w:hAnsi="Times New Roman" w:cs="Times New Roman"/>
          <w:sz w:val="28"/>
          <w:szCs w:val="28"/>
        </w:rPr>
        <w:t xml:space="preserve"> в локализации RE I </w:t>
      </w:r>
      <w:r w:rsidR="004828D1" w:rsidRPr="00A43B9C">
        <w:rPr>
          <w:rFonts w:ascii="Times New Roman" w:hAnsi="Times New Roman" w:cs="Times New Roman"/>
          <w:sz w:val="28"/>
          <w:szCs w:val="28"/>
        </w:rPr>
        <w:t>не</w:t>
      </w:r>
      <w:r w:rsidR="00B00C52" w:rsidRPr="00A43B9C">
        <w:rPr>
          <w:rFonts w:ascii="Times New Roman" w:hAnsi="Times New Roman" w:cs="Times New Roman"/>
          <w:sz w:val="28"/>
          <w:szCs w:val="28"/>
        </w:rPr>
        <w:t xml:space="preserve"> выяви</w:t>
      </w:r>
      <w:r w:rsidR="004828D1" w:rsidRPr="00A43B9C">
        <w:rPr>
          <w:rFonts w:ascii="Times New Roman" w:hAnsi="Times New Roman" w:cs="Times New Roman"/>
          <w:sz w:val="28"/>
          <w:szCs w:val="28"/>
        </w:rPr>
        <w:t>л</w:t>
      </w:r>
      <w:r w:rsidR="00B00C52" w:rsidRPr="00A43B9C">
        <w:rPr>
          <w:rFonts w:ascii="Times New Roman" w:hAnsi="Times New Roman" w:cs="Times New Roman"/>
          <w:sz w:val="28"/>
          <w:szCs w:val="28"/>
        </w:rPr>
        <w:t xml:space="preserve"> значимых различий (p = 0,824). </w:t>
      </w:r>
      <w:r w:rsidR="004828D1" w:rsidRPr="00A43B9C">
        <w:rPr>
          <w:rFonts w:ascii="Times New Roman" w:hAnsi="Times New Roman" w:cs="Times New Roman"/>
          <w:sz w:val="28"/>
          <w:szCs w:val="28"/>
        </w:rPr>
        <w:t>А</w:t>
      </w:r>
      <w:r w:rsidR="00B00C52" w:rsidRPr="00A43B9C">
        <w:rPr>
          <w:rFonts w:ascii="Times New Roman" w:hAnsi="Times New Roman" w:cs="Times New Roman"/>
          <w:sz w:val="28"/>
          <w:szCs w:val="28"/>
        </w:rPr>
        <w:t>нализ в локализации RE II</w:t>
      </w:r>
      <w:r w:rsidR="004828D1" w:rsidRPr="00A43B9C">
        <w:rPr>
          <w:rFonts w:ascii="Times New Roman" w:hAnsi="Times New Roman" w:cs="Times New Roman"/>
          <w:sz w:val="28"/>
          <w:szCs w:val="28"/>
        </w:rPr>
        <w:t xml:space="preserve">, напротив, позволил </w:t>
      </w:r>
      <w:r w:rsidR="00B00C52" w:rsidRPr="00A43B9C">
        <w:rPr>
          <w:rFonts w:ascii="Times New Roman" w:hAnsi="Times New Roman" w:cs="Times New Roman"/>
          <w:sz w:val="28"/>
          <w:szCs w:val="28"/>
        </w:rPr>
        <w:t>выяв</w:t>
      </w:r>
      <w:r w:rsidR="004828D1" w:rsidRPr="00A43B9C">
        <w:rPr>
          <w:rFonts w:ascii="Times New Roman" w:hAnsi="Times New Roman" w:cs="Times New Roman"/>
          <w:sz w:val="28"/>
          <w:szCs w:val="28"/>
        </w:rPr>
        <w:t>ить</w:t>
      </w:r>
      <w:r w:rsidR="00B00C52" w:rsidRPr="00A43B9C">
        <w:rPr>
          <w:rFonts w:ascii="Times New Roman" w:hAnsi="Times New Roman" w:cs="Times New Roman"/>
          <w:sz w:val="28"/>
          <w:szCs w:val="28"/>
        </w:rPr>
        <w:t xml:space="preserve"> существенные различия (p = 0,035).</w:t>
      </w:r>
      <w:r w:rsidR="00025941" w:rsidRPr="00A43B9C">
        <w:rPr>
          <w:rFonts w:ascii="Times New Roman" w:hAnsi="Times New Roman" w:cs="Times New Roman"/>
          <w:sz w:val="28"/>
          <w:szCs w:val="28"/>
        </w:rPr>
        <w:t xml:space="preserve"> </w:t>
      </w:r>
      <w:r w:rsidR="004828D1" w:rsidRPr="00A43B9C">
        <w:rPr>
          <w:rFonts w:ascii="Times New Roman" w:hAnsi="Times New Roman" w:cs="Times New Roman"/>
          <w:sz w:val="28"/>
          <w:szCs w:val="28"/>
        </w:rPr>
        <w:t xml:space="preserve">Также нами были выявлены статистически значимые изменения (p &lt;0,001) </w:t>
      </w:r>
      <w:r w:rsidR="00B00C52" w:rsidRPr="00A43B9C">
        <w:rPr>
          <w:rFonts w:ascii="Times New Roman" w:hAnsi="Times New Roman" w:cs="Times New Roman"/>
          <w:sz w:val="28"/>
          <w:szCs w:val="28"/>
        </w:rPr>
        <w:t xml:space="preserve">в группе nLM. </w:t>
      </w:r>
      <w:r w:rsidR="004828D1" w:rsidRPr="00A43B9C">
        <w:rPr>
          <w:rFonts w:ascii="Times New Roman" w:hAnsi="Times New Roman" w:cs="Times New Roman"/>
          <w:sz w:val="28"/>
          <w:szCs w:val="28"/>
        </w:rPr>
        <w:t>В то же время анализ</w:t>
      </w:r>
      <w:r w:rsidR="00B00C52" w:rsidRPr="00A43B9C">
        <w:rPr>
          <w:rFonts w:ascii="Times New Roman" w:hAnsi="Times New Roman" w:cs="Times New Roman"/>
          <w:sz w:val="28"/>
          <w:szCs w:val="28"/>
        </w:rPr>
        <w:t xml:space="preserve"> в группе </w:t>
      </w:r>
      <w:r w:rsidR="00B00C52" w:rsidRPr="00A43B9C">
        <w:rPr>
          <w:rFonts w:ascii="Times New Roman" w:hAnsi="Times New Roman" w:cs="Times New Roman"/>
          <w:sz w:val="28"/>
          <w:szCs w:val="28"/>
          <w:lang w:val="en-US"/>
        </w:rPr>
        <w:t>pLM</w:t>
      </w:r>
      <w:r w:rsidR="00B00C52" w:rsidRPr="00A43B9C">
        <w:rPr>
          <w:rFonts w:ascii="Times New Roman" w:hAnsi="Times New Roman" w:cs="Times New Roman"/>
          <w:sz w:val="28"/>
          <w:szCs w:val="28"/>
        </w:rPr>
        <w:t xml:space="preserve"> </w:t>
      </w:r>
      <w:r w:rsidR="004828D1" w:rsidRPr="00A43B9C">
        <w:rPr>
          <w:rFonts w:ascii="Times New Roman" w:hAnsi="Times New Roman" w:cs="Times New Roman"/>
          <w:sz w:val="28"/>
          <w:szCs w:val="28"/>
        </w:rPr>
        <w:t>не</w:t>
      </w:r>
      <w:r w:rsidR="00B00C52" w:rsidRPr="00A43B9C">
        <w:rPr>
          <w:rFonts w:ascii="Times New Roman" w:hAnsi="Times New Roman" w:cs="Times New Roman"/>
          <w:sz w:val="28"/>
          <w:szCs w:val="28"/>
        </w:rPr>
        <w:t xml:space="preserve"> установи</w:t>
      </w:r>
      <w:r w:rsidR="004828D1" w:rsidRPr="00A43B9C">
        <w:rPr>
          <w:rFonts w:ascii="Times New Roman" w:hAnsi="Times New Roman" w:cs="Times New Roman"/>
          <w:sz w:val="28"/>
          <w:szCs w:val="28"/>
        </w:rPr>
        <w:t>л</w:t>
      </w:r>
      <w:r w:rsidR="00B00C52" w:rsidRPr="00A43B9C">
        <w:rPr>
          <w:rFonts w:ascii="Times New Roman" w:hAnsi="Times New Roman" w:cs="Times New Roman"/>
          <w:sz w:val="28"/>
          <w:szCs w:val="28"/>
        </w:rPr>
        <w:t xml:space="preserve"> статистически значимых изменений (p = 0,074)</w:t>
      </w:r>
      <w:r w:rsidR="004828D1" w:rsidRPr="00A43B9C">
        <w:rPr>
          <w:rFonts w:ascii="Times New Roman" w:hAnsi="Times New Roman" w:cs="Times New Roman"/>
          <w:sz w:val="28"/>
          <w:szCs w:val="28"/>
        </w:rPr>
        <w:t xml:space="preserve">, так </w:t>
      </w:r>
      <w:r w:rsidR="00C8583E" w:rsidRPr="00A43B9C">
        <w:rPr>
          <w:rFonts w:ascii="Times New Roman" w:hAnsi="Times New Roman" w:cs="Times New Roman"/>
          <w:sz w:val="28"/>
          <w:szCs w:val="28"/>
        </w:rPr>
        <w:t>же,</w:t>
      </w:r>
      <w:r w:rsidR="004828D1" w:rsidRPr="00A43B9C">
        <w:rPr>
          <w:rFonts w:ascii="Times New Roman" w:hAnsi="Times New Roman" w:cs="Times New Roman"/>
          <w:sz w:val="28"/>
          <w:szCs w:val="28"/>
        </w:rPr>
        <w:t xml:space="preserve"> как и </w:t>
      </w:r>
      <w:r w:rsidR="00B00C52" w:rsidRPr="00A43B9C">
        <w:rPr>
          <w:rFonts w:ascii="Times New Roman" w:hAnsi="Times New Roman" w:cs="Times New Roman"/>
          <w:sz w:val="28"/>
          <w:szCs w:val="28"/>
        </w:rPr>
        <w:t xml:space="preserve">по статусу </w:t>
      </w:r>
      <w:r w:rsidR="00B00C52" w:rsidRPr="00A43B9C">
        <w:rPr>
          <w:rFonts w:ascii="Times New Roman" w:hAnsi="Times New Roman" w:cs="Times New Roman"/>
          <w:sz w:val="28"/>
          <w:szCs w:val="28"/>
          <w:lang w:val="en-US"/>
        </w:rPr>
        <w:t>LM</w:t>
      </w:r>
      <w:r w:rsidR="00B00C52" w:rsidRPr="00A43B9C">
        <w:rPr>
          <w:rFonts w:ascii="Times New Roman" w:hAnsi="Times New Roman" w:cs="Times New Roman"/>
          <w:sz w:val="28"/>
          <w:szCs w:val="28"/>
        </w:rPr>
        <w:t xml:space="preserve"> в локализации RLH I (p = 0,521)</w:t>
      </w:r>
      <w:r w:rsidR="004828D1" w:rsidRPr="00A43B9C">
        <w:rPr>
          <w:rFonts w:ascii="Times New Roman" w:hAnsi="Times New Roman" w:cs="Times New Roman"/>
          <w:sz w:val="28"/>
          <w:szCs w:val="28"/>
        </w:rPr>
        <w:t xml:space="preserve">, </w:t>
      </w:r>
      <w:r w:rsidR="00B00C52" w:rsidRPr="00A43B9C">
        <w:rPr>
          <w:rFonts w:ascii="Times New Roman" w:hAnsi="Times New Roman" w:cs="Times New Roman"/>
          <w:sz w:val="28"/>
          <w:szCs w:val="28"/>
        </w:rPr>
        <w:t>в локализации RLH II (p = 0,373).</w:t>
      </w:r>
      <w:r w:rsidR="00025941" w:rsidRPr="00A43B9C">
        <w:rPr>
          <w:rFonts w:ascii="Times New Roman" w:hAnsi="Times New Roman" w:cs="Times New Roman"/>
          <w:sz w:val="28"/>
          <w:szCs w:val="28"/>
        </w:rPr>
        <w:t xml:space="preserve"> </w:t>
      </w:r>
      <w:r w:rsidR="004828D1" w:rsidRPr="00A43B9C">
        <w:rPr>
          <w:rFonts w:ascii="Times New Roman" w:hAnsi="Times New Roman" w:cs="Times New Roman"/>
          <w:sz w:val="28"/>
          <w:szCs w:val="28"/>
        </w:rPr>
        <w:t xml:space="preserve">В то же время </w:t>
      </w:r>
      <w:r w:rsidR="00B00C52" w:rsidRPr="00A43B9C">
        <w:rPr>
          <w:rFonts w:ascii="Times New Roman" w:hAnsi="Times New Roman" w:cs="Times New Roman"/>
          <w:sz w:val="28"/>
          <w:szCs w:val="28"/>
        </w:rPr>
        <w:t>в группе nLM нами были выявлены статистически значимые изменения (p = 0,015)</w:t>
      </w:r>
      <w:r w:rsidR="004828D1" w:rsidRPr="00A43B9C">
        <w:rPr>
          <w:rFonts w:ascii="Times New Roman" w:hAnsi="Times New Roman" w:cs="Times New Roman"/>
          <w:sz w:val="28"/>
          <w:szCs w:val="28"/>
        </w:rPr>
        <w:t xml:space="preserve">, равно как и </w:t>
      </w:r>
      <w:r w:rsidR="00B00C52" w:rsidRPr="00A43B9C">
        <w:rPr>
          <w:rFonts w:ascii="Times New Roman" w:hAnsi="Times New Roman" w:cs="Times New Roman"/>
          <w:sz w:val="28"/>
          <w:szCs w:val="28"/>
        </w:rPr>
        <w:t>в группе pLM (p &lt;0,001).</w:t>
      </w:r>
      <w:r w:rsidR="00152985" w:rsidRPr="00A43B9C">
        <w:rPr>
          <w:rFonts w:ascii="Times New Roman" w:hAnsi="Times New Roman" w:cs="Times New Roman"/>
          <w:sz w:val="28"/>
          <w:szCs w:val="28"/>
        </w:rPr>
        <w:t xml:space="preserve"> </w:t>
      </w:r>
      <w:r w:rsidR="004828D1" w:rsidRPr="00A43B9C">
        <w:rPr>
          <w:rFonts w:ascii="Times New Roman" w:hAnsi="Times New Roman" w:cs="Times New Roman"/>
          <w:sz w:val="28"/>
          <w:szCs w:val="28"/>
        </w:rPr>
        <w:t>П</w:t>
      </w:r>
      <w:r w:rsidR="00B00C52" w:rsidRPr="00A43B9C">
        <w:rPr>
          <w:rFonts w:ascii="Times New Roman" w:hAnsi="Times New Roman" w:cs="Times New Roman"/>
          <w:sz w:val="28"/>
          <w:szCs w:val="28"/>
        </w:rPr>
        <w:t xml:space="preserve">о статусу </w:t>
      </w:r>
      <w:r w:rsidR="00B00C52" w:rsidRPr="00A43B9C">
        <w:rPr>
          <w:rFonts w:ascii="Times New Roman" w:hAnsi="Times New Roman" w:cs="Times New Roman"/>
          <w:sz w:val="28"/>
          <w:szCs w:val="28"/>
          <w:lang w:val="en-US"/>
        </w:rPr>
        <w:t>LM</w:t>
      </w:r>
      <w:r w:rsidR="00B00C52" w:rsidRPr="00A43B9C">
        <w:rPr>
          <w:rFonts w:ascii="Times New Roman" w:hAnsi="Times New Roman" w:cs="Times New Roman"/>
          <w:sz w:val="28"/>
          <w:szCs w:val="28"/>
        </w:rPr>
        <w:t xml:space="preserve"> в локализации RRL I </w:t>
      </w:r>
      <w:r w:rsidR="004828D1" w:rsidRPr="00A43B9C">
        <w:rPr>
          <w:rFonts w:ascii="Times New Roman" w:hAnsi="Times New Roman" w:cs="Times New Roman"/>
          <w:sz w:val="28"/>
          <w:szCs w:val="28"/>
        </w:rPr>
        <w:t xml:space="preserve">(p = 0,090) и в локализации RRL II (p = 0,167) нам </w:t>
      </w:r>
      <w:r w:rsidR="00B00C52" w:rsidRPr="00A43B9C">
        <w:rPr>
          <w:rFonts w:ascii="Times New Roman" w:hAnsi="Times New Roman" w:cs="Times New Roman"/>
          <w:sz w:val="28"/>
          <w:szCs w:val="28"/>
        </w:rPr>
        <w:t>не удалось установить статистически значимых различий</w:t>
      </w:r>
      <w:r w:rsidR="004828D1" w:rsidRPr="00A43B9C">
        <w:rPr>
          <w:rFonts w:ascii="Times New Roman" w:hAnsi="Times New Roman" w:cs="Times New Roman"/>
          <w:sz w:val="28"/>
          <w:szCs w:val="28"/>
        </w:rPr>
        <w:t>,</w:t>
      </w:r>
      <w:r w:rsidR="00B00C52" w:rsidRPr="00A43B9C">
        <w:rPr>
          <w:rFonts w:ascii="Times New Roman" w:hAnsi="Times New Roman" w:cs="Times New Roman"/>
          <w:sz w:val="28"/>
          <w:szCs w:val="28"/>
        </w:rPr>
        <w:t xml:space="preserve"> </w:t>
      </w:r>
      <w:r w:rsidR="004828D1" w:rsidRPr="00A43B9C">
        <w:rPr>
          <w:rFonts w:ascii="Times New Roman" w:hAnsi="Times New Roman" w:cs="Times New Roman"/>
          <w:sz w:val="28"/>
          <w:szCs w:val="28"/>
        </w:rPr>
        <w:t xml:space="preserve">а </w:t>
      </w:r>
      <w:r w:rsidR="00B00C52" w:rsidRPr="00A43B9C">
        <w:rPr>
          <w:rFonts w:ascii="Times New Roman" w:hAnsi="Times New Roman" w:cs="Times New Roman"/>
          <w:sz w:val="28"/>
          <w:szCs w:val="28"/>
        </w:rPr>
        <w:t xml:space="preserve">в группе nLM </w:t>
      </w:r>
      <w:r w:rsidR="004828D1" w:rsidRPr="00A43B9C">
        <w:rPr>
          <w:rFonts w:ascii="Times New Roman" w:hAnsi="Times New Roman" w:cs="Times New Roman"/>
          <w:sz w:val="28"/>
          <w:szCs w:val="28"/>
        </w:rPr>
        <w:t xml:space="preserve">и в группе pLM </w:t>
      </w:r>
      <w:r w:rsidR="00B00C52" w:rsidRPr="00A43B9C">
        <w:rPr>
          <w:rFonts w:ascii="Times New Roman" w:hAnsi="Times New Roman" w:cs="Times New Roman"/>
          <w:sz w:val="28"/>
          <w:szCs w:val="28"/>
        </w:rPr>
        <w:t>нами были установлены статистически значимые изменения.</w:t>
      </w:r>
      <w:r w:rsidR="00152985" w:rsidRPr="00A43B9C">
        <w:rPr>
          <w:rFonts w:ascii="Times New Roman" w:hAnsi="Times New Roman" w:cs="Times New Roman"/>
          <w:sz w:val="28"/>
          <w:szCs w:val="28"/>
        </w:rPr>
        <w:t xml:space="preserve"> </w:t>
      </w:r>
      <w:bookmarkEnd w:id="65"/>
      <w:r w:rsidR="00AF2B53" w:rsidRPr="00A43B9C">
        <w:rPr>
          <w:rFonts w:ascii="Times New Roman" w:hAnsi="Times New Roman" w:cs="Times New Roman"/>
          <w:sz w:val="28"/>
          <w:szCs w:val="28"/>
        </w:rPr>
        <w:t xml:space="preserve">Анализ по </w:t>
      </w:r>
      <w:r w:rsidR="00B00C52" w:rsidRPr="00A43B9C">
        <w:rPr>
          <w:rFonts w:ascii="Times New Roman" w:hAnsi="Times New Roman" w:cs="Times New Roman"/>
          <w:sz w:val="28"/>
          <w:szCs w:val="28"/>
        </w:rPr>
        <w:t xml:space="preserve">статусу </w:t>
      </w:r>
      <w:r w:rsidR="00B00C52" w:rsidRPr="00A43B9C">
        <w:rPr>
          <w:rFonts w:ascii="Times New Roman" w:hAnsi="Times New Roman" w:cs="Times New Roman"/>
          <w:sz w:val="28"/>
          <w:szCs w:val="28"/>
          <w:lang w:val="en-US"/>
        </w:rPr>
        <w:t>LM</w:t>
      </w:r>
      <w:r w:rsidR="00B00C52" w:rsidRPr="00A43B9C">
        <w:rPr>
          <w:rFonts w:ascii="Times New Roman" w:hAnsi="Times New Roman" w:cs="Times New Roman"/>
          <w:sz w:val="28"/>
          <w:szCs w:val="28"/>
        </w:rPr>
        <w:t xml:space="preserve"> в локализации RU I </w:t>
      </w:r>
      <w:r w:rsidR="00AF2B53" w:rsidRPr="00A43B9C">
        <w:rPr>
          <w:rFonts w:ascii="Times New Roman" w:hAnsi="Times New Roman" w:cs="Times New Roman"/>
          <w:sz w:val="28"/>
          <w:szCs w:val="28"/>
        </w:rPr>
        <w:t xml:space="preserve">и </w:t>
      </w:r>
      <w:r w:rsidR="00AF2B53" w:rsidRPr="00A43B9C">
        <w:rPr>
          <w:rFonts w:ascii="Times New Roman" w:hAnsi="Times New Roman" w:cs="Times New Roman"/>
          <w:sz w:val="28"/>
          <w:szCs w:val="28"/>
          <w:lang w:val="en-US"/>
        </w:rPr>
        <w:t>RU</w:t>
      </w:r>
      <w:r w:rsidR="00AF2B53" w:rsidRPr="00A43B9C">
        <w:rPr>
          <w:rFonts w:ascii="Times New Roman" w:hAnsi="Times New Roman" w:cs="Times New Roman"/>
          <w:sz w:val="28"/>
          <w:szCs w:val="28"/>
        </w:rPr>
        <w:t xml:space="preserve"> </w:t>
      </w:r>
      <w:r w:rsidR="00AF2B53" w:rsidRPr="00A43B9C">
        <w:rPr>
          <w:rFonts w:ascii="Times New Roman" w:hAnsi="Times New Roman" w:cs="Times New Roman"/>
          <w:sz w:val="28"/>
          <w:szCs w:val="28"/>
          <w:lang w:val="en-US"/>
        </w:rPr>
        <w:t>II</w:t>
      </w:r>
      <w:r w:rsidR="00AF2B53" w:rsidRPr="00A43B9C">
        <w:rPr>
          <w:rFonts w:ascii="Times New Roman" w:hAnsi="Times New Roman" w:cs="Times New Roman"/>
          <w:sz w:val="28"/>
          <w:szCs w:val="28"/>
        </w:rPr>
        <w:t xml:space="preserve"> </w:t>
      </w:r>
      <w:r w:rsidR="00B00C52" w:rsidRPr="00A43B9C">
        <w:rPr>
          <w:rFonts w:ascii="Times New Roman" w:hAnsi="Times New Roman" w:cs="Times New Roman"/>
          <w:sz w:val="28"/>
          <w:szCs w:val="28"/>
        </w:rPr>
        <w:t xml:space="preserve">не </w:t>
      </w:r>
      <w:r w:rsidR="00AF2B53" w:rsidRPr="00A43B9C">
        <w:rPr>
          <w:rFonts w:ascii="Times New Roman" w:hAnsi="Times New Roman" w:cs="Times New Roman"/>
          <w:sz w:val="28"/>
          <w:szCs w:val="28"/>
        </w:rPr>
        <w:t>выявил</w:t>
      </w:r>
      <w:r w:rsidR="00B00C52" w:rsidRPr="00A43B9C">
        <w:rPr>
          <w:rFonts w:ascii="Times New Roman" w:hAnsi="Times New Roman" w:cs="Times New Roman"/>
          <w:sz w:val="28"/>
          <w:szCs w:val="28"/>
        </w:rPr>
        <w:t xml:space="preserve"> статистически значимых различий (p = 0,417</w:t>
      </w:r>
      <w:r w:rsidR="00AF2B53" w:rsidRPr="00A43B9C">
        <w:rPr>
          <w:rFonts w:ascii="Times New Roman" w:hAnsi="Times New Roman" w:cs="Times New Roman"/>
          <w:sz w:val="28"/>
          <w:szCs w:val="28"/>
        </w:rPr>
        <w:t xml:space="preserve"> и </w:t>
      </w:r>
      <w:r w:rsidR="00AF2B53" w:rsidRPr="00A43B9C">
        <w:rPr>
          <w:rFonts w:ascii="Times New Roman" w:hAnsi="Times New Roman" w:cs="Times New Roman"/>
          <w:sz w:val="28"/>
          <w:szCs w:val="28"/>
          <w:lang w:val="en-US"/>
        </w:rPr>
        <w:t>p</w:t>
      </w:r>
      <w:r w:rsidR="00AF2B53" w:rsidRPr="00A43B9C">
        <w:rPr>
          <w:rFonts w:ascii="Times New Roman" w:hAnsi="Times New Roman" w:cs="Times New Roman"/>
          <w:sz w:val="28"/>
          <w:szCs w:val="28"/>
        </w:rPr>
        <w:t xml:space="preserve"> = 0,880</w:t>
      </w:r>
      <w:r w:rsidR="00C8583E" w:rsidRPr="00A43B9C">
        <w:rPr>
          <w:rFonts w:ascii="Times New Roman" w:hAnsi="Times New Roman" w:cs="Times New Roman"/>
          <w:sz w:val="28"/>
          <w:szCs w:val="28"/>
        </w:rPr>
        <w:t>). Также</w:t>
      </w:r>
      <w:r w:rsidR="00AF2B53" w:rsidRPr="00A43B9C">
        <w:rPr>
          <w:rFonts w:ascii="Times New Roman" w:hAnsi="Times New Roman" w:cs="Times New Roman"/>
          <w:sz w:val="28"/>
          <w:szCs w:val="28"/>
        </w:rPr>
        <w:t xml:space="preserve"> а</w:t>
      </w:r>
      <w:r w:rsidR="00B00C52" w:rsidRPr="00A43B9C">
        <w:rPr>
          <w:rFonts w:ascii="Times New Roman" w:hAnsi="Times New Roman" w:cs="Times New Roman"/>
          <w:sz w:val="28"/>
          <w:szCs w:val="28"/>
        </w:rPr>
        <w:t>нализ показал, что в группе nLM отмечались статистически значимые изменения (p = 0,048)</w:t>
      </w:r>
      <w:r w:rsidR="00AF2B53" w:rsidRPr="00A43B9C">
        <w:rPr>
          <w:rFonts w:ascii="Times New Roman" w:hAnsi="Times New Roman" w:cs="Times New Roman"/>
          <w:sz w:val="28"/>
          <w:szCs w:val="28"/>
        </w:rPr>
        <w:t xml:space="preserve">, также как и </w:t>
      </w:r>
      <w:r w:rsidR="00B00C52" w:rsidRPr="00A43B9C">
        <w:rPr>
          <w:rFonts w:ascii="Times New Roman" w:hAnsi="Times New Roman" w:cs="Times New Roman"/>
          <w:sz w:val="28"/>
          <w:szCs w:val="28"/>
        </w:rPr>
        <w:t>в группе pLM (p = 0,005).</w:t>
      </w:r>
      <w:r w:rsidR="00152985" w:rsidRPr="00A43B9C">
        <w:rPr>
          <w:rFonts w:ascii="Times New Roman" w:hAnsi="Times New Roman" w:cs="Times New Roman"/>
          <w:sz w:val="28"/>
          <w:szCs w:val="28"/>
        </w:rPr>
        <w:t xml:space="preserve"> </w:t>
      </w:r>
      <w:r w:rsidR="00B00C52" w:rsidRPr="00A43B9C">
        <w:rPr>
          <w:rFonts w:ascii="Times New Roman" w:hAnsi="Times New Roman" w:cs="Times New Roman"/>
          <w:sz w:val="28"/>
          <w:szCs w:val="28"/>
        </w:rPr>
        <w:t xml:space="preserve">Проведенный анализ показал, что по статусу </w:t>
      </w:r>
      <w:r w:rsidR="00B00C52" w:rsidRPr="00A43B9C">
        <w:rPr>
          <w:rFonts w:ascii="Times New Roman" w:hAnsi="Times New Roman" w:cs="Times New Roman"/>
          <w:sz w:val="28"/>
          <w:szCs w:val="28"/>
          <w:lang w:val="en-US"/>
        </w:rPr>
        <w:t>LM</w:t>
      </w:r>
      <w:r w:rsidR="00B00C52" w:rsidRPr="00A43B9C">
        <w:rPr>
          <w:rFonts w:ascii="Times New Roman" w:hAnsi="Times New Roman" w:cs="Times New Roman"/>
          <w:sz w:val="28"/>
          <w:szCs w:val="28"/>
        </w:rPr>
        <w:t xml:space="preserve"> в локализации RLL I </w:t>
      </w:r>
      <w:r w:rsidR="00152985" w:rsidRPr="00A43B9C">
        <w:rPr>
          <w:rFonts w:ascii="Times New Roman" w:hAnsi="Times New Roman" w:cs="Times New Roman"/>
          <w:sz w:val="28"/>
          <w:szCs w:val="28"/>
        </w:rPr>
        <w:t xml:space="preserve">и </w:t>
      </w:r>
      <w:r w:rsidR="00152985" w:rsidRPr="00A43B9C">
        <w:rPr>
          <w:rFonts w:ascii="Times New Roman" w:hAnsi="Times New Roman" w:cs="Times New Roman"/>
          <w:sz w:val="28"/>
          <w:szCs w:val="28"/>
          <w:lang w:val="en-US"/>
        </w:rPr>
        <w:t>RLL</w:t>
      </w:r>
      <w:r w:rsidR="00152985" w:rsidRPr="00A43B9C">
        <w:rPr>
          <w:rFonts w:ascii="Times New Roman" w:hAnsi="Times New Roman" w:cs="Times New Roman"/>
          <w:sz w:val="28"/>
          <w:szCs w:val="28"/>
        </w:rPr>
        <w:t xml:space="preserve"> </w:t>
      </w:r>
      <w:r w:rsidR="00152985" w:rsidRPr="00A43B9C">
        <w:rPr>
          <w:rFonts w:ascii="Times New Roman" w:hAnsi="Times New Roman" w:cs="Times New Roman"/>
          <w:sz w:val="28"/>
          <w:szCs w:val="28"/>
          <w:lang w:val="en-US"/>
        </w:rPr>
        <w:t>II</w:t>
      </w:r>
      <w:r w:rsidR="00152985" w:rsidRPr="00A43B9C">
        <w:rPr>
          <w:rFonts w:ascii="Times New Roman" w:hAnsi="Times New Roman" w:cs="Times New Roman"/>
          <w:sz w:val="28"/>
          <w:szCs w:val="28"/>
        </w:rPr>
        <w:t xml:space="preserve"> </w:t>
      </w:r>
      <w:r w:rsidR="00B00C52" w:rsidRPr="00A43B9C">
        <w:rPr>
          <w:rFonts w:ascii="Times New Roman" w:hAnsi="Times New Roman" w:cs="Times New Roman"/>
          <w:sz w:val="28"/>
          <w:szCs w:val="28"/>
        </w:rPr>
        <w:t>не удалось выявить значимых различий (p = 0,359</w:t>
      </w:r>
      <w:r w:rsidR="00152985" w:rsidRPr="00A43B9C">
        <w:rPr>
          <w:rFonts w:ascii="Times New Roman" w:hAnsi="Times New Roman" w:cs="Times New Roman"/>
          <w:sz w:val="28"/>
          <w:szCs w:val="28"/>
        </w:rPr>
        <w:t xml:space="preserve"> и </w:t>
      </w:r>
      <w:r w:rsidR="00152985" w:rsidRPr="00A43B9C">
        <w:rPr>
          <w:rFonts w:ascii="Times New Roman" w:hAnsi="Times New Roman" w:cs="Times New Roman"/>
          <w:sz w:val="28"/>
          <w:szCs w:val="28"/>
          <w:lang w:val="en-US"/>
        </w:rPr>
        <w:t>p</w:t>
      </w:r>
      <w:r w:rsidR="00152985" w:rsidRPr="00A43B9C">
        <w:rPr>
          <w:rFonts w:ascii="Times New Roman" w:hAnsi="Times New Roman" w:cs="Times New Roman"/>
          <w:sz w:val="28"/>
          <w:szCs w:val="28"/>
        </w:rPr>
        <w:t xml:space="preserve"> = 0,545</w:t>
      </w:r>
      <w:r w:rsidR="00862147" w:rsidRPr="00A43B9C">
        <w:rPr>
          <w:rFonts w:ascii="Times New Roman" w:hAnsi="Times New Roman" w:cs="Times New Roman"/>
          <w:sz w:val="28"/>
          <w:szCs w:val="28"/>
        </w:rPr>
        <w:t>). Также</w:t>
      </w:r>
      <w:r w:rsidR="00152985" w:rsidRPr="00A43B9C">
        <w:rPr>
          <w:rFonts w:ascii="Times New Roman" w:hAnsi="Times New Roman" w:cs="Times New Roman"/>
          <w:sz w:val="28"/>
          <w:szCs w:val="28"/>
        </w:rPr>
        <w:t xml:space="preserve"> а</w:t>
      </w:r>
      <w:r w:rsidR="00B00C52" w:rsidRPr="00A43B9C">
        <w:rPr>
          <w:rFonts w:ascii="Times New Roman" w:hAnsi="Times New Roman" w:cs="Times New Roman"/>
          <w:sz w:val="28"/>
          <w:szCs w:val="28"/>
        </w:rPr>
        <w:t>нализ показал, что в группе nLM не удалось выявить статистически значимых изменений (p = 0,127)</w:t>
      </w:r>
      <w:r w:rsidR="00152985" w:rsidRPr="00A43B9C">
        <w:rPr>
          <w:rFonts w:ascii="Times New Roman" w:hAnsi="Times New Roman" w:cs="Times New Roman"/>
          <w:sz w:val="28"/>
          <w:szCs w:val="28"/>
        </w:rPr>
        <w:t xml:space="preserve">, но </w:t>
      </w:r>
      <w:r w:rsidR="00B00C52" w:rsidRPr="00A43B9C">
        <w:rPr>
          <w:rFonts w:ascii="Times New Roman" w:hAnsi="Times New Roman" w:cs="Times New Roman"/>
          <w:sz w:val="28"/>
          <w:szCs w:val="28"/>
        </w:rPr>
        <w:t>в группе pLM отмечались статистически значимые изменения (p = 0,012).</w:t>
      </w:r>
      <w:r w:rsidR="00152985" w:rsidRPr="00A43B9C">
        <w:rPr>
          <w:rFonts w:ascii="Times New Roman" w:hAnsi="Times New Roman" w:cs="Times New Roman"/>
          <w:sz w:val="28"/>
          <w:szCs w:val="28"/>
        </w:rPr>
        <w:t xml:space="preserve"> А</w:t>
      </w:r>
      <w:r w:rsidR="00B00C52" w:rsidRPr="00A43B9C">
        <w:rPr>
          <w:rFonts w:ascii="Times New Roman" w:hAnsi="Times New Roman" w:cs="Times New Roman"/>
          <w:sz w:val="28"/>
          <w:szCs w:val="28"/>
        </w:rPr>
        <w:t xml:space="preserve">нализ по статусу </w:t>
      </w:r>
      <w:r w:rsidR="00B00C52" w:rsidRPr="00A43B9C">
        <w:rPr>
          <w:rFonts w:ascii="Times New Roman" w:hAnsi="Times New Roman" w:cs="Times New Roman"/>
          <w:sz w:val="28"/>
          <w:szCs w:val="28"/>
          <w:lang w:val="en-US"/>
        </w:rPr>
        <w:t>LM</w:t>
      </w:r>
      <w:r w:rsidR="00B00C52" w:rsidRPr="00A43B9C">
        <w:rPr>
          <w:rFonts w:ascii="Times New Roman" w:hAnsi="Times New Roman" w:cs="Times New Roman"/>
          <w:sz w:val="28"/>
          <w:szCs w:val="28"/>
        </w:rPr>
        <w:t xml:space="preserve"> в локализации RRI I </w:t>
      </w:r>
      <w:r w:rsidR="00152985" w:rsidRPr="00A43B9C">
        <w:rPr>
          <w:rFonts w:ascii="Times New Roman" w:hAnsi="Times New Roman" w:cs="Times New Roman"/>
          <w:sz w:val="28"/>
          <w:szCs w:val="28"/>
        </w:rPr>
        <w:t xml:space="preserve">и </w:t>
      </w:r>
      <w:r w:rsidR="00152985" w:rsidRPr="00A43B9C">
        <w:rPr>
          <w:rFonts w:ascii="Times New Roman" w:hAnsi="Times New Roman" w:cs="Times New Roman"/>
          <w:sz w:val="28"/>
          <w:szCs w:val="28"/>
          <w:lang w:val="en-US"/>
        </w:rPr>
        <w:t>RRI</w:t>
      </w:r>
      <w:r w:rsidR="00152985" w:rsidRPr="00A43B9C">
        <w:rPr>
          <w:rFonts w:ascii="Times New Roman" w:hAnsi="Times New Roman" w:cs="Times New Roman"/>
          <w:sz w:val="28"/>
          <w:szCs w:val="28"/>
        </w:rPr>
        <w:t xml:space="preserve"> </w:t>
      </w:r>
      <w:r w:rsidR="00152985" w:rsidRPr="00A43B9C">
        <w:rPr>
          <w:rFonts w:ascii="Times New Roman" w:hAnsi="Times New Roman" w:cs="Times New Roman"/>
          <w:sz w:val="28"/>
          <w:szCs w:val="28"/>
          <w:lang w:val="en-US"/>
        </w:rPr>
        <w:t>II</w:t>
      </w:r>
      <w:r w:rsidR="00152985" w:rsidRPr="00A43B9C">
        <w:rPr>
          <w:rFonts w:ascii="Times New Roman" w:hAnsi="Times New Roman" w:cs="Times New Roman"/>
          <w:sz w:val="28"/>
          <w:szCs w:val="28"/>
        </w:rPr>
        <w:t xml:space="preserve"> </w:t>
      </w:r>
      <w:r w:rsidR="00B00C52" w:rsidRPr="00A43B9C">
        <w:rPr>
          <w:rFonts w:ascii="Times New Roman" w:hAnsi="Times New Roman" w:cs="Times New Roman"/>
          <w:sz w:val="28"/>
          <w:szCs w:val="28"/>
        </w:rPr>
        <w:t>не выяви</w:t>
      </w:r>
      <w:r w:rsidR="00152985" w:rsidRPr="00A43B9C">
        <w:rPr>
          <w:rFonts w:ascii="Times New Roman" w:hAnsi="Times New Roman" w:cs="Times New Roman"/>
          <w:sz w:val="28"/>
          <w:szCs w:val="28"/>
        </w:rPr>
        <w:t>л</w:t>
      </w:r>
      <w:r w:rsidR="00B00C52" w:rsidRPr="00A43B9C">
        <w:rPr>
          <w:rFonts w:ascii="Times New Roman" w:hAnsi="Times New Roman" w:cs="Times New Roman"/>
          <w:sz w:val="28"/>
          <w:szCs w:val="28"/>
        </w:rPr>
        <w:t xml:space="preserve"> статистически значимых различий (p = 0,397</w:t>
      </w:r>
      <w:r w:rsidR="00152985" w:rsidRPr="00A43B9C">
        <w:rPr>
          <w:rFonts w:ascii="Times New Roman" w:hAnsi="Times New Roman" w:cs="Times New Roman"/>
          <w:sz w:val="28"/>
          <w:szCs w:val="28"/>
        </w:rPr>
        <w:t xml:space="preserve"> и </w:t>
      </w:r>
      <w:r w:rsidR="00152985" w:rsidRPr="00A43B9C">
        <w:rPr>
          <w:rFonts w:ascii="Times New Roman" w:hAnsi="Times New Roman" w:cs="Times New Roman"/>
          <w:sz w:val="28"/>
          <w:szCs w:val="28"/>
          <w:lang w:val="en-US"/>
        </w:rPr>
        <w:t>p</w:t>
      </w:r>
      <w:r w:rsidR="00152985" w:rsidRPr="00A43B9C">
        <w:rPr>
          <w:rFonts w:ascii="Times New Roman" w:hAnsi="Times New Roman" w:cs="Times New Roman"/>
          <w:sz w:val="28"/>
          <w:szCs w:val="28"/>
        </w:rPr>
        <w:t xml:space="preserve"> = 0,212</w:t>
      </w:r>
      <w:r w:rsidR="00B00C52" w:rsidRPr="00A43B9C">
        <w:rPr>
          <w:rFonts w:ascii="Times New Roman" w:hAnsi="Times New Roman" w:cs="Times New Roman"/>
          <w:sz w:val="28"/>
          <w:szCs w:val="28"/>
        </w:rPr>
        <w:t>).</w:t>
      </w:r>
      <w:r w:rsidR="00025941" w:rsidRPr="00A43B9C">
        <w:rPr>
          <w:rFonts w:ascii="Times New Roman" w:hAnsi="Times New Roman" w:cs="Times New Roman"/>
          <w:sz w:val="28"/>
          <w:szCs w:val="28"/>
        </w:rPr>
        <w:t xml:space="preserve"> </w:t>
      </w:r>
      <w:r w:rsidR="00862147" w:rsidRPr="00A43B9C">
        <w:rPr>
          <w:rFonts w:ascii="Times New Roman" w:hAnsi="Times New Roman" w:cs="Times New Roman"/>
          <w:sz w:val="28"/>
          <w:szCs w:val="28"/>
        </w:rPr>
        <w:t>Напротив,</w:t>
      </w:r>
      <w:r w:rsidR="00152985" w:rsidRPr="00A43B9C">
        <w:rPr>
          <w:rFonts w:ascii="Times New Roman" w:hAnsi="Times New Roman" w:cs="Times New Roman"/>
          <w:sz w:val="28"/>
          <w:szCs w:val="28"/>
        </w:rPr>
        <w:t xml:space="preserve"> </w:t>
      </w:r>
      <w:r w:rsidR="00B00C52" w:rsidRPr="00A43B9C">
        <w:rPr>
          <w:rFonts w:ascii="Times New Roman" w:hAnsi="Times New Roman" w:cs="Times New Roman"/>
          <w:sz w:val="28"/>
          <w:szCs w:val="28"/>
        </w:rPr>
        <w:t xml:space="preserve">анализ в группе nLM </w:t>
      </w:r>
      <w:r w:rsidR="00152985" w:rsidRPr="00A43B9C">
        <w:rPr>
          <w:rFonts w:ascii="Times New Roman" w:hAnsi="Times New Roman" w:cs="Times New Roman"/>
          <w:sz w:val="28"/>
          <w:szCs w:val="28"/>
        </w:rPr>
        <w:t xml:space="preserve">и </w:t>
      </w:r>
      <w:r w:rsidR="00152985" w:rsidRPr="00A43B9C">
        <w:rPr>
          <w:rFonts w:ascii="Times New Roman" w:hAnsi="Times New Roman" w:cs="Times New Roman"/>
          <w:sz w:val="28"/>
          <w:szCs w:val="28"/>
          <w:lang w:val="en-US"/>
        </w:rPr>
        <w:t>pLM</w:t>
      </w:r>
      <w:r w:rsidR="00152985" w:rsidRPr="00A43B9C">
        <w:rPr>
          <w:rFonts w:ascii="Times New Roman" w:hAnsi="Times New Roman" w:cs="Times New Roman"/>
          <w:sz w:val="28"/>
          <w:szCs w:val="28"/>
        </w:rPr>
        <w:t xml:space="preserve"> </w:t>
      </w:r>
      <w:r w:rsidR="00B00C52" w:rsidRPr="00A43B9C">
        <w:rPr>
          <w:rFonts w:ascii="Times New Roman" w:hAnsi="Times New Roman" w:cs="Times New Roman"/>
          <w:sz w:val="28"/>
          <w:szCs w:val="28"/>
        </w:rPr>
        <w:t>установ</w:t>
      </w:r>
      <w:r w:rsidR="00152985" w:rsidRPr="00A43B9C">
        <w:rPr>
          <w:rFonts w:ascii="Times New Roman" w:hAnsi="Times New Roman" w:cs="Times New Roman"/>
          <w:sz w:val="28"/>
          <w:szCs w:val="28"/>
        </w:rPr>
        <w:t>и</w:t>
      </w:r>
      <w:r w:rsidR="00B00C52" w:rsidRPr="00A43B9C">
        <w:rPr>
          <w:rFonts w:ascii="Times New Roman" w:hAnsi="Times New Roman" w:cs="Times New Roman"/>
          <w:sz w:val="28"/>
          <w:szCs w:val="28"/>
        </w:rPr>
        <w:t>л статистически значимые изменения (p = 0,027</w:t>
      </w:r>
      <w:r w:rsidR="00152985" w:rsidRPr="00A43B9C">
        <w:rPr>
          <w:rFonts w:ascii="Times New Roman" w:hAnsi="Times New Roman" w:cs="Times New Roman"/>
          <w:sz w:val="28"/>
          <w:szCs w:val="28"/>
        </w:rPr>
        <w:t xml:space="preserve"> и </w:t>
      </w:r>
      <w:r w:rsidR="00152985" w:rsidRPr="00A43B9C">
        <w:rPr>
          <w:rFonts w:ascii="Times New Roman" w:hAnsi="Times New Roman" w:cs="Times New Roman"/>
          <w:sz w:val="28"/>
          <w:szCs w:val="28"/>
          <w:lang w:val="en-US"/>
        </w:rPr>
        <w:t>p</w:t>
      </w:r>
      <w:r w:rsidR="00152985" w:rsidRPr="00A43B9C">
        <w:rPr>
          <w:rFonts w:ascii="Times New Roman" w:hAnsi="Times New Roman" w:cs="Times New Roman"/>
          <w:sz w:val="28"/>
          <w:szCs w:val="28"/>
        </w:rPr>
        <w:t xml:space="preserve"> = 0,001</w:t>
      </w:r>
      <w:r w:rsidR="00B00C52" w:rsidRPr="00A43B9C">
        <w:rPr>
          <w:rFonts w:ascii="Times New Roman" w:hAnsi="Times New Roman" w:cs="Times New Roman"/>
          <w:sz w:val="28"/>
          <w:szCs w:val="28"/>
        </w:rPr>
        <w:t>).</w:t>
      </w:r>
      <w:r w:rsidR="00152985" w:rsidRPr="00A43B9C">
        <w:rPr>
          <w:rFonts w:ascii="Times New Roman" w:hAnsi="Times New Roman" w:cs="Times New Roman"/>
          <w:sz w:val="28"/>
          <w:szCs w:val="28"/>
        </w:rPr>
        <w:t xml:space="preserve"> П</w:t>
      </w:r>
      <w:r w:rsidR="00B00C52" w:rsidRPr="00A43B9C">
        <w:rPr>
          <w:rFonts w:ascii="Times New Roman" w:hAnsi="Times New Roman" w:cs="Times New Roman"/>
          <w:sz w:val="28"/>
          <w:szCs w:val="28"/>
        </w:rPr>
        <w:t xml:space="preserve">о статусу </w:t>
      </w:r>
      <w:r w:rsidR="00B00C52" w:rsidRPr="00A43B9C">
        <w:rPr>
          <w:rFonts w:ascii="Times New Roman" w:hAnsi="Times New Roman" w:cs="Times New Roman"/>
          <w:sz w:val="28"/>
          <w:szCs w:val="28"/>
          <w:lang w:val="en-US"/>
        </w:rPr>
        <w:t>LM</w:t>
      </w:r>
      <w:r w:rsidR="00B00C52" w:rsidRPr="00A43B9C">
        <w:rPr>
          <w:rFonts w:ascii="Times New Roman" w:hAnsi="Times New Roman" w:cs="Times New Roman"/>
          <w:sz w:val="28"/>
          <w:szCs w:val="28"/>
        </w:rPr>
        <w:t xml:space="preserve"> в локализации RP I </w:t>
      </w:r>
      <w:r w:rsidR="00152985" w:rsidRPr="00A43B9C">
        <w:rPr>
          <w:rFonts w:ascii="Times New Roman" w:hAnsi="Times New Roman" w:cs="Times New Roman"/>
          <w:sz w:val="28"/>
          <w:szCs w:val="28"/>
        </w:rPr>
        <w:t xml:space="preserve">и </w:t>
      </w:r>
      <w:r w:rsidR="00152985" w:rsidRPr="00A43B9C">
        <w:rPr>
          <w:rFonts w:ascii="Times New Roman" w:hAnsi="Times New Roman" w:cs="Times New Roman"/>
          <w:sz w:val="28"/>
          <w:szCs w:val="28"/>
          <w:lang w:val="en-US"/>
        </w:rPr>
        <w:t>RP</w:t>
      </w:r>
      <w:r w:rsidR="00152985" w:rsidRPr="00A43B9C">
        <w:rPr>
          <w:rFonts w:ascii="Times New Roman" w:hAnsi="Times New Roman" w:cs="Times New Roman"/>
          <w:sz w:val="28"/>
          <w:szCs w:val="28"/>
        </w:rPr>
        <w:t xml:space="preserve"> </w:t>
      </w:r>
      <w:r w:rsidR="00152985" w:rsidRPr="00A43B9C">
        <w:rPr>
          <w:rFonts w:ascii="Times New Roman" w:hAnsi="Times New Roman" w:cs="Times New Roman"/>
          <w:sz w:val="28"/>
          <w:szCs w:val="28"/>
          <w:lang w:val="en-US"/>
        </w:rPr>
        <w:t>II</w:t>
      </w:r>
      <w:r w:rsidR="00152985" w:rsidRPr="00A43B9C">
        <w:rPr>
          <w:rFonts w:ascii="Times New Roman" w:hAnsi="Times New Roman" w:cs="Times New Roman"/>
          <w:sz w:val="28"/>
          <w:szCs w:val="28"/>
        </w:rPr>
        <w:t xml:space="preserve"> </w:t>
      </w:r>
      <w:r w:rsidR="00B00C52" w:rsidRPr="00A43B9C">
        <w:rPr>
          <w:rFonts w:ascii="Times New Roman" w:hAnsi="Times New Roman" w:cs="Times New Roman"/>
          <w:sz w:val="28"/>
          <w:szCs w:val="28"/>
        </w:rPr>
        <w:t xml:space="preserve">не </w:t>
      </w:r>
      <w:r w:rsidR="00152985" w:rsidRPr="00A43B9C">
        <w:rPr>
          <w:rFonts w:ascii="Times New Roman" w:hAnsi="Times New Roman" w:cs="Times New Roman"/>
          <w:sz w:val="28"/>
          <w:szCs w:val="28"/>
        </w:rPr>
        <w:t>показал</w:t>
      </w:r>
      <w:r w:rsidR="00B00C52" w:rsidRPr="00A43B9C">
        <w:rPr>
          <w:rFonts w:ascii="Times New Roman" w:hAnsi="Times New Roman" w:cs="Times New Roman"/>
          <w:sz w:val="28"/>
          <w:szCs w:val="28"/>
        </w:rPr>
        <w:t xml:space="preserve"> статистически значимых различий (p = 0,226</w:t>
      </w:r>
      <w:r w:rsidR="00152985" w:rsidRPr="00A43B9C">
        <w:rPr>
          <w:rFonts w:ascii="Times New Roman" w:hAnsi="Times New Roman" w:cs="Times New Roman"/>
          <w:sz w:val="28"/>
          <w:szCs w:val="28"/>
        </w:rPr>
        <w:t xml:space="preserve"> и </w:t>
      </w:r>
      <w:r w:rsidR="00152985" w:rsidRPr="00A43B9C">
        <w:rPr>
          <w:rFonts w:ascii="Times New Roman" w:hAnsi="Times New Roman" w:cs="Times New Roman"/>
          <w:sz w:val="28"/>
          <w:szCs w:val="28"/>
          <w:lang w:val="en-US"/>
        </w:rPr>
        <w:t>p</w:t>
      </w:r>
      <w:r w:rsidR="00152985" w:rsidRPr="00A43B9C">
        <w:rPr>
          <w:rFonts w:ascii="Times New Roman" w:hAnsi="Times New Roman" w:cs="Times New Roman"/>
          <w:sz w:val="28"/>
          <w:szCs w:val="28"/>
        </w:rPr>
        <w:t xml:space="preserve"> = 0,593</w:t>
      </w:r>
      <w:r w:rsidR="00B00C52" w:rsidRPr="00A43B9C">
        <w:rPr>
          <w:rFonts w:ascii="Times New Roman" w:hAnsi="Times New Roman" w:cs="Times New Roman"/>
          <w:sz w:val="28"/>
          <w:szCs w:val="28"/>
        </w:rPr>
        <w:t>).</w:t>
      </w:r>
      <w:r w:rsidR="00025941" w:rsidRPr="00A43B9C">
        <w:rPr>
          <w:rFonts w:ascii="Times New Roman" w:hAnsi="Times New Roman" w:cs="Times New Roman"/>
          <w:sz w:val="28"/>
          <w:szCs w:val="28"/>
        </w:rPr>
        <w:t xml:space="preserve"> </w:t>
      </w:r>
      <w:r w:rsidR="00152985" w:rsidRPr="00A43B9C">
        <w:rPr>
          <w:rFonts w:ascii="Times New Roman" w:hAnsi="Times New Roman" w:cs="Times New Roman"/>
          <w:sz w:val="28"/>
          <w:szCs w:val="28"/>
        </w:rPr>
        <w:t>В</w:t>
      </w:r>
      <w:r w:rsidR="00B00C52" w:rsidRPr="00A43B9C">
        <w:rPr>
          <w:rFonts w:ascii="Times New Roman" w:hAnsi="Times New Roman" w:cs="Times New Roman"/>
          <w:sz w:val="28"/>
          <w:szCs w:val="28"/>
        </w:rPr>
        <w:t xml:space="preserve"> группе nLM </w:t>
      </w:r>
      <w:r w:rsidR="00152985" w:rsidRPr="00A43B9C">
        <w:rPr>
          <w:rFonts w:ascii="Times New Roman" w:hAnsi="Times New Roman" w:cs="Times New Roman"/>
          <w:sz w:val="28"/>
          <w:szCs w:val="28"/>
        </w:rPr>
        <w:t>также</w:t>
      </w:r>
      <w:r w:rsidR="00B00C52" w:rsidRPr="00A43B9C">
        <w:rPr>
          <w:rFonts w:ascii="Times New Roman" w:hAnsi="Times New Roman" w:cs="Times New Roman"/>
          <w:sz w:val="28"/>
          <w:szCs w:val="28"/>
        </w:rPr>
        <w:t xml:space="preserve"> не </w:t>
      </w:r>
      <w:r w:rsidR="00152985" w:rsidRPr="00A43B9C">
        <w:rPr>
          <w:rFonts w:ascii="Times New Roman" w:hAnsi="Times New Roman" w:cs="Times New Roman"/>
          <w:sz w:val="28"/>
          <w:szCs w:val="28"/>
        </w:rPr>
        <w:t xml:space="preserve">были выявлены </w:t>
      </w:r>
      <w:r w:rsidR="00B00C52" w:rsidRPr="00A43B9C">
        <w:rPr>
          <w:rFonts w:ascii="Times New Roman" w:hAnsi="Times New Roman" w:cs="Times New Roman"/>
          <w:sz w:val="28"/>
          <w:szCs w:val="28"/>
        </w:rPr>
        <w:t>статистически значимы</w:t>
      </w:r>
      <w:r w:rsidR="00152985" w:rsidRPr="00A43B9C">
        <w:rPr>
          <w:rFonts w:ascii="Times New Roman" w:hAnsi="Times New Roman" w:cs="Times New Roman"/>
          <w:sz w:val="28"/>
          <w:szCs w:val="28"/>
        </w:rPr>
        <w:t>е</w:t>
      </w:r>
      <w:r w:rsidR="00B00C52" w:rsidRPr="00A43B9C">
        <w:rPr>
          <w:rFonts w:ascii="Times New Roman" w:hAnsi="Times New Roman" w:cs="Times New Roman"/>
          <w:sz w:val="28"/>
          <w:szCs w:val="28"/>
        </w:rPr>
        <w:t xml:space="preserve"> изменени</w:t>
      </w:r>
      <w:r w:rsidR="00152985" w:rsidRPr="00A43B9C">
        <w:rPr>
          <w:rFonts w:ascii="Times New Roman" w:hAnsi="Times New Roman" w:cs="Times New Roman"/>
          <w:sz w:val="28"/>
          <w:szCs w:val="28"/>
        </w:rPr>
        <w:t>я</w:t>
      </w:r>
      <w:r w:rsidR="00B00C52" w:rsidRPr="00A43B9C">
        <w:rPr>
          <w:rFonts w:ascii="Times New Roman" w:hAnsi="Times New Roman" w:cs="Times New Roman"/>
          <w:sz w:val="28"/>
          <w:szCs w:val="28"/>
        </w:rPr>
        <w:t xml:space="preserve"> (p = 0,057)</w:t>
      </w:r>
      <w:r w:rsidR="00152985" w:rsidRPr="00A43B9C">
        <w:rPr>
          <w:rFonts w:ascii="Times New Roman" w:hAnsi="Times New Roman" w:cs="Times New Roman"/>
          <w:sz w:val="28"/>
          <w:szCs w:val="28"/>
        </w:rPr>
        <w:t xml:space="preserve">, но </w:t>
      </w:r>
      <w:r w:rsidR="00B00C52" w:rsidRPr="00A43B9C">
        <w:rPr>
          <w:rFonts w:ascii="Times New Roman" w:hAnsi="Times New Roman" w:cs="Times New Roman"/>
          <w:sz w:val="28"/>
          <w:szCs w:val="28"/>
        </w:rPr>
        <w:t>в группе pLM были выявлены статистически значимые изменения (p = 0,001).</w:t>
      </w:r>
      <w:r w:rsidR="00152985" w:rsidRPr="00A43B9C">
        <w:rPr>
          <w:rFonts w:ascii="Times New Roman" w:hAnsi="Times New Roman" w:cs="Times New Roman"/>
          <w:sz w:val="28"/>
          <w:szCs w:val="28"/>
        </w:rPr>
        <w:t xml:space="preserve"> В то же время п</w:t>
      </w:r>
      <w:r w:rsidR="00B00C52" w:rsidRPr="00A43B9C">
        <w:rPr>
          <w:rFonts w:ascii="Times New Roman" w:hAnsi="Times New Roman" w:cs="Times New Roman"/>
          <w:sz w:val="28"/>
          <w:szCs w:val="28"/>
        </w:rPr>
        <w:t xml:space="preserve">о статусу </w:t>
      </w:r>
      <w:r w:rsidR="00B00C52" w:rsidRPr="00A43B9C">
        <w:rPr>
          <w:rFonts w:ascii="Times New Roman" w:hAnsi="Times New Roman" w:cs="Times New Roman"/>
          <w:sz w:val="28"/>
          <w:szCs w:val="28"/>
          <w:lang w:val="en-US"/>
        </w:rPr>
        <w:t>LM</w:t>
      </w:r>
      <w:r w:rsidR="00B00C52" w:rsidRPr="00A43B9C">
        <w:rPr>
          <w:rFonts w:ascii="Times New Roman" w:hAnsi="Times New Roman" w:cs="Times New Roman"/>
          <w:sz w:val="28"/>
          <w:szCs w:val="28"/>
        </w:rPr>
        <w:t xml:space="preserve"> в локализации RLI I </w:t>
      </w:r>
      <w:r w:rsidR="00152985" w:rsidRPr="00A43B9C">
        <w:rPr>
          <w:rFonts w:ascii="Times New Roman" w:hAnsi="Times New Roman" w:cs="Times New Roman"/>
          <w:sz w:val="28"/>
          <w:szCs w:val="28"/>
        </w:rPr>
        <w:t xml:space="preserve">и RLI II </w:t>
      </w:r>
      <w:r w:rsidR="00B00C52" w:rsidRPr="00A43B9C">
        <w:rPr>
          <w:rFonts w:ascii="Times New Roman" w:hAnsi="Times New Roman" w:cs="Times New Roman"/>
          <w:sz w:val="28"/>
          <w:szCs w:val="28"/>
        </w:rPr>
        <w:t>не выяви</w:t>
      </w:r>
      <w:r w:rsidR="00152985" w:rsidRPr="00A43B9C">
        <w:rPr>
          <w:rFonts w:ascii="Times New Roman" w:hAnsi="Times New Roman" w:cs="Times New Roman"/>
          <w:sz w:val="28"/>
          <w:szCs w:val="28"/>
        </w:rPr>
        <w:t>л</w:t>
      </w:r>
      <w:r w:rsidR="00B00C52" w:rsidRPr="00A43B9C">
        <w:rPr>
          <w:rFonts w:ascii="Times New Roman" w:hAnsi="Times New Roman" w:cs="Times New Roman"/>
          <w:sz w:val="28"/>
          <w:szCs w:val="28"/>
        </w:rPr>
        <w:t xml:space="preserve"> значимых различий (p = 0,103</w:t>
      </w:r>
      <w:r w:rsidR="00152985" w:rsidRPr="00A43B9C">
        <w:rPr>
          <w:rFonts w:ascii="Times New Roman" w:hAnsi="Times New Roman" w:cs="Times New Roman"/>
          <w:sz w:val="28"/>
          <w:szCs w:val="28"/>
        </w:rPr>
        <w:t xml:space="preserve"> и </w:t>
      </w:r>
      <w:r w:rsidR="00152985" w:rsidRPr="00A43B9C">
        <w:rPr>
          <w:rFonts w:ascii="Times New Roman" w:hAnsi="Times New Roman" w:cs="Times New Roman"/>
          <w:sz w:val="28"/>
          <w:szCs w:val="28"/>
          <w:lang w:val="en-US"/>
        </w:rPr>
        <w:t>p</w:t>
      </w:r>
      <w:r w:rsidR="00152985" w:rsidRPr="00A43B9C">
        <w:rPr>
          <w:rFonts w:ascii="Times New Roman" w:hAnsi="Times New Roman" w:cs="Times New Roman"/>
          <w:sz w:val="28"/>
          <w:szCs w:val="28"/>
        </w:rPr>
        <w:t xml:space="preserve"> = 0,063</w:t>
      </w:r>
      <w:r w:rsidR="00B00C52" w:rsidRPr="00A43B9C">
        <w:rPr>
          <w:rFonts w:ascii="Times New Roman" w:hAnsi="Times New Roman" w:cs="Times New Roman"/>
          <w:sz w:val="28"/>
          <w:szCs w:val="28"/>
        </w:rPr>
        <w:t>).</w:t>
      </w:r>
      <w:r w:rsidR="00025941" w:rsidRPr="00A43B9C">
        <w:rPr>
          <w:rFonts w:ascii="Times New Roman" w:hAnsi="Times New Roman" w:cs="Times New Roman"/>
          <w:sz w:val="28"/>
          <w:szCs w:val="28"/>
        </w:rPr>
        <w:t xml:space="preserve"> </w:t>
      </w:r>
      <w:r w:rsidR="00152985" w:rsidRPr="00A43B9C">
        <w:rPr>
          <w:rFonts w:ascii="Times New Roman" w:hAnsi="Times New Roman" w:cs="Times New Roman"/>
          <w:sz w:val="28"/>
          <w:szCs w:val="28"/>
        </w:rPr>
        <w:t>В</w:t>
      </w:r>
      <w:r w:rsidR="00B00C52" w:rsidRPr="00A43B9C">
        <w:rPr>
          <w:rFonts w:ascii="Times New Roman" w:hAnsi="Times New Roman" w:cs="Times New Roman"/>
          <w:sz w:val="28"/>
          <w:szCs w:val="28"/>
        </w:rPr>
        <w:t xml:space="preserve"> группе nLM </w:t>
      </w:r>
      <w:r w:rsidR="00152985" w:rsidRPr="00A43B9C">
        <w:rPr>
          <w:rFonts w:ascii="Times New Roman" w:hAnsi="Times New Roman" w:cs="Times New Roman"/>
          <w:sz w:val="28"/>
          <w:szCs w:val="28"/>
        </w:rPr>
        <w:t xml:space="preserve">также </w:t>
      </w:r>
      <w:r w:rsidR="00B00C52" w:rsidRPr="00A43B9C">
        <w:rPr>
          <w:rFonts w:ascii="Times New Roman" w:hAnsi="Times New Roman" w:cs="Times New Roman"/>
          <w:sz w:val="28"/>
          <w:szCs w:val="28"/>
        </w:rPr>
        <w:t xml:space="preserve">не </w:t>
      </w:r>
      <w:r w:rsidR="00152985" w:rsidRPr="00A43B9C">
        <w:rPr>
          <w:rFonts w:ascii="Times New Roman" w:hAnsi="Times New Roman" w:cs="Times New Roman"/>
          <w:sz w:val="28"/>
          <w:szCs w:val="28"/>
        </w:rPr>
        <w:t xml:space="preserve">были выявлены </w:t>
      </w:r>
      <w:r w:rsidR="00B00C52" w:rsidRPr="00A43B9C">
        <w:rPr>
          <w:rFonts w:ascii="Times New Roman" w:hAnsi="Times New Roman" w:cs="Times New Roman"/>
          <w:sz w:val="28"/>
          <w:szCs w:val="28"/>
        </w:rPr>
        <w:t>статистически значимы</w:t>
      </w:r>
      <w:r w:rsidR="00152985" w:rsidRPr="00A43B9C">
        <w:rPr>
          <w:rFonts w:ascii="Times New Roman" w:hAnsi="Times New Roman" w:cs="Times New Roman"/>
          <w:sz w:val="28"/>
          <w:szCs w:val="28"/>
        </w:rPr>
        <w:t>е</w:t>
      </w:r>
      <w:r w:rsidR="00B00C52" w:rsidRPr="00A43B9C">
        <w:rPr>
          <w:rFonts w:ascii="Times New Roman" w:hAnsi="Times New Roman" w:cs="Times New Roman"/>
          <w:sz w:val="28"/>
          <w:szCs w:val="28"/>
        </w:rPr>
        <w:t xml:space="preserve"> изменени</w:t>
      </w:r>
      <w:r w:rsidR="00152985" w:rsidRPr="00A43B9C">
        <w:rPr>
          <w:rFonts w:ascii="Times New Roman" w:hAnsi="Times New Roman" w:cs="Times New Roman"/>
          <w:sz w:val="28"/>
          <w:szCs w:val="28"/>
        </w:rPr>
        <w:t>я</w:t>
      </w:r>
      <w:r w:rsidR="00B00C52" w:rsidRPr="00A43B9C">
        <w:rPr>
          <w:rFonts w:ascii="Times New Roman" w:hAnsi="Times New Roman" w:cs="Times New Roman"/>
          <w:sz w:val="28"/>
          <w:szCs w:val="28"/>
        </w:rPr>
        <w:t xml:space="preserve"> (p = 0,055)</w:t>
      </w:r>
      <w:r w:rsidR="00152985" w:rsidRPr="00A43B9C">
        <w:rPr>
          <w:rFonts w:ascii="Times New Roman" w:hAnsi="Times New Roman" w:cs="Times New Roman"/>
          <w:sz w:val="28"/>
          <w:szCs w:val="28"/>
        </w:rPr>
        <w:t xml:space="preserve">, напротив </w:t>
      </w:r>
      <w:r w:rsidR="00B00C52" w:rsidRPr="00A43B9C">
        <w:rPr>
          <w:rFonts w:ascii="Times New Roman" w:hAnsi="Times New Roman" w:cs="Times New Roman"/>
          <w:sz w:val="28"/>
          <w:szCs w:val="28"/>
        </w:rPr>
        <w:t>групп</w:t>
      </w:r>
      <w:r w:rsidR="00152985" w:rsidRPr="00A43B9C">
        <w:rPr>
          <w:rFonts w:ascii="Times New Roman" w:hAnsi="Times New Roman" w:cs="Times New Roman"/>
          <w:sz w:val="28"/>
          <w:szCs w:val="28"/>
        </w:rPr>
        <w:t>а</w:t>
      </w:r>
      <w:r w:rsidR="00B00C52" w:rsidRPr="00A43B9C">
        <w:rPr>
          <w:rFonts w:ascii="Times New Roman" w:hAnsi="Times New Roman" w:cs="Times New Roman"/>
          <w:sz w:val="28"/>
          <w:szCs w:val="28"/>
        </w:rPr>
        <w:t xml:space="preserve"> pLM </w:t>
      </w:r>
      <w:r w:rsidR="00152985" w:rsidRPr="00A43B9C">
        <w:rPr>
          <w:rFonts w:ascii="Times New Roman" w:hAnsi="Times New Roman" w:cs="Times New Roman"/>
          <w:sz w:val="28"/>
          <w:szCs w:val="28"/>
        </w:rPr>
        <w:t xml:space="preserve">показала </w:t>
      </w:r>
      <w:r w:rsidR="00B00C52" w:rsidRPr="00A43B9C">
        <w:rPr>
          <w:rFonts w:ascii="Times New Roman" w:hAnsi="Times New Roman" w:cs="Times New Roman"/>
          <w:sz w:val="28"/>
          <w:szCs w:val="28"/>
        </w:rPr>
        <w:t>статистически значимые изменения (p = 0,005).</w:t>
      </w:r>
      <w:r w:rsidR="00152985" w:rsidRPr="00A43B9C">
        <w:rPr>
          <w:rFonts w:ascii="Times New Roman" w:hAnsi="Times New Roman" w:cs="Times New Roman"/>
          <w:sz w:val="28"/>
          <w:szCs w:val="28"/>
        </w:rPr>
        <w:t xml:space="preserve"> Анализ </w:t>
      </w:r>
      <w:r w:rsidR="00B00C52" w:rsidRPr="00A43B9C">
        <w:rPr>
          <w:rFonts w:ascii="Times New Roman" w:hAnsi="Times New Roman" w:cs="Times New Roman"/>
          <w:sz w:val="28"/>
          <w:szCs w:val="28"/>
        </w:rPr>
        <w:t xml:space="preserve">по статусу </w:t>
      </w:r>
      <w:r w:rsidR="00B00C52" w:rsidRPr="00A43B9C">
        <w:rPr>
          <w:rFonts w:ascii="Times New Roman" w:hAnsi="Times New Roman" w:cs="Times New Roman"/>
          <w:sz w:val="28"/>
          <w:szCs w:val="28"/>
          <w:lang w:val="en-US"/>
        </w:rPr>
        <w:t>LM</w:t>
      </w:r>
      <w:r w:rsidR="00B00C52" w:rsidRPr="00A43B9C">
        <w:rPr>
          <w:rFonts w:ascii="Times New Roman" w:hAnsi="Times New Roman" w:cs="Times New Roman"/>
          <w:sz w:val="28"/>
          <w:szCs w:val="28"/>
        </w:rPr>
        <w:t xml:space="preserve"> в локализации P I </w:t>
      </w:r>
      <w:r w:rsidR="00152985" w:rsidRPr="00A43B9C">
        <w:rPr>
          <w:rFonts w:ascii="Times New Roman" w:hAnsi="Times New Roman" w:cs="Times New Roman"/>
          <w:sz w:val="28"/>
          <w:szCs w:val="28"/>
        </w:rPr>
        <w:t xml:space="preserve">и </w:t>
      </w:r>
      <w:r w:rsidR="00152985" w:rsidRPr="00A43B9C">
        <w:rPr>
          <w:rFonts w:ascii="Times New Roman" w:hAnsi="Times New Roman" w:cs="Times New Roman"/>
          <w:sz w:val="28"/>
          <w:szCs w:val="28"/>
          <w:lang w:val="en-US"/>
        </w:rPr>
        <w:t>P</w:t>
      </w:r>
      <w:r w:rsidR="00152985" w:rsidRPr="00A43B9C">
        <w:rPr>
          <w:rFonts w:ascii="Times New Roman" w:hAnsi="Times New Roman" w:cs="Times New Roman"/>
          <w:sz w:val="28"/>
          <w:szCs w:val="28"/>
        </w:rPr>
        <w:t xml:space="preserve"> </w:t>
      </w:r>
      <w:r w:rsidR="00152985" w:rsidRPr="00A43B9C">
        <w:rPr>
          <w:rFonts w:ascii="Times New Roman" w:hAnsi="Times New Roman" w:cs="Times New Roman"/>
          <w:sz w:val="28"/>
          <w:szCs w:val="28"/>
          <w:lang w:val="en-US"/>
        </w:rPr>
        <w:t>II</w:t>
      </w:r>
      <w:r w:rsidR="00152985" w:rsidRPr="00A43B9C">
        <w:rPr>
          <w:rFonts w:ascii="Times New Roman" w:hAnsi="Times New Roman" w:cs="Times New Roman"/>
          <w:sz w:val="28"/>
          <w:szCs w:val="28"/>
        </w:rPr>
        <w:t xml:space="preserve"> </w:t>
      </w:r>
      <w:r w:rsidR="00B00C52" w:rsidRPr="00A43B9C">
        <w:rPr>
          <w:rFonts w:ascii="Times New Roman" w:hAnsi="Times New Roman" w:cs="Times New Roman"/>
          <w:sz w:val="28"/>
          <w:szCs w:val="28"/>
        </w:rPr>
        <w:t xml:space="preserve">не </w:t>
      </w:r>
      <w:r w:rsidR="00152985" w:rsidRPr="00A43B9C">
        <w:rPr>
          <w:rFonts w:ascii="Times New Roman" w:hAnsi="Times New Roman" w:cs="Times New Roman"/>
          <w:sz w:val="28"/>
          <w:szCs w:val="28"/>
        </w:rPr>
        <w:t>установил</w:t>
      </w:r>
      <w:r w:rsidR="00B00C52" w:rsidRPr="00A43B9C">
        <w:rPr>
          <w:rFonts w:ascii="Times New Roman" w:hAnsi="Times New Roman" w:cs="Times New Roman"/>
          <w:sz w:val="28"/>
          <w:szCs w:val="28"/>
        </w:rPr>
        <w:t xml:space="preserve"> статистически значимых различий (p = 0,199</w:t>
      </w:r>
      <w:r w:rsidR="00152985" w:rsidRPr="00A43B9C">
        <w:rPr>
          <w:rFonts w:ascii="Times New Roman" w:hAnsi="Times New Roman" w:cs="Times New Roman"/>
          <w:sz w:val="28"/>
          <w:szCs w:val="28"/>
        </w:rPr>
        <w:t xml:space="preserve"> и </w:t>
      </w:r>
      <w:r w:rsidR="00152985" w:rsidRPr="00A43B9C">
        <w:rPr>
          <w:rFonts w:ascii="Times New Roman" w:hAnsi="Times New Roman" w:cs="Times New Roman"/>
          <w:sz w:val="28"/>
          <w:szCs w:val="28"/>
          <w:lang w:val="en-US"/>
        </w:rPr>
        <w:t>p</w:t>
      </w:r>
      <w:r w:rsidR="00152985" w:rsidRPr="00A43B9C">
        <w:rPr>
          <w:rFonts w:ascii="Times New Roman" w:hAnsi="Times New Roman" w:cs="Times New Roman"/>
          <w:sz w:val="28"/>
          <w:szCs w:val="28"/>
        </w:rPr>
        <w:t xml:space="preserve"> = 0,363</w:t>
      </w:r>
      <w:r w:rsidR="00B00C52" w:rsidRPr="00A43B9C">
        <w:rPr>
          <w:rFonts w:ascii="Times New Roman" w:hAnsi="Times New Roman" w:cs="Times New Roman"/>
          <w:sz w:val="28"/>
          <w:szCs w:val="28"/>
        </w:rPr>
        <w:t>).</w:t>
      </w:r>
      <w:r w:rsidR="00025941" w:rsidRPr="00A43B9C">
        <w:rPr>
          <w:rFonts w:ascii="Times New Roman" w:hAnsi="Times New Roman" w:cs="Times New Roman"/>
          <w:sz w:val="28"/>
          <w:szCs w:val="28"/>
        </w:rPr>
        <w:t xml:space="preserve"> </w:t>
      </w:r>
      <w:r w:rsidR="00152985" w:rsidRPr="00A43B9C">
        <w:rPr>
          <w:rFonts w:ascii="Times New Roman" w:hAnsi="Times New Roman" w:cs="Times New Roman"/>
          <w:sz w:val="28"/>
          <w:szCs w:val="28"/>
        </w:rPr>
        <w:t xml:space="preserve">При этом </w:t>
      </w:r>
      <w:r w:rsidR="00B00C52" w:rsidRPr="00A43B9C">
        <w:rPr>
          <w:rFonts w:ascii="Times New Roman" w:hAnsi="Times New Roman" w:cs="Times New Roman"/>
          <w:sz w:val="28"/>
          <w:szCs w:val="28"/>
        </w:rPr>
        <w:lastRenderedPageBreak/>
        <w:t>в группе nLM</w:t>
      </w:r>
      <w:r w:rsidR="00152985" w:rsidRPr="00A43B9C">
        <w:rPr>
          <w:rFonts w:ascii="Times New Roman" w:hAnsi="Times New Roman" w:cs="Times New Roman"/>
          <w:sz w:val="28"/>
          <w:szCs w:val="28"/>
        </w:rPr>
        <w:t>, равно как</w:t>
      </w:r>
      <w:r w:rsidR="00B00C52" w:rsidRPr="00A43B9C">
        <w:rPr>
          <w:rFonts w:ascii="Times New Roman" w:hAnsi="Times New Roman" w:cs="Times New Roman"/>
          <w:sz w:val="28"/>
          <w:szCs w:val="28"/>
        </w:rPr>
        <w:t xml:space="preserve"> </w:t>
      </w:r>
      <w:r w:rsidR="00152985" w:rsidRPr="00A43B9C">
        <w:rPr>
          <w:rFonts w:ascii="Times New Roman" w:hAnsi="Times New Roman" w:cs="Times New Roman"/>
          <w:sz w:val="28"/>
          <w:szCs w:val="28"/>
        </w:rPr>
        <w:t xml:space="preserve">и </w:t>
      </w:r>
      <w:r w:rsidR="00152985" w:rsidRPr="00A43B9C">
        <w:rPr>
          <w:rFonts w:ascii="Times New Roman" w:hAnsi="Times New Roman" w:cs="Times New Roman"/>
          <w:sz w:val="28"/>
          <w:szCs w:val="28"/>
          <w:lang w:val="en-US"/>
        </w:rPr>
        <w:t>pLM</w:t>
      </w:r>
      <w:r w:rsidR="00152985" w:rsidRPr="00A43B9C">
        <w:rPr>
          <w:rFonts w:ascii="Times New Roman" w:hAnsi="Times New Roman" w:cs="Times New Roman"/>
          <w:sz w:val="28"/>
          <w:szCs w:val="28"/>
        </w:rPr>
        <w:t xml:space="preserve"> </w:t>
      </w:r>
      <w:r w:rsidR="00B00C52" w:rsidRPr="00A43B9C">
        <w:rPr>
          <w:rFonts w:ascii="Times New Roman" w:hAnsi="Times New Roman" w:cs="Times New Roman"/>
          <w:sz w:val="28"/>
          <w:szCs w:val="28"/>
        </w:rPr>
        <w:t>установлены статистически значимые изменения (p = 0,037</w:t>
      </w:r>
      <w:r w:rsidR="00152985" w:rsidRPr="00A43B9C">
        <w:rPr>
          <w:rFonts w:ascii="Times New Roman" w:hAnsi="Times New Roman" w:cs="Times New Roman"/>
          <w:sz w:val="28"/>
          <w:szCs w:val="28"/>
        </w:rPr>
        <w:t xml:space="preserve"> и </w:t>
      </w:r>
      <w:r w:rsidR="00152985" w:rsidRPr="00A43B9C">
        <w:rPr>
          <w:rFonts w:ascii="Times New Roman" w:hAnsi="Times New Roman" w:cs="Times New Roman"/>
          <w:sz w:val="28"/>
          <w:szCs w:val="28"/>
          <w:lang w:val="en-US"/>
        </w:rPr>
        <w:t>p</w:t>
      </w:r>
      <w:r w:rsidR="00152985" w:rsidRPr="00A43B9C">
        <w:rPr>
          <w:rFonts w:ascii="Times New Roman" w:hAnsi="Times New Roman" w:cs="Times New Roman"/>
          <w:sz w:val="28"/>
          <w:szCs w:val="28"/>
        </w:rPr>
        <w:t xml:space="preserve"> = 0,003</w:t>
      </w:r>
      <w:r w:rsidR="00B00C52" w:rsidRPr="00A43B9C">
        <w:rPr>
          <w:rFonts w:ascii="Times New Roman" w:hAnsi="Times New Roman" w:cs="Times New Roman"/>
          <w:sz w:val="28"/>
          <w:szCs w:val="28"/>
        </w:rPr>
        <w:t>).</w:t>
      </w:r>
    </w:p>
    <w:p w14:paraId="3F4B7955" w14:textId="4C8E1500" w:rsidR="00B00C52" w:rsidRPr="00A43B9C" w:rsidRDefault="00B00C52" w:rsidP="00B00C52">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По результатам последующего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FDG</w:t>
      </w:r>
      <w:r w:rsidRPr="00A43B9C">
        <w:rPr>
          <w:rFonts w:ascii="Times New Roman" w:hAnsi="Times New Roman" w:cs="Times New Roman"/>
          <w:sz w:val="28"/>
          <w:szCs w:val="28"/>
        </w:rPr>
        <w:t xml:space="preserve"> ПЭТ/КТ исследования </w:t>
      </w:r>
      <w:r w:rsidR="001C40D1" w:rsidRPr="00A43B9C">
        <w:rPr>
          <w:rFonts w:ascii="Times New Roman" w:hAnsi="Times New Roman" w:cs="Times New Roman"/>
          <w:sz w:val="28"/>
          <w:szCs w:val="28"/>
          <w:lang w:val="en-US"/>
        </w:rPr>
        <w:t>LM</w:t>
      </w:r>
      <w:r w:rsidRPr="00A43B9C">
        <w:rPr>
          <w:rFonts w:ascii="Times New Roman" w:hAnsi="Times New Roman" w:cs="Times New Roman"/>
          <w:sz w:val="28"/>
          <w:szCs w:val="28"/>
        </w:rPr>
        <w:t xml:space="preserve"> развились у 28</w:t>
      </w:r>
      <w:r w:rsidR="004828D1" w:rsidRPr="00A43B9C">
        <w:rPr>
          <w:rFonts w:ascii="Times New Roman" w:hAnsi="Times New Roman" w:cs="Times New Roman"/>
          <w:sz w:val="28"/>
          <w:szCs w:val="28"/>
        </w:rPr>
        <w:t xml:space="preserve"> из</w:t>
      </w:r>
      <w:r w:rsidR="00F47B14"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53 (53%) пациентов. Данные пациенты были классифицированы как </w:t>
      </w:r>
      <w:r w:rsidRPr="00A43B9C">
        <w:rPr>
          <w:rFonts w:ascii="Times New Roman" w:hAnsi="Times New Roman" w:cs="Times New Roman"/>
          <w:sz w:val="28"/>
          <w:szCs w:val="28"/>
          <w:lang w:val="en-US"/>
        </w:rPr>
        <w:t>pLM</w:t>
      </w:r>
      <w:r w:rsidRPr="00A43B9C">
        <w:rPr>
          <w:rFonts w:ascii="Times New Roman" w:hAnsi="Times New Roman" w:cs="Times New Roman"/>
          <w:sz w:val="28"/>
          <w:szCs w:val="28"/>
        </w:rPr>
        <w:t>, в то время как остальные 25 (47%), у которых не был</w:t>
      </w:r>
      <w:r w:rsidR="004828D1" w:rsidRPr="00A43B9C">
        <w:rPr>
          <w:rFonts w:ascii="Times New Roman" w:hAnsi="Times New Roman" w:cs="Times New Roman"/>
          <w:sz w:val="28"/>
          <w:szCs w:val="28"/>
        </w:rPr>
        <w:t>о</w:t>
      </w:r>
      <w:r w:rsidRPr="00A43B9C">
        <w:rPr>
          <w:rFonts w:ascii="Times New Roman" w:hAnsi="Times New Roman" w:cs="Times New Roman"/>
          <w:sz w:val="28"/>
          <w:szCs w:val="28"/>
        </w:rPr>
        <w:t xml:space="preserve"> выявлен</w:t>
      </w:r>
      <w:r w:rsidR="004828D1" w:rsidRPr="00A43B9C">
        <w:rPr>
          <w:rFonts w:ascii="Times New Roman" w:hAnsi="Times New Roman" w:cs="Times New Roman"/>
          <w:sz w:val="28"/>
          <w:szCs w:val="28"/>
        </w:rPr>
        <w:t>о</w:t>
      </w:r>
      <w:r w:rsidRPr="00A43B9C">
        <w:rPr>
          <w:rFonts w:ascii="Times New Roman" w:hAnsi="Times New Roman" w:cs="Times New Roman"/>
          <w:sz w:val="28"/>
          <w:szCs w:val="28"/>
        </w:rPr>
        <w:t xml:space="preserve"> </w:t>
      </w:r>
      <w:r w:rsidR="00D83043">
        <w:rPr>
          <w:rFonts w:ascii="Times New Roman" w:hAnsi="Times New Roman" w:cs="Times New Roman"/>
          <w:sz w:val="28"/>
          <w:szCs w:val="28"/>
        </w:rPr>
        <w:t xml:space="preserve">признаков </w:t>
      </w:r>
      <w:r w:rsidR="00D83043" w:rsidRPr="00A43B9C">
        <w:rPr>
          <w:rFonts w:ascii="Times New Roman" w:hAnsi="Times New Roman" w:cs="Times New Roman"/>
          <w:sz w:val="28"/>
          <w:szCs w:val="28"/>
        </w:rPr>
        <w:t>метастатическо</w:t>
      </w:r>
      <w:r w:rsidR="00D83043">
        <w:rPr>
          <w:rFonts w:ascii="Times New Roman" w:hAnsi="Times New Roman" w:cs="Times New Roman"/>
          <w:sz w:val="28"/>
          <w:szCs w:val="28"/>
        </w:rPr>
        <w:t>го</w:t>
      </w:r>
      <w:r w:rsidR="00D83043" w:rsidRPr="00A43B9C">
        <w:rPr>
          <w:rFonts w:ascii="Times New Roman" w:hAnsi="Times New Roman" w:cs="Times New Roman"/>
          <w:sz w:val="28"/>
          <w:szCs w:val="28"/>
        </w:rPr>
        <w:t xml:space="preserve"> поражени</w:t>
      </w:r>
      <w:r w:rsidR="00D83043">
        <w:rPr>
          <w:rFonts w:ascii="Times New Roman" w:hAnsi="Times New Roman" w:cs="Times New Roman"/>
          <w:sz w:val="28"/>
          <w:szCs w:val="28"/>
        </w:rPr>
        <w:t>я</w:t>
      </w:r>
      <w:r w:rsidR="00D83043" w:rsidRPr="00A43B9C">
        <w:rPr>
          <w:rFonts w:ascii="Times New Roman" w:hAnsi="Times New Roman" w:cs="Times New Roman"/>
          <w:sz w:val="28"/>
          <w:szCs w:val="28"/>
        </w:rPr>
        <w:t xml:space="preserve"> </w:t>
      </w:r>
      <w:r w:rsidR="00D83043">
        <w:rPr>
          <w:rFonts w:ascii="Times New Roman" w:hAnsi="Times New Roman" w:cs="Times New Roman"/>
          <w:sz w:val="28"/>
          <w:szCs w:val="28"/>
        </w:rPr>
        <w:t>брюшины</w:t>
      </w:r>
      <w:r w:rsidR="004828D1" w:rsidRPr="00A43B9C">
        <w:rPr>
          <w:rFonts w:ascii="Times New Roman" w:hAnsi="Times New Roman" w:cs="Times New Roman"/>
          <w:sz w:val="28"/>
          <w:szCs w:val="28"/>
        </w:rPr>
        <w:t>,</w:t>
      </w:r>
      <w:r w:rsidRPr="00A43B9C">
        <w:rPr>
          <w:rFonts w:ascii="Times New Roman" w:hAnsi="Times New Roman" w:cs="Times New Roman"/>
          <w:sz w:val="28"/>
          <w:szCs w:val="28"/>
        </w:rPr>
        <w:t xml:space="preserve"> были классифицированы как </w:t>
      </w:r>
      <w:r w:rsidRPr="00A43B9C">
        <w:rPr>
          <w:rFonts w:ascii="Times New Roman" w:hAnsi="Times New Roman" w:cs="Times New Roman"/>
          <w:sz w:val="28"/>
          <w:szCs w:val="28"/>
          <w:lang w:val="en-US"/>
        </w:rPr>
        <w:t>nLM</w:t>
      </w:r>
      <w:r w:rsidRPr="00A43B9C">
        <w:rPr>
          <w:rFonts w:ascii="Times New Roman" w:hAnsi="Times New Roman" w:cs="Times New Roman"/>
          <w:sz w:val="28"/>
          <w:szCs w:val="28"/>
        </w:rPr>
        <w:t xml:space="preserve">. </w:t>
      </w:r>
      <w:r w:rsidR="004828D1" w:rsidRPr="00A43B9C">
        <w:rPr>
          <w:rFonts w:ascii="Times New Roman" w:hAnsi="Times New Roman" w:cs="Times New Roman"/>
          <w:sz w:val="28"/>
          <w:szCs w:val="28"/>
        </w:rPr>
        <w:t>Далее н</w:t>
      </w:r>
      <w:r w:rsidRPr="00A43B9C">
        <w:rPr>
          <w:rFonts w:ascii="Times New Roman" w:hAnsi="Times New Roman" w:cs="Times New Roman"/>
          <w:sz w:val="28"/>
          <w:szCs w:val="28"/>
        </w:rPr>
        <w:t xml:space="preserve">ами было </w:t>
      </w:r>
      <w:r w:rsidR="004828D1" w:rsidRPr="00A43B9C">
        <w:rPr>
          <w:rFonts w:ascii="Times New Roman" w:hAnsi="Times New Roman" w:cs="Times New Roman"/>
          <w:sz w:val="28"/>
          <w:szCs w:val="28"/>
        </w:rPr>
        <w:t xml:space="preserve">проанализировано </w:t>
      </w:r>
      <w:r w:rsidRPr="00A43B9C">
        <w:rPr>
          <w:rFonts w:ascii="Times New Roman" w:hAnsi="Times New Roman" w:cs="Times New Roman"/>
          <w:sz w:val="28"/>
          <w:szCs w:val="28"/>
        </w:rPr>
        <w:t xml:space="preserve">отличие базовых уровней накопления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с пациентами, у которых развились метастатическое поражение </w:t>
      </w:r>
      <w:r w:rsidR="00D83043">
        <w:rPr>
          <w:rFonts w:ascii="Times New Roman" w:hAnsi="Times New Roman" w:cs="Times New Roman"/>
          <w:sz w:val="28"/>
          <w:szCs w:val="28"/>
        </w:rPr>
        <w:t>брюшины</w:t>
      </w:r>
      <w:r w:rsidRPr="00A43B9C">
        <w:rPr>
          <w:rFonts w:ascii="Times New Roman" w:hAnsi="Times New Roman" w:cs="Times New Roman"/>
          <w:sz w:val="28"/>
          <w:szCs w:val="28"/>
        </w:rPr>
        <w:t xml:space="preserve">. В результате </w:t>
      </w:r>
      <w:r w:rsidR="004828D1" w:rsidRPr="00A43B9C">
        <w:rPr>
          <w:rFonts w:ascii="Times New Roman" w:hAnsi="Times New Roman" w:cs="Times New Roman"/>
          <w:sz w:val="28"/>
          <w:szCs w:val="28"/>
        </w:rPr>
        <w:t xml:space="preserve">такого </w:t>
      </w:r>
      <w:r w:rsidRPr="00A43B9C">
        <w:rPr>
          <w:rFonts w:ascii="Times New Roman" w:hAnsi="Times New Roman" w:cs="Times New Roman"/>
          <w:sz w:val="28"/>
          <w:szCs w:val="28"/>
        </w:rPr>
        <w:t>анализа мы не обнаружили</w:t>
      </w:r>
      <w:r w:rsidR="004828D1" w:rsidRPr="00A43B9C">
        <w:rPr>
          <w:rFonts w:ascii="Times New Roman" w:hAnsi="Times New Roman" w:cs="Times New Roman"/>
          <w:sz w:val="28"/>
          <w:szCs w:val="28"/>
        </w:rPr>
        <w:t xml:space="preserve"> статистически значимых различий ни в одной из</w:t>
      </w:r>
      <w:r w:rsidRPr="00A43B9C">
        <w:rPr>
          <w:rFonts w:ascii="Times New Roman" w:hAnsi="Times New Roman" w:cs="Times New Roman"/>
          <w:sz w:val="28"/>
          <w:szCs w:val="28"/>
        </w:rPr>
        <w:t xml:space="preserve"> локализаций (таблица </w:t>
      </w:r>
      <w:r w:rsidR="00D35E11" w:rsidRPr="00A43B9C">
        <w:rPr>
          <w:rFonts w:ascii="Times New Roman" w:hAnsi="Times New Roman" w:cs="Times New Roman"/>
          <w:sz w:val="28"/>
          <w:szCs w:val="28"/>
        </w:rPr>
        <w:t>13</w:t>
      </w:r>
      <w:r w:rsidRPr="00A43B9C">
        <w:rPr>
          <w:rFonts w:ascii="Times New Roman" w:hAnsi="Times New Roman" w:cs="Times New Roman"/>
          <w:sz w:val="28"/>
          <w:szCs w:val="28"/>
        </w:rPr>
        <w:t>).</w:t>
      </w:r>
    </w:p>
    <w:p w14:paraId="29E02B91" w14:textId="77777777" w:rsidR="00D12CD6" w:rsidRPr="00A43B9C" w:rsidRDefault="00D12CD6" w:rsidP="00D12CD6">
      <w:pPr>
        <w:spacing w:after="0" w:line="240" w:lineRule="auto"/>
        <w:jc w:val="both"/>
        <w:rPr>
          <w:rFonts w:ascii="Times New Roman" w:hAnsi="Times New Roman" w:cs="Times New Roman"/>
          <w:sz w:val="28"/>
          <w:szCs w:val="28"/>
        </w:rPr>
      </w:pPr>
    </w:p>
    <w:p w14:paraId="6B00C3F6" w14:textId="042A7844" w:rsidR="0046232A" w:rsidRPr="00A43B9C" w:rsidRDefault="000A6F86" w:rsidP="00D12CD6">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13 -</w:t>
      </w:r>
      <w:r w:rsidR="0046232A" w:rsidRPr="00A43B9C">
        <w:rPr>
          <w:rFonts w:ascii="Times New Roman" w:hAnsi="Times New Roman" w:cs="Times New Roman"/>
          <w:sz w:val="28"/>
          <w:szCs w:val="28"/>
        </w:rPr>
        <w:t xml:space="preserve"> Динамика изменений уровня </w:t>
      </w:r>
      <w:r w:rsidR="009307C9" w:rsidRPr="00A43B9C">
        <w:rPr>
          <w:rFonts w:ascii="Times New Roman" w:hAnsi="Times New Roman" w:cs="Times New Roman"/>
          <w:sz w:val="28"/>
          <w:szCs w:val="28"/>
        </w:rPr>
        <w:t>накопления</w:t>
      </w:r>
      <w:r w:rsidR="0046232A" w:rsidRPr="00A43B9C">
        <w:rPr>
          <w:rFonts w:ascii="Times New Roman" w:hAnsi="Times New Roman" w:cs="Times New Roman"/>
          <w:sz w:val="28"/>
          <w:szCs w:val="28"/>
        </w:rPr>
        <w:t xml:space="preserve"> </w:t>
      </w:r>
      <w:r w:rsidR="0046232A" w:rsidRPr="00A43B9C">
        <w:rPr>
          <w:rFonts w:ascii="Times New Roman" w:hAnsi="Times New Roman" w:cs="Times New Roman"/>
          <w:sz w:val="28"/>
          <w:szCs w:val="28"/>
          <w:lang w:val="en-US"/>
        </w:rPr>
        <w:t>SUV</w:t>
      </w:r>
      <w:r w:rsidR="0046232A" w:rsidRPr="00A43B9C">
        <w:rPr>
          <w:rFonts w:ascii="Times New Roman" w:hAnsi="Times New Roman" w:cs="Times New Roman"/>
          <w:sz w:val="28"/>
          <w:szCs w:val="28"/>
          <w:vertAlign w:val="subscript"/>
          <w:lang w:val="en-US"/>
        </w:rPr>
        <w:t>max</w:t>
      </w:r>
      <w:r w:rsidR="0046232A" w:rsidRPr="00A43B9C">
        <w:rPr>
          <w:rFonts w:ascii="Times New Roman" w:hAnsi="Times New Roman" w:cs="Times New Roman"/>
          <w:sz w:val="28"/>
          <w:szCs w:val="28"/>
        </w:rPr>
        <w:t xml:space="preserve"> в зависимости от статуса </w:t>
      </w:r>
      <w:r w:rsidR="001C40D1" w:rsidRPr="00A43B9C">
        <w:rPr>
          <w:rFonts w:ascii="Times New Roman" w:hAnsi="Times New Roman" w:cs="Times New Roman"/>
          <w:sz w:val="28"/>
          <w:szCs w:val="28"/>
          <w:lang w:val="en-US"/>
        </w:rPr>
        <w:t>LM</w:t>
      </w:r>
    </w:p>
    <w:p w14:paraId="2793440E" w14:textId="77777777" w:rsidR="00D12CD6" w:rsidRPr="00A43B9C" w:rsidRDefault="00D12CD6" w:rsidP="00D12CD6">
      <w:pPr>
        <w:spacing w:after="0" w:line="240" w:lineRule="auto"/>
        <w:jc w:val="both"/>
        <w:rPr>
          <w:rFonts w:ascii="Times New Roman" w:hAnsi="Times New Roman" w:cs="Times New Roman"/>
          <w:sz w:val="28"/>
          <w:szCs w:val="28"/>
        </w:rPr>
      </w:pPr>
    </w:p>
    <w:tbl>
      <w:tblPr>
        <w:tblStyle w:val="ad"/>
        <w:tblW w:w="0" w:type="auto"/>
        <w:tblLook w:val="04A0" w:firstRow="1" w:lastRow="0" w:firstColumn="1" w:lastColumn="0" w:noHBand="0" w:noVBand="1"/>
      </w:tblPr>
      <w:tblGrid>
        <w:gridCol w:w="1351"/>
        <w:gridCol w:w="795"/>
        <w:gridCol w:w="796"/>
        <w:gridCol w:w="796"/>
        <w:gridCol w:w="796"/>
        <w:gridCol w:w="796"/>
        <w:gridCol w:w="796"/>
        <w:gridCol w:w="796"/>
        <w:gridCol w:w="796"/>
        <w:gridCol w:w="796"/>
        <w:gridCol w:w="830"/>
      </w:tblGrid>
      <w:tr w:rsidR="0046232A" w:rsidRPr="00A43B9C" w14:paraId="6626CD73" w14:textId="77777777" w:rsidTr="00290AA2">
        <w:tc>
          <w:tcPr>
            <w:tcW w:w="0" w:type="auto"/>
            <w:vMerge w:val="restart"/>
            <w:vAlign w:val="center"/>
          </w:tcPr>
          <w:p w14:paraId="176AA18A" w14:textId="77777777" w:rsidR="0046232A" w:rsidRPr="00290AA2" w:rsidRDefault="0046232A" w:rsidP="00446A37">
            <w:pPr>
              <w:spacing w:after="0" w:line="240" w:lineRule="auto"/>
              <w:jc w:val="center"/>
              <w:rPr>
                <w:rFonts w:ascii="Times New Roman" w:hAnsi="Times New Roman" w:cs="Times New Roman"/>
                <w:bCs/>
                <w:sz w:val="28"/>
                <w:szCs w:val="28"/>
                <w:lang w:val="en-US"/>
              </w:rPr>
            </w:pPr>
            <w:bookmarkStart w:id="66" w:name="_Hlk130388416"/>
            <w:r w:rsidRPr="00A43B9C">
              <w:rPr>
                <w:rFonts w:ascii="Times New Roman" w:hAnsi="Times New Roman" w:cs="Times New Roman"/>
                <w:bCs/>
                <w:sz w:val="28"/>
                <w:szCs w:val="28"/>
              </w:rPr>
              <w:t>Локализация</w:t>
            </w:r>
          </w:p>
        </w:tc>
        <w:tc>
          <w:tcPr>
            <w:tcW w:w="0" w:type="auto"/>
            <w:gridSpan w:val="3"/>
            <w:vAlign w:val="center"/>
          </w:tcPr>
          <w:p w14:paraId="70C3F7A2"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 xml:space="preserve">Общее </w:t>
            </w:r>
            <w:r w:rsidRPr="00A43B9C">
              <w:rPr>
                <w:rFonts w:ascii="Times New Roman" w:hAnsi="Times New Roman" w:cs="Times New Roman"/>
                <w:bCs/>
                <w:sz w:val="28"/>
                <w:szCs w:val="28"/>
                <w:lang w:val="en-US"/>
              </w:rPr>
              <w:t>(n = 53)</w:t>
            </w:r>
          </w:p>
        </w:tc>
        <w:tc>
          <w:tcPr>
            <w:tcW w:w="0" w:type="auto"/>
            <w:gridSpan w:val="3"/>
            <w:vAlign w:val="center"/>
          </w:tcPr>
          <w:p w14:paraId="28FFED27"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nLM (n = 25)</w:t>
            </w:r>
          </w:p>
        </w:tc>
        <w:tc>
          <w:tcPr>
            <w:tcW w:w="0" w:type="auto"/>
            <w:gridSpan w:val="3"/>
            <w:vAlign w:val="center"/>
          </w:tcPr>
          <w:p w14:paraId="7D39A8D6"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pLM (n = 28)</w:t>
            </w:r>
          </w:p>
        </w:tc>
        <w:tc>
          <w:tcPr>
            <w:tcW w:w="0" w:type="auto"/>
            <w:vMerge w:val="restart"/>
            <w:vAlign w:val="center"/>
          </w:tcPr>
          <w:p w14:paraId="280F185F" w14:textId="58078B45" w:rsidR="0046232A" w:rsidRPr="00A43B9C" w:rsidRDefault="00A120D6"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p</w:t>
            </w:r>
            <w:r w:rsidRPr="00A43B9C">
              <w:rPr>
                <w:rFonts w:ascii="Times New Roman" w:hAnsi="Times New Roman" w:cs="Times New Roman"/>
                <w:bCs/>
                <w:sz w:val="28"/>
                <w:szCs w:val="28"/>
              </w:rPr>
              <w:t xml:space="preserve"> </w:t>
            </w:r>
            <w:r w:rsidR="001C40D1" w:rsidRPr="00A43B9C">
              <w:rPr>
                <w:rFonts w:ascii="Times New Roman" w:hAnsi="Times New Roman" w:cs="Times New Roman"/>
                <w:bCs/>
                <w:sz w:val="28"/>
                <w:szCs w:val="28"/>
              </w:rPr>
              <w:t xml:space="preserve">для </w:t>
            </w:r>
            <w:r w:rsidR="001C40D1" w:rsidRPr="00A43B9C">
              <w:rPr>
                <w:rFonts w:ascii="Times New Roman" w:hAnsi="Times New Roman" w:cs="Times New Roman"/>
                <w:bCs/>
                <w:sz w:val="28"/>
                <w:szCs w:val="28"/>
                <w:lang w:val="en-US"/>
              </w:rPr>
              <w:t>I</w:t>
            </w:r>
            <w:r w:rsidR="001C40D1" w:rsidRPr="00A43B9C">
              <w:rPr>
                <w:rFonts w:ascii="Times New Roman" w:hAnsi="Times New Roman" w:cs="Times New Roman"/>
                <w:bCs/>
                <w:sz w:val="28"/>
                <w:szCs w:val="28"/>
              </w:rPr>
              <w:t xml:space="preserve"> </w:t>
            </w:r>
            <w:r w:rsidR="001C40D1" w:rsidRPr="00A43B9C">
              <w:rPr>
                <w:rFonts w:ascii="Times New Roman" w:hAnsi="Times New Roman" w:cs="Times New Roman"/>
                <w:bCs/>
                <w:sz w:val="28"/>
                <w:szCs w:val="28"/>
                <w:lang w:val="en-US"/>
              </w:rPr>
              <w:t>nLM</w:t>
            </w:r>
            <w:r w:rsidR="001C40D1" w:rsidRPr="00A43B9C">
              <w:rPr>
                <w:rFonts w:ascii="Times New Roman" w:hAnsi="Times New Roman" w:cs="Times New Roman"/>
                <w:bCs/>
                <w:sz w:val="28"/>
                <w:szCs w:val="28"/>
              </w:rPr>
              <w:t xml:space="preserve"> против </w:t>
            </w:r>
            <w:r w:rsidR="001C40D1" w:rsidRPr="00A43B9C">
              <w:rPr>
                <w:rFonts w:ascii="Times New Roman" w:hAnsi="Times New Roman" w:cs="Times New Roman"/>
                <w:bCs/>
                <w:sz w:val="28"/>
                <w:szCs w:val="28"/>
                <w:lang w:val="en-US"/>
              </w:rPr>
              <w:t>pLM</w:t>
            </w:r>
          </w:p>
        </w:tc>
      </w:tr>
      <w:tr w:rsidR="0046232A" w:rsidRPr="00A43B9C" w14:paraId="14D2A056" w14:textId="77777777" w:rsidTr="00290AA2">
        <w:tc>
          <w:tcPr>
            <w:tcW w:w="0" w:type="auto"/>
            <w:vMerge/>
            <w:vAlign w:val="center"/>
          </w:tcPr>
          <w:p w14:paraId="79A4A5EA"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rPr>
            </w:pPr>
          </w:p>
        </w:tc>
        <w:tc>
          <w:tcPr>
            <w:tcW w:w="0" w:type="auto"/>
            <w:vAlign w:val="center"/>
          </w:tcPr>
          <w:p w14:paraId="3C7E0CDA" w14:textId="77777777" w:rsidR="0046232A" w:rsidRPr="00A43B9C" w:rsidRDefault="0046232A" w:rsidP="00446A37">
            <w:pPr>
              <w:spacing w:after="0" w:line="240" w:lineRule="auto"/>
              <w:contextualSpacing/>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I</w:t>
            </w:r>
          </w:p>
        </w:tc>
        <w:tc>
          <w:tcPr>
            <w:tcW w:w="0" w:type="auto"/>
            <w:vAlign w:val="center"/>
          </w:tcPr>
          <w:p w14:paraId="4ABFD100" w14:textId="77777777" w:rsidR="0046232A" w:rsidRPr="00A43B9C" w:rsidRDefault="0046232A" w:rsidP="00446A37">
            <w:pPr>
              <w:spacing w:after="0" w:line="240" w:lineRule="auto"/>
              <w:contextualSpacing/>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II</w:t>
            </w:r>
          </w:p>
        </w:tc>
        <w:tc>
          <w:tcPr>
            <w:tcW w:w="0" w:type="auto"/>
            <w:vAlign w:val="center"/>
          </w:tcPr>
          <w:p w14:paraId="3BC1C39E" w14:textId="77777777" w:rsidR="0046232A" w:rsidRPr="00A43B9C" w:rsidRDefault="0046232A" w:rsidP="00446A37">
            <w:pPr>
              <w:spacing w:after="0" w:line="240" w:lineRule="auto"/>
              <w:contextualSpacing/>
              <w:jc w:val="center"/>
              <w:rPr>
                <w:rFonts w:ascii="Times New Roman" w:hAnsi="Times New Roman" w:cs="Times New Roman"/>
                <w:bCs/>
                <w:sz w:val="28"/>
                <w:szCs w:val="28"/>
                <w:lang w:val="en-US"/>
              </w:rPr>
            </w:pPr>
            <w:r w:rsidRPr="00A43B9C">
              <w:rPr>
                <w:rFonts w:ascii="Times New Roman" w:hAnsi="Times New Roman" w:cs="Times New Roman"/>
                <w:bCs/>
                <w:sz w:val="28"/>
                <w:szCs w:val="28"/>
              </w:rPr>
              <w:t>p</w:t>
            </w:r>
          </w:p>
        </w:tc>
        <w:tc>
          <w:tcPr>
            <w:tcW w:w="0" w:type="auto"/>
            <w:vAlign w:val="center"/>
          </w:tcPr>
          <w:p w14:paraId="137A5D57" w14:textId="77777777" w:rsidR="0046232A" w:rsidRPr="00A43B9C" w:rsidRDefault="0046232A" w:rsidP="00446A37">
            <w:pPr>
              <w:spacing w:after="0" w:line="240" w:lineRule="auto"/>
              <w:contextualSpacing/>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I</w:t>
            </w:r>
          </w:p>
        </w:tc>
        <w:tc>
          <w:tcPr>
            <w:tcW w:w="0" w:type="auto"/>
            <w:vAlign w:val="center"/>
          </w:tcPr>
          <w:p w14:paraId="585B9D62" w14:textId="77777777" w:rsidR="0046232A" w:rsidRPr="00A43B9C" w:rsidRDefault="0046232A" w:rsidP="00446A37">
            <w:pPr>
              <w:spacing w:after="0" w:line="240" w:lineRule="auto"/>
              <w:contextualSpacing/>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II</w:t>
            </w:r>
          </w:p>
        </w:tc>
        <w:tc>
          <w:tcPr>
            <w:tcW w:w="0" w:type="auto"/>
            <w:vAlign w:val="center"/>
          </w:tcPr>
          <w:p w14:paraId="4DB19D14" w14:textId="77777777" w:rsidR="0046232A" w:rsidRPr="00A43B9C" w:rsidRDefault="0046232A"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p</w:t>
            </w:r>
          </w:p>
        </w:tc>
        <w:tc>
          <w:tcPr>
            <w:tcW w:w="0" w:type="auto"/>
            <w:vAlign w:val="center"/>
          </w:tcPr>
          <w:p w14:paraId="31E3F85C"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I</w:t>
            </w:r>
          </w:p>
        </w:tc>
        <w:tc>
          <w:tcPr>
            <w:tcW w:w="0" w:type="auto"/>
            <w:vAlign w:val="center"/>
          </w:tcPr>
          <w:p w14:paraId="11BBB113"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II</w:t>
            </w:r>
          </w:p>
        </w:tc>
        <w:tc>
          <w:tcPr>
            <w:tcW w:w="0" w:type="auto"/>
            <w:vAlign w:val="center"/>
          </w:tcPr>
          <w:p w14:paraId="6884DC99" w14:textId="77777777" w:rsidR="0046232A" w:rsidRPr="00A43B9C" w:rsidRDefault="0046232A"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p</w:t>
            </w:r>
          </w:p>
        </w:tc>
        <w:tc>
          <w:tcPr>
            <w:tcW w:w="0" w:type="auto"/>
            <w:vMerge/>
          </w:tcPr>
          <w:p w14:paraId="4C0FCA59"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rPr>
            </w:pPr>
          </w:p>
        </w:tc>
      </w:tr>
      <w:tr w:rsidR="0046232A" w:rsidRPr="00A43B9C" w14:paraId="0DA9C584" w14:textId="77777777" w:rsidTr="00290AA2">
        <w:tc>
          <w:tcPr>
            <w:tcW w:w="0" w:type="auto"/>
            <w:vAlign w:val="center"/>
          </w:tcPr>
          <w:p w14:paraId="6F5DBB36"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RE</w:t>
            </w:r>
          </w:p>
        </w:tc>
        <w:tc>
          <w:tcPr>
            <w:tcW w:w="0" w:type="auto"/>
            <w:vAlign w:val="center"/>
          </w:tcPr>
          <w:p w14:paraId="79E3FAC1"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0,81</w:t>
            </w:r>
          </w:p>
        </w:tc>
        <w:tc>
          <w:tcPr>
            <w:tcW w:w="0" w:type="auto"/>
            <w:vAlign w:val="center"/>
          </w:tcPr>
          <w:p w14:paraId="3A17ACEF"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17</w:t>
            </w:r>
          </w:p>
        </w:tc>
        <w:tc>
          <w:tcPr>
            <w:tcW w:w="0" w:type="auto"/>
            <w:shd w:val="clear" w:color="auto" w:fill="auto"/>
            <w:vAlign w:val="center"/>
          </w:tcPr>
          <w:p w14:paraId="3952192D"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vAlign w:val="center"/>
          </w:tcPr>
          <w:p w14:paraId="1D9CB0B6"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79</w:t>
            </w:r>
          </w:p>
        </w:tc>
        <w:tc>
          <w:tcPr>
            <w:tcW w:w="0" w:type="auto"/>
            <w:vAlign w:val="center"/>
          </w:tcPr>
          <w:p w14:paraId="1F33F609"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27</w:t>
            </w:r>
          </w:p>
        </w:tc>
        <w:tc>
          <w:tcPr>
            <w:tcW w:w="0" w:type="auto"/>
            <w:shd w:val="clear" w:color="auto" w:fill="auto"/>
          </w:tcPr>
          <w:p w14:paraId="2772686D"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vAlign w:val="center"/>
          </w:tcPr>
          <w:p w14:paraId="6B1CD711"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83</w:t>
            </w:r>
          </w:p>
        </w:tc>
        <w:tc>
          <w:tcPr>
            <w:tcW w:w="0" w:type="auto"/>
            <w:vAlign w:val="center"/>
          </w:tcPr>
          <w:p w14:paraId="4C738D3A"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10</w:t>
            </w:r>
          </w:p>
        </w:tc>
        <w:tc>
          <w:tcPr>
            <w:tcW w:w="0" w:type="auto"/>
            <w:shd w:val="clear" w:color="auto" w:fill="auto"/>
            <w:vAlign w:val="center"/>
          </w:tcPr>
          <w:p w14:paraId="07FDD333" w14:textId="77777777" w:rsidR="0046232A" w:rsidRPr="00A43B9C" w:rsidRDefault="0046232A"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,03</w:t>
            </w:r>
          </w:p>
        </w:tc>
        <w:tc>
          <w:tcPr>
            <w:tcW w:w="0" w:type="auto"/>
            <w:shd w:val="clear" w:color="auto" w:fill="auto"/>
            <w:vAlign w:val="center"/>
          </w:tcPr>
          <w:p w14:paraId="2F9BF8EF" w14:textId="77777777" w:rsidR="0046232A" w:rsidRPr="00A43B9C" w:rsidRDefault="0046232A"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0,82</w:t>
            </w:r>
          </w:p>
        </w:tc>
      </w:tr>
      <w:tr w:rsidR="0046232A" w:rsidRPr="00A43B9C" w14:paraId="6617A7CD" w14:textId="77777777" w:rsidTr="00290AA2">
        <w:tc>
          <w:tcPr>
            <w:tcW w:w="0" w:type="auto"/>
            <w:vAlign w:val="center"/>
          </w:tcPr>
          <w:p w14:paraId="450B0084"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RLH</w:t>
            </w:r>
          </w:p>
        </w:tc>
        <w:tc>
          <w:tcPr>
            <w:tcW w:w="0" w:type="auto"/>
            <w:vAlign w:val="center"/>
          </w:tcPr>
          <w:p w14:paraId="521F9E32"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75</w:t>
            </w:r>
          </w:p>
        </w:tc>
        <w:tc>
          <w:tcPr>
            <w:tcW w:w="0" w:type="auto"/>
            <w:vAlign w:val="center"/>
          </w:tcPr>
          <w:p w14:paraId="2204C0A1"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17</w:t>
            </w:r>
          </w:p>
        </w:tc>
        <w:tc>
          <w:tcPr>
            <w:tcW w:w="0" w:type="auto"/>
            <w:shd w:val="clear" w:color="auto" w:fill="auto"/>
          </w:tcPr>
          <w:p w14:paraId="2B5E9983"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vAlign w:val="center"/>
          </w:tcPr>
          <w:p w14:paraId="6733F2D5"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74</w:t>
            </w:r>
          </w:p>
        </w:tc>
        <w:tc>
          <w:tcPr>
            <w:tcW w:w="0" w:type="auto"/>
            <w:vAlign w:val="center"/>
          </w:tcPr>
          <w:p w14:paraId="4EF7B0B7"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25</w:t>
            </w:r>
          </w:p>
        </w:tc>
        <w:tc>
          <w:tcPr>
            <w:tcW w:w="0" w:type="auto"/>
            <w:shd w:val="clear" w:color="auto" w:fill="auto"/>
          </w:tcPr>
          <w:p w14:paraId="0F43466F" w14:textId="77777777" w:rsidR="0046232A" w:rsidRPr="00A43B9C" w:rsidRDefault="0046232A"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vAlign w:val="center"/>
          </w:tcPr>
          <w:p w14:paraId="22F1BDA8"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77</w:t>
            </w:r>
          </w:p>
        </w:tc>
        <w:tc>
          <w:tcPr>
            <w:tcW w:w="0" w:type="auto"/>
            <w:vAlign w:val="center"/>
          </w:tcPr>
          <w:p w14:paraId="2F05ABC0"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10</w:t>
            </w:r>
          </w:p>
        </w:tc>
        <w:tc>
          <w:tcPr>
            <w:tcW w:w="0" w:type="auto"/>
            <w:shd w:val="clear" w:color="auto" w:fill="auto"/>
          </w:tcPr>
          <w:p w14:paraId="079AB6CD" w14:textId="77777777" w:rsidR="0046232A" w:rsidRPr="00A43B9C" w:rsidRDefault="0046232A"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shd w:val="clear" w:color="auto" w:fill="auto"/>
            <w:vAlign w:val="center"/>
          </w:tcPr>
          <w:p w14:paraId="556385FA"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0,52</w:t>
            </w:r>
          </w:p>
        </w:tc>
      </w:tr>
      <w:tr w:rsidR="0046232A" w:rsidRPr="00A43B9C" w14:paraId="6BD9BA94" w14:textId="77777777" w:rsidTr="00290AA2">
        <w:tc>
          <w:tcPr>
            <w:tcW w:w="0" w:type="auto"/>
            <w:vAlign w:val="center"/>
          </w:tcPr>
          <w:p w14:paraId="348D5776"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RRL</w:t>
            </w:r>
          </w:p>
        </w:tc>
        <w:tc>
          <w:tcPr>
            <w:tcW w:w="0" w:type="auto"/>
            <w:vAlign w:val="center"/>
          </w:tcPr>
          <w:p w14:paraId="2D612A9A"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96</w:t>
            </w:r>
          </w:p>
        </w:tc>
        <w:tc>
          <w:tcPr>
            <w:tcW w:w="0" w:type="auto"/>
            <w:vAlign w:val="center"/>
          </w:tcPr>
          <w:p w14:paraId="03AC1C88"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28</w:t>
            </w:r>
          </w:p>
        </w:tc>
        <w:tc>
          <w:tcPr>
            <w:tcW w:w="0" w:type="auto"/>
            <w:shd w:val="clear" w:color="auto" w:fill="auto"/>
          </w:tcPr>
          <w:p w14:paraId="7CCF44ED"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vAlign w:val="center"/>
          </w:tcPr>
          <w:p w14:paraId="369428CA"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05</w:t>
            </w:r>
          </w:p>
        </w:tc>
        <w:tc>
          <w:tcPr>
            <w:tcW w:w="0" w:type="auto"/>
            <w:vAlign w:val="center"/>
          </w:tcPr>
          <w:p w14:paraId="6CEDAE6A"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55</w:t>
            </w:r>
          </w:p>
        </w:tc>
        <w:tc>
          <w:tcPr>
            <w:tcW w:w="0" w:type="auto"/>
            <w:shd w:val="clear" w:color="auto" w:fill="auto"/>
            <w:vAlign w:val="center"/>
          </w:tcPr>
          <w:p w14:paraId="7548FAF6" w14:textId="77777777" w:rsidR="0046232A" w:rsidRPr="00A43B9C" w:rsidRDefault="0046232A"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3</w:t>
            </w:r>
          </w:p>
        </w:tc>
        <w:tc>
          <w:tcPr>
            <w:tcW w:w="0" w:type="auto"/>
            <w:vAlign w:val="center"/>
          </w:tcPr>
          <w:p w14:paraId="0BD0A349"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91</w:t>
            </w:r>
          </w:p>
        </w:tc>
        <w:tc>
          <w:tcPr>
            <w:tcW w:w="0" w:type="auto"/>
            <w:vAlign w:val="center"/>
          </w:tcPr>
          <w:p w14:paraId="5E14DAFE"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14</w:t>
            </w:r>
          </w:p>
        </w:tc>
        <w:tc>
          <w:tcPr>
            <w:tcW w:w="0" w:type="auto"/>
            <w:shd w:val="clear" w:color="auto" w:fill="auto"/>
          </w:tcPr>
          <w:p w14:paraId="61223A4F" w14:textId="77777777" w:rsidR="0046232A" w:rsidRPr="00A43B9C" w:rsidRDefault="0046232A"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shd w:val="clear" w:color="auto" w:fill="auto"/>
            <w:vAlign w:val="center"/>
          </w:tcPr>
          <w:p w14:paraId="7923C216"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0,09</w:t>
            </w:r>
          </w:p>
        </w:tc>
      </w:tr>
      <w:tr w:rsidR="0046232A" w:rsidRPr="00A43B9C" w14:paraId="3417CA4B" w14:textId="77777777" w:rsidTr="00290AA2">
        <w:tc>
          <w:tcPr>
            <w:tcW w:w="0" w:type="auto"/>
            <w:vAlign w:val="center"/>
          </w:tcPr>
          <w:p w14:paraId="1AD7B1E2"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RU</w:t>
            </w:r>
          </w:p>
        </w:tc>
        <w:tc>
          <w:tcPr>
            <w:tcW w:w="0" w:type="auto"/>
            <w:vAlign w:val="center"/>
          </w:tcPr>
          <w:p w14:paraId="5FCFF727"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76</w:t>
            </w:r>
          </w:p>
        </w:tc>
        <w:tc>
          <w:tcPr>
            <w:tcW w:w="0" w:type="auto"/>
            <w:vAlign w:val="center"/>
          </w:tcPr>
          <w:p w14:paraId="48497B05"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12</w:t>
            </w:r>
          </w:p>
        </w:tc>
        <w:tc>
          <w:tcPr>
            <w:tcW w:w="0" w:type="auto"/>
            <w:shd w:val="clear" w:color="auto" w:fill="auto"/>
          </w:tcPr>
          <w:p w14:paraId="46013F37"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vAlign w:val="center"/>
          </w:tcPr>
          <w:p w14:paraId="38E2F700"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91</w:t>
            </w:r>
          </w:p>
        </w:tc>
        <w:tc>
          <w:tcPr>
            <w:tcW w:w="0" w:type="auto"/>
            <w:vAlign w:val="center"/>
          </w:tcPr>
          <w:p w14:paraId="762A828E"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11</w:t>
            </w:r>
          </w:p>
        </w:tc>
        <w:tc>
          <w:tcPr>
            <w:tcW w:w="0" w:type="auto"/>
            <w:shd w:val="clear" w:color="auto" w:fill="auto"/>
            <w:vAlign w:val="center"/>
          </w:tcPr>
          <w:p w14:paraId="57DF6D55"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0,04</w:t>
            </w:r>
          </w:p>
        </w:tc>
        <w:tc>
          <w:tcPr>
            <w:tcW w:w="0" w:type="auto"/>
            <w:vAlign w:val="center"/>
          </w:tcPr>
          <w:p w14:paraId="31723783"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74</w:t>
            </w:r>
          </w:p>
        </w:tc>
        <w:tc>
          <w:tcPr>
            <w:tcW w:w="0" w:type="auto"/>
            <w:vAlign w:val="center"/>
          </w:tcPr>
          <w:p w14:paraId="05C86A12"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13</w:t>
            </w:r>
          </w:p>
        </w:tc>
        <w:tc>
          <w:tcPr>
            <w:tcW w:w="0" w:type="auto"/>
            <w:shd w:val="clear" w:color="auto" w:fill="auto"/>
            <w:vAlign w:val="center"/>
          </w:tcPr>
          <w:p w14:paraId="7499E0F8" w14:textId="77777777" w:rsidR="0046232A" w:rsidRPr="00A43B9C" w:rsidRDefault="0046232A"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,02</w:t>
            </w:r>
          </w:p>
        </w:tc>
        <w:tc>
          <w:tcPr>
            <w:tcW w:w="0" w:type="auto"/>
            <w:shd w:val="clear" w:color="auto" w:fill="auto"/>
            <w:vAlign w:val="center"/>
          </w:tcPr>
          <w:p w14:paraId="4E587F48" w14:textId="77777777" w:rsidR="0046232A" w:rsidRPr="00A43B9C" w:rsidRDefault="0046232A"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0,42</w:t>
            </w:r>
          </w:p>
        </w:tc>
      </w:tr>
      <w:tr w:rsidR="0046232A" w:rsidRPr="00A43B9C" w14:paraId="41EAA36A" w14:textId="77777777" w:rsidTr="00290AA2">
        <w:tc>
          <w:tcPr>
            <w:tcW w:w="0" w:type="auto"/>
            <w:vAlign w:val="center"/>
          </w:tcPr>
          <w:p w14:paraId="0FB8709F"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RLL</w:t>
            </w:r>
          </w:p>
        </w:tc>
        <w:tc>
          <w:tcPr>
            <w:tcW w:w="0" w:type="auto"/>
            <w:vAlign w:val="center"/>
          </w:tcPr>
          <w:p w14:paraId="31C54147"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94</w:t>
            </w:r>
          </w:p>
        </w:tc>
        <w:tc>
          <w:tcPr>
            <w:tcW w:w="0" w:type="auto"/>
            <w:vAlign w:val="center"/>
          </w:tcPr>
          <w:p w14:paraId="77661F80"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26</w:t>
            </w:r>
          </w:p>
        </w:tc>
        <w:tc>
          <w:tcPr>
            <w:tcW w:w="0" w:type="auto"/>
            <w:shd w:val="clear" w:color="auto" w:fill="auto"/>
          </w:tcPr>
          <w:p w14:paraId="23D3621F"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vAlign w:val="center"/>
          </w:tcPr>
          <w:p w14:paraId="7F67F309"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94</w:t>
            </w:r>
          </w:p>
        </w:tc>
        <w:tc>
          <w:tcPr>
            <w:tcW w:w="0" w:type="auto"/>
            <w:vAlign w:val="center"/>
          </w:tcPr>
          <w:p w14:paraId="51E38DD0"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26</w:t>
            </w:r>
          </w:p>
        </w:tc>
        <w:tc>
          <w:tcPr>
            <w:tcW w:w="0" w:type="auto"/>
            <w:shd w:val="clear" w:color="auto" w:fill="auto"/>
            <w:vAlign w:val="center"/>
          </w:tcPr>
          <w:p w14:paraId="21C453FC" w14:textId="77777777" w:rsidR="0046232A" w:rsidRPr="00A43B9C" w:rsidRDefault="0046232A"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vAlign w:val="center"/>
          </w:tcPr>
          <w:p w14:paraId="03D6A1D9"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95</w:t>
            </w:r>
          </w:p>
        </w:tc>
        <w:tc>
          <w:tcPr>
            <w:tcW w:w="0" w:type="auto"/>
            <w:vAlign w:val="center"/>
          </w:tcPr>
          <w:p w14:paraId="5C0BB741"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22</w:t>
            </w:r>
          </w:p>
        </w:tc>
        <w:tc>
          <w:tcPr>
            <w:tcW w:w="0" w:type="auto"/>
            <w:shd w:val="clear" w:color="auto" w:fill="auto"/>
          </w:tcPr>
          <w:p w14:paraId="48822602" w14:textId="77777777" w:rsidR="0046232A" w:rsidRPr="00A43B9C" w:rsidRDefault="0046232A"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shd w:val="clear" w:color="auto" w:fill="auto"/>
            <w:vAlign w:val="center"/>
          </w:tcPr>
          <w:p w14:paraId="43F8FC0F" w14:textId="77777777" w:rsidR="0046232A" w:rsidRPr="00A43B9C" w:rsidRDefault="0046232A"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0,36</w:t>
            </w:r>
          </w:p>
        </w:tc>
      </w:tr>
      <w:tr w:rsidR="0046232A" w:rsidRPr="00A43B9C" w14:paraId="16935059" w14:textId="77777777" w:rsidTr="00290AA2">
        <w:tc>
          <w:tcPr>
            <w:tcW w:w="0" w:type="auto"/>
            <w:vAlign w:val="center"/>
          </w:tcPr>
          <w:p w14:paraId="618BFCC9"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RRI</w:t>
            </w:r>
          </w:p>
        </w:tc>
        <w:tc>
          <w:tcPr>
            <w:tcW w:w="0" w:type="auto"/>
            <w:vAlign w:val="center"/>
          </w:tcPr>
          <w:p w14:paraId="526D9EB5"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55</w:t>
            </w:r>
          </w:p>
        </w:tc>
        <w:tc>
          <w:tcPr>
            <w:tcW w:w="0" w:type="auto"/>
            <w:vAlign w:val="center"/>
          </w:tcPr>
          <w:p w14:paraId="526E70FA"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77</w:t>
            </w:r>
          </w:p>
        </w:tc>
        <w:tc>
          <w:tcPr>
            <w:tcW w:w="0" w:type="auto"/>
            <w:shd w:val="clear" w:color="auto" w:fill="auto"/>
          </w:tcPr>
          <w:p w14:paraId="71F0FDE2"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vAlign w:val="center"/>
          </w:tcPr>
          <w:p w14:paraId="4548C9DA"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57</w:t>
            </w:r>
          </w:p>
        </w:tc>
        <w:tc>
          <w:tcPr>
            <w:tcW w:w="0" w:type="auto"/>
            <w:vAlign w:val="center"/>
          </w:tcPr>
          <w:p w14:paraId="147488B0"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84</w:t>
            </w:r>
          </w:p>
        </w:tc>
        <w:tc>
          <w:tcPr>
            <w:tcW w:w="0" w:type="auto"/>
            <w:shd w:val="clear" w:color="auto" w:fill="auto"/>
            <w:vAlign w:val="center"/>
          </w:tcPr>
          <w:p w14:paraId="55AC8F45" w14:textId="77777777" w:rsidR="0046232A" w:rsidRPr="00A43B9C" w:rsidRDefault="0046232A"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0,04</w:t>
            </w:r>
          </w:p>
        </w:tc>
        <w:tc>
          <w:tcPr>
            <w:tcW w:w="0" w:type="auto"/>
            <w:vAlign w:val="center"/>
          </w:tcPr>
          <w:p w14:paraId="580120E8"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54</w:t>
            </w:r>
          </w:p>
        </w:tc>
        <w:tc>
          <w:tcPr>
            <w:tcW w:w="0" w:type="auto"/>
            <w:vAlign w:val="center"/>
          </w:tcPr>
          <w:p w14:paraId="3E585220"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76</w:t>
            </w:r>
          </w:p>
        </w:tc>
        <w:tc>
          <w:tcPr>
            <w:tcW w:w="0" w:type="auto"/>
            <w:shd w:val="clear" w:color="auto" w:fill="auto"/>
          </w:tcPr>
          <w:p w14:paraId="5D537A67" w14:textId="77777777" w:rsidR="0046232A" w:rsidRPr="00A43B9C" w:rsidRDefault="0046232A"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shd w:val="clear" w:color="auto" w:fill="auto"/>
            <w:vAlign w:val="center"/>
          </w:tcPr>
          <w:p w14:paraId="668BA705" w14:textId="77777777" w:rsidR="0046232A" w:rsidRPr="00A43B9C" w:rsidRDefault="0046232A"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0,40</w:t>
            </w:r>
          </w:p>
        </w:tc>
      </w:tr>
      <w:tr w:rsidR="0046232A" w:rsidRPr="00A43B9C" w14:paraId="6F5F646C" w14:textId="77777777" w:rsidTr="00290AA2">
        <w:tc>
          <w:tcPr>
            <w:tcW w:w="0" w:type="auto"/>
            <w:vAlign w:val="center"/>
          </w:tcPr>
          <w:p w14:paraId="2C7E1E88"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RP</w:t>
            </w:r>
          </w:p>
        </w:tc>
        <w:tc>
          <w:tcPr>
            <w:tcW w:w="0" w:type="auto"/>
            <w:vAlign w:val="center"/>
          </w:tcPr>
          <w:p w14:paraId="7D6603B8"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85</w:t>
            </w:r>
          </w:p>
        </w:tc>
        <w:tc>
          <w:tcPr>
            <w:tcW w:w="0" w:type="auto"/>
            <w:vAlign w:val="center"/>
          </w:tcPr>
          <w:p w14:paraId="4DA9B283"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20</w:t>
            </w:r>
          </w:p>
        </w:tc>
        <w:tc>
          <w:tcPr>
            <w:tcW w:w="0" w:type="auto"/>
            <w:shd w:val="clear" w:color="auto" w:fill="auto"/>
          </w:tcPr>
          <w:p w14:paraId="0232316C"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vAlign w:val="center"/>
          </w:tcPr>
          <w:p w14:paraId="5A9EA9F0"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92</w:t>
            </w:r>
          </w:p>
        </w:tc>
        <w:tc>
          <w:tcPr>
            <w:tcW w:w="0" w:type="auto"/>
            <w:vAlign w:val="center"/>
          </w:tcPr>
          <w:p w14:paraId="13EA54C1"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23</w:t>
            </w:r>
          </w:p>
        </w:tc>
        <w:tc>
          <w:tcPr>
            <w:tcW w:w="0" w:type="auto"/>
            <w:shd w:val="clear" w:color="auto" w:fill="auto"/>
            <w:vAlign w:val="center"/>
          </w:tcPr>
          <w:p w14:paraId="1FC21E32" w14:textId="77777777" w:rsidR="0046232A" w:rsidRPr="00A43B9C" w:rsidRDefault="0046232A"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,03</w:t>
            </w:r>
          </w:p>
        </w:tc>
        <w:tc>
          <w:tcPr>
            <w:tcW w:w="0" w:type="auto"/>
            <w:vAlign w:val="center"/>
          </w:tcPr>
          <w:p w14:paraId="750D32D6"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80</w:t>
            </w:r>
          </w:p>
        </w:tc>
        <w:tc>
          <w:tcPr>
            <w:tcW w:w="0" w:type="auto"/>
            <w:vAlign w:val="center"/>
          </w:tcPr>
          <w:p w14:paraId="1664314F"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19</w:t>
            </w:r>
          </w:p>
        </w:tc>
        <w:tc>
          <w:tcPr>
            <w:tcW w:w="0" w:type="auto"/>
            <w:shd w:val="clear" w:color="auto" w:fill="auto"/>
          </w:tcPr>
          <w:p w14:paraId="1CC45707" w14:textId="77777777" w:rsidR="0046232A" w:rsidRPr="00A43B9C" w:rsidRDefault="0046232A"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shd w:val="clear" w:color="auto" w:fill="auto"/>
            <w:vAlign w:val="center"/>
          </w:tcPr>
          <w:p w14:paraId="334B6B47" w14:textId="77777777" w:rsidR="0046232A" w:rsidRPr="00A43B9C" w:rsidRDefault="0046232A"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0,2</w:t>
            </w:r>
            <w:r w:rsidRPr="00A43B9C">
              <w:rPr>
                <w:rFonts w:ascii="Times New Roman" w:hAnsi="Times New Roman" w:cs="Times New Roman"/>
                <w:bCs/>
                <w:sz w:val="28"/>
                <w:szCs w:val="28"/>
              </w:rPr>
              <w:t>3</w:t>
            </w:r>
          </w:p>
        </w:tc>
      </w:tr>
      <w:tr w:rsidR="0046232A" w:rsidRPr="00A43B9C" w14:paraId="201C2B5A" w14:textId="77777777" w:rsidTr="00290AA2">
        <w:tc>
          <w:tcPr>
            <w:tcW w:w="0" w:type="auto"/>
            <w:vAlign w:val="center"/>
          </w:tcPr>
          <w:p w14:paraId="399C7713"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RLI</w:t>
            </w:r>
          </w:p>
        </w:tc>
        <w:tc>
          <w:tcPr>
            <w:tcW w:w="0" w:type="auto"/>
            <w:vAlign w:val="center"/>
          </w:tcPr>
          <w:p w14:paraId="4290E6D9"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57</w:t>
            </w:r>
          </w:p>
        </w:tc>
        <w:tc>
          <w:tcPr>
            <w:tcW w:w="0" w:type="auto"/>
            <w:vAlign w:val="center"/>
          </w:tcPr>
          <w:p w14:paraId="4BF4EF98"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83</w:t>
            </w:r>
          </w:p>
        </w:tc>
        <w:tc>
          <w:tcPr>
            <w:tcW w:w="0" w:type="auto"/>
            <w:shd w:val="clear" w:color="auto" w:fill="auto"/>
          </w:tcPr>
          <w:p w14:paraId="0E986F1E"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vAlign w:val="center"/>
          </w:tcPr>
          <w:p w14:paraId="08EB7DA9"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68</w:t>
            </w:r>
          </w:p>
        </w:tc>
        <w:tc>
          <w:tcPr>
            <w:tcW w:w="0" w:type="auto"/>
            <w:vAlign w:val="center"/>
          </w:tcPr>
          <w:p w14:paraId="4D4072DE"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89</w:t>
            </w:r>
          </w:p>
        </w:tc>
        <w:tc>
          <w:tcPr>
            <w:tcW w:w="0" w:type="auto"/>
            <w:shd w:val="clear" w:color="auto" w:fill="auto"/>
            <w:vAlign w:val="center"/>
          </w:tcPr>
          <w:p w14:paraId="3C838A83" w14:textId="77777777" w:rsidR="0046232A" w:rsidRPr="00A43B9C" w:rsidRDefault="0046232A"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w:t>
            </w:r>
            <w:r w:rsidRPr="00A43B9C">
              <w:rPr>
                <w:rFonts w:ascii="Times New Roman" w:hAnsi="Times New Roman" w:cs="Times New Roman"/>
                <w:bCs/>
                <w:sz w:val="28"/>
                <w:szCs w:val="28"/>
              </w:rPr>
              <w:t>8</w:t>
            </w:r>
          </w:p>
        </w:tc>
        <w:tc>
          <w:tcPr>
            <w:tcW w:w="0" w:type="auto"/>
            <w:vAlign w:val="center"/>
          </w:tcPr>
          <w:p w14:paraId="1D659198"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54</w:t>
            </w:r>
          </w:p>
        </w:tc>
        <w:tc>
          <w:tcPr>
            <w:tcW w:w="0" w:type="auto"/>
            <w:vAlign w:val="center"/>
          </w:tcPr>
          <w:p w14:paraId="5C8F2B11"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80</w:t>
            </w:r>
          </w:p>
        </w:tc>
        <w:tc>
          <w:tcPr>
            <w:tcW w:w="0" w:type="auto"/>
            <w:shd w:val="clear" w:color="auto" w:fill="auto"/>
          </w:tcPr>
          <w:p w14:paraId="7B740383" w14:textId="77777777" w:rsidR="0046232A" w:rsidRPr="00A43B9C" w:rsidRDefault="0046232A"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shd w:val="clear" w:color="auto" w:fill="auto"/>
            <w:vAlign w:val="center"/>
          </w:tcPr>
          <w:p w14:paraId="2CB7BEB7" w14:textId="77777777" w:rsidR="0046232A" w:rsidRPr="00A43B9C" w:rsidRDefault="0046232A"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0,10</w:t>
            </w:r>
          </w:p>
        </w:tc>
      </w:tr>
      <w:tr w:rsidR="0046232A" w:rsidRPr="00A43B9C" w14:paraId="64B47288" w14:textId="77777777" w:rsidTr="00290AA2">
        <w:tc>
          <w:tcPr>
            <w:tcW w:w="0" w:type="auto"/>
            <w:vAlign w:val="center"/>
          </w:tcPr>
          <w:p w14:paraId="73B7F05D"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P</w:t>
            </w:r>
          </w:p>
        </w:tc>
        <w:tc>
          <w:tcPr>
            <w:tcW w:w="0" w:type="auto"/>
            <w:vAlign w:val="center"/>
          </w:tcPr>
          <w:p w14:paraId="728D035D"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89</w:t>
            </w:r>
          </w:p>
        </w:tc>
        <w:tc>
          <w:tcPr>
            <w:tcW w:w="0" w:type="auto"/>
            <w:vAlign w:val="center"/>
          </w:tcPr>
          <w:p w14:paraId="26C6F010"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16</w:t>
            </w:r>
          </w:p>
        </w:tc>
        <w:tc>
          <w:tcPr>
            <w:tcW w:w="0" w:type="auto"/>
            <w:shd w:val="clear" w:color="auto" w:fill="auto"/>
          </w:tcPr>
          <w:p w14:paraId="38F4513B"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vAlign w:val="center"/>
          </w:tcPr>
          <w:p w14:paraId="0FDD1FD9"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96</w:t>
            </w:r>
          </w:p>
        </w:tc>
        <w:tc>
          <w:tcPr>
            <w:tcW w:w="0" w:type="auto"/>
            <w:vAlign w:val="center"/>
          </w:tcPr>
          <w:p w14:paraId="311B9263"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16</w:t>
            </w:r>
          </w:p>
        </w:tc>
        <w:tc>
          <w:tcPr>
            <w:tcW w:w="0" w:type="auto"/>
            <w:shd w:val="clear" w:color="auto" w:fill="auto"/>
            <w:vAlign w:val="center"/>
          </w:tcPr>
          <w:p w14:paraId="09CBAF8B"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0,02</w:t>
            </w:r>
          </w:p>
        </w:tc>
        <w:tc>
          <w:tcPr>
            <w:tcW w:w="0" w:type="auto"/>
            <w:vAlign w:val="center"/>
          </w:tcPr>
          <w:p w14:paraId="661A1739"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80</w:t>
            </w:r>
          </w:p>
        </w:tc>
        <w:tc>
          <w:tcPr>
            <w:tcW w:w="0" w:type="auto"/>
            <w:vAlign w:val="center"/>
          </w:tcPr>
          <w:p w14:paraId="11F9DA99"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14</w:t>
            </w:r>
          </w:p>
        </w:tc>
        <w:tc>
          <w:tcPr>
            <w:tcW w:w="0" w:type="auto"/>
            <w:shd w:val="clear" w:color="auto" w:fill="auto"/>
          </w:tcPr>
          <w:p w14:paraId="3943E0D8" w14:textId="77777777" w:rsidR="0046232A" w:rsidRPr="00A43B9C" w:rsidRDefault="0046232A" w:rsidP="00446A37">
            <w:pPr>
              <w:spacing w:after="0" w:line="240" w:lineRule="auto"/>
              <w:contextualSpacing/>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shd w:val="clear" w:color="auto" w:fill="auto"/>
            <w:vAlign w:val="center"/>
          </w:tcPr>
          <w:p w14:paraId="7C15A052" w14:textId="77777777" w:rsidR="0046232A" w:rsidRPr="00A43B9C" w:rsidRDefault="0046232A" w:rsidP="00446A37">
            <w:pPr>
              <w:spacing w:after="0" w:line="240" w:lineRule="auto"/>
              <w:contextualSpacing/>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0,20</w:t>
            </w:r>
          </w:p>
        </w:tc>
      </w:tr>
      <w:tr w:rsidR="0046232A" w:rsidRPr="00A43B9C" w14:paraId="179CBB0C" w14:textId="77777777" w:rsidTr="00290AA2">
        <w:tc>
          <w:tcPr>
            <w:tcW w:w="0" w:type="auto"/>
            <w:vAlign w:val="center"/>
          </w:tcPr>
          <w:p w14:paraId="799AB846"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p</w:t>
            </w:r>
            <w:r w:rsidRPr="00A43B9C">
              <w:rPr>
                <w:rFonts w:ascii="Times New Roman" w:hAnsi="Times New Roman" w:cs="Times New Roman"/>
                <w:bCs/>
                <w:sz w:val="28"/>
                <w:szCs w:val="28"/>
              </w:rPr>
              <w:t>-</w:t>
            </w:r>
            <w:r w:rsidRPr="00A43B9C">
              <w:rPr>
                <w:rFonts w:ascii="Times New Roman" w:hAnsi="Times New Roman" w:cs="Times New Roman"/>
                <w:bCs/>
                <w:sz w:val="28"/>
                <w:szCs w:val="28"/>
                <w:lang w:val="en-US"/>
              </w:rPr>
              <w:t>value</w:t>
            </w:r>
          </w:p>
        </w:tc>
        <w:tc>
          <w:tcPr>
            <w:tcW w:w="0" w:type="auto"/>
          </w:tcPr>
          <w:p w14:paraId="3F9C52B6"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tcPr>
          <w:p w14:paraId="6B1DDE91"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shd w:val="clear" w:color="auto" w:fill="auto"/>
            <w:vAlign w:val="center"/>
          </w:tcPr>
          <w:p w14:paraId="73F04155" w14:textId="77777777" w:rsidR="0046232A" w:rsidRPr="00A43B9C" w:rsidRDefault="0046232A" w:rsidP="00446A37">
            <w:pPr>
              <w:spacing w:after="0" w:line="240" w:lineRule="auto"/>
              <w:jc w:val="center"/>
              <w:rPr>
                <w:rFonts w:ascii="Times New Roman" w:hAnsi="Times New Roman" w:cs="Times New Roman"/>
                <w:bCs/>
                <w:sz w:val="28"/>
                <w:szCs w:val="28"/>
                <w:lang w:val="en-US"/>
              </w:rPr>
            </w:pPr>
          </w:p>
        </w:tc>
        <w:tc>
          <w:tcPr>
            <w:tcW w:w="0" w:type="auto"/>
          </w:tcPr>
          <w:p w14:paraId="63074001"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tcPr>
          <w:p w14:paraId="282F5662"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vAlign w:val="center"/>
          </w:tcPr>
          <w:p w14:paraId="3B11B648" w14:textId="77777777" w:rsidR="0046232A" w:rsidRPr="00A43B9C" w:rsidRDefault="0046232A" w:rsidP="00446A37">
            <w:pPr>
              <w:spacing w:after="0" w:line="240" w:lineRule="auto"/>
              <w:jc w:val="center"/>
              <w:rPr>
                <w:rFonts w:ascii="Times New Roman" w:hAnsi="Times New Roman" w:cs="Times New Roman"/>
                <w:bCs/>
                <w:sz w:val="28"/>
                <w:szCs w:val="28"/>
                <w:lang w:val="en-US"/>
              </w:rPr>
            </w:pPr>
          </w:p>
        </w:tc>
        <w:tc>
          <w:tcPr>
            <w:tcW w:w="0" w:type="auto"/>
          </w:tcPr>
          <w:p w14:paraId="318AC957"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tcPr>
          <w:p w14:paraId="345AD8A3"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vAlign w:val="center"/>
          </w:tcPr>
          <w:p w14:paraId="1C35AA60" w14:textId="77777777" w:rsidR="0046232A" w:rsidRPr="00A43B9C" w:rsidRDefault="0046232A" w:rsidP="00446A37">
            <w:pPr>
              <w:spacing w:after="0" w:line="240" w:lineRule="auto"/>
              <w:contextualSpacing/>
              <w:jc w:val="center"/>
              <w:rPr>
                <w:rFonts w:ascii="Times New Roman" w:hAnsi="Times New Roman" w:cs="Times New Roman"/>
                <w:bCs/>
                <w:sz w:val="28"/>
                <w:szCs w:val="28"/>
                <w:lang w:val="en-US"/>
              </w:rPr>
            </w:pPr>
          </w:p>
        </w:tc>
        <w:tc>
          <w:tcPr>
            <w:tcW w:w="0" w:type="auto"/>
            <w:vAlign w:val="center"/>
          </w:tcPr>
          <w:p w14:paraId="51D5F173" w14:textId="77777777" w:rsidR="0046232A" w:rsidRPr="00A43B9C" w:rsidRDefault="0046232A" w:rsidP="00446A37">
            <w:pPr>
              <w:spacing w:after="0" w:line="240" w:lineRule="auto"/>
              <w:contextualSpacing/>
              <w:jc w:val="center"/>
              <w:rPr>
                <w:rFonts w:ascii="Times New Roman" w:hAnsi="Times New Roman" w:cs="Times New Roman"/>
                <w:bCs/>
                <w:sz w:val="28"/>
                <w:szCs w:val="28"/>
                <w:lang w:val="en-US"/>
              </w:rPr>
            </w:pPr>
          </w:p>
        </w:tc>
      </w:tr>
      <w:bookmarkEnd w:id="66"/>
    </w:tbl>
    <w:p w14:paraId="72C06EE8" w14:textId="77777777" w:rsidR="0046232A" w:rsidRPr="00A43B9C" w:rsidRDefault="0046232A" w:rsidP="0046232A">
      <w:pPr>
        <w:spacing w:after="0" w:line="240" w:lineRule="auto"/>
        <w:jc w:val="both"/>
        <w:rPr>
          <w:rFonts w:ascii="Times New Roman" w:hAnsi="Times New Roman" w:cs="Times New Roman"/>
          <w:sz w:val="28"/>
          <w:szCs w:val="28"/>
          <w:lang w:val="en-US"/>
        </w:rPr>
      </w:pPr>
    </w:p>
    <w:p w14:paraId="715A62FF" w14:textId="4D67B414" w:rsidR="00B00C52" w:rsidRDefault="00B00C52" w:rsidP="00A35AE0">
      <w:pPr>
        <w:spacing w:after="0" w:line="240" w:lineRule="auto"/>
        <w:ind w:firstLine="709"/>
        <w:jc w:val="both"/>
        <w:rPr>
          <w:rFonts w:ascii="Times New Roman" w:hAnsi="Times New Roman" w:cs="Times New Roman"/>
          <w:sz w:val="28"/>
          <w:szCs w:val="28"/>
        </w:rPr>
      </w:pPr>
      <w:bookmarkStart w:id="67" w:name="_Hlk133852682"/>
      <w:r w:rsidRPr="00A43B9C">
        <w:rPr>
          <w:rFonts w:ascii="Times New Roman" w:hAnsi="Times New Roman" w:cs="Times New Roman"/>
          <w:sz w:val="28"/>
          <w:szCs w:val="28"/>
        </w:rPr>
        <w:t xml:space="preserve">Значение медианы </w:t>
      </w:r>
      <w:r w:rsidR="0046232A" w:rsidRPr="00A43B9C">
        <w:rPr>
          <w:rFonts w:ascii="Times New Roman" w:hAnsi="Times New Roman" w:cs="Times New Roman"/>
          <w:sz w:val="28"/>
          <w:szCs w:val="28"/>
        </w:rPr>
        <w:t xml:space="preserve">уровня </w:t>
      </w:r>
      <w:r w:rsidR="009307C9" w:rsidRPr="00A43B9C">
        <w:rPr>
          <w:rFonts w:ascii="Times New Roman" w:hAnsi="Times New Roman" w:cs="Times New Roman"/>
          <w:sz w:val="28"/>
          <w:szCs w:val="28"/>
        </w:rPr>
        <w:t>накопления</w:t>
      </w:r>
      <w:r w:rsidR="00F47B14"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по всем локализациям увеличил</w:t>
      </w:r>
      <w:r w:rsidR="004828D1" w:rsidRPr="00A43B9C">
        <w:rPr>
          <w:rFonts w:ascii="Times New Roman" w:hAnsi="Times New Roman" w:cs="Times New Roman"/>
          <w:sz w:val="28"/>
          <w:szCs w:val="28"/>
        </w:rPr>
        <w:t>о</w:t>
      </w:r>
      <w:r w:rsidRPr="00A43B9C">
        <w:rPr>
          <w:rFonts w:ascii="Times New Roman" w:hAnsi="Times New Roman" w:cs="Times New Roman"/>
          <w:sz w:val="28"/>
          <w:szCs w:val="28"/>
        </w:rPr>
        <w:t xml:space="preserve">сь с 0,79 при базовом обследовании до 1,11 при последующем </w:t>
      </w:r>
      <w:r w:rsidRPr="00A43B9C">
        <w:rPr>
          <w:rFonts w:ascii="Times New Roman" w:hAnsi="Times New Roman" w:cs="Times New Roman"/>
          <w:sz w:val="28"/>
          <w:szCs w:val="28"/>
        </w:rPr>
        <w:lastRenderedPageBreak/>
        <w:t>обследовании (р = 0,005). При анализе по отдельным локализациям нами не было обнаружено статистически значим</w:t>
      </w:r>
      <w:r w:rsidR="004828D1" w:rsidRPr="00A43B9C">
        <w:rPr>
          <w:rFonts w:ascii="Times New Roman" w:hAnsi="Times New Roman" w:cs="Times New Roman"/>
          <w:sz w:val="28"/>
          <w:szCs w:val="28"/>
        </w:rPr>
        <w:t>ого</w:t>
      </w:r>
      <w:r w:rsidR="006F1039"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увеличения уровня </w:t>
      </w:r>
      <w:r w:rsidR="009307C9" w:rsidRPr="00A43B9C">
        <w:rPr>
          <w:rFonts w:ascii="Times New Roman" w:hAnsi="Times New Roman" w:cs="Times New Roman"/>
          <w:sz w:val="28"/>
          <w:szCs w:val="28"/>
        </w:rPr>
        <w:t>накопления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ни в одной из девяти локализаций (таблица </w:t>
      </w:r>
      <w:r w:rsidR="00D35E11" w:rsidRPr="00A43B9C">
        <w:rPr>
          <w:rFonts w:ascii="Times New Roman" w:hAnsi="Times New Roman" w:cs="Times New Roman"/>
          <w:sz w:val="28"/>
          <w:szCs w:val="28"/>
        </w:rPr>
        <w:t>13</w:t>
      </w:r>
      <w:r w:rsidRPr="00A43B9C">
        <w:rPr>
          <w:rFonts w:ascii="Times New Roman" w:hAnsi="Times New Roman" w:cs="Times New Roman"/>
          <w:sz w:val="28"/>
          <w:szCs w:val="28"/>
        </w:rPr>
        <w:t>).</w:t>
      </w:r>
      <w:r w:rsidR="00A35AE0" w:rsidRPr="00A43B9C">
        <w:rPr>
          <w:rFonts w:ascii="Times New Roman" w:hAnsi="Times New Roman" w:cs="Times New Roman"/>
          <w:sz w:val="28"/>
          <w:szCs w:val="28"/>
        </w:rPr>
        <w:t xml:space="preserve"> </w:t>
      </w:r>
      <w:r w:rsidR="004828D1" w:rsidRPr="00A43B9C">
        <w:rPr>
          <w:rFonts w:ascii="Times New Roman" w:hAnsi="Times New Roman" w:cs="Times New Roman"/>
          <w:sz w:val="28"/>
          <w:szCs w:val="28"/>
        </w:rPr>
        <w:t>Однако п</w:t>
      </w:r>
      <w:r w:rsidRPr="00A43B9C">
        <w:rPr>
          <w:rFonts w:ascii="Times New Roman" w:hAnsi="Times New Roman" w:cs="Times New Roman"/>
          <w:sz w:val="28"/>
          <w:szCs w:val="28"/>
        </w:rPr>
        <w:t xml:space="preserve">ри стратификации </w:t>
      </w:r>
      <w:r w:rsidRPr="00A43B9C">
        <w:rPr>
          <w:rFonts w:ascii="Times New Roman" w:hAnsi="Times New Roman" w:cs="Times New Roman"/>
          <w:sz w:val="28"/>
          <w:szCs w:val="28"/>
          <w:lang w:val="en-US"/>
        </w:rPr>
        <w:t>nLM</w:t>
      </w:r>
      <w:r w:rsidRPr="00A43B9C">
        <w:rPr>
          <w:rFonts w:ascii="Times New Roman" w:hAnsi="Times New Roman" w:cs="Times New Roman"/>
          <w:sz w:val="28"/>
          <w:szCs w:val="28"/>
        </w:rPr>
        <w:t xml:space="preserve"> по сравнению с </w:t>
      </w:r>
      <w:r w:rsidRPr="00A43B9C">
        <w:rPr>
          <w:rFonts w:ascii="Times New Roman" w:hAnsi="Times New Roman" w:cs="Times New Roman"/>
          <w:sz w:val="28"/>
          <w:szCs w:val="28"/>
          <w:lang w:val="en-US"/>
        </w:rPr>
        <w:t>pLM</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kk-KZ"/>
        </w:rPr>
        <w:t xml:space="preserve">нами было установлено </w:t>
      </w:r>
      <w:r w:rsidRPr="00A43B9C">
        <w:rPr>
          <w:rFonts w:ascii="Times New Roman" w:hAnsi="Times New Roman" w:cs="Times New Roman"/>
          <w:sz w:val="28"/>
          <w:szCs w:val="28"/>
        </w:rPr>
        <w:t xml:space="preserve">значительное увеличение </w:t>
      </w:r>
      <w:r w:rsidRPr="00A43B9C">
        <w:rPr>
          <w:rFonts w:ascii="Times New Roman" w:hAnsi="Times New Roman" w:cs="Times New Roman"/>
          <w:sz w:val="28"/>
          <w:szCs w:val="28"/>
          <w:lang w:val="kk-KZ"/>
        </w:rPr>
        <w:t xml:space="preserve">уровня </w:t>
      </w:r>
      <w:r w:rsidR="009307C9" w:rsidRPr="00A43B9C">
        <w:rPr>
          <w:rFonts w:ascii="Times New Roman" w:hAnsi="Times New Roman" w:cs="Times New Roman"/>
          <w:sz w:val="28"/>
          <w:szCs w:val="28"/>
        </w:rPr>
        <w:t>накопления</w:t>
      </w:r>
      <w:r w:rsidRPr="00A43B9C">
        <w:rPr>
          <w:rFonts w:ascii="Times New Roman" w:hAnsi="Times New Roman" w:cs="Times New Roman"/>
          <w:sz w:val="28"/>
          <w:szCs w:val="28"/>
          <w:lang w:val="kk-KZ"/>
        </w:rPr>
        <w:t xml:space="preserve"> </w:t>
      </w:r>
      <w:r w:rsidRPr="00A43B9C">
        <w:rPr>
          <w:rFonts w:ascii="Times New Roman" w:hAnsi="Times New Roman" w:cs="Times New Roman"/>
          <w:sz w:val="28"/>
          <w:szCs w:val="28"/>
        </w:rPr>
        <w:t>SUV</w:t>
      </w:r>
      <w:r w:rsidRPr="00A43B9C">
        <w:rPr>
          <w:rFonts w:ascii="Times New Roman" w:hAnsi="Times New Roman" w:cs="Times New Roman"/>
          <w:sz w:val="28"/>
          <w:szCs w:val="28"/>
          <w:vertAlign w:val="subscript"/>
        </w:rPr>
        <w:t>max</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kk-KZ"/>
        </w:rPr>
        <w:t xml:space="preserve">в </w:t>
      </w:r>
      <w:r w:rsidR="0046232A" w:rsidRPr="00A43B9C">
        <w:rPr>
          <w:rFonts w:ascii="Times New Roman" w:hAnsi="Times New Roman" w:cs="Times New Roman"/>
          <w:sz w:val="28"/>
          <w:szCs w:val="28"/>
          <w:lang w:val="en-US"/>
        </w:rPr>
        <w:t>VAT</w:t>
      </w:r>
      <w:r w:rsidRPr="00A43B9C">
        <w:rPr>
          <w:rFonts w:ascii="Times New Roman" w:hAnsi="Times New Roman" w:cs="Times New Roman"/>
          <w:sz w:val="28"/>
          <w:szCs w:val="28"/>
          <w:lang w:val="kk-KZ"/>
        </w:rPr>
        <w:t xml:space="preserve"> </w:t>
      </w:r>
      <w:r w:rsidRPr="00A43B9C">
        <w:rPr>
          <w:rFonts w:ascii="Times New Roman" w:hAnsi="Times New Roman" w:cs="Times New Roman"/>
          <w:sz w:val="28"/>
          <w:szCs w:val="28"/>
        </w:rPr>
        <w:t xml:space="preserve">во всех </w:t>
      </w:r>
      <w:r w:rsidRPr="00A43B9C">
        <w:rPr>
          <w:rFonts w:ascii="Times New Roman" w:hAnsi="Times New Roman" w:cs="Times New Roman"/>
          <w:sz w:val="28"/>
          <w:szCs w:val="28"/>
          <w:lang w:val="kk-KZ"/>
        </w:rPr>
        <w:t>локализ</w:t>
      </w:r>
      <w:r w:rsidR="00EF7C89">
        <w:rPr>
          <w:rFonts w:ascii="Times New Roman" w:hAnsi="Times New Roman" w:cs="Times New Roman"/>
          <w:sz w:val="28"/>
          <w:szCs w:val="28"/>
          <w:lang w:val="kk-KZ"/>
        </w:rPr>
        <w:t>а</w:t>
      </w:r>
      <w:r w:rsidRPr="00A43B9C">
        <w:rPr>
          <w:rFonts w:ascii="Times New Roman" w:hAnsi="Times New Roman" w:cs="Times New Roman"/>
          <w:sz w:val="28"/>
          <w:szCs w:val="28"/>
          <w:lang w:val="kk-KZ"/>
        </w:rPr>
        <w:t>циях брю</w:t>
      </w:r>
      <w:r w:rsidRPr="00760A1A">
        <w:rPr>
          <w:rFonts w:ascii="Times New Roman" w:hAnsi="Times New Roman" w:cs="Times New Roman"/>
          <w:sz w:val="28"/>
          <w:szCs w:val="28"/>
          <w:lang w:val="kk-KZ"/>
        </w:rPr>
        <w:t>шной полости и малого таза</w:t>
      </w:r>
      <w:r w:rsidRPr="00760A1A">
        <w:rPr>
          <w:rFonts w:ascii="Times New Roman" w:hAnsi="Times New Roman" w:cs="Times New Roman"/>
          <w:sz w:val="28"/>
          <w:szCs w:val="28"/>
        </w:rPr>
        <w:t>.</w:t>
      </w:r>
      <w:bookmarkEnd w:id="64"/>
    </w:p>
    <w:p w14:paraId="188DC067" w14:textId="77777777" w:rsidR="00AB2535" w:rsidRPr="00760A1A" w:rsidRDefault="00AB2535" w:rsidP="00A35AE0">
      <w:pPr>
        <w:spacing w:after="0" w:line="240" w:lineRule="auto"/>
        <w:ind w:firstLine="709"/>
        <w:jc w:val="both"/>
        <w:rPr>
          <w:rFonts w:ascii="Times New Roman" w:hAnsi="Times New Roman" w:cs="Times New Roman"/>
          <w:sz w:val="28"/>
          <w:szCs w:val="28"/>
        </w:rPr>
      </w:pPr>
    </w:p>
    <w:p w14:paraId="5CA6141E" w14:textId="63A7791D" w:rsidR="00295362" w:rsidRPr="000048BD" w:rsidRDefault="00295362" w:rsidP="006E2E0F">
      <w:pPr>
        <w:pStyle w:val="31"/>
        <w:spacing w:before="0" w:line="240" w:lineRule="auto"/>
        <w:ind w:firstLine="709"/>
        <w:jc w:val="both"/>
        <w:rPr>
          <w:rFonts w:ascii="Times New Roman" w:eastAsia="Times New Roman" w:hAnsi="Times New Roman" w:cs="Times New Roman"/>
          <w:color w:val="auto"/>
          <w:sz w:val="28"/>
          <w:szCs w:val="28"/>
          <w:lang w:val="kk-KZ" w:eastAsia="ru-RU"/>
        </w:rPr>
      </w:pPr>
      <w:bookmarkStart w:id="68" w:name="_Toc101861819"/>
      <w:bookmarkStart w:id="69" w:name="_Toc102937622"/>
      <w:bookmarkStart w:id="70" w:name="_Hlk101447700"/>
      <w:bookmarkEnd w:id="67"/>
      <w:r w:rsidRPr="000048BD">
        <w:rPr>
          <w:rFonts w:ascii="Times New Roman" w:eastAsia="Times New Roman" w:hAnsi="Times New Roman" w:cs="Times New Roman"/>
          <w:color w:val="auto"/>
          <w:sz w:val="28"/>
          <w:szCs w:val="28"/>
          <w:lang w:eastAsia="ru-RU"/>
        </w:rPr>
        <w:t>3.</w:t>
      </w:r>
      <w:r w:rsidR="00040E82" w:rsidRPr="000048BD">
        <w:rPr>
          <w:rFonts w:ascii="Times New Roman" w:eastAsia="Times New Roman" w:hAnsi="Times New Roman" w:cs="Times New Roman"/>
          <w:color w:val="auto"/>
          <w:sz w:val="28"/>
          <w:szCs w:val="28"/>
          <w:lang w:eastAsia="ru-RU"/>
        </w:rPr>
        <w:t>1.</w:t>
      </w:r>
      <w:r w:rsidR="00B674B1" w:rsidRPr="000048BD">
        <w:rPr>
          <w:rFonts w:ascii="Times New Roman" w:eastAsia="Times New Roman" w:hAnsi="Times New Roman" w:cs="Times New Roman"/>
          <w:color w:val="auto"/>
          <w:sz w:val="28"/>
          <w:szCs w:val="28"/>
          <w:lang w:eastAsia="ru-RU"/>
        </w:rPr>
        <w:t>4</w:t>
      </w:r>
      <w:r w:rsidRPr="000048BD">
        <w:rPr>
          <w:rFonts w:ascii="Times New Roman" w:eastAsia="Times New Roman" w:hAnsi="Times New Roman" w:cs="Times New Roman"/>
          <w:color w:val="auto"/>
          <w:sz w:val="28"/>
          <w:szCs w:val="28"/>
          <w:lang w:eastAsia="ru-RU"/>
        </w:rPr>
        <w:t xml:space="preserve"> </w:t>
      </w:r>
      <w:r w:rsidR="00760A1A" w:rsidRPr="000048BD">
        <w:rPr>
          <w:rFonts w:ascii="Times New Roman" w:hAnsi="Times New Roman" w:cs="Times New Roman"/>
          <w:color w:val="auto"/>
          <w:sz w:val="28"/>
          <w:szCs w:val="28"/>
          <w:lang w:eastAsia="ru-RU"/>
        </w:rPr>
        <w:t xml:space="preserve">Результаты </w:t>
      </w:r>
      <w:r w:rsidR="00760A1A" w:rsidRPr="000048BD">
        <w:rPr>
          <w:rFonts w:ascii="Times New Roman" w:hAnsi="Times New Roman" w:cs="Times New Roman"/>
          <w:color w:val="auto"/>
          <w:sz w:val="28"/>
          <w:szCs w:val="28"/>
          <w:lang w:val="en-US" w:eastAsia="ru-RU"/>
        </w:rPr>
        <w:t>ROC</w:t>
      </w:r>
      <w:r w:rsidR="00760A1A" w:rsidRPr="000048BD">
        <w:rPr>
          <w:rFonts w:ascii="Times New Roman" w:hAnsi="Times New Roman" w:cs="Times New Roman"/>
          <w:color w:val="auto"/>
          <w:sz w:val="28"/>
          <w:szCs w:val="28"/>
          <w:lang w:val="kk-KZ" w:eastAsia="ru-RU"/>
        </w:rPr>
        <w:t>-</w:t>
      </w:r>
      <w:r w:rsidR="00760A1A" w:rsidRPr="000048BD">
        <w:rPr>
          <w:rFonts w:ascii="Times New Roman" w:hAnsi="Times New Roman" w:cs="Times New Roman"/>
          <w:color w:val="auto"/>
          <w:sz w:val="28"/>
          <w:szCs w:val="28"/>
          <w:lang w:eastAsia="ru-RU"/>
        </w:rPr>
        <w:t xml:space="preserve">анализа в зависимости от </w:t>
      </w:r>
      <w:r w:rsidR="00FD338B" w:rsidRPr="000048BD">
        <w:rPr>
          <w:rFonts w:ascii="Times New Roman" w:hAnsi="Times New Roman" w:cs="Times New Roman"/>
          <w:color w:val="auto"/>
          <w:sz w:val="28"/>
          <w:szCs w:val="28"/>
          <w:lang w:eastAsia="ru-RU"/>
        </w:rPr>
        <w:t>метастатического поражения брюшины</w:t>
      </w:r>
      <w:bookmarkEnd w:id="68"/>
      <w:bookmarkEnd w:id="69"/>
    </w:p>
    <w:p w14:paraId="2D27D5F0" w14:textId="58BC977B" w:rsidR="00C81AE7" w:rsidRPr="00A43B9C" w:rsidRDefault="00C81AE7" w:rsidP="00C81AE7">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lang w:val="en-US"/>
        </w:rPr>
        <w:t>ROC</w:t>
      </w:r>
      <w:r w:rsidRPr="00A43B9C">
        <w:rPr>
          <w:rFonts w:ascii="Times New Roman" w:hAnsi="Times New Roman" w:cs="Times New Roman"/>
          <w:sz w:val="28"/>
          <w:szCs w:val="28"/>
          <w:lang w:val="kk-KZ"/>
        </w:rPr>
        <w:t>-</w:t>
      </w:r>
      <w:r w:rsidRPr="00A43B9C">
        <w:rPr>
          <w:rFonts w:ascii="Times New Roman" w:hAnsi="Times New Roman" w:cs="Times New Roman"/>
          <w:sz w:val="28"/>
          <w:szCs w:val="28"/>
        </w:rPr>
        <w:t xml:space="preserve">анализ с построением соответствующей кривой выполнен для всех локализаций у ЭРЯ пациентов с </w:t>
      </w:r>
      <w:r w:rsidR="001C40D1" w:rsidRPr="00A43B9C">
        <w:rPr>
          <w:rFonts w:ascii="Times New Roman" w:hAnsi="Times New Roman" w:cs="Times New Roman"/>
          <w:sz w:val="28"/>
          <w:szCs w:val="28"/>
          <w:lang w:val="en-US"/>
        </w:rPr>
        <w:t>LM</w:t>
      </w:r>
      <w:r w:rsidRPr="00A43B9C">
        <w:rPr>
          <w:rFonts w:ascii="Times New Roman" w:hAnsi="Times New Roman" w:cs="Times New Roman"/>
          <w:sz w:val="28"/>
          <w:szCs w:val="28"/>
        </w:rPr>
        <w:t xml:space="preserve"> при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FDG</w:t>
      </w:r>
      <w:r w:rsidRPr="00A43B9C">
        <w:rPr>
          <w:rFonts w:ascii="Times New Roman" w:hAnsi="Times New Roman" w:cs="Times New Roman"/>
          <w:sz w:val="28"/>
          <w:szCs w:val="28"/>
        </w:rPr>
        <w:t xml:space="preserve"> ПЭТ/КТ исследовании с определением прогностической ценности уровня </w:t>
      </w:r>
      <w:r w:rsidR="009307C9" w:rsidRPr="00A43B9C">
        <w:rPr>
          <w:rFonts w:ascii="Times New Roman" w:hAnsi="Times New Roman" w:cs="Times New Roman"/>
          <w:sz w:val="28"/>
          <w:szCs w:val="28"/>
        </w:rPr>
        <w:t>накопления</w:t>
      </w:r>
      <w:r w:rsidR="000F71AA"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Pr="00A43B9C">
        <w:rPr>
          <w:rFonts w:ascii="Times New Roman" w:hAnsi="Times New Roman" w:cs="Times New Roman"/>
          <w:sz w:val="28"/>
          <w:szCs w:val="28"/>
          <w:lang w:val="en-US"/>
        </w:rPr>
        <w:t>VAT</w:t>
      </w:r>
      <w:r w:rsidRPr="00A43B9C">
        <w:rPr>
          <w:rFonts w:ascii="Times New Roman" w:hAnsi="Times New Roman" w:cs="Times New Roman"/>
          <w:sz w:val="28"/>
          <w:szCs w:val="28"/>
        </w:rPr>
        <w:t>.</w:t>
      </w:r>
    </w:p>
    <w:p w14:paraId="7D74A078" w14:textId="60695708" w:rsidR="00C81AE7" w:rsidRPr="00A43B9C" w:rsidRDefault="00C81AE7" w:rsidP="00C81AE7">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При оценке зависимости вероятности </w:t>
      </w:r>
      <w:r w:rsidR="001C40D1" w:rsidRPr="00A43B9C">
        <w:rPr>
          <w:rFonts w:ascii="Times New Roman" w:hAnsi="Times New Roman" w:cs="Times New Roman"/>
          <w:sz w:val="28"/>
          <w:szCs w:val="28"/>
          <w:lang w:val="en-US"/>
        </w:rPr>
        <w:t>pLM</w:t>
      </w:r>
      <w:r w:rsidRPr="00A43B9C">
        <w:rPr>
          <w:rFonts w:ascii="Times New Roman" w:hAnsi="Times New Roman" w:cs="Times New Roman"/>
          <w:sz w:val="28"/>
          <w:szCs w:val="28"/>
        </w:rPr>
        <w:t xml:space="preserve"> в </w:t>
      </w:r>
      <w:r w:rsidR="000F71AA"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RE с помощью ROC-анализа была получена следующая кривая</w:t>
      </w:r>
      <w:r w:rsidR="00102EE2" w:rsidRPr="00A43B9C">
        <w:rPr>
          <w:rFonts w:ascii="Times New Roman" w:hAnsi="Times New Roman" w:cs="Times New Roman"/>
          <w:sz w:val="28"/>
          <w:szCs w:val="28"/>
        </w:rPr>
        <w:t xml:space="preserve"> (рисунок 1</w:t>
      </w:r>
      <w:r w:rsidR="00006C4D">
        <w:rPr>
          <w:rFonts w:ascii="Times New Roman" w:hAnsi="Times New Roman" w:cs="Times New Roman"/>
          <w:sz w:val="28"/>
          <w:szCs w:val="28"/>
        </w:rPr>
        <w:t>4</w:t>
      </w:r>
      <w:r w:rsidR="00102EE2" w:rsidRPr="00A43B9C">
        <w:rPr>
          <w:rFonts w:ascii="Times New Roman" w:hAnsi="Times New Roman" w:cs="Times New Roman"/>
          <w:sz w:val="28"/>
          <w:szCs w:val="28"/>
        </w:rPr>
        <w:t>)</w:t>
      </w:r>
      <w:r w:rsidRPr="00A43B9C">
        <w:rPr>
          <w:rFonts w:ascii="Times New Roman" w:hAnsi="Times New Roman" w:cs="Times New Roman"/>
          <w:sz w:val="28"/>
          <w:szCs w:val="28"/>
        </w:rPr>
        <w:t>.</w:t>
      </w:r>
    </w:p>
    <w:p w14:paraId="7E3D1101" w14:textId="77777777" w:rsidR="00C81AE7" w:rsidRPr="00A43B9C" w:rsidRDefault="00C81AE7" w:rsidP="00C81AE7">
      <w:pPr>
        <w:spacing w:after="0" w:line="240" w:lineRule="auto"/>
        <w:rPr>
          <w:rFonts w:ascii="Times New Roman" w:hAnsi="Times New Roman" w:cs="Times New Roman"/>
          <w:sz w:val="28"/>
          <w:szCs w:val="28"/>
        </w:rPr>
      </w:pPr>
    </w:p>
    <w:p w14:paraId="07C2457C" w14:textId="77777777" w:rsidR="00C81AE7" w:rsidRPr="007E74A4" w:rsidRDefault="00C81AE7" w:rsidP="00C81AE7">
      <w:pPr>
        <w:jc w:val="center"/>
        <w:rPr>
          <w:rFonts w:ascii="Times New Roman" w:hAnsi="Times New Roman" w:cs="Times New Roman"/>
          <w:sz w:val="28"/>
          <w:szCs w:val="28"/>
        </w:rPr>
      </w:pPr>
      <w:r w:rsidRPr="00A43B9C">
        <w:rPr>
          <w:noProof/>
          <w:lang w:eastAsia="ru-RU"/>
        </w:rPr>
        <w:drawing>
          <wp:inline distT="0" distB="0" distL="0" distR="0" wp14:anchorId="66B0B4CE" wp14:editId="28FC39BD">
            <wp:extent cx="3685240" cy="2268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29.png"/>
                    <pic:cNvPicPr/>
                  </pic:nvPicPr>
                  <pic:blipFill>
                    <a:blip r:embed="rId147"/>
                    <a:stretch>
                      <a:fillRect/>
                    </a:stretch>
                  </pic:blipFill>
                  <pic:spPr>
                    <a:xfrm>
                      <a:off x="0" y="0"/>
                      <a:ext cx="3685240" cy="2268000"/>
                    </a:xfrm>
                    <a:prstGeom prst="rect">
                      <a:avLst/>
                    </a:prstGeom>
                  </pic:spPr>
                </pic:pic>
              </a:graphicData>
            </a:graphic>
          </wp:inline>
        </w:drawing>
      </w:r>
    </w:p>
    <w:p w14:paraId="42F04BBC" w14:textId="68C21C1D" w:rsidR="00C81AE7"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1</w:t>
      </w:r>
      <w:r w:rsidR="00006C4D">
        <w:rPr>
          <w:rFonts w:ascii="Times New Roman" w:hAnsi="Times New Roman" w:cs="Times New Roman"/>
          <w:sz w:val="28"/>
          <w:szCs w:val="28"/>
        </w:rPr>
        <w:t>4</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ROC-кривая, характеризующая зависимость вероятности </w:t>
      </w:r>
      <w:r w:rsidR="001C40D1" w:rsidRPr="00A43B9C">
        <w:rPr>
          <w:rFonts w:ascii="Times New Roman" w:hAnsi="Times New Roman" w:cs="Times New Roman"/>
          <w:sz w:val="28"/>
          <w:szCs w:val="28"/>
          <w:lang w:val="en-US"/>
        </w:rPr>
        <w:t>pLM</w:t>
      </w:r>
      <w:r w:rsidRPr="00A43B9C">
        <w:rPr>
          <w:rFonts w:ascii="Times New Roman" w:hAnsi="Times New Roman" w:cs="Times New Roman"/>
          <w:sz w:val="28"/>
          <w:szCs w:val="28"/>
        </w:rPr>
        <w:t xml:space="preserve"> от </w:t>
      </w:r>
      <w:r w:rsidR="000F71AA"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RE</w:t>
      </w:r>
    </w:p>
    <w:p w14:paraId="2E7C572B" w14:textId="77777777" w:rsidR="006447BF" w:rsidRPr="00A43B9C" w:rsidRDefault="006447BF" w:rsidP="00C81AE7">
      <w:pPr>
        <w:spacing w:after="0" w:line="240" w:lineRule="auto"/>
        <w:jc w:val="center"/>
        <w:rPr>
          <w:rFonts w:ascii="Times New Roman" w:hAnsi="Times New Roman" w:cs="Times New Roman"/>
          <w:sz w:val="28"/>
          <w:szCs w:val="28"/>
        </w:rPr>
      </w:pPr>
    </w:p>
    <w:p w14:paraId="7D00A933" w14:textId="77777777"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rPr>
        <w:drawing>
          <wp:inline distT="0" distB="0" distL="0" distR="0" wp14:anchorId="5DDC5243" wp14:editId="0D283861">
            <wp:extent cx="4968590" cy="2268000"/>
            <wp:effectExtent l="0" t="0" r="3810" b="0"/>
            <wp:docPr id="30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6.png"/>
                    <pic:cNvPicPr/>
                  </pic:nvPicPr>
                  <pic:blipFill>
                    <a:blip r:embed="rId148"/>
                    <a:stretch>
                      <a:fillRect/>
                    </a:stretch>
                  </pic:blipFill>
                  <pic:spPr>
                    <a:xfrm>
                      <a:off x="0" y="0"/>
                      <a:ext cx="4968590" cy="2268000"/>
                    </a:xfrm>
                    <a:prstGeom prst="rect">
                      <a:avLst/>
                    </a:prstGeom>
                  </pic:spPr>
                </pic:pic>
              </a:graphicData>
            </a:graphic>
          </wp:inline>
        </w:drawing>
      </w:r>
    </w:p>
    <w:p w14:paraId="1D6805E9" w14:textId="73781C69"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1</w:t>
      </w:r>
      <w:r w:rsidR="00006C4D">
        <w:rPr>
          <w:rFonts w:ascii="Times New Roman" w:hAnsi="Times New Roman" w:cs="Times New Roman"/>
          <w:sz w:val="28"/>
          <w:szCs w:val="28"/>
        </w:rPr>
        <w:t>5</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чувствительности и специфичности модели в зависимости от пороговых значений уровня </w:t>
      </w:r>
      <w:r w:rsidR="009307C9" w:rsidRPr="00A43B9C">
        <w:rPr>
          <w:rFonts w:ascii="Times New Roman" w:hAnsi="Times New Roman" w:cs="Times New Roman"/>
          <w:sz w:val="28"/>
          <w:szCs w:val="28"/>
        </w:rPr>
        <w:t>накопления</w:t>
      </w:r>
      <w:r w:rsidR="000F71AA"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0F71AA"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RE</w:t>
      </w:r>
    </w:p>
    <w:p w14:paraId="3AB78334" w14:textId="78694D53" w:rsidR="00E45A02" w:rsidRDefault="00E45A02" w:rsidP="00E45A02">
      <w:pPr>
        <w:spacing w:after="0" w:line="240" w:lineRule="auto"/>
        <w:rPr>
          <w:rFonts w:ascii="Times New Roman" w:hAnsi="Times New Roman" w:cs="Times New Roman"/>
          <w:sz w:val="28"/>
          <w:szCs w:val="28"/>
        </w:rPr>
      </w:pPr>
      <w:r>
        <w:rPr>
          <w:rFonts w:ascii="Times New Roman" w:hAnsi="Times New Roman" w:cs="Times New Roman"/>
          <w:sz w:val="28"/>
          <w:szCs w:val="28"/>
        </w:rPr>
        <w:br w:type="page"/>
      </w:r>
    </w:p>
    <w:p w14:paraId="2D312747" w14:textId="67BB6682" w:rsidR="00C81AE7" w:rsidRPr="00A43B9C" w:rsidRDefault="000A6F86" w:rsidP="00D12CD6">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lastRenderedPageBreak/>
        <w:t>Таблица 14 -</w:t>
      </w:r>
      <w:r w:rsidR="00C81AE7" w:rsidRPr="00A43B9C">
        <w:rPr>
          <w:rFonts w:ascii="Times New Roman" w:hAnsi="Times New Roman" w:cs="Times New Roman"/>
          <w:sz w:val="28"/>
          <w:szCs w:val="28"/>
        </w:rPr>
        <w:t xml:space="preserve"> Пороговые значения уровня </w:t>
      </w:r>
      <w:r w:rsidR="009307C9" w:rsidRPr="00A43B9C">
        <w:rPr>
          <w:rFonts w:ascii="Times New Roman" w:hAnsi="Times New Roman" w:cs="Times New Roman"/>
          <w:sz w:val="28"/>
          <w:szCs w:val="28"/>
        </w:rPr>
        <w:t>накопления</w:t>
      </w:r>
      <w:r w:rsidR="000F71AA" w:rsidRPr="00A43B9C">
        <w:rPr>
          <w:rFonts w:ascii="Times New Roman" w:hAnsi="Times New Roman" w:cs="Times New Roman"/>
          <w:sz w:val="28"/>
          <w:szCs w:val="28"/>
        </w:rPr>
        <w:t xml:space="preserve"> </w:t>
      </w:r>
      <w:r w:rsidR="00C81AE7" w:rsidRPr="00A43B9C">
        <w:rPr>
          <w:rFonts w:ascii="Times New Roman" w:hAnsi="Times New Roman" w:cs="Times New Roman"/>
          <w:sz w:val="28"/>
          <w:szCs w:val="28"/>
          <w:lang w:val="en-US"/>
        </w:rPr>
        <w:t>SUV</w:t>
      </w:r>
      <w:r w:rsidR="00C81AE7" w:rsidRPr="00A43B9C">
        <w:rPr>
          <w:rFonts w:ascii="Times New Roman" w:hAnsi="Times New Roman" w:cs="Times New Roman"/>
          <w:sz w:val="28"/>
          <w:szCs w:val="28"/>
          <w:vertAlign w:val="subscript"/>
          <w:lang w:val="en-US"/>
        </w:rPr>
        <w:t>max</w:t>
      </w:r>
      <w:r w:rsidR="00C81AE7" w:rsidRPr="00A43B9C">
        <w:rPr>
          <w:rFonts w:ascii="Times New Roman" w:hAnsi="Times New Roman" w:cs="Times New Roman"/>
          <w:sz w:val="28"/>
          <w:szCs w:val="28"/>
        </w:rPr>
        <w:t xml:space="preserve"> в </w:t>
      </w:r>
      <w:r w:rsidR="000F71AA" w:rsidRPr="00A43B9C">
        <w:rPr>
          <w:rFonts w:ascii="Times New Roman" w:hAnsi="Times New Roman" w:cs="Times New Roman"/>
          <w:sz w:val="28"/>
          <w:szCs w:val="28"/>
        </w:rPr>
        <w:t xml:space="preserve">локализации </w:t>
      </w:r>
      <w:r w:rsidR="00C81AE7" w:rsidRPr="00A43B9C">
        <w:rPr>
          <w:rFonts w:ascii="Times New Roman" w:hAnsi="Times New Roman" w:cs="Times New Roman"/>
          <w:sz w:val="28"/>
          <w:szCs w:val="28"/>
        </w:rPr>
        <w:t>RE</w:t>
      </w:r>
    </w:p>
    <w:p w14:paraId="2E02D36B" w14:textId="77777777" w:rsidR="00D12CD6" w:rsidRPr="00A43B9C" w:rsidRDefault="00D12CD6" w:rsidP="00D12CD6">
      <w:pPr>
        <w:spacing w:after="0" w:line="240" w:lineRule="auto"/>
        <w:jc w:val="both"/>
        <w:rPr>
          <w:rFonts w:ascii="Times New Roman" w:hAnsi="Times New Roman" w:cs="Times New Roman"/>
          <w:sz w:val="28"/>
          <w:szCs w:val="28"/>
        </w:rPr>
      </w:pPr>
    </w:p>
    <w:tbl>
      <w:tblPr>
        <w:tblStyle w:val="ad"/>
        <w:tblW w:w="5000" w:type="pct"/>
        <w:jc w:val="center"/>
        <w:tblLook w:val="04A0" w:firstRow="1" w:lastRow="0" w:firstColumn="1" w:lastColumn="0" w:noHBand="0" w:noVBand="1"/>
      </w:tblPr>
      <w:tblGrid>
        <w:gridCol w:w="1790"/>
        <w:gridCol w:w="2069"/>
        <w:gridCol w:w="1966"/>
        <w:gridCol w:w="1757"/>
        <w:gridCol w:w="1762"/>
      </w:tblGrid>
      <w:tr w:rsidR="00C81AE7" w:rsidRPr="00A43B9C" w14:paraId="612FE357" w14:textId="77777777" w:rsidTr="003F0A73">
        <w:trPr>
          <w:jc w:val="center"/>
        </w:trPr>
        <w:tc>
          <w:tcPr>
            <w:tcW w:w="958" w:type="pct"/>
            <w:vAlign w:val="center"/>
          </w:tcPr>
          <w:p w14:paraId="51BC89E9" w14:textId="653D1A69"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Порог</w:t>
            </w:r>
            <w:r w:rsidR="004828D1" w:rsidRPr="00A43B9C">
              <w:rPr>
                <w:rFonts w:ascii="Times New Roman" w:hAnsi="Times New Roman" w:cs="Times New Roman"/>
                <w:sz w:val="28"/>
                <w:szCs w:val="28"/>
              </w:rPr>
              <w:t>овое значение</w:t>
            </w:r>
          </w:p>
        </w:tc>
        <w:tc>
          <w:tcPr>
            <w:tcW w:w="1107" w:type="pct"/>
            <w:vAlign w:val="center"/>
          </w:tcPr>
          <w:p w14:paraId="4903958C" w14:textId="33853EF5"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Se, %</w:t>
            </w:r>
          </w:p>
        </w:tc>
        <w:tc>
          <w:tcPr>
            <w:tcW w:w="1052" w:type="pct"/>
            <w:vAlign w:val="center"/>
          </w:tcPr>
          <w:p w14:paraId="298CF6E6" w14:textId="090AB538"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Sp, %</w:t>
            </w:r>
          </w:p>
        </w:tc>
        <w:tc>
          <w:tcPr>
            <w:tcW w:w="940" w:type="pct"/>
            <w:vAlign w:val="center"/>
          </w:tcPr>
          <w:p w14:paraId="1FE8A3A2" w14:textId="6CD47F0E" w:rsidR="00C81AE7" w:rsidRPr="00A43B9C" w:rsidRDefault="00C81AE7" w:rsidP="00446A37">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PPV</w:t>
            </w:r>
            <w:r w:rsidR="003E57FA" w:rsidRPr="00A43B9C">
              <w:rPr>
                <w:rFonts w:ascii="Times New Roman" w:hAnsi="Times New Roman" w:cs="Times New Roman"/>
                <w:sz w:val="28"/>
                <w:szCs w:val="28"/>
                <w:lang w:val="en-US"/>
              </w:rPr>
              <w:t>, %</w:t>
            </w:r>
          </w:p>
        </w:tc>
        <w:tc>
          <w:tcPr>
            <w:tcW w:w="943" w:type="pct"/>
            <w:vAlign w:val="center"/>
          </w:tcPr>
          <w:p w14:paraId="3ADA3BAB" w14:textId="03603EF2" w:rsidR="00C81AE7" w:rsidRPr="00A43B9C" w:rsidRDefault="00C81AE7" w:rsidP="00446A37">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NPV</w:t>
            </w:r>
            <w:r w:rsidR="003E57FA" w:rsidRPr="00A43B9C">
              <w:rPr>
                <w:rFonts w:ascii="Times New Roman" w:hAnsi="Times New Roman" w:cs="Times New Roman"/>
                <w:sz w:val="28"/>
                <w:szCs w:val="28"/>
                <w:lang w:val="en-US"/>
              </w:rPr>
              <w:t>, %</w:t>
            </w:r>
          </w:p>
        </w:tc>
      </w:tr>
      <w:tr w:rsidR="00C81AE7" w:rsidRPr="00A43B9C" w14:paraId="17825CC3" w14:textId="77777777" w:rsidTr="003F0A73">
        <w:trPr>
          <w:jc w:val="center"/>
        </w:trPr>
        <w:tc>
          <w:tcPr>
            <w:tcW w:w="958" w:type="pct"/>
            <w:vAlign w:val="center"/>
          </w:tcPr>
          <w:p w14:paraId="053160BE"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1,27</w:t>
            </w:r>
          </w:p>
        </w:tc>
        <w:tc>
          <w:tcPr>
            <w:tcW w:w="1107" w:type="pct"/>
            <w:vAlign w:val="center"/>
          </w:tcPr>
          <w:p w14:paraId="52590E39"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67,9</w:t>
            </w:r>
          </w:p>
        </w:tc>
        <w:tc>
          <w:tcPr>
            <w:tcW w:w="1052" w:type="pct"/>
            <w:vAlign w:val="center"/>
          </w:tcPr>
          <w:p w14:paraId="3D837933"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52,0</w:t>
            </w:r>
          </w:p>
        </w:tc>
        <w:tc>
          <w:tcPr>
            <w:tcW w:w="940" w:type="pct"/>
            <w:vAlign w:val="center"/>
          </w:tcPr>
          <w:p w14:paraId="77CD60DB"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61,3</w:t>
            </w:r>
          </w:p>
        </w:tc>
        <w:tc>
          <w:tcPr>
            <w:tcW w:w="943" w:type="pct"/>
            <w:vAlign w:val="center"/>
          </w:tcPr>
          <w:p w14:paraId="1D09AEC4"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59,1</w:t>
            </w:r>
          </w:p>
        </w:tc>
      </w:tr>
      <w:tr w:rsidR="00C81AE7" w:rsidRPr="00A43B9C" w14:paraId="1A04FAD6" w14:textId="77777777" w:rsidTr="003F0A73">
        <w:trPr>
          <w:jc w:val="center"/>
        </w:trPr>
        <w:tc>
          <w:tcPr>
            <w:tcW w:w="958" w:type="pct"/>
            <w:vAlign w:val="center"/>
          </w:tcPr>
          <w:p w14:paraId="7F2D6A38"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1,25</w:t>
            </w:r>
          </w:p>
        </w:tc>
        <w:tc>
          <w:tcPr>
            <w:tcW w:w="1107" w:type="pct"/>
            <w:vAlign w:val="center"/>
          </w:tcPr>
          <w:p w14:paraId="0C50EE31"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64,3</w:t>
            </w:r>
          </w:p>
        </w:tc>
        <w:tc>
          <w:tcPr>
            <w:tcW w:w="1052" w:type="pct"/>
            <w:vAlign w:val="center"/>
          </w:tcPr>
          <w:p w14:paraId="17CE8D6B"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56,0</w:t>
            </w:r>
          </w:p>
        </w:tc>
        <w:tc>
          <w:tcPr>
            <w:tcW w:w="940" w:type="pct"/>
            <w:vAlign w:val="center"/>
          </w:tcPr>
          <w:p w14:paraId="6A13FD83"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62,1</w:t>
            </w:r>
          </w:p>
        </w:tc>
        <w:tc>
          <w:tcPr>
            <w:tcW w:w="943" w:type="pct"/>
            <w:vAlign w:val="center"/>
          </w:tcPr>
          <w:p w14:paraId="1BF17AE9"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58,3</w:t>
            </w:r>
          </w:p>
        </w:tc>
      </w:tr>
      <w:tr w:rsidR="00C81AE7" w:rsidRPr="00A43B9C" w14:paraId="6E1A015C" w14:textId="77777777" w:rsidTr="003F0A73">
        <w:trPr>
          <w:jc w:val="center"/>
        </w:trPr>
        <w:tc>
          <w:tcPr>
            <w:tcW w:w="958" w:type="pct"/>
            <w:vAlign w:val="center"/>
          </w:tcPr>
          <w:p w14:paraId="4C17B471" w14:textId="77777777" w:rsidR="00C81AE7" w:rsidRPr="00452443" w:rsidRDefault="00C81AE7" w:rsidP="00446A37">
            <w:pPr>
              <w:spacing w:after="0" w:line="240" w:lineRule="auto"/>
              <w:jc w:val="center"/>
              <w:rPr>
                <w:rFonts w:ascii="Times New Roman" w:hAnsi="Times New Roman" w:cs="Times New Roman"/>
                <w:bCs/>
                <w:sz w:val="28"/>
                <w:szCs w:val="28"/>
              </w:rPr>
            </w:pPr>
            <w:r w:rsidRPr="00452443">
              <w:rPr>
                <w:rFonts w:ascii="Times New Roman" w:hAnsi="Times New Roman" w:cs="Times New Roman"/>
                <w:bCs/>
                <w:sz w:val="28"/>
                <w:szCs w:val="28"/>
              </w:rPr>
              <w:t>1,18</w:t>
            </w:r>
          </w:p>
        </w:tc>
        <w:tc>
          <w:tcPr>
            <w:tcW w:w="1107" w:type="pct"/>
            <w:vAlign w:val="center"/>
          </w:tcPr>
          <w:p w14:paraId="44721E94" w14:textId="77777777" w:rsidR="00C81AE7" w:rsidRPr="00452443" w:rsidRDefault="00C81AE7" w:rsidP="00446A37">
            <w:pPr>
              <w:spacing w:after="0" w:line="240" w:lineRule="auto"/>
              <w:jc w:val="center"/>
              <w:rPr>
                <w:rFonts w:ascii="Times New Roman" w:hAnsi="Times New Roman" w:cs="Times New Roman"/>
                <w:bCs/>
                <w:sz w:val="28"/>
                <w:szCs w:val="28"/>
              </w:rPr>
            </w:pPr>
            <w:r w:rsidRPr="00452443">
              <w:rPr>
                <w:rFonts w:ascii="Times New Roman" w:hAnsi="Times New Roman" w:cs="Times New Roman"/>
                <w:bCs/>
                <w:sz w:val="28"/>
                <w:szCs w:val="28"/>
              </w:rPr>
              <w:t>64,3</w:t>
            </w:r>
          </w:p>
        </w:tc>
        <w:tc>
          <w:tcPr>
            <w:tcW w:w="1052" w:type="pct"/>
            <w:vAlign w:val="center"/>
          </w:tcPr>
          <w:p w14:paraId="690BF133" w14:textId="77777777" w:rsidR="00C81AE7" w:rsidRPr="00452443" w:rsidRDefault="00C81AE7" w:rsidP="00446A37">
            <w:pPr>
              <w:spacing w:after="0" w:line="240" w:lineRule="auto"/>
              <w:jc w:val="center"/>
              <w:rPr>
                <w:rFonts w:ascii="Times New Roman" w:hAnsi="Times New Roman" w:cs="Times New Roman"/>
                <w:bCs/>
                <w:sz w:val="28"/>
                <w:szCs w:val="28"/>
              </w:rPr>
            </w:pPr>
            <w:r w:rsidRPr="00452443">
              <w:rPr>
                <w:rFonts w:ascii="Times New Roman" w:hAnsi="Times New Roman" w:cs="Times New Roman"/>
                <w:bCs/>
                <w:sz w:val="28"/>
                <w:szCs w:val="28"/>
              </w:rPr>
              <w:t>64,0</w:t>
            </w:r>
          </w:p>
        </w:tc>
        <w:tc>
          <w:tcPr>
            <w:tcW w:w="940" w:type="pct"/>
            <w:vAlign w:val="center"/>
          </w:tcPr>
          <w:p w14:paraId="0A311EC7" w14:textId="77777777" w:rsidR="00C81AE7" w:rsidRPr="00452443" w:rsidRDefault="00C81AE7" w:rsidP="00446A37">
            <w:pPr>
              <w:spacing w:after="0" w:line="240" w:lineRule="auto"/>
              <w:jc w:val="center"/>
              <w:rPr>
                <w:rFonts w:ascii="Times New Roman" w:hAnsi="Times New Roman" w:cs="Times New Roman"/>
                <w:bCs/>
                <w:sz w:val="28"/>
                <w:szCs w:val="28"/>
              </w:rPr>
            </w:pPr>
            <w:r w:rsidRPr="00452443">
              <w:rPr>
                <w:rFonts w:ascii="Times New Roman" w:hAnsi="Times New Roman" w:cs="Times New Roman"/>
                <w:bCs/>
                <w:sz w:val="28"/>
                <w:szCs w:val="28"/>
              </w:rPr>
              <w:t>66,7</w:t>
            </w:r>
          </w:p>
        </w:tc>
        <w:tc>
          <w:tcPr>
            <w:tcW w:w="943" w:type="pct"/>
            <w:vAlign w:val="center"/>
          </w:tcPr>
          <w:p w14:paraId="19766554" w14:textId="77777777" w:rsidR="00C81AE7" w:rsidRPr="00452443" w:rsidRDefault="00C81AE7" w:rsidP="00446A37">
            <w:pPr>
              <w:spacing w:after="0" w:line="240" w:lineRule="auto"/>
              <w:jc w:val="center"/>
              <w:rPr>
                <w:rFonts w:ascii="Times New Roman" w:hAnsi="Times New Roman" w:cs="Times New Roman"/>
                <w:bCs/>
                <w:sz w:val="28"/>
                <w:szCs w:val="28"/>
              </w:rPr>
            </w:pPr>
            <w:r w:rsidRPr="00452443">
              <w:rPr>
                <w:rFonts w:ascii="Times New Roman" w:hAnsi="Times New Roman" w:cs="Times New Roman"/>
                <w:bCs/>
                <w:sz w:val="28"/>
                <w:szCs w:val="28"/>
              </w:rPr>
              <w:t>61,5</w:t>
            </w:r>
          </w:p>
        </w:tc>
      </w:tr>
      <w:tr w:rsidR="00C81AE7" w:rsidRPr="00A43B9C" w14:paraId="3E11DFC0" w14:textId="77777777" w:rsidTr="003F0A73">
        <w:trPr>
          <w:jc w:val="center"/>
        </w:trPr>
        <w:tc>
          <w:tcPr>
            <w:tcW w:w="958" w:type="pct"/>
            <w:vAlign w:val="center"/>
          </w:tcPr>
          <w:p w14:paraId="76B308F3"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1,15</w:t>
            </w:r>
          </w:p>
        </w:tc>
        <w:tc>
          <w:tcPr>
            <w:tcW w:w="1107" w:type="pct"/>
            <w:vAlign w:val="center"/>
          </w:tcPr>
          <w:p w14:paraId="4D6B4D16"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57,1</w:t>
            </w:r>
          </w:p>
        </w:tc>
        <w:tc>
          <w:tcPr>
            <w:tcW w:w="1052" w:type="pct"/>
            <w:vAlign w:val="center"/>
          </w:tcPr>
          <w:p w14:paraId="287913BE"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64,0</w:t>
            </w:r>
          </w:p>
        </w:tc>
        <w:tc>
          <w:tcPr>
            <w:tcW w:w="940" w:type="pct"/>
            <w:vAlign w:val="center"/>
          </w:tcPr>
          <w:p w14:paraId="47F73631"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64,0</w:t>
            </w:r>
          </w:p>
        </w:tc>
        <w:tc>
          <w:tcPr>
            <w:tcW w:w="943" w:type="pct"/>
            <w:vAlign w:val="center"/>
          </w:tcPr>
          <w:p w14:paraId="71E6CB4B"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57,1</w:t>
            </w:r>
          </w:p>
        </w:tc>
      </w:tr>
      <w:tr w:rsidR="00C81AE7" w:rsidRPr="00A43B9C" w14:paraId="6EAC0E35" w14:textId="77777777" w:rsidTr="003F0A73">
        <w:trPr>
          <w:jc w:val="center"/>
        </w:trPr>
        <w:tc>
          <w:tcPr>
            <w:tcW w:w="958" w:type="pct"/>
            <w:vAlign w:val="center"/>
          </w:tcPr>
          <w:p w14:paraId="4EC1AAFB"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1,14</w:t>
            </w:r>
          </w:p>
        </w:tc>
        <w:tc>
          <w:tcPr>
            <w:tcW w:w="1107" w:type="pct"/>
            <w:vAlign w:val="center"/>
          </w:tcPr>
          <w:p w14:paraId="76C93E0A"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53,6</w:t>
            </w:r>
          </w:p>
        </w:tc>
        <w:tc>
          <w:tcPr>
            <w:tcW w:w="1052" w:type="pct"/>
            <w:vAlign w:val="center"/>
          </w:tcPr>
          <w:p w14:paraId="215E0430"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68,0</w:t>
            </w:r>
          </w:p>
        </w:tc>
        <w:tc>
          <w:tcPr>
            <w:tcW w:w="940" w:type="pct"/>
            <w:vAlign w:val="center"/>
          </w:tcPr>
          <w:p w14:paraId="2ED37756"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65,2</w:t>
            </w:r>
          </w:p>
        </w:tc>
        <w:tc>
          <w:tcPr>
            <w:tcW w:w="943" w:type="pct"/>
            <w:vAlign w:val="center"/>
          </w:tcPr>
          <w:p w14:paraId="0195E62D"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56,7</w:t>
            </w:r>
          </w:p>
        </w:tc>
      </w:tr>
    </w:tbl>
    <w:p w14:paraId="59A9FA7E" w14:textId="77777777" w:rsidR="00C81AE7" w:rsidRPr="00A43B9C" w:rsidRDefault="00C81AE7" w:rsidP="00C81AE7">
      <w:pPr>
        <w:spacing w:after="0" w:line="240" w:lineRule="auto"/>
        <w:rPr>
          <w:rFonts w:ascii="Times New Roman" w:hAnsi="Times New Roman" w:cs="Times New Roman"/>
          <w:sz w:val="28"/>
          <w:szCs w:val="28"/>
        </w:rPr>
      </w:pPr>
    </w:p>
    <w:p w14:paraId="1945E5BD" w14:textId="7232F2AA" w:rsidR="00C81AE7" w:rsidRPr="00A43B9C" w:rsidRDefault="00C81AE7" w:rsidP="00C81AE7">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Площадь под ROC-кривой составила 0,669 </w:t>
      </w:r>
      <w:r w:rsidR="004828D1" w:rsidRPr="00A43B9C">
        <w:rPr>
          <w:rFonts w:ascii="Times New Roman" w:hAnsi="Times New Roman" w:cs="Times New Roman"/>
          <w:sz w:val="28"/>
          <w:szCs w:val="28"/>
        </w:rPr>
        <w:t>(</w:t>
      </w:r>
      <w:r w:rsidRPr="00A43B9C">
        <w:rPr>
          <w:rFonts w:ascii="Times New Roman" w:hAnsi="Times New Roman" w:cs="Times New Roman"/>
          <w:sz w:val="28"/>
          <w:szCs w:val="28"/>
        </w:rPr>
        <w:t>95% ДИ 0,521 – 0,816</w:t>
      </w:r>
      <w:r w:rsidR="004828D1" w:rsidRPr="00A43B9C">
        <w:rPr>
          <w:rFonts w:ascii="Times New Roman" w:hAnsi="Times New Roman" w:cs="Times New Roman"/>
          <w:sz w:val="28"/>
          <w:szCs w:val="28"/>
        </w:rPr>
        <w:t>)</w:t>
      </w:r>
      <w:r w:rsidR="008A143D" w:rsidRPr="00A43B9C">
        <w:rPr>
          <w:rFonts w:ascii="Times New Roman" w:hAnsi="Times New Roman" w:cs="Times New Roman"/>
          <w:sz w:val="28"/>
          <w:szCs w:val="28"/>
        </w:rPr>
        <w:t>, и п</w:t>
      </w:r>
      <w:r w:rsidRPr="00A43B9C">
        <w:rPr>
          <w:rFonts w:ascii="Times New Roman" w:hAnsi="Times New Roman" w:cs="Times New Roman"/>
          <w:sz w:val="28"/>
          <w:szCs w:val="28"/>
        </w:rPr>
        <w:t>олученная модель была статистически значимой (p = 0,035).</w:t>
      </w:r>
      <w:r w:rsidR="008A143D"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Пороговое значение уровня </w:t>
      </w:r>
      <w:r w:rsidR="009307C9" w:rsidRPr="00A43B9C">
        <w:rPr>
          <w:rFonts w:ascii="Times New Roman" w:hAnsi="Times New Roman" w:cs="Times New Roman"/>
          <w:sz w:val="28"/>
          <w:szCs w:val="28"/>
        </w:rPr>
        <w:t>накопления</w:t>
      </w:r>
      <w:r w:rsidR="000F71AA"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RE в точке </w:t>
      </w:r>
      <w:r w:rsidR="008A143D" w:rsidRPr="00A43B9C">
        <w:rPr>
          <w:rFonts w:ascii="Times New Roman" w:hAnsi="Times New Roman" w:cs="Times New Roman"/>
          <w:sz w:val="28"/>
          <w:szCs w:val="28"/>
        </w:rPr>
        <w:t>отсечения</w:t>
      </w:r>
      <w:r w:rsidRPr="00A43B9C">
        <w:rPr>
          <w:rFonts w:ascii="Times New Roman" w:hAnsi="Times New Roman" w:cs="Times New Roman"/>
          <w:sz w:val="28"/>
          <w:szCs w:val="28"/>
        </w:rPr>
        <w:t>, которому соответствовало наивысшее значение индекса Юдена, составило 1,18</w:t>
      </w:r>
      <w:r w:rsidR="00102EE2" w:rsidRPr="00A43B9C">
        <w:rPr>
          <w:rFonts w:ascii="Times New Roman" w:hAnsi="Times New Roman" w:cs="Times New Roman"/>
          <w:sz w:val="28"/>
          <w:szCs w:val="28"/>
        </w:rPr>
        <w:t xml:space="preserve"> (рисунок 1</w:t>
      </w:r>
      <w:r w:rsidR="00006C4D">
        <w:rPr>
          <w:rFonts w:ascii="Times New Roman" w:hAnsi="Times New Roman" w:cs="Times New Roman"/>
          <w:sz w:val="28"/>
          <w:szCs w:val="28"/>
        </w:rPr>
        <w:t>5</w:t>
      </w:r>
      <w:r w:rsidR="00102EE2" w:rsidRPr="00A43B9C">
        <w:rPr>
          <w:rFonts w:ascii="Times New Roman" w:hAnsi="Times New Roman" w:cs="Times New Roman"/>
          <w:sz w:val="28"/>
          <w:szCs w:val="28"/>
        </w:rPr>
        <w:t>)</w:t>
      </w:r>
      <w:r w:rsidRPr="00A43B9C">
        <w:rPr>
          <w:rFonts w:ascii="Times New Roman" w:hAnsi="Times New Roman" w:cs="Times New Roman"/>
          <w:sz w:val="28"/>
          <w:szCs w:val="28"/>
        </w:rPr>
        <w:t xml:space="preserve">. Наличие </w:t>
      </w:r>
      <w:r w:rsidR="001C40D1" w:rsidRPr="00A43B9C">
        <w:rPr>
          <w:rFonts w:ascii="Times New Roman" w:eastAsia="Times New Roman" w:hAnsi="Times New Roman" w:cs="Times New Roman"/>
          <w:sz w:val="28"/>
          <w:szCs w:val="28"/>
          <w:lang w:val="en-US" w:eastAsia="ru-RU"/>
        </w:rPr>
        <w:t>pLM</w:t>
      </w:r>
      <w:r w:rsidRPr="00A43B9C">
        <w:rPr>
          <w:rFonts w:ascii="Times New Roman" w:hAnsi="Times New Roman" w:cs="Times New Roman"/>
          <w:sz w:val="28"/>
          <w:szCs w:val="28"/>
        </w:rPr>
        <w:t xml:space="preserve"> прогнозировалось при значении уровня </w:t>
      </w:r>
      <w:r w:rsidR="009307C9" w:rsidRPr="00A43B9C">
        <w:rPr>
          <w:rFonts w:ascii="Times New Roman" w:hAnsi="Times New Roman" w:cs="Times New Roman"/>
          <w:sz w:val="28"/>
          <w:szCs w:val="28"/>
        </w:rPr>
        <w:t>накопления</w:t>
      </w:r>
      <w:r w:rsidR="000F71AA"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RE ниже данной величины или равном ей. Чувствительность и специфичность модели составили 64,3% и 64,0%, </w:t>
      </w:r>
      <w:r w:rsidR="00102EE2" w:rsidRPr="00A43B9C">
        <w:rPr>
          <w:rFonts w:ascii="Times New Roman" w:hAnsi="Times New Roman" w:cs="Times New Roman"/>
          <w:sz w:val="28"/>
          <w:szCs w:val="28"/>
        </w:rPr>
        <w:t xml:space="preserve">а </w:t>
      </w:r>
      <w:r w:rsidR="00102EE2" w:rsidRPr="00A43B9C">
        <w:rPr>
          <w:rFonts w:ascii="Times New Roman" w:hAnsi="Times New Roman" w:cs="Times New Roman"/>
          <w:sz w:val="28"/>
          <w:szCs w:val="28"/>
          <w:lang w:val="en-US"/>
        </w:rPr>
        <w:t>PPV</w:t>
      </w:r>
      <w:r w:rsidR="00102EE2" w:rsidRPr="00A43B9C">
        <w:rPr>
          <w:rFonts w:ascii="Times New Roman" w:hAnsi="Times New Roman" w:cs="Times New Roman"/>
          <w:sz w:val="28"/>
          <w:szCs w:val="28"/>
        </w:rPr>
        <w:t xml:space="preserve"> и </w:t>
      </w:r>
      <w:r w:rsidR="00102EE2" w:rsidRPr="00A43B9C">
        <w:rPr>
          <w:rFonts w:ascii="Times New Roman" w:hAnsi="Times New Roman" w:cs="Times New Roman"/>
          <w:sz w:val="28"/>
          <w:szCs w:val="28"/>
          <w:lang w:val="en-US"/>
        </w:rPr>
        <w:t>NPV</w:t>
      </w:r>
      <w:r w:rsidR="00102EE2" w:rsidRPr="00A43B9C">
        <w:rPr>
          <w:rFonts w:ascii="Times New Roman" w:hAnsi="Times New Roman" w:cs="Times New Roman"/>
          <w:sz w:val="28"/>
          <w:szCs w:val="28"/>
        </w:rPr>
        <w:t xml:space="preserve"> составили 66,7% и 61,5% </w:t>
      </w:r>
      <w:r w:rsidRPr="00A43B9C">
        <w:rPr>
          <w:rFonts w:ascii="Times New Roman" w:hAnsi="Times New Roman" w:cs="Times New Roman"/>
          <w:sz w:val="28"/>
          <w:szCs w:val="28"/>
        </w:rPr>
        <w:t>соответственно</w:t>
      </w:r>
      <w:r w:rsidR="00102EE2" w:rsidRPr="00A43B9C">
        <w:rPr>
          <w:rFonts w:ascii="Times New Roman" w:hAnsi="Times New Roman" w:cs="Times New Roman"/>
          <w:sz w:val="28"/>
          <w:szCs w:val="28"/>
        </w:rPr>
        <w:t xml:space="preserve"> (таблица 14)</w:t>
      </w:r>
      <w:r w:rsidRPr="00A43B9C">
        <w:rPr>
          <w:rFonts w:ascii="Times New Roman" w:hAnsi="Times New Roman" w:cs="Times New Roman"/>
          <w:sz w:val="28"/>
          <w:szCs w:val="28"/>
        </w:rPr>
        <w:t>.</w:t>
      </w:r>
    </w:p>
    <w:p w14:paraId="51DFE840" w14:textId="7EE07352" w:rsidR="00B164B5" w:rsidRDefault="00B164B5" w:rsidP="00C81AE7">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Результаты топографической реконструкции </w:t>
      </w:r>
      <w:r w:rsidRPr="00A43B9C">
        <w:rPr>
          <w:rFonts w:ascii="Times New Roman" w:eastAsia="NewtonC" w:hAnsi="Times New Roman" w:cs="Times New Roman"/>
          <w:sz w:val="28"/>
          <w:szCs w:val="28"/>
        </w:rPr>
        <w:t>изображений ПЭТ/КТ исследования в а</w:t>
      </w:r>
      <w:r w:rsidRPr="00A43B9C">
        <w:rPr>
          <w:rFonts w:ascii="Times New Roman" w:hAnsi="Times New Roman" w:cs="Times New Roman"/>
          <w:sz w:val="28"/>
          <w:szCs w:val="28"/>
        </w:rPr>
        <w:t>ксиальной плоскости приведены на рисунке 1</w:t>
      </w:r>
      <w:r w:rsidR="00006C4D">
        <w:rPr>
          <w:rFonts w:ascii="Times New Roman" w:hAnsi="Times New Roman" w:cs="Times New Roman"/>
          <w:sz w:val="28"/>
          <w:szCs w:val="28"/>
        </w:rPr>
        <w:t>6</w:t>
      </w:r>
      <w:r w:rsidRPr="00A43B9C">
        <w:rPr>
          <w:rFonts w:ascii="Times New Roman" w:hAnsi="Times New Roman" w:cs="Times New Roman"/>
          <w:sz w:val="28"/>
          <w:szCs w:val="28"/>
        </w:rPr>
        <w:t xml:space="preserve"> для статистически достоверной </w:t>
      </w:r>
      <w:r w:rsidR="000F71AA" w:rsidRPr="00A43B9C">
        <w:rPr>
          <w:rFonts w:ascii="Times New Roman" w:hAnsi="Times New Roman" w:cs="Times New Roman"/>
          <w:sz w:val="28"/>
          <w:szCs w:val="28"/>
        </w:rPr>
        <w:t>локализации</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RE</w:t>
      </w:r>
      <w:r w:rsidRPr="00A43B9C">
        <w:rPr>
          <w:rFonts w:ascii="Times New Roman" w:hAnsi="Times New Roman" w:cs="Times New Roman"/>
          <w:sz w:val="28"/>
          <w:szCs w:val="28"/>
        </w:rPr>
        <w:t>.</w:t>
      </w:r>
    </w:p>
    <w:p w14:paraId="3812F284" w14:textId="77777777" w:rsidR="00E97D9E" w:rsidRDefault="00E97D9E" w:rsidP="00C81AE7">
      <w:pPr>
        <w:spacing w:after="0" w:line="240" w:lineRule="auto"/>
        <w:ind w:firstLine="709"/>
        <w:jc w:val="both"/>
        <w:rPr>
          <w:rFonts w:ascii="Times New Roman" w:hAnsi="Times New Roman" w:cs="Times New Roman"/>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6"/>
        <w:gridCol w:w="4578"/>
      </w:tblGrid>
      <w:tr w:rsidR="00E97D9E" w14:paraId="0DC09872" w14:textId="77777777" w:rsidTr="00E97D9E">
        <w:tc>
          <w:tcPr>
            <w:tcW w:w="4672" w:type="dxa"/>
          </w:tcPr>
          <w:p w14:paraId="121F952D" w14:textId="1F04DEB0" w:rsidR="00E97D9E" w:rsidRDefault="00E97D9E" w:rsidP="00C81AE7">
            <w:pPr>
              <w:spacing w:after="0" w:line="240" w:lineRule="auto"/>
              <w:jc w:val="both"/>
              <w:rPr>
                <w:rFonts w:ascii="Times New Roman" w:hAnsi="Times New Roman" w:cs="Times New Roman"/>
                <w:sz w:val="28"/>
                <w:szCs w:val="28"/>
              </w:rPr>
            </w:pPr>
            <w:r w:rsidRPr="00A43B9C">
              <w:rPr>
                <w:rFonts w:ascii="Times New Roman" w:hAnsi="Times New Roman" w:cs="Times New Roman"/>
                <w:noProof/>
                <w:sz w:val="24"/>
                <w:szCs w:val="28"/>
                <w:lang w:val="en-US" w:eastAsia="ru-RU"/>
              </w:rPr>
              <w:drawing>
                <wp:inline distT="0" distB="0" distL="0" distR="0" wp14:anchorId="18DFBAC4" wp14:editId="6DBF97B4">
                  <wp:extent cx="2895948" cy="2160000"/>
                  <wp:effectExtent l="0" t="0" r="0" b="0"/>
                  <wp:docPr id="441749303" name="Рисунок 441749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l="19099" t="26759" r="23605" b="17748"/>
                          <a:stretch/>
                        </pic:blipFill>
                        <pic:spPr bwMode="auto">
                          <a:xfrm>
                            <a:off x="0" y="0"/>
                            <a:ext cx="2895948"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14:paraId="60AAA674" w14:textId="02C50576" w:rsidR="00E97D9E" w:rsidRDefault="00E97D9E" w:rsidP="00C81AE7">
            <w:pPr>
              <w:spacing w:after="0" w:line="240" w:lineRule="auto"/>
              <w:jc w:val="both"/>
              <w:rPr>
                <w:rFonts w:ascii="Times New Roman" w:hAnsi="Times New Roman" w:cs="Times New Roman"/>
                <w:sz w:val="28"/>
                <w:szCs w:val="28"/>
              </w:rPr>
            </w:pPr>
            <w:r w:rsidRPr="00A43B9C">
              <w:rPr>
                <w:rFonts w:ascii="Times New Roman" w:hAnsi="Times New Roman" w:cs="Times New Roman"/>
                <w:noProof/>
                <w:sz w:val="28"/>
                <w:szCs w:val="28"/>
              </w:rPr>
              <w:drawing>
                <wp:inline distT="0" distB="0" distL="0" distR="0" wp14:anchorId="5B6F3C68" wp14:editId="45DEA4EA">
                  <wp:extent cx="2623932" cy="2160000"/>
                  <wp:effectExtent l="0" t="0" r="5080" b="0"/>
                  <wp:docPr id="268546906" name="Рисунок 268546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17396" t="6987" r="21361" b="32871"/>
                          <a:stretch/>
                        </pic:blipFill>
                        <pic:spPr bwMode="auto">
                          <a:xfrm>
                            <a:off x="0" y="0"/>
                            <a:ext cx="2623932"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97D9E" w14:paraId="01257CA4" w14:textId="77777777" w:rsidTr="00E97D9E">
        <w:tc>
          <w:tcPr>
            <w:tcW w:w="4672" w:type="dxa"/>
          </w:tcPr>
          <w:p w14:paraId="30A4FAE6" w14:textId="4EF56B41" w:rsidR="00E97D9E" w:rsidRPr="00AB2535" w:rsidRDefault="00E97D9E" w:rsidP="00E97D9E">
            <w:pPr>
              <w:spacing w:after="0" w:line="240" w:lineRule="auto"/>
              <w:jc w:val="center"/>
              <w:rPr>
                <w:rFonts w:ascii="Times New Roman" w:hAnsi="Times New Roman" w:cs="Times New Roman"/>
                <w:sz w:val="24"/>
                <w:szCs w:val="28"/>
              </w:rPr>
            </w:pPr>
            <w:r w:rsidRPr="00AB2535">
              <w:rPr>
                <w:rFonts w:ascii="Times New Roman" w:hAnsi="Times New Roman" w:cs="Times New Roman"/>
                <w:noProof/>
                <w:sz w:val="24"/>
                <w:szCs w:val="28"/>
                <w:lang w:eastAsia="ru-RU"/>
              </w:rPr>
              <w:t>а)</w:t>
            </w:r>
            <w:r w:rsidR="00AB2535" w:rsidRPr="00AB2535">
              <w:rPr>
                <w:rFonts w:ascii="Times New Roman" w:hAnsi="Times New Roman" w:cs="Times New Roman"/>
                <w:sz w:val="24"/>
                <w:szCs w:val="28"/>
              </w:rPr>
              <w:t xml:space="preserve"> ПЭТ изображение</w:t>
            </w:r>
          </w:p>
        </w:tc>
        <w:tc>
          <w:tcPr>
            <w:tcW w:w="4673" w:type="dxa"/>
          </w:tcPr>
          <w:p w14:paraId="443A06D9" w14:textId="0149E5E2" w:rsidR="00E97D9E" w:rsidRPr="00AB2535" w:rsidRDefault="00E97D9E" w:rsidP="00E97D9E">
            <w:pPr>
              <w:spacing w:after="0" w:line="240" w:lineRule="auto"/>
              <w:jc w:val="center"/>
              <w:rPr>
                <w:rFonts w:ascii="Times New Roman" w:hAnsi="Times New Roman" w:cs="Times New Roman"/>
                <w:sz w:val="24"/>
                <w:szCs w:val="28"/>
              </w:rPr>
            </w:pPr>
            <w:r w:rsidRPr="00AB2535">
              <w:rPr>
                <w:rFonts w:ascii="Times New Roman" w:hAnsi="Times New Roman" w:cs="Times New Roman"/>
                <w:noProof/>
                <w:sz w:val="24"/>
                <w:szCs w:val="28"/>
                <w:lang w:eastAsia="ru-RU"/>
              </w:rPr>
              <w:t>б)</w:t>
            </w:r>
            <w:r w:rsidR="00AB2535" w:rsidRPr="00AB2535">
              <w:rPr>
                <w:rFonts w:ascii="Times New Roman" w:hAnsi="Times New Roman" w:cs="Times New Roman"/>
                <w:sz w:val="24"/>
                <w:szCs w:val="28"/>
              </w:rPr>
              <w:t xml:space="preserve"> Визуализация накопления </w:t>
            </w:r>
            <w:r w:rsidR="00AB2535" w:rsidRPr="00AB2535">
              <w:rPr>
                <w:rFonts w:ascii="Times New Roman" w:eastAsia="NewtonC" w:hAnsi="Times New Roman" w:cs="Times New Roman"/>
                <w:sz w:val="24"/>
                <w:szCs w:val="28"/>
                <w:vertAlign w:val="superscript"/>
              </w:rPr>
              <w:t>18</w:t>
            </w:r>
            <w:r w:rsidR="00AB2535" w:rsidRPr="00AB2535">
              <w:rPr>
                <w:rFonts w:ascii="Times New Roman" w:eastAsia="NewtonC" w:hAnsi="Times New Roman" w:cs="Times New Roman"/>
                <w:sz w:val="24"/>
                <w:szCs w:val="28"/>
                <w:lang w:val="en-US"/>
              </w:rPr>
              <w:t>F</w:t>
            </w:r>
            <w:r w:rsidR="00AB2535" w:rsidRPr="00AB2535">
              <w:rPr>
                <w:rFonts w:ascii="Times New Roman" w:eastAsia="NewtonC" w:hAnsi="Times New Roman" w:cs="Times New Roman"/>
                <w:sz w:val="24"/>
                <w:szCs w:val="28"/>
              </w:rPr>
              <w:t>-</w:t>
            </w:r>
            <w:r w:rsidR="00AB2535" w:rsidRPr="00AB2535">
              <w:rPr>
                <w:rFonts w:ascii="Times New Roman" w:eastAsia="NewtonC" w:hAnsi="Times New Roman" w:cs="Times New Roman"/>
                <w:sz w:val="24"/>
                <w:szCs w:val="28"/>
                <w:lang w:val="en-US"/>
              </w:rPr>
              <w:t>FDG</w:t>
            </w:r>
            <w:r w:rsidR="00AB2535" w:rsidRPr="00AB2535">
              <w:rPr>
                <w:rFonts w:ascii="Times New Roman" w:eastAsia="NewtonC" w:hAnsi="Times New Roman" w:cs="Times New Roman"/>
                <w:sz w:val="24"/>
                <w:szCs w:val="28"/>
              </w:rPr>
              <w:t xml:space="preserve"> в режиме </w:t>
            </w:r>
            <w:r w:rsidR="00AB2535" w:rsidRPr="00AB2535">
              <w:rPr>
                <w:rFonts w:ascii="Times New Roman" w:eastAsia="NewtonC" w:hAnsi="Times New Roman" w:cs="Times New Roman"/>
                <w:sz w:val="24"/>
                <w:szCs w:val="28"/>
                <w:lang w:val="en-US"/>
              </w:rPr>
              <w:t>Fusion</w:t>
            </w:r>
          </w:p>
        </w:tc>
      </w:tr>
    </w:tbl>
    <w:p w14:paraId="5241A713" w14:textId="77777777" w:rsidR="00AB2535" w:rsidRDefault="00AB2535" w:rsidP="00B164B5">
      <w:pPr>
        <w:autoSpaceDE w:val="0"/>
        <w:autoSpaceDN w:val="0"/>
        <w:adjustRightInd w:val="0"/>
        <w:spacing w:after="0" w:line="240" w:lineRule="auto"/>
        <w:ind w:firstLine="709"/>
        <w:jc w:val="center"/>
        <w:rPr>
          <w:rFonts w:ascii="Times New Roman" w:eastAsia="NewtonC" w:hAnsi="Times New Roman" w:cs="Times New Roman"/>
          <w:sz w:val="28"/>
          <w:szCs w:val="28"/>
        </w:rPr>
      </w:pPr>
    </w:p>
    <w:p w14:paraId="67627507" w14:textId="6B526178" w:rsidR="005E7848" w:rsidRPr="00A43B9C" w:rsidRDefault="00B164B5" w:rsidP="00B164B5">
      <w:pPr>
        <w:autoSpaceDE w:val="0"/>
        <w:autoSpaceDN w:val="0"/>
        <w:adjustRightInd w:val="0"/>
        <w:spacing w:after="0" w:line="240" w:lineRule="auto"/>
        <w:ind w:firstLine="709"/>
        <w:jc w:val="center"/>
        <w:rPr>
          <w:rFonts w:ascii="Times New Roman" w:hAnsi="Times New Roman" w:cs="Times New Roman"/>
          <w:sz w:val="28"/>
          <w:szCs w:val="28"/>
        </w:rPr>
      </w:pPr>
      <w:r w:rsidRPr="00A43B9C">
        <w:rPr>
          <w:rFonts w:ascii="Times New Roman" w:eastAsia="NewtonC" w:hAnsi="Times New Roman" w:cs="Times New Roman"/>
          <w:sz w:val="28"/>
          <w:szCs w:val="28"/>
        </w:rPr>
        <w:t>Рисунок 1</w:t>
      </w:r>
      <w:r w:rsidR="00006C4D">
        <w:rPr>
          <w:rFonts w:ascii="Times New Roman" w:eastAsia="NewtonC" w:hAnsi="Times New Roman" w:cs="Times New Roman"/>
          <w:sz w:val="28"/>
          <w:szCs w:val="28"/>
        </w:rPr>
        <w:t>6</w:t>
      </w:r>
      <w:r w:rsidRPr="00A43B9C">
        <w:rPr>
          <w:rFonts w:ascii="Times New Roman" w:eastAsia="NewtonC" w:hAnsi="Times New Roman" w:cs="Times New Roman"/>
          <w:sz w:val="28"/>
          <w:szCs w:val="28"/>
        </w:rPr>
        <w:t xml:space="preserve"> – Пациент В.</w:t>
      </w:r>
      <w:r w:rsidR="004B11D3" w:rsidRPr="00A43B9C">
        <w:rPr>
          <w:rFonts w:ascii="Times New Roman" w:eastAsia="NewtonC" w:hAnsi="Times New Roman" w:cs="Times New Roman"/>
          <w:sz w:val="28"/>
          <w:szCs w:val="28"/>
        </w:rPr>
        <w:t xml:space="preserve"> (75 л., жен</w:t>
      </w:r>
      <w:r w:rsidR="009307C9" w:rsidRPr="00A43B9C">
        <w:rPr>
          <w:rFonts w:ascii="Times New Roman" w:eastAsia="NewtonC" w:hAnsi="Times New Roman" w:cs="Times New Roman"/>
          <w:sz w:val="28"/>
          <w:szCs w:val="28"/>
        </w:rPr>
        <w:t>щина</w:t>
      </w:r>
      <w:r w:rsidR="008A143D" w:rsidRPr="00A43B9C">
        <w:rPr>
          <w:rFonts w:ascii="Times New Roman" w:eastAsia="NewtonC" w:hAnsi="Times New Roman" w:cs="Times New Roman"/>
          <w:sz w:val="28"/>
          <w:szCs w:val="28"/>
        </w:rPr>
        <w:t xml:space="preserve">) с </w:t>
      </w:r>
      <w:r w:rsidR="000F71AA" w:rsidRPr="00A43B9C">
        <w:rPr>
          <w:rFonts w:ascii="Times New Roman" w:eastAsia="NewtonC" w:hAnsi="Times New Roman" w:cs="Times New Roman"/>
          <w:sz w:val="28"/>
          <w:szCs w:val="28"/>
        </w:rPr>
        <w:t>Э</w:t>
      </w:r>
      <w:r w:rsidR="008A143D" w:rsidRPr="00A43B9C">
        <w:rPr>
          <w:rFonts w:ascii="Times New Roman" w:eastAsia="NewtonC" w:hAnsi="Times New Roman" w:cs="Times New Roman"/>
          <w:sz w:val="28"/>
          <w:szCs w:val="28"/>
        </w:rPr>
        <w:t>РЯ</w:t>
      </w:r>
      <w:r w:rsidR="00252824">
        <w:rPr>
          <w:rFonts w:ascii="Times New Roman" w:eastAsia="NewtonC" w:hAnsi="Times New Roman" w:cs="Times New Roman"/>
          <w:sz w:val="28"/>
          <w:szCs w:val="28"/>
        </w:rPr>
        <w:t xml:space="preserve">, </w:t>
      </w:r>
      <w:r w:rsidRPr="00A43B9C">
        <w:rPr>
          <w:rFonts w:ascii="Times New Roman" w:eastAsia="NewtonC" w:hAnsi="Times New Roman" w:cs="Times New Roman"/>
          <w:sz w:val="28"/>
          <w:szCs w:val="28"/>
          <w:lang w:val="en-US"/>
        </w:rPr>
        <w:t>St</w:t>
      </w:r>
      <w:r w:rsidRPr="00A43B9C">
        <w:rPr>
          <w:rFonts w:ascii="Times New Roman" w:eastAsia="NewtonC" w:hAnsi="Times New Roman" w:cs="Times New Roman"/>
          <w:sz w:val="28"/>
          <w:szCs w:val="28"/>
        </w:rPr>
        <w:t xml:space="preserve"> </w:t>
      </w:r>
      <w:r w:rsidRPr="00A43B9C">
        <w:rPr>
          <w:rFonts w:ascii="Times New Roman" w:eastAsia="NewtonC" w:hAnsi="Times New Roman" w:cs="Times New Roman"/>
          <w:sz w:val="28"/>
          <w:szCs w:val="28"/>
          <w:lang w:val="en-US"/>
        </w:rPr>
        <w:t>III</w:t>
      </w:r>
      <w:r w:rsidR="00252824">
        <w:rPr>
          <w:rFonts w:ascii="Times New Roman" w:eastAsia="NewtonC" w:hAnsi="Times New Roman" w:cs="Times New Roman"/>
          <w:sz w:val="28"/>
          <w:szCs w:val="28"/>
        </w:rPr>
        <w:t xml:space="preserve">, </w:t>
      </w:r>
      <w:r w:rsidRPr="00A43B9C">
        <w:rPr>
          <w:rFonts w:ascii="Times New Roman" w:hAnsi="Times New Roman" w:cs="Times New Roman"/>
          <w:sz w:val="28"/>
          <w:szCs w:val="28"/>
          <w:lang w:val="en-US"/>
        </w:rPr>
        <w:t>T</w:t>
      </w:r>
      <w:r w:rsidRPr="00A43B9C">
        <w:rPr>
          <w:rFonts w:ascii="Times New Roman" w:hAnsi="Times New Roman" w:cs="Times New Roman"/>
          <w:sz w:val="28"/>
          <w:szCs w:val="28"/>
          <w:vertAlign w:val="subscript"/>
        </w:rPr>
        <w:t>3</w:t>
      </w:r>
      <w:r w:rsidRPr="00A43B9C">
        <w:rPr>
          <w:rFonts w:ascii="Times New Roman" w:hAnsi="Times New Roman" w:cs="Times New Roman"/>
          <w:sz w:val="28"/>
          <w:szCs w:val="28"/>
          <w:lang w:val="en-US"/>
        </w:rPr>
        <w:t>N</w:t>
      </w:r>
      <w:r w:rsidRPr="00A43B9C">
        <w:rPr>
          <w:rFonts w:ascii="Times New Roman" w:hAnsi="Times New Roman" w:cs="Times New Roman"/>
          <w:sz w:val="28"/>
          <w:szCs w:val="28"/>
          <w:vertAlign w:val="subscript"/>
          <w:lang w:val="en-US"/>
        </w:rPr>
        <w:t>x</w:t>
      </w:r>
      <w:r w:rsidRPr="00A43B9C">
        <w:rPr>
          <w:rFonts w:ascii="Times New Roman" w:hAnsi="Times New Roman" w:cs="Times New Roman"/>
          <w:sz w:val="28"/>
          <w:szCs w:val="28"/>
          <w:lang w:val="en-US"/>
        </w:rPr>
        <w:t>M</w:t>
      </w:r>
      <w:r w:rsidRPr="00A43B9C">
        <w:rPr>
          <w:rFonts w:ascii="Times New Roman" w:hAnsi="Times New Roman" w:cs="Times New Roman"/>
          <w:sz w:val="28"/>
          <w:szCs w:val="28"/>
          <w:vertAlign w:val="subscript"/>
        </w:rPr>
        <w:t>0</w:t>
      </w:r>
      <w:r w:rsidRPr="00A43B9C">
        <w:rPr>
          <w:rFonts w:ascii="Times New Roman" w:eastAsia="NewtonC" w:hAnsi="Times New Roman" w:cs="Times New Roman"/>
          <w:sz w:val="28"/>
          <w:szCs w:val="28"/>
        </w:rPr>
        <w:t>. Результаты топографической реконструкции изображений ПЭТ/КТ исследования в а</w:t>
      </w:r>
      <w:r w:rsidRPr="00A43B9C">
        <w:rPr>
          <w:rFonts w:ascii="Times New Roman" w:hAnsi="Times New Roman" w:cs="Times New Roman"/>
          <w:sz w:val="28"/>
          <w:szCs w:val="28"/>
        </w:rPr>
        <w:t>ксиальной плоскости</w:t>
      </w:r>
      <w:r w:rsidR="00422F61" w:rsidRPr="00A43B9C">
        <w:rPr>
          <w:rFonts w:ascii="Times New Roman" w:hAnsi="Times New Roman" w:cs="Times New Roman"/>
          <w:sz w:val="28"/>
          <w:szCs w:val="28"/>
        </w:rPr>
        <w:t>,</w:t>
      </w:r>
      <w:r w:rsidRPr="00A43B9C">
        <w:rPr>
          <w:rFonts w:ascii="Times New Roman" w:hAnsi="Times New Roman" w:cs="Times New Roman"/>
          <w:sz w:val="28"/>
          <w:szCs w:val="28"/>
        </w:rPr>
        <w:t xml:space="preserve"> </w:t>
      </w:r>
      <w:r w:rsidR="000F71AA" w:rsidRPr="00A43B9C">
        <w:rPr>
          <w:rFonts w:ascii="Times New Roman" w:hAnsi="Times New Roman" w:cs="Times New Roman"/>
          <w:sz w:val="28"/>
          <w:szCs w:val="28"/>
        </w:rPr>
        <w:t>локализаци</w:t>
      </w:r>
      <w:r w:rsidR="00422F61" w:rsidRPr="00A43B9C">
        <w:rPr>
          <w:rFonts w:ascii="Times New Roman" w:hAnsi="Times New Roman" w:cs="Times New Roman"/>
          <w:sz w:val="28"/>
          <w:szCs w:val="28"/>
        </w:rPr>
        <w:t>я</w:t>
      </w:r>
      <w:r w:rsidR="000F71AA" w:rsidRPr="00A43B9C">
        <w:rPr>
          <w:rFonts w:ascii="Times New Roman" w:hAnsi="Times New Roman" w:cs="Times New Roman"/>
          <w:sz w:val="28"/>
          <w:szCs w:val="28"/>
        </w:rPr>
        <w:t xml:space="preserve"> </w:t>
      </w:r>
      <w:r w:rsidRPr="00A43B9C">
        <w:rPr>
          <w:rFonts w:ascii="Times New Roman" w:hAnsi="Times New Roman" w:cs="Times New Roman"/>
          <w:sz w:val="28"/>
          <w:szCs w:val="28"/>
        </w:rPr>
        <w:t>RE</w:t>
      </w:r>
    </w:p>
    <w:p w14:paraId="73A475FE" w14:textId="526C9B77" w:rsidR="00B164B5" w:rsidRDefault="00B164B5" w:rsidP="00C81AE7">
      <w:pPr>
        <w:spacing w:after="0" w:line="240" w:lineRule="auto"/>
        <w:rPr>
          <w:rFonts w:ascii="Times New Roman" w:hAnsi="Times New Roman" w:cs="Times New Roman"/>
          <w:sz w:val="28"/>
          <w:szCs w:val="28"/>
        </w:rPr>
      </w:pPr>
    </w:p>
    <w:p w14:paraId="5F7B2C9B" w14:textId="18BE73EC" w:rsidR="00C81AE7" w:rsidRPr="00A43B9C" w:rsidRDefault="00C81AE7" w:rsidP="00C81AE7">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При оценке зависимости вероятности </w:t>
      </w:r>
      <w:r w:rsidR="001C40D1" w:rsidRPr="00A43B9C">
        <w:rPr>
          <w:rFonts w:ascii="Times New Roman" w:eastAsia="Times New Roman" w:hAnsi="Times New Roman" w:cs="Times New Roman"/>
          <w:sz w:val="28"/>
          <w:szCs w:val="28"/>
          <w:lang w:val="en-US" w:eastAsia="ru-RU"/>
        </w:rPr>
        <w:t>LM</w:t>
      </w:r>
      <w:r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RLH с помощью ROC-анализа была получена следующая кривая</w:t>
      </w:r>
      <w:r w:rsidR="00102EE2" w:rsidRPr="00A43B9C">
        <w:rPr>
          <w:rFonts w:ascii="Times New Roman" w:hAnsi="Times New Roman" w:cs="Times New Roman"/>
          <w:sz w:val="28"/>
          <w:szCs w:val="28"/>
        </w:rPr>
        <w:t xml:space="preserve"> (рисунок 1</w:t>
      </w:r>
      <w:r w:rsidR="00006C4D">
        <w:rPr>
          <w:rFonts w:ascii="Times New Roman" w:hAnsi="Times New Roman" w:cs="Times New Roman"/>
          <w:sz w:val="28"/>
          <w:szCs w:val="28"/>
        </w:rPr>
        <w:t>7</w:t>
      </w:r>
      <w:r w:rsidR="00102EE2" w:rsidRPr="00A43B9C">
        <w:rPr>
          <w:rFonts w:ascii="Times New Roman" w:hAnsi="Times New Roman" w:cs="Times New Roman"/>
          <w:sz w:val="28"/>
          <w:szCs w:val="28"/>
        </w:rPr>
        <w:t>)</w:t>
      </w:r>
      <w:r w:rsidRPr="00A43B9C">
        <w:rPr>
          <w:rFonts w:ascii="Times New Roman" w:hAnsi="Times New Roman" w:cs="Times New Roman"/>
          <w:sz w:val="28"/>
          <w:szCs w:val="28"/>
        </w:rPr>
        <w:t>.</w:t>
      </w:r>
    </w:p>
    <w:p w14:paraId="136B2056" w14:textId="77777777"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lastRenderedPageBreak/>
        <w:drawing>
          <wp:inline distT="0" distB="0" distL="0" distR="0" wp14:anchorId="62413B2E" wp14:editId="3C8C168B">
            <wp:extent cx="3685243" cy="2268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32.png"/>
                    <pic:cNvPicPr/>
                  </pic:nvPicPr>
                  <pic:blipFill>
                    <a:blip r:embed="rId151"/>
                    <a:stretch>
                      <a:fillRect/>
                    </a:stretch>
                  </pic:blipFill>
                  <pic:spPr>
                    <a:xfrm>
                      <a:off x="0" y="0"/>
                      <a:ext cx="3685243" cy="2268000"/>
                    </a:xfrm>
                    <a:prstGeom prst="rect">
                      <a:avLst/>
                    </a:prstGeom>
                  </pic:spPr>
                </pic:pic>
              </a:graphicData>
            </a:graphic>
          </wp:inline>
        </w:drawing>
      </w:r>
    </w:p>
    <w:p w14:paraId="0FC4378C" w14:textId="23AA6669"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1</w:t>
      </w:r>
      <w:r w:rsidR="00006C4D">
        <w:rPr>
          <w:rFonts w:ascii="Times New Roman" w:hAnsi="Times New Roman" w:cs="Times New Roman"/>
          <w:sz w:val="28"/>
          <w:szCs w:val="28"/>
        </w:rPr>
        <w:t>7</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ROC-кривая, характеризующая зависимость вероятности </w:t>
      </w:r>
      <w:r w:rsidR="00777C9A">
        <w:rPr>
          <w:rFonts w:ascii="Times New Roman" w:hAnsi="Times New Roman" w:cs="Times New Roman"/>
          <w:sz w:val="28"/>
          <w:szCs w:val="28"/>
          <w:lang w:val="en-US"/>
        </w:rPr>
        <w:t>p</w:t>
      </w:r>
      <w:r w:rsidR="001C40D1" w:rsidRPr="00A43B9C">
        <w:rPr>
          <w:rFonts w:ascii="Times New Roman" w:eastAsia="Times New Roman" w:hAnsi="Times New Roman" w:cs="Times New Roman"/>
          <w:sz w:val="28"/>
          <w:szCs w:val="28"/>
          <w:lang w:val="en-US" w:eastAsia="ru-RU"/>
        </w:rPr>
        <w:t>LM</w:t>
      </w:r>
      <w:r w:rsidR="003B07F1"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от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RLH</w:t>
      </w:r>
    </w:p>
    <w:p w14:paraId="7593A117" w14:textId="77777777" w:rsidR="00C81AE7" w:rsidRPr="00A43B9C" w:rsidRDefault="00C81AE7" w:rsidP="00C81AE7">
      <w:pPr>
        <w:spacing w:after="0" w:line="240" w:lineRule="auto"/>
        <w:rPr>
          <w:rFonts w:ascii="Times New Roman" w:hAnsi="Times New Roman" w:cs="Times New Roman"/>
          <w:sz w:val="28"/>
          <w:szCs w:val="28"/>
        </w:rPr>
      </w:pPr>
    </w:p>
    <w:p w14:paraId="3B97E824" w14:textId="77777777" w:rsidR="00C81AE7" w:rsidRPr="00A43B9C" w:rsidRDefault="00C81AE7" w:rsidP="00C81AE7">
      <w:pPr>
        <w:spacing w:after="0" w:line="240" w:lineRule="auto"/>
        <w:jc w:val="center"/>
        <w:rPr>
          <w:rFonts w:ascii="Times New Roman" w:hAnsi="Times New Roman" w:cs="Times New Roman"/>
          <w:sz w:val="28"/>
          <w:szCs w:val="28"/>
        </w:rPr>
      </w:pPr>
      <w:r w:rsidRPr="00A43B9C">
        <w:rPr>
          <w:noProof/>
        </w:rPr>
        <w:drawing>
          <wp:inline distT="0" distB="0" distL="0" distR="0" wp14:anchorId="36503D78" wp14:editId="56247BDD">
            <wp:extent cx="4574257" cy="2088000"/>
            <wp:effectExtent l="0" t="0" r="0" b="7620"/>
            <wp:docPr id="30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9.png"/>
                    <pic:cNvPicPr/>
                  </pic:nvPicPr>
                  <pic:blipFill>
                    <a:blip r:embed="rId152"/>
                    <a:stretch>
                      <a:fillRect/>
                    </a:stretch>
                  </pic:blipFill>
                  <pic:spPr>
                    <a:xfrm>
                      <a:off x="0" y="0"/>
                      <a:ext cx="4574257" cy="2088000"/>
                    </a:xfrm>
                    <a:prstGeom prst="rect">
                      <a:avLst/>
                    </a:prstGeom>
                  </pic:spPr>
                </pic:pic>
              </a:graphicData>
            </a:graphic>
          </wp:inline>
        </w:drawing>
      </w:r>
    </w:p>
    <w:p w14:paraId="4DB17F6C" w14:textId="6B3CBDED"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1</w:t>
      </w:r>
      <w:r w:rsidR="00006C4D">
        <w:rPr>
          <w:rFonts w:ascii="Times New Roman" w:hAnsi="Times New Roman" w:cs="Times New Roman"/>
          <w:sz w:val="28"/>
          <w:szCs w:val="28"/>
        </w:rPr>
        <w:t>8</w:t>
      </w:r>
      <w:r w:rsidR="001D33E2" w:rsidRPr="00A43B9C">
        <w:rPr>
          <w:rFonts w:ascii="Times New Roman" w:hAnsi="Times New Roman" w:cs="Times New Roman"/>
          <w:sz w:val="28"/>
          <w:szCs w:val="28"/>
        </w:rPr>
        <w:t xml:space="preserve"> </w:t>
      </w:r>
      <w:r w:rsidR="00422F61" w:rsidRPr="00A43B9C">
        <w:rPr>
          <w:rFonts w:ascii="Times New Roman" w:hAnsi="Times New Roman" w:cs="Times New Roman"/>
          <w:sz w:val="28"/>
          <w:szCs w:val="28"/>
        </w:rPr>
        <w:t>–</w:t>
      </w:r>
      <w:r w:rsidRPr="00A43B9C">
        <w:rPr>
          <w:rFonts w:ascii="Times New Roman" w:hAnsi="Times New Roman" w:cs="Times New Roman"/>
          <w:sz w:val="28"/>
          <w:szCs w:val="28"/>
        </w:rPr>
        <w:t xml:space="preserve"> Анализ чувствительности и специфичности модели в зависимости от пороговых значений уровня </w:t>
      </w:r>
      <w:r w:rsidR="009307C9" w:rsidRPr="00A43B9C">
        <w:rPr>
          <w:rFonts w:ascii="Times New Roman" w:hAnsi="Times New Roman" w:cs="Times New Roman"/>
          <w:sz w:val="28"/>
          <w:szCs w:val="28"/>
        </w:rPr>
        <w:t>накопления</w:t>
      </w:r>
      <w:r w:rsidR="000F71AA"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RLH</w:t>
      </w:r>
    </w:p>
    <w:p w14:paraId="13A69D52" w14:textId="060314E7" w:rsidR="00C81AE7"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15 -</w:t>
      </w:r>
      <w:r w:rsidR="00C81AE7" w:rsidRPr="00A43B9C">
        <w:rPr>
          <w:rFonts w:ascii="Times New Roman" w:hAnsi="Times New Roman" w:cs="Times New Roman"/>
          <w:sz w:val="28"/>
          <w:szCs w:val="28"/>
        </w:rPr>
        <w:t xml:space="preserve"> Пороговые значения уровня </w:t>
      </w:r>
      <w:r w:rsidR="009307C9" w:rsidRPr="00A43B9C">
        <w:rPr>
          <w:rFonts w:ascii="Times New Roman" w:hAnsi="Times New Roman" w:cs="Times New Roman"/>
          <w:sz w:val="28"/>
          <w:szCs w:val="28"/>
        </w:rPr>
        <w:t>накопления</w:t>
      </w:r>
      <w:r w:rsidR="000F71AA" w:rsidRPr="00A43B9C">
        <w:rPr>
          <w:rFonts w:ascii="Times New Roman" w:hAnsi="Times New Roman" w:cs="Times New Roman"/>
          <w:sz w:val="28"/>
          <w:szCs w:val="28"/>
        </w:rPr>
        <w:t xml:space="preserve"> </w:t>
      </w:r>
      <w:r w:rsidR="00C81AE7" w:rsidRPr="00A43B9C">
        <w:rPr>
          <w:rFonts w:ascii="Times New Roman" w:hAnsi="Times New Roman" w:cs="Times New Roman"/>
          <w:sz w:val="28"/>
          <w:szCs w:val="28"/>
          <w:lang w:val="en-US"/>
        </w:rPr>
        <w:t>SUV</w:t>
      </w:r>
      <w:r w:rsidR="00C81AE7" w:rsidRPr="00A43B9C">
        <w:rPr>
          <w:rFonts w:ascii="Times New Roman" w:hAnsi="Times New Roman" w:cs="Times New Roman"/>
          <w:sz w:val="28"/>
          <w:szCs w:val="28"/>
          <w:vertAlign w:val="subscript"/>
          <w:lang w:val="en-US"/>
        </w:rPr>
        <w:t>max</w:t>
      </w:r>
      <w:r w:rsidR="00C81AE7"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00C81AE7" w:rsidRPr="00A43B9C">
        <w:rPr>
          <w:rFonts w:ascii="Times New Roman" w:hAnsi="Times New Roman" w:cs="Times New Roman"/>
          <w:sz w:val="28"/>
          <w:szCs w:val="28"/>
        </w:rPr>
        <w:t>RLH</w:t>
      </w:r>
    </w:p>
    <w:p w14:paraId="1DA5E8E0"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5000" w:type="pct"/>
        <w:jc w:val="center"/>
        <w:tblLook w:val="04A0" w:firstRow="1" w:lastRow="0" w:firstColumn="1" w:lastColumn="0" w:noHBand="0" w:noVBand="1"/>
      </w:tblPr>
      <w:tblGrid>
        <w:gridCol w:w="1790"/>
        <w:gridCol w:w="2069"/>
        <w:gridCol w:w="1966"/>
        <w:gridCol w:w="1757"/>
        <w:gridCol w:w="1762"/>
      </w:tblGrid>
      <w:tr w:rsidR="00C81AE7" w:rsidRPr="00A43B9C" w14:paraId="703C72A2" w14:textId="77777777" w:rsidTr="003F0A73">
        <w:trPr>
          <w:jc w:val="center"/>
        </w:trPr>
        <w:tc>
          <w:tcPr>
            <w:tcW w:w="958" w:type="pct"/>
            <w:vAlign w:val="center"/>
          </w:tcPr>
          <w:p w14:paraId="79EE21E9" w14:textId="0C4845E6"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Порог</w:t>
            </w:r>
            <w:r w:rsidR="008A143D" w:rsidRPr="00A43B9C">
              <w:rPr>
                <w:rFonts w:ascii="Times New Roman" w:hAnsi="Times New Roman" w:cs="Times New Roman"/>
                <w:sz w:val="28"/>
                <w:szCs w:val="28"/>
              </w:rPr>
              <w:t>овое значение</w:t>
            </w:r>
          </w:p>
        </w:tc>
        <w:tc>
          <w:tcPr>
            <w:tcW w:w="1107" w:type="pct"/>
            <w:vAlign w:val="center"/>
          </w:tcPr>
          <w:p w14:paraId="3F97E0A7" w14:textId="1DE45200"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Se, %</w:t>
            </w:r>
          </w:p>
        </w:tc>
        <w:tc>
          <w:tcPr>
            <w:tcW w:w="1052" w:type="pct"/>
            <w:vAlign w:val="center"/>
          </w:tcPr>
          <w:p w14:paraId="40924DFF" w14:textId="09E86E4E"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Sp, %</w:t>
            </w:r>
          </w:p>
        </w:tc>
        <w:tc>
          <w:tcPr>
            <w:tcW w:w="940" w:type="pct"/>
            <w:vAlign w:val="center"/>
          </w:tcPr>
          <w:p w14:paraId="47C6F59F" w14:textId="2B1C6719" w:rsidR="00C81AE7" w:rsidRPr="00A43B9C" w:rsidRDefault="00C81AE7" w:rsidP="00446A37">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PPV</w:t>
            </w:r>
            <w:r w:rsidR="003E57FA" w:rsidRPr="00A43B9C">
              <w:rPr>
                <w:rFonts w:ascii="Times New Roman" w:hAnsi="Times New Roman" w:cs="Times New Roman"/>
                <w:sz w:val="28"/>
                <w:szCs w:val="28"/>
                <w:lang w:val="en-US"/>
              </w:rPr>
              <w:t>, %</w:t>
            </w:r>
          </w:p>
        </w:tc>
        <w:tc>
          <w:tcPr>
            <w:tcW w:w="943" w:type="pct"/>
            <w:vAlign w:val="center"/>
          </w:tcPr>
          <w:p w14:paraId="36C9A144" w14:textId="178DDDD6" w:rsidR="00C81AE7" w:rsidRPr="00A43B9C" w:rsidRDefault="00C81AE7" w:rsidP="00446A37">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NPV</w:t>
            </w:r>
            <w:r w:rsidR="003E57FA" w:rsidRPr="00A43B9C">
              <w:rPr>
                <w:rFonts w:ascii="Times New Roman" w:hAnsi="Times New Roman" w:cs="Times New Roman"/>
                <w:sz w:val="28"/>
                <w:szCs w:val="28"/>
                <w:lang w:val="en-US"/>
              </w:rPr>
              <w:t>, %</w:t>
            </w:r>
          </w:p>
        </w:tc>
      </w:tr>
      <w:tr w:rsidR="00C81AE7" w:rsidRPr="00A43B9C" w14:paraId="621A80F7" w14:textId="77777777" w:rsidTr="003F0A73">
        <w:trPr>
          <w:jc w:val="center"/>
        </w:trPr>
        <w:tc>
          <w:tcPr>
            <w:tcW w:w="958" w:type="pct"/>
            <w:vAlign w:val="center"/>
          </w:tcPr>
          <w:p w14:paraId="5A06B540"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1,25</w:t>
            </w:r>
          </w:p>
        </w:tc>
        <w:tc>
          <w:tcPr>
            <w:tcW w:w="1107" w:type="pct"/>
            <w:vAlign w:val="center"/>
          </w:tcPr>
          <w:p w14:paraId="4E643097"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67,9</w:t>
            </w:r>
          </w:p>
        </w:tc>
        <w:tc>
          <w:tcPr>
            <w:tcW w:w="1052" w:type="pct"/>
            <w:vAlign w:val="center"/>
          </w:tcPr>
          <w:p w14:paraId="74A8F09C"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52,0</w:t>
            </w:r>
          </w:p>
        </w:tc>
        <w:tc>
          <w:tcPr>
            <w:tcW w:w="940" w:type="pct"/>
            <w:vAlign w:val="center"/>
          </w:tcPr>
          <w:p w14:paraId="1023961F"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61,3</w:t>
            </w:r>
          </w:p>
        </w:tc>
        <w:tc>
          <w:tcPr>
            <w:tcW w:w="943" w:type="pct"/>
            <w:vAlign w:val="center"/>
          </w:tcPr>
          <w:p w14:paraId="4042EA12"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59,1</w:t>
            </w:r>
          </w:p>
        </w:tc>
      </w:tr>
      <w:tr w:rsidR="00C81AE7" w:rsidRPr="00A43B9C" w14:paraId="7742CDF5" w14:textId="77777777" w:rsidTr="003F0A73">
        <w:trPr>
          <w:jc w:val="center"/>
        </w:trPr>
        <w:tc>
          <w:tcPr>
            <w:tcW w:w="958" w:type="pct"/>
            <w:vAlign w:val="center"/>
          </w:tcPr>
          <w:p w14:paraId="2DD26810"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1,23</w:t>
            </w:r>
          </w:p>
        </w:tc>
        <w:tc>
          <w:tcPr>
            <w:tcW w:w="1107" w:type="pct"/>
            <w:vAlign w:val="center"/>
          </w:tcPr>
          <w:p w14:paraId="7BEEE99A"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64,3</w:t>
            </w:r>
          </w:p>
        </w:tc>
        <w:tc>
          <w:tcPr>
            <w:tcW w:w="1052" w:type="pct"/>
            <w:vAlign w:val="center"/>
          </w:tcPr>
          <w:p w14:paraId="1784B734"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52,0</w:t>
            </w:r>
          </w:p>
        </w:tc>
        <w:tc>
          <w:tcPr>
            <w:tcW w:w="940" w:type="pct"/>
            <w:vAlign w:val="center"/>
          </w:tcPr>
          <w:p w14:paraId="5974FBEA"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60,0</w:t>
            </w:r>
          </w:p>
        </w:tc>
        <w:tc>
          <w:tcPr>
            <w:tcW w:w="943" w:type="pct"/>
            <w:vAlign w:val="center"/>
          </w:tcPr>
          <w:p w14:paraId="77F1186C"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56,5</w:t>
            </w:r>
          </w:p>
        </w:tc>
      </w:tr>
      <w:tr w:rsidR="00C81AE7" w:rsidRPr="00A43B9C" w14:paraId="021167D1" w14:textId="77777777" w:rsidTr="003F0A73">
        <w:trPr>
          <w:jc w:val="center"/>
        </w:trPr>
        <w:tc>
          <w:tcPr>
            <w:tcW w:w="958" w:type="pct"/>
            <w:vAlign w:val="center"/>
          </w:tcPr>
          <w:p w14:paraId="58E43167" w14:textId="77777777" w:rsidR="00C81AE7" w:rsidRPr="00452443" w:rsidRDefault="00C81AE7" w:rsidP="00446A37">
            <w:pPr>
              <w:spacing w:after="0" w:line="240" w:lineRule="auto"/>
              <w:jc w:val="center"/>
              <w:rPr>
                <w:rFonts w:ascii="Times New Roman" w:hAnsi="Times New Roman" w:cs="Times New Roman"/>
                <w:bCs/>
                <w:sz w:val="28"/>
                <w:szCs w:val="28"/>
              </w:rPr>
            </w:pPr>
            <w:r w:rsidRPr="00452443">
              <w:rPr>
                <w:rFonts w:ascii="Times New Roman" w:hAnsi="Times New Roman" w:cs="Times New Roman"/>
                <w:bCs/>
                <w:sz w:val="28"/>
                <w:szCs w:val="28"/>
              </w:rPr>
              <w:t>1,21</w:t>
            </w:r>
          </w:p>
        </w:tc>
        <w:tc>
          <w:tcPr>
            <w:tcW w:w="1107" w:type="pct"/>
            <w:vAlign w:val="center"/>
          </w:tcPr>
          <w:p w14:paraId="454830EE" w14:textId="77777777" w:rsidR="00C81AE7" w:rsidRPr="00452443" w:rsidRDefault="00C81AE7" w:rsidP="00446A37">
            <w:pPr>
              <w:spacing w:after="0" w:line="240" w:lineRule="auto"/>
              <w:jc w:val="center"/>
              <w:rPr>
                <w:rFonts w:ascii="Times New Roman" w:hAnsi="Times New Roman" w:cs="Times New Roman"/>
                <w:bCs/>
                <w:sz w:val="28"/>
                <w:szCs w:val="28"/>
              </w:rPr>
            </w:pPr>
            <w:r w:rsidRPr="00452443">
              <w:rPr>
                <w:rFonts w:ascii="Times New Roman" w:hAnsi="Times New Roman" w:cs="Times New Roman"/>
                <w:bCs/>
                <w:sz w:val="28"/>
                <w:szCs w:val="28"/>
              </w:rPr>
              <w:t>60,7</w:t>
            </w:r>
          </w:p>
        </w:tc>
        <w:tc>
          <w:tcPr>
            <w:tcW w:w="1052" w:type="pct"/>
            <w:vAlign w:val="center"/>
          </w:tcPr>
          <w:p w14:paraId="7D8A059B" w14:textId="77777777" w:rsidR="00C81AE7" w:rsidRPr="00452443" w:rsidRDefault="00C81AE7" w:rsidP="00446A37">
            <w:pPr>
              <w:spacing w:after="0" w:line="240" w:lineRule="auto"/>
              <w:jc w:val="center"/>
              <w:rPr>
                <w:rFonts w:ascii="Times New Roman" w:hAnsi="Times New Roman" w:cs="Times New Roman"/>
                <w:bCs/>
                <w:sz w:val="28"/>
                <w:szCs w:val="28"/>
              </w:rPr>
            </w:pPr>
            <w:r w:rsidRPr="00452443">
              <w:rPr>
                <w:rFonts w:ascii="Times New Roman" w:hAnsi="Times New Roman" w:cs="Times New Roman"/>
                <w:bCs/>
                <w:sz w:val="28"/>
                <w:szCs w:val="28"/>
              </w:rPr>
              <w:t>60,0</w:t>
            </w:r>
          </w:p>
        </w:tc>
        <w:tc>
          <w:tcPr>
            <w:tcW w:w="940" w:type="pct"/>
            <w:vAlign w:val="center"/>
          </w:tcPr>
          <w:p w14:paraId="330601C5" w14:textId="77777777" w:rsidR="00C81AE7" w:rsidRPr="00452443" w:rsidRDefault="00C81AE7" w:rsidP="00446A37">
            <w:pPr>
              <w:spacing w:after="0" w:line="240" w:lineRule="auto"/>
              <w:jc w:val="center"/>
              <w:rPr>
                <w:rFonts w:ascii="Times New Roman" w:hAnsi="Times New Roman" w:cs="Times New Roman"/>
                <w:bCs/>
                <w:sz w:val="28"/>
                <w:szCs w:val="28"/>
              </w:rPr>
            </w:pPr>
            <w:r w:rsidRPr="00452443">
              <w:rPr>
                <w:rFonts w:ascii="Times New Roman" w:hAnsi="Times New Roman" w:cs="Times New Roman"/>
                <w:bCs/>
                <w:sz w:val="28"/>
                <w:szCs w:val="28"/>
              </w:rPr>
              <w:t>63,0</w:t>
            </w:r>
          </w:p>
        </w:tc>
        <w:tc>
          <w:tcPr>
            <w:tcW w:w="943" w:type="pct"/>
            <w:vAlign w:val="center"/>
          </w:tcPr>
          <w:p w14:paraId="087EC327" w14:textId="77777777" w:rsidR="00C81AE7" w:rsidRPr="00452443" w:rsidRDefault="00C81AE7" w:rsidP="00446A37">
            <w:pPr>
              <w:spacing w:after="0" w:line="240" w:lineRule="auto"/>
              <w:jc w:val="center"/>
              <w:rPr>
                <w:rFonts w:ascii="Times New Roman" w:hAnsi="Times New Roman" w:cs="Times New Roman"/>
                <w:bCs/>
                <w:sz w:val="28"/>
                <w:szCs w:val="28"/>
              </w:rPr>
            </w:pPr>
            <w:r w:rsidRPr="00452443">
              <w:rPr>
                <w:rFonts w:ascii="Times New Roman" w:hAnsi="Times New Roman" w:cs="Times New Roman"/>
                <w:bCs/>
                <w:sz w:val="28"/>
                <w:szCs w:val="28"/>
              </w:rPr>
              <w:t>57,7</w:t>
            </w:r>
          </w:p>
        </w:tc>
      </w:tr>
      <w:tr w:rsidR="00C81AE7" w:rsidRPr="00A43B9C" w14:paraId="5FCD0378" w14:textId="77777777" w:rsidTr="003F0A73">
        <w:trPr>
          <w:jc w:val="center"/>
        </w:trPr>
        <w:tc>
          <w:tcPr>
            <w:tcW w:w="958" w:type="pct"/>
            <w:vAlign w:val="center"/>
          </w:tcPr>
          <w:p w14:paraId="70C87CB0"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1,14</w:t>
            </w:r>
          </w:p>
        </w:tc>
        <w:tc>
          <w:tcPr>
            <w:tcW w:w="1107" w:type="pct"/>
            <w:vAlign w:val="center"/>
          </w:tcPr>
          <w:p w14:paraId="56645BE2"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53,6</w:t>
            </w:r>
          </w:p>
        </w:tc>
        <w:tc>
          <w:tcPr>
            <w:tcW w:w="1052" w:type="pct"/>
            <w:vAlign w:val="center"/>
          </w:tcPr>
          <w:p w14:paraId="6325C5E4"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60,0</w:t>
            </w:r>
          </w:p>
        </w:tc>
        <w:tc>
          <w:tcPr>
            <w:tcW w:w="940" w:type="pct"/>
            <w:vAlign w:val="center"/>
          </w:tcPr>
          <w:p w14:paraId="3B259F09"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60,0</w:t>
            </w:r>
          </w:p>
        </w:tc>
        <w:tc>
          <w:tcPr>
            <w:tcW w:w="943" w:type="pct"/>
            <w:vAlign w:val="center"/>
          </w:tcPr>
          <w:p w14:paraId="2D52E2A1"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53,6</w:t>
            </w:r>
          </w:p>
        </w:tc>
      </w:tr>
    </w:tbl>
    <w:p w14:paraId="570AE949" w14:textId="77777777" w:rsidR="00C81AE7" w:rsidRPr="00A43B9C" w:rsidRDefault="00C81AE7" w:rsidP="00C81AE7">
      <w:pPr>
        <w:spacing w:after="0" w:line="240" w:lineRule="auto"/>
        <w:rPr>
          <w:rFonts w:ascii="Times New Roman" w:hAnsi="Times New Roman" w:cs="Times New Roman"/>
          <w:sz w:val="28"/>
          <w:szCs w:val="28"/>
        </w:rPr>
      </w:pPr>
    </w:p>
    <w:p w14:paraId="3839C39E" w14:textId="40783E9D" w:rsidR="00C81AE7" w:rsidRPr="00A43B9C" w:rsidRDefault="00C81AE7" w:rsidP="00C81AE7">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Площадь под ROC-кривой составила 0,571 </w:t>
      </w:r>
      <w:r w:rsidR="008A143D" w:rsidRPr="00A43B9C">
        <w:rPr>
          <w:rFonts w:ascii="Times New Roman" w:hAnsi="Times New Roman" w:cs="Times New Roman"/>
          <w:sz w:val="28"/>
          <w:szCs w:val="28"/>
        </w:rPr>
        <w:t>(</w:t>
      </w:r>
      <w:r w:rsidRPr="00A43B9C">
        <w:rPr>
          <w:rFonts w:ascii="Times New Roman" w:hAnsi="Times New Roman" w:cs="Times New Roman"/>
          <w:sz w:val="28"/>
          <w:szCs w:val="28"/>
        </w:rPr>
        <w:t>95% ДИ 0,416 – 0,727</w:t>
      </w:r>
      <w:r w:rsidR="008A143D" w:rsidRPr="00A43B9C">
        <w:rPr>
          <w:rFonts w:ascii="Times New Roman" w:hAnsi="Times New Roman" w:cs="Times New Roman"/>
          <w:sz w:val="28"/>
          <w:szCs w:val="28"/>
        </w:rPr>
        <w:t>), но п</w:t>
      </w:r>
      <w:r w:rsidRPr="00A43B9C">
        <w:rPr>
          <w:rFonts w:ascii="Times New Roman" w:hAnsi="Times New Roman" w:cs="Times New Roman"/>
          <w:sz w:val="28"/>
          <w:szCs w:val="28"/>
        </w:rPr>
        <w:t>олученная модель не была статистически значимой</w:t>
      </w:r>
      <w:r w:rsidR="00520778">
        <w:rPr>
          <w:rFonts w:ascii="Times New Roman" w:hAnsi="Times New Roman" w:cs="Times New Roman"/>
          <w:sz w:val="28"/>
          <w:szCs w:val="28"/>
        </w:rPr>
        <w:t xml:space="preserve"> (</w:t>
      </w:r>
      <w:r w:rsidR="00520778">
        <w:rPr>
          <w:rFonts w:ascii="Times New Roman" w:hAnsi="Times New Roman" w:cs="Times New Roman"/>
          <w:sz w:val="28"/>
          <w:szCs w:val="28"/>
          <w:lang w:val="en-US"/>
        </w:rPr>
        <w:t>p</w:t>
      </w:r>
      <w:r w:rsidR="00520778" w:rsidRPr="00E97D9E">
        <w:rPr>
          <w:rFonts w:ascii="Times New Roman" w:hAnsi="Times New Roman" w:cs="Times New Roman"/>
          <w:sz w:val="28"/>
          <w:szCs w:val="28"/>
        </w:rPr>
        <w:t xml:space="preserve"> = 0,373</w:t>
      </w:r>
      <w:r w:rsidR="00520778">
        <w:rPr>
          <w:rFonts w:ascii="Times New Roman" w:hAnsi="Times New Roman" w:cs="Times New Roman"/>
          <w:sz w:val="28"/>
          <w:szCs w:val="28"/>
        </w:rPr>
        <w:t>)</w:t>
      </w:r>
      <w:r w:rsidRPr="00A43B9C">
        <w:rPr>
          <w:rFonts w:ascii="Times New Roman" w:hAnsi="Times New Roman" w:cs="Times New Roman"/>
          <w:sz w:val="28"/>
          <w:szCs w:val="28"/>
        </w:rPr>
        <w:t>.</w:t>
      </w:r>
      <w:r w:rsidR="008A143D"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Пороговое значение уровня </w:t>
      </w:r>
      <w:r w:rsidR="009307C9" w:rsidRPr="00A43B9C">
        <w:rPr>
          <w:rFonts w:ascii="Times New Roman" w:hAnsi="Times New Roman" w:cs="Times New Roman"/>
          <w:sz w:val="28"/>
          <w:szCs w:val="28"/>
        </w:rPr>
        <w:t>накопления</w:t>
      </w:r>
      <w:r w:rsidR="000F71AA"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RLH в точке </w:t>
      </w:r>
      <w:r w:rsidR="008A143D" w:rsidRPr="00A43B9C">
        <w:rPr>
          <w:rFonts w:ascii="Times New Roman" w:hAnsi="Times New Roman" w:cs="Times New Roman"/>
          <w:sz w:val="28"/>
          <w:szCs w:val="28"/>
        </w:rPr>
        <w:t>отсечения</w:t>
      </w:r>
      <w:r w:rsidRPr="00A43B9C">
        <w:rPr>
          <w:rFonts w:ascii="Times New Roman" w:hAnsi="Times New Roman" w:cs="Times New Roman"/>
          <w:sz w:val="28"/>
          <w:szCs w:val="28"/>
        </w:rPr>
        <w:t>, которому соответствовало наивысшее значение индекса Юдена, составило 1,21</w:t>
      </w:r>
      <w:r w:rsidR="00102EE2" w:rsidRPr="00A43B9C">
        <w:rPr>
          <w:rFonts w:ascii="Times New Roman" w:hAnsi="Times New Roman" w:cs="Times New Roman"/>
          <w:sz w:val="28"/>
          <w:szCs w:val="28"/>
        </w:rPr>
        <w:t xml:space="preserve"> (рисунок 1</w:t>
      </w:r>
      <w:r w:rsidR="00006C4D">
        <w:rPr>
          <w:rFonts w:ascii="Times New Roman" w:hAnsi="Times New Roman" w:cs="Times New Roman"/>
          <w:sz w:val="28"/>
          <w:szCs w:val="28"/>
        </w:rPr>
        <w:t>8</w:t>
      </w:r>
      <w:r w:rsidR="00102EE2" w:rsidRPr="00A43B9C">
        <w:rPr>
          <w:rFonts w:ascii="Times New Roman" w:hAnsi="Times New Roman" w:cs="Times New Roman"/>
          <w:sz w:val="28"/>
          <w:szCs w:val="28"/>
        </w:rPr>
        <w:t>)</w:t>
      </w:r>
      <w:r w:rsidRPr="00A43B9C">
        <w:rPr>
          <w:rFonts w:ascii="Times New Roman" w:hAnsi="Times New Roman" w:cs="Times New Roman"/>
          <w:sz w:val="28"/>
          <w:szCs w:val="28"/>
        </w:rPr>
        <w:t xml:space="preserve">. Наличие </w:t>
      </w:r>
      <w:r w:rsidR="001C40D1" w:rsidRPr="00A43B9C">
        <w:rPr>
          <w:rFonts w:ascii="Times New Roman" w:eastAsia="Times New Roman" w:hAnsi="Times New Roman" w:cs="Times New Roman"/>
          <w:sz w:val="28"/>
          <w:szCs w:val="28"/>
          <w:lang w:val="en-US" w:eastAsia="ru-RU"/>
        </w:rPr>
        <w:t>pLM</w:t>
      </w:r>
      <w:r w:rsidR="003B07F1"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прогнозировалось при значении уровня </w:t>
      </w:r>
      <w:r w:rsidR="009307C9" w:rsidRPr="00A43B9C">
        <w:rPr>
          <w:rFonts w:ascii="Times New Roman" w:hAnsi="Times New Roman" w:cs="Times New Roman"/>
          <w:sz w:val="28"/>
          <w:szCs w:val="28"/>
        </w:rPr>
        <w:t>накопления</w:t>
      </w:r>
      <w:r w:rsidR="000F71AA"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RLH ниже данной величины или равном ей. </w:t>
      </w:r>
      <w:r w:rsidRPr="00A43B9C">
        <w:rPr>
          <w:rFonts w:ascii="Times New Roman" w:hAnsi="Times New Roman" w:cs="Times New Roman"/>
          <w:sz w:val="28"/>
          <w:szCs w:val="28"/>
        </w:rPr>
        <w:lastRenderedPageBreak/>
        <w:t xml:space="preserve">Чувствительность и специфичность модели составили 60,7% и 60,0%, </w:t>
      </w:r>
      <w:r w:rsidR="00102EE2" w:rsidRPr="00A43B9C">
        <w:rPr>
          <w:rFonts w:ascii="Times New Roman" w:hAnsi="Times New Roman" w:cs="Times New Roman"/>
          <w:sz w:val="28"/>
          <w:szCs w:val="28"/>
        </w:rPr>
        <w:t xml:space="preserve">а </w:t>
      </w:r>
      <w:r w:rsidR="00102EE2" w:rsidRPr="00A43B9C">
        <w:rPr>
          <w:rFonts w:ascii="Times New Roman" w:hAnsi="Times New Roman" w:cs="Times New Roman"/>
          <w:sz w:val="28"/>
          <w:szCs w:val="28"/>
          <w:lang w:val="en-US"/>
        </w:rPr>
        <w:t>PPV</w:t>
      </w:r>
      <w:r w:rsidR="00102EE2" w:rsidRPr="00A43B9C">
        <w:rPr>
          <w:rFonts w:ascii="Times New Roman" w:hAnsi="Times New Roman" w:cs="Times New Roman"/>
          <w:sz w:val="28"/>
          <w:szCs w:val="28"/>
        </w:rPr>
        <w:t xml:space="preserve"> и </w:t>
      </w:r>
      <w:r w:rsidR="00102EE2" w:rsidRPr="00A43B9C">
        <w:rPr>
          <w:rFonts w:ascii="Times New Roman" w:hAnsi="Times New Roman" w:cs="Times New Roman"/>
          <w:sz w:val="28"/>
          <w:szCs w:val="28"/>
          <w:lang w:val="en-US"/>
        </w:rPr>
        <w:t>NPV</w:t>
      </w:r>
      <w:r w:rsidR="00102EE2" w:rsidRPr="00A43B9C">
        <w:rPr>
          <w:rFonts w:ascii="Times New Roman" w:hAnsi="Times New Roman" w:cs="Times New Roman"/>
          <w:sz w:val="28"/>
          <w:szCs w:val="28"/>
        </w:rPr>
        <w:t xml:space="preserve"> составили 6</w:t>
      </w:r>
      <w:r w:rsidR="002275A2" w:rsidRPr="00A43B9C">
        <w:rPr>
          <w:rFonts w:ascii="Times New Roman" w:hAnsi="Times New Roman" w:cs="Times New Roman"/>
          <w:sz w:val="28"/>
          <w:szCs w:val="28"/>
        </w:rPr>
        <w:t>3</w:t>
      </w:r>
      <w:r w:rsidR="00102EE2" w:rsidRPr="00A43B9C">
        <w:rPr>
          <w:rFonts w:ascii="Times New Roman" w:hAnsi="Times New Roman" w:cs="Times New Roman"/>
          <w:sz w:val="28"/>
          <w:szCs w:val="28"/>
        </w:rPr>
        <w:t>,</w:t>
      </w:r>
      <w:r w:rsidR="002275A2" w:rsidRPr="00A43B9C">
        <w:rPr>
          <w:rFonts w:ascii="Times New Roman" w:hAnsi="Times New Roman" w:cs="Times New Roman"/>
          <w:sz w:val="28"/>
          <w:szCs w:val="28"/>
        </w:rPr>
        <w:t>0</w:t>
      </w:r>
      <w:r w:rsidR="00102EE2" w:rsidRPr="00A43B9C">
        <w:rPr>
          <w:rFonts w:ascii="Times New Roman" w:hAnsi="Times New Roman" w:cs="Times New Roman"/>
          <w:sz w:val="28"/>
          <w:szCs w:val="28"/>
        </w:rPr>
        <w:t xml:space="preserve">% и </w:t>
      </w:r>
      <w:r w:rsidR="002275A2" w:rsidRPr="00A43B9C">
        <w:rPr>
          <w:rFonts w:ascii="Times New Roman" w:hAnsi="Times New Roman" w:cs="Times New Roman"/>
          <w:sz w:val="28"/>
          <w:szCs w:val="28"/>
        </w:rPr>
        <w:t>57</w:t>
      </w:r>
      <w:r w:rsidR="00102EE2" w:rsidRPr="00A43B9C">
        <w:rPr>
          <w:rFonts w:ascii="Times New Roman" w:hAnsi="Times New Roman" w:cs="Times New Roman"/>
          <w:sz w:val="28"/>
          <w:szCs w:val="28"/>
        </w:rPr>
        <w:t>,</w:t>
      </w:r>
      <w:r w:rsidR="002275A2" w:rsidRPr="00A43B9C">
        <w:rPr>
          <w:rFonts w:ascii="Times New Roman" w:hAnsi="Times New Roman" w:cs="Times New Roman"/>
          <w:sz w:val="28"/>
          <w:szCs w:val="28"/>
        </w:rPr>
        <w:t>7</w:t>
      </w:r>
      <w:r w:rsidR="00102EE2" w:rsidRPr="00A43B9C">
        <w:rPr>
          <w:rFonts w:ascii="Times New Roman" w:hAnsi="Times New Roman" w:cs="Times New Roman"/>
          <w:sz w:val="28"/>
          <w:szCs w:val="28"/>
        </w:rPr>
        <w:t>% соответственно (таблица 15)</w:t>
      </w:r>
      <w:r w:rsidRPr="00A43B9C">
        <w:rPr>
          <w:rFonts w:ascii="Times New Roman" w:hAnsi="Times New Roman" w:cs="Times New Roman"/>
          <w:sz w:val="28"/>
          <w:szCs w:val="28"/>
        </w:rPr>
        <w:t>.</w:t>
      </w:r>
    </w:p>
    <w:p w14:paraId="1B126941" w14:textId="77777777" w:rsidR="00C81AE7" w:rsidRPr="00A43B9C" w:rsidRDefault="00C81AE7" w:rsidP="00C81AE7">
      <w:pPr>
        <w:spacing w:after="0" w:line="240" w:lineRule="auto"/>
        <w:rPr>
          <w:rFonts w:ascii="Times New Roman" w:hAnsi="Times New Roman" w:cs="Times New Roman"/>
          <w:sz w:val="28"/>
          <w:szCs w:val="28"/>
        </w:rPr>
      </w:pPr>
    </w:p>
    <w:p w14:paraId="2C5CA8D3" w14:textId="7C5E5B46" w:rsidR="00C81AE7" w:rsidRPr="00A43B9C" w:rsidRDefault="00C81AE7" w:rsidP="00C81AE7">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При оценке зависимости вероятности </w:t>
      </w:r>
      <w:r w:rsidR="001C40D1" w:rsidRPr="00A43B9C">
        <w:rPr>
          <w:rFonts w:ascii="Times New Roman" w:eastAsia="Times New Roman" w:hAnsi="Times New Roman" w:cs="Times New Roman"/>
          <w:sz w:val="28"/>
          <w:szCs w:val="28"/>
          <w:lang w:val="en-US" w:eastAsia="ru-RU"/>
        </w:rPr>
        <w:t>LM</w:t>
      </w:r>
      <w:r w:rsidR="003B07F1"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в </w:t>
      </w:r>
      <w:r w:rsidR="008A143D"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RRL с помощью ROC-анализа была получена следующая кривая</w:t>
      </w:r>
      <w:r w:rsidR="00A729AC" w:rsidRPr="00A43B9C">
        <w:rPr>
          <w:rFonts w:ascii="Times New Roman" w:hAnsi="Times New Roman" w:cs="Times New Roman"/>
          <w:sz w:val="28"/>
          <w:szCs w:val="28"/>
        </w:rPr>
        <w:t xml:space="preserve"> (рисунок 1</w:t>
      </w:r>
      <w:r w:rsidR="00006C4D">
        <w:rPr>
          <w:rFonts w:ascii="Times New Roman" w:hAnsi="Times New Roman" w:cs="Times New Roman"/>
          <w:sz w:val="28"/>
          <w:szCs w:val="28"/>
        </w:rPr>
        <w:t>9</w:t>
      </w:r>
      <w:r w:rsidR="00A729AC" w:rsidRPr="00A43B9C">
        <w:rPr>
          <w:rFonts w:ascii="Times New Roman" w:hAnsi="Times New Roman" w:cs="Times New Roman"/>
          <w:sz w:val="28"/>
          <w:szCs w:val="28"/>
        </w:rPr>
        <w:t>)</w:t>
      </w:r>
      <w:r w:rsidRPr="00A43B9C">
        <w:rPr>
          <w:rFonts w:ascii="Times New Roman" w:hAnsi="Times New Roman" w:cs="Times New Roman"/>
          <w:sz w:val="28"/>
          <w:szCs w:val="28"/>
        </w:rPr>
        <w:t>.</w:t>
      </w:r>
    </w:p>
    <w:p w14:paraId="79C561B1" w14:textId="77777777" w:rsidR="00C81AE7" w:rsidRPr="00A43B9C" w:rsidRDefault="00C81AE7" w:rsidP="00C81AE7">
      <w:pPr>
        <w:spacing w:after="0" w:line="240" w:lineRule="auto"/>
        <w:rPr>
          <w:rFonts w:ascii="Times New Roman" w:hAnsi="Times New Roman" w:cs="Times New Roman"/>
          <w:sz w:val="28"/>
          <w:szCs w:val="28"/>
        </w:rPr>
      </w:pPr>
    </w:p>
    <w:p w14:paraId="2441C89A" w14:textId="77777777"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6AAAA004" wp14:editId="3F0F1480">
            <wp:extent cx="3685243" cy="2268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35.png"/>
                    <pic:cNvPicPr/>
                  </pic:nvPicPr>
                  <pic:blipFill>
                    <a:blip r:embed="rId153"/>
                    <a:stretch>
                      <a:fillRect/>
                    </a:stretch>
                  </pic:blipFill>
                  <pic:spPr>
                    <a:xfrm>
                      <a:off x="0" y="0"/>
                      <a:ext cx="3685243" cy="2268000"/>
                    </a:xfrm>
                    <a:prstGeom prst="rect">
                      <a:avLst/>
                    </a:prstGeom>
                  </pic:spPr>
                </pic:pic>
              </a:graphicData>
            </a:graphic>
          </wp:inline>
        </w:drawing>
      </w:r>
    </w:p>
    <w:p w14:paraId="0AB974D2" w14:textId="5B279F56"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1</w:t>
      </w:r>
      <w:r w:rsidR="00006C4D">
        <w:rPr>
          <w:rFonts w:ascii="Times New Roman" w:hAnsi="Times New Roman" w:cs="Times New Roman"/>
          <w:sz w:val="28"/>
          <w:szCs w:val="28"/>
        </w:rPr>
        <w:t>9</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ROC-кривая, характеризующая зависимость вероятности </w:t>
      </w:r>
      <w:r w:rsidR="00777C9A">
        <w:rPr>
          <w:rFonts w:ascii="Times New Roman" w:hAnsi="Times New Roman" w:cs="Times New Roman"/>
          <w:sz w:val="28"/>
          <w:szCs w:val="28"/>
          <w:lang w:val="en-US"/>
        </w:rPr>
        <w:t>p</w:t>
      </w:r>
      <w:r w:rsidR="001C40D1" w:rsidRPr="00A43B9C">
        <w:rPr>
          <w:rFonts w:ascii="Times New Roman" w:hAnsi="Times New Roman" w:cs="Times New Roman"/>
          <w:sz w:val="28"/>
          <w:szCs w:val="28"/>
          <w:lang w:val="en-US"/>
        </w:rPr>
        <w:t>LM</w:t>
      </w:r>
      <w:r w:rsidRPr="00A43B9C">
        <w:rPr>
          <w:rFonts w:ascii="Times New Roman" w:hAnsi="Times New Roman" w:cs="Times New Roman"/>
          <w:sz w:val="28"/>
          <w:szCs w:val="28"/>
        </w:rPr>
        <w:t xml:space="preserve"> от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RRL</w:t>
      </w:r>
    </w:p>
    <w:p w14:paraId="07C34A99" w14:textId="77777777" w:rsidR="00C81AE7" w:rsidRPr="00A43B9C" w:rsidRDefault="00C81AE7" w:rsidP="00C81AE7">
      <w:pPr>
        <w:spacing w:after="0" w:line="240" w:lineRule="auto"/>
        <w:rPr>
          <w:rFonts w:ascii="Times New Roman" w:hAnsi="Times New Roman" w:cs="Times New Roman"/>
          <w:sz w:val="28"/>
          <w:szCs w:val="28"/>
        </w:rPr>
      </w:pPr>
    </w:p>
    <w:p w14:paraId="6A118CCC" w14:textId="77777777" w:rsidR="00C81AE7" w:rsidRPr="00A43B9C" w:rsidRDefault="00C81AE7" w:rsidP="00C81AE7">
      <w:pPr>
        <w:spacing w:after="0" w:line="240" w:lineRule="auto"/>
        <w:jc w:val="center"/>
        <w:rPr>
          <w:rFonts w:ascii="Times New Roman" w:hAnsi="Times New Roman" w:cs="Times New Roman"/>
          <w:sz w:val="28"/>
          <w:szCs w:val="28"/>
        </w:rPr>
      </w:pPr>
      <w:r w:rsidRPr="00A43B9C">
        <w:rPr>
          <w:noProof/>
        </w:rPr>
        <w:drawing>
          <wp:inline distT="0" distB="0" distL="0" distR="0" wp14:anchorId="096BD029" wp14:editId="7B5B6A3C">
            <wp:extent cx="4968590" cy="2268000"/>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12.png"/>
                    <pic:cNvPicPr/>
                  </pic:nvPicPr>
                  <pic:blipFill>
                    <a:blip r:embed="rId154"/>
                    <a:stretch>
                      <a:fillRect/>
                    </a:stretch>
                  </pic:blipFill>
                  <pic:spPr>
                    <a:xfrm>
                      <a:off x="0" y="0"/>
                      <a:ext cx="4968590" cy="2268000"/>
                    </a:xfrm>
                    <a:prstGeom prst="rect">
                      <a:avLst/>
                    </a:prstGeom>
                  </pic:spPr>
                </pic:pic>
              </a:graphicData>
            </a:graphic>
          </wp:inline>
        </w:drawing>
      </w:r>
    </w:p>
    <w:p w14:paraId="3E53574F" w14:textId="2A604B56"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 xml:space="preserve">Рисунок </w:t>
      </w:r>
      <w:r w:rsidR="00006C4D">
        <w:rPr>
          <w:rFonts w:ascii="Times New Roman" w:hAnsi="Times New Roman" w:cs="Times New Roman"/>
          <w:sz w:val="28"/>
          <w:szCs w:val="28"/>
        </w:rPr>
        <w:t>20</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чувствительности и специфичности модели в зависимости от пороговых значений уровня </w:t>
      </w:r>
      <w:r w:rsidR="009307C9" w:rsidRPr="00A43B9C">
        <w:rPr>
          <w:rFonts w:ascii="Times New Roman" w:hAnsi="Times New Roman" w:cs="Times New Roman"/>
          <w:sz w:val="28"/>
          <w:szCs w:val="28"/>
        </w:rPr>
        <w:t xml:space="preserve">накопления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RRL</w:t>
      </w:r>
    </w:p>
    <w:p w14:paraId="1E494C71" w14:textId="77777777" w:rsidR="00C81AE7" w:rsidRPr="00A43B9C" w:rsidRDefault="00C81AE7" w:rsidP="00C81AE7">
      <w:pPr>
        <w:spacing w:after="0" w:line="240" w:lineRule="auto"/>
        <w:rPr>
          <w:rFonts w:ascii="Times New Roman" w:hAnsi="Times New Roman" w:cs="Times New Roman"/>
          <w:sz w:val="28"/>
          <w:szCs w:val="28"/>
        </w:rPr>
      </w:pPr>
    </w:p>
    <w:p w14:paraId="7D063D40" w14:textId="51A472F4" w:rsidR="00C81AE7"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16 -</w:t>
      </w:r>
      <w:r w:rsidR="00C81AE7" w:rsidRPr="00A43B9C">
        <w:rPr>
          <w:rFonts w:ascii="Times New Roman" w:hAnsi="Times New Roman" w:cs="Times New Roman"/>
          <w:sz w:val="28"/>
          <w:szCs w:val="28"/>
        </w:rPr>
        <w:t xml:space="preserve"> Пороговые значения уровня </w:t>
      </w:r>
      <w:r w:rsidR="009307C9" w:rsidRPr="00A43B9C">
        <w:rPr>
          <w:rFonts w:ascii="Times New Roman" w:hAnsi="Times New Roman" w:cs="Times New Roman"/>
          <w:sz w:val="28"/>
          <w:szCs w:val="28"/>
        </w:rPr>
        <w:t xml:space="preserve">накопления </w:t>
      </w:r>
      <w:r w:rsidR="00C81AE7" w:rsidRPr="00A43B9C">
        <w:rPr>
          <w:rFonts w:ascii="Times New Roman" w:hAnsi="Times New Roman" w:cs="Times New Roman"/>
          <w:sz w:val="28"/>
          <w:szCs w:val="28"/>
          <w:lang w:val="en-US"/>
        </w:rPr>
        <w:t>SUV</w:t>
      </w:r>
      <w:r w:rsidR="00C81AE7" w:rsidRPr="00A43B9C">
        <w:rPr>
          <w:rFonts w:ascii="Times New Roman" w:hAnsi="Times New Roman" w:cs="Times New Roman"/>
          <w:sz w:val="28"/>
          <w:szCs w:val="28"/>
          <w:vertAlign w:val="subscript"/>
          <w:lang w:val="en-US"/>
        </w:rPr>
        <w:t>max</w:t>
      </w:r>
      <w:r w:rsidR="00C81AE7"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00C81AE7" w:rsidRPr="00A43B9C">
        <w:rPr>
          <w:rFonts w:ascii="Times New Roman" w:hAnsi="Times New Roman" w:cs="Times New Roman"/>
          <w:sz w:val="28"/>
          <w:szCs w:val="28"/>
        </w:rPr>
        <w:t>RRL</w:t>
      </w:r>
    </w:p>
    <w:p w14:paraId="38960B37"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5000" w:type="pct"/>
        <w:jc w:val="center"/>
        <w:tblLook w:val="04A0" w:firstRow="1" w:lastRow="0" w:firstColumn="1" w:lastColumn="0" w:noHBand="0" w:noVBand="1"/>
      </w:tblPr>
      <w:tblGrid>
        <w:gridCol w:w="1790"/>
        <w:gridCol w:w="2069"/>
        <w:gridCol w:w="1966"/>
        <w:gridCol w:w="1757"/>
        <w:gridCol w:w="1762"/>
      </w:tblGrid>
      <w:tr w:rsidR="00C81AE7" w:rsidRPr="00A43B9C" w14:paraId="61EC3873" w14:textId="77777777" w:rsidTr="003F0A73">
        <w:trPr>
          <w:jc w:val="center"/>
        </w:trPr>
        <w:tc>
          <w:tcPr>
            <w:tcW w:w="958" w:type="pct"/>
            <w:vAlign w:val="center"/>
          </w:tcPr>
          <w:p w14:paraId="7368B4E9" w14:textId="72C278C1"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Порог</w:t>
            </w:r>
            <w:r w:rsidR="008A143D" w:rsidRPr="00A43B9C">
              <w:rPr>
                <w:rFonts w:ascii="Times New Roman" w:hAnsi="Times New Roman" w:cs="Times New Roman"/>
                <w:sz w:val="28"/>
                <w:szCs w:val="28"/>
              </w:rPr>
              <w:t>овое значение</w:t>
            </w:r>
          </w:p>
        </w:tc>
        <w:tc>
          <w:tcPr>
            <w:tcW w:w="1107" w:type="pct"/>
            <w:vAlign w:val="center"/>
          </w:tcPr>
          <w:p w14:paraId="12F147CF" w14:textId="03491F6E"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Se, %</w:t>
            </w:r>
          </w:p>
        </w:tc>
        <w:tc>
          <w:tcPr>
            <w:tcW w:w="1052" w:type="pct"/>
            <w:vAlign w:val="center"/>
          </w:tcPr>
          <w:p w14:paraId="4D5C78BC" w14:textId="6E4698E0"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Sp, %</w:t>
            </w:r>
          </w:p>
        </w:tc>
        <w:tc>
          <w:tcPr>
            <w:tcW w:w="940" w:type="pct"/>
            <w:vAlign w:val="center"/>
          </w:tcPr>
          <w:p w14:paraId="6F90A866" w14:textId="2FD8CCE9" w:rsidR="00C81AE7" w:rsidRPr="00A43B9C" w:rsidRDefault="00C81AE7" w:rsidP="00446A37">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PPV</w:t>
            </w:r>
            <w:r w:rsidR="003E57FA" w:rsidRPr="00A43B9C">
              <w:rPr>
                <w:rFonts w:ascii="Times New Roman" w:hAnsi="Times New Roman" w:cs="Times New Roman"/>
                <w:sz w:val="28"/>
                <w:szCs w:val="28"/>
                <w:lang w:val="en-US"/>
              </w:rPr>
              <w:t>, %</w:t>
            </w:r>
          </w:p>
        </w:tc>
        <w:tc>
          <w:tcPr>
            <w:tcW w:w="943" w:type="pct"/>
            <w:vAlign w:val="center"/>
          </w:tcPr>
          <w:p w14:paraId="1B9944AC" w14:textId="0F7EFACE" w:rsidR="00C81AE7" w:rsidRPr="00A43B9C" w:rsidRDefault="00C81AE7" w:rsidP="00446A37">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NPV</w:t>
            </w:r>
            <w:r w:rsidR="003E57FA" w:rsidRPr="00A43B9C">
              <w:rPr>
                <w:rFonts w:ascii="Times New Roman" w:hAnsi="Times New Roman" w:cs="Times New Roman"/>
                <w:sz w:val="28"/>
                <w:szCs w:val="28"/>
                <w:lang w:val="en-US"/>
              </w:rPr>
              <w:t>, %</w:t>
            </w:r>
          </w:p>
        </w:tc>
      </w:tr>
      <w:tr w:rsidR="00C81AE7" w:rsidRPr="00A43B9C" w14:paraId="59655AC4" w14:textId="77777777" w:rsidTr="003F0A73">
        <w:trPr>
          <w:jc w:val="center"/>
        </w:trPr>
        <w:tc>
          <w:tcPr>
            <w:tcW w:w="958" w:type="pct"/>
            <w:vAlign w:val="center"/>
          </w:tcPr>
          <w:p w14:paraId="3E3E75EF"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1,55</w:t>
            </w:r>
          </w:p>
        </w:tc>
        <w:tc>
          <w:tcPr>
            <w:tcW w:w="1107" w:type="pct"/>
            <w:vAlign w:val="center"/>
          </w:tcPr>
          <w:p w14:paraId="7D3F29B6"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75,0</w:t>
            </w:r>
          </w:p>
        </w:tc>
        <w:tc>
          <w:tcPr>
            <w:tcW w:w="1052" w:type="pct"/>
            <w:vAlign w:val="center"/>
          </w:tcPr>
          <w:p w14:paraId="7B302DCA"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56,0</w:t>
            </w:r>
          </w:p>
        </w:tc>
        <w:tc>
          <w:tcPr>
            <w:tcW w:w="940" w:type="pct"/>
            <w:vAlign w:val="center"/>
          </w:tcPr>
          <w:p w14:paraId="02599632"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65,6</w:t>
            </w:r>
          </w:p>
        </w:tc>
        <w:tc>
          <w:tcPr>
            <w:tcW w:w="943" w:type="pct"/>
            <w:vAlign w:val="center"/>
          </w:tcPr>
          <w:p w14:paraId="41E3C0B9"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66,7</w:t>
            </w:r>
          </w:p>
        </w:tc>
      </w:tr>
      <w:tr w:rsidR="00C81AE7" w:rsidRPr="00A43B9C" w14:paraId="4769709B" w14:textId="77777777" w:rsidTr="003F0A73">
        <w:trPr>
          <w:jc w:val="center"/>
        </w:trPr>
        <w:tc>
          <w:tcPr>
            <w:tcW w:w="958" w:type="pct"/>
            <w:vAlign w:val="center"/>
          </w:tcPr>
          <w:p w14:paraId="2057EEB7" w14:textId="77777777" w:rsidR="00C81AE7" w:rsidRPr="00452443" w:rsidRDefault="00C81AE7" w:rsidP="00446A37">
            <w:pPr>
              <w:spacing w:after="0" w:line="240" w:lineRule="auto"/>
              <w:jc w:val="center"/>
              <w:rPr>
                <w:rFonts w:ascii="Times New Roman" w:hAnsi="Times New Roman" w:cs="Times New Roman"/>
                <w:sz w:val="28"/>
                <w:szCs w:val="28"/>
              </w:rPr>
            </w:pPr>
            <w:r w:rsidRPr="00452443">
              <w:rPr>
                <w:rFonts w:ascii="Times New Roman" w:hAnsi="Times New Roman" w:cs="Times New Roman"/>
                <w:sz w:val="28"/>
                <w:szCs w:val="28"/>
              </w:rPr>
              <w:t>1,48</w:t>
            </w:r>
          </w:p>
        </w:tc>
        <w:tc>
          <w:tcPr>
            <w:tcW w:w="1107" w:type="pct"/>
            <w:vAlign w:val="center"/>
          </w:tcPr>
          <w:p w14:paraId="686DB054" w14:textId="77777777" w:rsidR="00C81AE7" w:rsidRPr="00452443" w:rsidRDefault="00C81AE7" w:rsidP="00446A37">
            <w:pPr>
              <w:spacing w:after="0" w:line="240" w:lineRule="auto"/>
              <w:jc w:val="center"/>
              <w:rPr>
                <w:rFonts w:ascii="Times New Roman" w:hAnsi="Times New Roman" w:cs="Times New Roman"/>
                <w:sz w:val="28"/>
                <w:szCs w:val="28"/>
              </w:rPr>
            </w:pPr>
            <w:r w:rsidRPr="00452443">
              <w:rPr>
                <w:rFonts w:ascii="Times New Roman" w:hAnsi="Times New Roman" w:cs="Times New Roman"/>
                <w:sz w:val="28"/>
                <w:szCs w:val="28"/>
              </w:rPr>
              <w:t>75,0</w:t>
            </w:r>
          </w:p>
        </w:tc>
        <w:tc>
          <w:tcPr>
            <w:tcW w:w="1052" w:type="pct"/>
            <w:vAlign w:val="center"/>
          </w:tcPr>
          <w:p w14:paraId="53127C27" w14:textId="77777777" w:rsidR="00C81AE7" w:rsidRPr="00452443" w:rsidRDefault="00C81AE7" w:rsidP="00446A37">
            <w:pPr>
              <w:spacing w:after="0" w:line="240" w:lineRule="auto"/>
              <w:jc w:val="center"/>
              <w:rPr>
                <w:rFonts w:ascii="Times New Roman" w:hAnsi="Times New Roman" w:cs="Times New Roman"/>
                <w:sz w:val="28"/>
                <w:szCs w:val="28"/>
              </w:rPr>
            </w:pPr>
            <w:r w:rsidRPr="00452443">
              <w:rPr>
                <w:rFonts w:ascii="Times New Roman" w:hAnsi="Times New Roman" w:cs="Times New Roman"/>
                <w:sz w:val="28"/>
                <w:szCs w:val="28"/>
              </w:rPr>
              <w:t>64,0</w:t>
            </w:r>
          </w:p>
        </w:tc>
        <w:tc>
          <w:tcPr>
            <w:tcW w:w="940" w:type="pct"/>
            <w:vAlign w:val="center"/>
          </w:tcPr>
          <w:p w14:paraId="0731C4C1" w14:textId="77777777" w:rsidR="00C81AE7" w:rsidRPr="00452443" w:rsidRDefault="00C81AE7" w:rsidP="00446A37">
            <w:pPr>
              <w:spacing w:after="0" w:line="240" w:lineRule="auto"/>
              <w:jc w:val="center"/>
              <w:rPr>
                <w:rFonts w:ascii="Times New Roman" w:hAnsi="Times New Roman" w:cs="Times New Roman"/>
                <w:sz w:val="28"/>
                <w:szCs w:val="28"/>
              </w:rPr>
            </w:pPr>
            <w:r w:rsidRPr="00452443">
              <w:rPr>
                <w:rFonts w:ascii="Times New Roman" w:hAnsi="Times New Roman" w:cs="Times New Roman"/>
                <w:sz w:val="28"/>
                <w:szCs w:val="28"/>
              </w:rPr>
              <w:t>70,0</w:t>
            </w:r>
          </w:p>
        </w:tc>
        <w:tc>
          <w:tcPr>
            <w:tcW w:w="943" w:type="pct"/>
            <w:vAlign w:val="center"/>
          </w:tcPr>
          <w:p w14:paraId="1B55D8C3" w14:textId="77777777" w:rsidR="00C81AE7" w:rsidRPr="00452443" w:rsidRDefault="00C81AE7" w:rsidP="00446A37">
            <w:pPr>
              <w:spacing w:after="0" w:line="240" w:lineRule="auto"/>
              <w:jc w:val="center"/>
              <w:rPr>
                <w:rFonts w:ascii="Times New Roman" w:hAnsi="Times New Roman" w:cs="Times New Roman"/>
                <w:sz w:val="28"/>
                <w:szCs w:val="28"/>
              </w:rPr>
            </w:pPr>
            <w:r w:rsidRPr="00452443">
              <w:rPr>
                <w:rFonts w:ascii="Times New Roman" w:hAnsi="Times New Roman" w:cs="Times New Roman"/>
                <w:sz w:val="28"/>
                <w:szCs w:val="28"/>
              </w:rPr>
              <w:t>69,6</w:t>
            </w:r>
          </w:p>
        </w:tc>
      </w:tr>
      <w:tr w:rsidR="00C81AE7" w:rsidRPr="00A43B9C" w14:paraId="49FFBD7D" w14:textId="77777777" w:rsidTr="003F0A73">
        <w:trPr>
          <w:jc w:val="center"/>
        </w:trPr>
        <w:tc>
          <w:tcPr>
            <w:tcW w:w="958" w:type="pct"/>
            <w:vAlign w:val="center"/>
          </w:tcPr>
          <w:p w14:paraId="3311B3E4"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1,28</w:t>
            </w:r>
          </w:p>
        </w:tc>
        <w:tc>
          <w:tcPr>
            <w:tcW w:w="1107" w:type="pct"/>
            <w:vAlign w:val="center"/>
          </w:tcPr>
          <w:p w14:paraId="492EF38A"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60,7</w:t>
            </w:r>
          </w:p>
        </w:tc>
        <w:tc>
          <w:tcPr>
            <w:tcW w:w="1052" w:type="pct"/>
            <w:vAlign w:val="center"/>
          </w:tcPr>
          <w:p w14:paraId="2941DA70"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64,0</w:t>
            </w:r>
          </w:p>
        </w:tc>
        <w:tc>
          <w:tcPr>
            <w:tcW w:w="940" w:type="pct"/>
            <w:vAlign w:val="center"/>
          </w:tcPr>
          <w:p w14:paraId="5E65C457"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65,4</w:t>
            </w:r>
          </w:p>
        </w:tc>
        <w:tc>
          <w:tcPr>
            <w:tcW w:w="943" w:type="pct"/>
            <w:vAlign w:val="center"/>
          </w:tcPr>
          <w:p w14:paraId="012A2CA7"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59,3</w:t>
            </w:r>
          </w:p>
        </w:tc>
      </w:tr>
      <w:tr w:rsidR="00C81AE7" w:rsidRPr="00A43B9C" w14:paraId="5B152873" w14:textId="77777777" w:rsidTr="003F0A73">
        <w:trPr>
          <w:jc w:val="center"/>
        </w:trPr>
        <w:tc>
          <w:tcPr>
            <w:tcW w:w="958" w:type="pct"/>
            <w:vAlign w:val="center"/>
          </w:tcPr>
          <w:p w14:paraId="73152E70"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1,25</w:t>
            </w:r>
          </w:p>
        </w:tc>
        <w:tc>
          <w:tcPr>
            <w:tcW w:w="1107" w:type="pct"/>
            <w:vAlign w:val="center"/>
          </w:tcPr>
          <w:p w14:paraId="0EA375AD"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60,7</w:t>
            </w:r>
          </w:p>
        </w:tc>
        <w:tc>
          <w:tcPr>
            <w:tcW w:w="1052" w:type="pct"/>
            <w:vAlign w:val="center"/>
          </w:tcPr>
          <w:p w14:paraId="2FE63269"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72,0</w:t>
            </w:r>
          </w:p>
        </w:tc>
        <w:tc>
          <w:tcPr>
            <w:tcW w:w="940" w:type="pct"/>
            <w:vAlign w:val="center"/>
          </w:tcPr>
          <w:p w14:paraId="2D28A157"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70,8</w:t>
            </w:r>
          </w:p>
        </w:tc>
        <w:tc>
          <w:tcPr>
            <w:tcW w:w="943" w:type="pct"/>
            <w:vAlign w:val="center"/>
          </w:tcPr>
          <w:p w14:paraId="0AC24D1E"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62,1</w:t>
            </w:r>
          </w:p>
        </w:tc>
      </w:tr>
    </w:tbl>
    <w:p w14:paraId="02D8D22A" w14:textId="6ABAA5E0" w:rsidR="00C81AE7" w:rsidRPr="00A43B9C" w:rsidRDefault="00C81AE7" w:rsidP="00C81AE7">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lastRenderedPageBreak/>
        <w:t xml:space="preserve">Площадь под ROC-кривой составила 0,611 </w:t>
      </w:r>
      <w:r w:rsidR="008A143D" w:rsidRPr="00A43B9C">
        <w:rPr>
          <w:rFonts w:ascii="Times New Roman" w:hAnsi="Times New Roman" w:cs="Times New Roman"/>
          <w:sz w:val="28"/>
          <w:szCs w:val="28"/>
        </w:rPr>
        <w:t>(</w:t>
      </w:r>
      <w:r w:rsidRPr="00A43B9C">
        <w:rPr>
          <w:rFonts w:ascii="Times New Roman" w:hAnsi="Times New Roman" w:cs="Times New Roman"/>
          <w:sz w:val="28"/>
          <w:szCs w:val="28"/>
        </w:rPr>
        <w:t>95% ДИ 0,458 – 0,764</w:t>
      </w:r>
      <w:r w:rsidR="008A143D" w:rsidRPr="00A43B9C">
        <w:rPr>
          <w:rFonts w:ascii="Times New Roman" w:hAnsi="Times New Roman" w:cs="Times New Roman"/>
          <w:sz w:val="28"/>
          <w:szCs w:val="28"/>
        </w:rPr>
        <w:t>), однако п</w:t>
      </w:r>
      <w:r w:rsidRPr="00A43B9C">
        <w:rPr>
          <w:rFonts w:ascii="Times New Roman" w:hAnsi="Times New Roman" w:cs="Times New Roman"/>
          <w:sz w:val="28"/>
          <w:szCs w:val="28"/>
        </w:rPr>
        <w:t>олученная модель не была статистически значимой</w:t>
      </w:r>
      <w:r w:rsidR="00520778" w:rsidRPr="00520778">
        <w:rPr>
          <w:rFonts w:ascii="Times New Roman" w:hAnsi="Times New Roman" w:cs="Times New Roman"/>
          <w:sz w:val="28"/>
          <w:szCs w:val="28"/>
        </w:rPr>
        <w:t xml:space="preserve"> </w:t>
      </w:r>
      <w:r w:rsidR="00520778" w:rsidRPr="00E97D9E">
        <w:rPr>
          <w:rFonts w:ascii="Times New Roman" w:hAnsi="Times New Roman" w:cs="Times New Roman"/>
          <w:sz w:val="28"/>
          <w:szCs w:val="28"/>
        </w:rPr>
        <w:t>(</w:t>
      </w:r>
      <w:r w:rsidR="00520778">
        <w:rPr>
          <w:rFonts w:ascii="Times New Roman" w:hAnsi="Times New Roman" w:cs="Times New Roman"/>
          <w:sz w:val="28"/>
          <w:szCs w:val="28"/>
          <w:lang w:val="en-US"/>
        </w:rPr>
        <w:t>p</w:t>
      </w:r>
      <w:r w:rsidR="00520778" w:rsidRPr="00E97D9E">
        <w:rPr>
          <w:rFonts w:ascii="Times New Roman" w:hAnsi="Times New Roman" w:cs="Times New Roman"/>
          <w:sz w:val="28"/>
          <w:szCs w:val="28"/>
        </w:rPr>
        <w:t xml:space="preserve"> = 0,167)</w:t>
      </w:r>
      <w:r w:rsidRPr="00A43B9C">
        <w:rPr>
          <w:rFonts w:ascii="Times New Roman" w:hAnsi="Times New Roman" w:cs="Times New Roman"/>
          <w:sz w:val="28"/>
          <w:szCs w:val="28"/>
        </w:rPr>
        <w:t>.</w:t>
      </w:r>
      <w:r w:rsidR="008A143D"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Пороговое значение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RRL в точке </w:t>
      </w:r>
      <w:r w:rsidR="008A143D" w:rsidRPr="00A43B9C">
        <w:rPr>
          <w:rFonts w:ascii="Times New Roman" w:hAnsi="Times New Roman" w:cs="Times New Roman"/>
          <w:sz w:val="28"/>
          <w:szCs w:val="28"/>
        </w:rPr>
        <w:t>отсечения</w:t>
      </w:r>
      <w:r w:rsidRPr="00A43B9C">
        <w:rPr>
          <w:rFonts w:ascii="Times New Roman" w:hAnsi="Times New Roman" w:cs="Times New Roman"/>
          <w:sz w:val="28"/>
          <w:szCs w:val="28"/>
        </w:rPr>
        <w:t>, которому соответствовало наивысшее значение индекса Юдена, составило 1,48</w:t>
      </w:r>
      <w:r w:rsidR="00A729AC" w:rsidRPr="00A43B9C">
        <w:rPr>
          <w:rFonts w:ascii="Times New Roman" w:hAnsi="Times New Roman" w:cs="Times New Roman"/>
          <w:sz w:val="28"/>
          <w:szCs w:val="28"/>
        </w:rPr>
        <w:t xml:space="preserve"> (рисунок </w:t>
      </w:r>
      <w:r w:rsidR="00006C4D">
        <w:rPr>
          <w:rFonts w:ascii="Times New Roman" w:hAnsi="Times New Roman" w:cs="Times New Roman"/>
          <w:sz w:val="28"/>
          <w:szCs w:val="28"/>
        </w:rPr>
        <w:t>20</w:t>
      </w:r>
      <w:r w:rsidR="00A729AC" w:rsidRPr="00A43B9C">
        <w:rPr>
          <w:rFonts w:ascii="Times New Roman" w:hAnsi="Times New Roman" w:cs="Times New Roman"/>
          <w:sz w:val="28"/>
          <w:szCs w:val="28"/>
        </w:rPr>
        <w:t>)</w:t>
      </w:r>
      <w:r w:rsidRPr="00A43B9C">
        <w:rPr>
          <w:rFonts w:ascii="Times New Roman" w:hAnsi="Times New Roman" w:cs="Times New Roman"/>
          <w:sz w:val="28"/>
          <w:szCs w:val="28"/>
        </w:rPr>
        <w:t xml:space="preserve">. Наличие </w:t>
      </w:r>
      <w:r w:rsidR="001C40D1" w:rsidRPr="00A43B9C">
        <w:rPr>
          <w:rFonts w:ascii="Times New Roman" w:eastAsia="Times New Roman" w:hAnsi="Times New Roman" w:cs="Times New Roman"/>
          <w:sz w:val="28"/>
          <w:szCs w:val="28"/>
          <w:lang w:val="en-US" w:eastAsia="ru-RU"/>
        </w:rPr>
        <w:t>pLM</w:t>
      </w:r>
      <w:r w:rsidR="003B07F1"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прогнозировалось при значении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RRL ниже данной величины или равном ей. Чувствительность и специфичность модели составили 75,0% и 64,0%, </w:t>
      </w:r>
      <w:r w:rsidR="00A729AC" w:rsidRPr="00A43B9C">
        <w:rPr>
          <w:rFonts w:ascii="Times New Roman" w:hAnsi="Times New Roman" w:cs="Times New Roman"/>
          <w:sz w:val="28"/>
          <w:szCs w:val="28"/>
        </w:rPr>
        <w:t xml:space="preserve">а </w:t>
      </w:r>
      <w:r w:rsidR="00A729AC" w:rsidRPr="00A43B9C">
        <w:rPr>
          <w:rFonts w:ascii="Times New Roman" w:hAnsi="Times New Roman" w:cs="Times New Roman"/>
          <w:sz w:val="28"/>
          <w:szCs w:val="28"/>
          <w:lang w:val="en-US"/>
        </w:rPr>
        <w:t>PPV</w:t>
      </w:r>
      <w:r w:rsidR="00A729AC" w:rsidRPr="00A43B9C">
        <w:rPr>
          <w:rFonts w:ascii="Times New Roman" w:hAnsi="Times New Roman" w:cs="Times New Roman"/>
          <w:sz w:val="28"/>
          <w:szCs w:val="28"/>
        </w:rPr>
        <w:t xml:space="preserve"> и </w:t>
      </w:r>
      <w:r w:rsidR="00A729AC" w:rsidRPr="00A43B9C">
        <w:rPr>
          <w:rFonts w:ascii="Times New Roman" w:hAnsi="Times New Roman" w:cs="Times New Roman"/>
          <w:sz w:val="28"/>
          <w:szCs w:val="28"/>
          <w:lang w:val="en-US"/>
        </w:rPr>
        <w:t>NPV</w:t>
      </w:r>
      <w:r w:rsidR="00A729AC" w:rsidRPr="00A43B9C">
        <w:rPr>
          <w:rFonts w:ascii="Times New Roman" w:hAnsi="Times New Roman" w:cs="Times New Roman"/>
          <w:sz w:val="28"/>
          <w:szCs w:val="28"/>
        </w:rPr>
        <w:t xml:space="preserve"> составили 70,0% и 69,6% соответственно (таблица 16)</w:t>
      </w:r>
      <w:r w:rsidRPr="00A43B9C">
        <w:rPr>
          <w:rFonts w:ascii="Times New Roman" w:hAnsi="Times New Roman" w:cs="Times New Roman"/>
          <w:sz w:val="28"/>
          <w:szCs w:val="28"/>
        </w:rPr>
        <w:t>.</w:t>
      </w:r>
    </w:p>
    <w:p w14:paraId="53035027" w14:textId="77777777" w:rsidR="00C81AE7" w:rsidRPr="00A43B9C" w:rsidRDefault="00C81AE7" w:rsidP="00C81AE7">
      <w:pPr>
        <w:spacing w:after="0" w:line="240" w:lineRule="auto"/>
        <w:rPr>
          <w:rFonts w:ascii="Times New Roman" w:hAnsi="Times New Roman" w:cs="Times New Roman"/>
          <w:sz w:val="28"/>
          <w:szCs w:val="28"/>
        </w:rPr>
      </w:pPr>
    </w:p>
    <w:p w14:paraId="4126B92B" w14:textId="79AC37C8" w:rsidR="00C81AE7" w:rsidRPr="00A43B9C" w:rsidRDefault="00C81AE7" w:rsidP="00C81AE7">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При оценке зависимости вероятности </w:t>
      </w:r>
      <w:r w:rsidR="001C40D1" w:rsidRPr="00A43B9C">
        <w:rPr>
          <w:rFonts w:ascii="Times New Roman" w:eastAsia="Times New Roman" w:hAnsi="Times New Roman" w:cs="Times New Roman"/>
          <w:sz w:val="28"/>
          <w:szCs w:val="28"/>
          <w:lang w:val="en-US" w:eastAsia="ru-RU"/>
        </w:rPr>
        <w:t>LM</w:t>
      </w:r>
      <w:r w:rsidR="003B07F1"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в </w:t>
      </w:r>
      <w:r w:rsidR="008A143D"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RU с помощью ROC-анализа была получена следующая кривая</w:t>
      </w:r>
      <w:r w:rsidR="00F31735" w:rsidRPr="00A43B9C">
        <w:rPr>
          <w:rFonts w:ascii="Times New Roman" w:hAnsi="Times New Roman" w:cs="Times New Roman"/>
          <w:sz w:val="28"/>
          <w:szCs w:val="28"/>
        </w:rPr>
        <w:t xml:space="preserve"> (рисунок </w:t>
      </w:r>
      <w:r w:rsidR="00B164B5" w:rsidRPr="00A43B9C">
        <w:rPr>
          <w:rFonts w:ascii="Times New Roman" w:hAnsi="Times New Roman" w:cs="Times New Roman"/>
          <w:sz w:val="28"/>
          <w:szCs w:val="28"/>
        </w:rPr>
        <w:t>2</w:t>
      </w:r>
      <w:r w:rsidR="00006C4D">
        <w:rPr>
          <w:rFonts w:ascii="Times New Roman" w:hAnsi="Times New Roman" w:cs="Times New Roman"/>
          <w:sz w:val="28"/>
          <w:szCs w:val="28"/>
        </w:rPr>
        <w:t>1</w:t>
      </w:r>
      <w:r w:rsidR="00F31735" w:rsidRPr="00A43B9C">
        <w:rPr>
          <w:rFonts w:ascii="Times New Roman" w:hAnsi="Times New Roman" w:cs="Times New Roman"/>
          <w:sz w:val="28"/>
          <w:szCs w:val="28"/>
        </w:rPr>
        <w:t>)</w:t>
      </w:r>
      <w:r w:rsidRPr="00A43B9C">
        <w:rPr>
          <w:rFonts w:ascii="Times New Roman" w:hAnsi="Times New Roman" w:cs="Times New Roman"/>
          <w:sz w:val="28"/>
          <w:szCs w:val="28"/>
        </w:rPr>
        <w:t>.</w:t>
      </w:r>
    </w:p>
    <w:p w14:paraId="059A7EAA" w14:textId="77777777" w:rsidR="00C81AE7" w:rsidRDefault="00C81AE7" w:rsidP="00C81AE7">
      <w:pPr>
        <w:jc w:val="center"/>
        <w:rPr>
          <w:rFonts w:ascii="Times New Roman" w:hAnsi="Times New Roman" w:cs="Times New Roman"/>
          <w:sz w:val="28"/>
          <w:szCs w:val="28"/>
        </w:rPr>
      </w:pPr>
      <w:r w:rsidRPr="00A43B9C">
        <w:rPr>
          <w:noProof/>
          <w:lang w:eastAsia="ru-RU"/>
        </w:rPr>
        <w:drawing>
          <wp:inline distT="0" distB="0" distL="0" distR="0" wp14:anchorId="690C2F45" wp14:editId="326F3AFE">
            <wp:extent cx="3685243" cy="2268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11.png"/>
                    <pic:cNvPicPr/>
                  </pic:nvPicPr>
                  <pic:blipFill>
                    <a:blip r:embed="rId155"/>
                    <a:stretch>
                      <a:fillRect/>
                    </a:stretch>
                  </pic:blipFill>
                  <pic:spPr>
                    <a:xfrm>
                      <a:off x="0" y="0"/>
                      <a:ext cx="3685243" cy="2268000"/>
                    </a:xfrm>
                    <a:prstGeom prst="rect">
                      <a:avLst/>
                    </a:prstGeom>
                  </pic:spPr>
                </pic:pic>
              </a:graphicData>
            </a:graphic>
          </wp:inline>
        </w:drawing>
      </w:r>
    </w:p>
    <w:p w14:paraId="12FA03A5" w14:textId="1A18943D" w:rsidR="00C81AE7"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 xml:space="preserve">Рисунок </w:t>
      </w:r>
      <w:r w:rsidR="00B164B5" w:rsidRPr="00A43B9C">
        <w:rPr>
          <w:rFonts w:ascii="Times New Roman" w:hAnsi="Times New Roman" w:cs="Times New Roman"/>
          <w:sz w:val="28"/>
          <w:szCs w:val="28"/>
        </w:rPr>
        <w:t>2</w:t>
      </w:r>
      <w:r w:rsidR="00006C4D">
        <w:rPr>
          <w:rFonts w:ascii="Times New Roman" w:hAnsi="Times New Roman" w:cs="Times New Roman"/>
          <w:sz w:val="28"/>
          <w:szCs w:val="28"/>
        </w:rPr>
        <w:t>1</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ROC-кривая, характеризующая зависимость вероятности </w:t>
      </w:r>
      <w:r w:rsidR="00777C9A">
        <w:rPr>
          <w:rFonts w:ascii="Times New Roman" w:hAnsi="Times New Roman" w:cs="Times New Roman"/>
          <w:sz w:val="28"/>
          <w:szCs w:val="28"/>
          <w:lang w:val="en-US"/>
        </w:rPr>
        <w:t>p</w:t>
      </w:r>
      <w:r w:rsidR="001C40D1" w:rsidRPr="00A43B9C">
        <w:rPr>
          <w:rFonts w:ascii="Times New Roman" w:hAnsi="Times New Roman" w:cs="Times New Roman"/>
          <w:sz w:val="28"/>
          <w:szCs w:val="28"/>
          <w:lang w:val="en-US"/>
        </w:rPr>
        <w:t>LM</w:t>
      </w:r>
      <w:r w:rsidRPr="00A43B9C">
        <w:rPr>
          <w:rFonts w:ascii="Times New Roman" w:hAnsi="Times New Roman" w:cs="Times New Roman"/>
          <w:sz w:val="28"/>
          <w:szCs w:val="28"/>
        </w:rPr>
        <w:t xml:space="preserve"> от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RU</w:t>
      </w:r>
    </w:p>
    <w:p w14:paraId="1F6386E5" w14:textId="77777777" w:rsidR="006447BF" w:rsidRPr="00A43B9C" w:rsidRDefault="006447BF" w:rsidP="00C81AE7">
      <w:pPr>
        <w:spacing w:after="0" w:line="240" w:lineRule="auto"/>
        <w:jc w:val="center"/>
        <w:rPr>
          <w:rFonts w:ascii="Times New Roman" w:hAnsi="Times New Roman" w:cs="Times New Roman"/>
          <w:sz w:val="28"/>
          <w:szCs w:val="28"/>
        </w:rPr>
      </w:pPr>
    </w:p>
    <w:p w14:paraId="1C6A9A26" w14:textId="77777777" w:rsidR="00C81AE7" w:rsidRPr="007B1791" w:rsidRDefault="00C81AE7" w:rsidP="00C81AE7">
      <w:pPr>
        <w:spacing w:after="0" w:line="240" w:lineRule="auto"/>
        <w:jc w:val="center"/>
        <w:rPr>
          <w:rFonts w:ascii="Times New Roman" w:hAnsi="Times New Roman" w:cs="Times New Roman"/>
          <w:sz w:val="28"/>
          <w:szCs w:val="28"/>
        </w:rPr>
      </w:pPr>
      <w:r w:rsidRPr="00A43B9C">
        <w:rPr>
          <w:noProof/>
        </w:rPr>
        <w:drawing>
          <wp:inline distT="0" distB="0" distL="0" distR="0" wp14:anchorId="72C2B61E" wp14:editId="3FC9D2A3">
            <wp:extent cx="4968588" cy="2268000"/>
            <wp:effectExtent l="0" t="0" r="3810" b="0"/>
            <wp:docPr id="3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3.png"/>
                    <pic:cNvPicPr/>
                  </pic:nvPicPr>
                  <pic:blipFill>
                    <a:blip r:embed="rId156"/>
                    <a:stretch>
                      <a:fillRect/>
                    </a:stretch>
                  </pic:blipFill>
                  <pic:spPr>
                    <a:xfrm>
                      <a:off x="0" y="0"/>
                      <a:ext cx="4968588" cy="2268000"/>
                    </a:xfrm>
                    <a:prstGeom prst="rect">
                      <a:avLst/>
                    </a:prstGeom>
                  </pic:spPr>
                </pic:pic>
              </a:graphicData>
            </a:graphic>
          </wp:inline>
        </w:drawing>
      </w:r>
    </w:p>
    <w:p w14:paraId="17D2782E" w14:textId="1ED3EB0C"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2</w:t>
      </w:r>
      <w:r w:rsidR="00006C4D">
        <w:rPr>
          <w:rFonts w:ascii="Times New Roman" w:hAnsi="Times New Roman" w:cs="Times New Roman"/>
          <w:sz w:val="28"/>
          <w:szCs w:val="28"/>
        </w:rPr>
        <w:t>2</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чувствительности и специфичности модели в зависимости от пороговых значений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8A143D"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RU</w:t>
      </w:r>
    </w:p>
    <w:p w14:paraId="0059447F" w14:textId="74401AEC" w:rsidR="00E45A02" w:rsidRDefault="00E45A02" w:rsidP="00E45A02">
      <w:pPr>
        <w:spacing w:after="0" w:line="240" w:lineRule="auto"/>
        <w:rPr>
          <w:rFonts w:ascii="Times New Roman" w:hAnsi="Times New Roman" w:cs="Times New Roman"/>
          <w:sz w:val="28"/>
          <w:szCs w:val="28"/>
        </w:rPr>
      </w:pPr>
      <w:r>
        <w:rPr>
          <w:rFonts w:ascii="Times New Roman" w:hAnsi="Times New Roman" w:cs="Times New Roman"/>
          <w:sz w:val="28"/>
          <w:szCs w:val="28"/>
        </w:rPr>
        <w:br w:type="page"/>
      </w:r>
    </w:p>
    <w:p w14:paraId="7BA5700F" w14:textId="5964D109" w:rsidR="00C81AE7"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lastRenderedPageBreak/>
        <w:t>Таблица 17 -</w:t>
      </w:r>
      <w:r w:rsidR="00C81AE7" w:rsidRPr="00A43B9C">
        <w:rPr>
          <w:rFonts w:ascii="Times New Roman" w:hAnsi="Times New Roman" w:cs="Times New Roman"/>
          <w:sz w:val="28"/>
          <w:szCs w:val="28"/>
        </w:rPr>
        <w:t xml:space="preserve"> Пороговые значения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00C81AE7" w:rsidRPr="00A43B9C">
        <w:rPr>
          <w:rFonts w:ascii="Times New Roman" w:hAnsi="Times New Roman" w:cs="Times New Roman"/>
          <w:sz w:val="28"/>
          <w:szCs w:val="28"/>
          <w:lang w:val="en-US"/>
        </w:rPr>
        <w:t>SUV</w:t>
      </w:r>
      <w:r w:rsidR="00C81AE7" w:rsidRPr="00A43B9C">
        <w:rPr>
          <w:rFonts w:ascii="Times New Roman" w:hAnsi="Times New Roman" w:cs="Times New Roman"/>
          <w:sz w:val="28"/>
          <w:szCs w:val="28"/>
          <w:vertAlign w:val="subscript"/>
          <w:lang w:val="en-US"/>
        </w:rPr>
        <w:t>max</w:t>
      </w:r>
      <w:r w:rsidR="00C81AE7"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00C81AE7" w:rsidRPr="00A43B9C">
        <w:rPr>
          <w:rFonts w:ascii="Times New Roman" w:hAnsi="Times New Roman" w:cs="Times New Roman"/>
          <w:sz w:val="28"/>
          <w:szCs w:val="28"/>
        </w:rPr>
        <w:t>RU</w:t>
      </w:r>
    </w:p>
    <w:p w14:paraId="7C91EEE5" w14:textId="77777777" w:rsidR="000B6935" w:rsidRPr="00A43B9C" w:rsidRDefault="000B6935" w:rsidP="000B6935">
      <w:pPr>
        <w:spacing w:after="0" w:line="240" w:lineRule="auto"/>
        <w:jc w:val="both"/>
        <w:rPr>
          <w:rFonts w:ascii="Times New Roman" w:hAnsi="Times New Roman" w:cs="Times New Roman"/>
          <w:sz w:val="28"/>
          <w:szCs w:val="28"/>
        </w:rPr>
      </w:pPr>
    </w:p>
    <w:tbl>
      <w:tblPr>
        <w:tblW w:w="93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9"/>
        <w:gridCol w:w="2591"/>
        <w:gridCol w:w="2409"/>
        <w:gridCol w:w="1328"/>
        <w:gridCol w:w="1328"/>
      </w:tblGrid>
      <w:tr w:rsidR="00C81AE7" w:rsidRPr="00A43B9C" w14:paraId="79E93A13" w14:textId="77777777" w:rsidTr="00446A37">
        <w:trPr>
          <w:jc w:val="center"/>
        </w:trPr>
        <w:tc>
          <w:tcPr>
            <w:tcW w:w="1689" w:type="dxa"/>
            <w:vAlign w:val="center"/>
          </w:tcPr>
          <w:p w14:paraId="14C8EAEF" w14:textId="39E61735"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Порог</w:t>
            </w:r>
            <w:r w:rsidR="008A143D" w:rsidRPr="00A43B9C">
              <w:rPr>
                <w:rFonts w:ascii="Times New Roman" w:hAnsi="Times New Roman" w:cs="Times New Roman"/>
                <w:sz w:val="28"/>
                <w:szCs w:val="28"/>
              </w:rPr>
              <w:t>овое значение</w:t>
            </w:r>
          </w:p>
        </w:tc>
        <w:tc>
          <w:tcPr>
            <w:tcW w:w="2591" w:type="dxa"/>
            <w:vAlign w:val="center"/>
          </w:tcPr>
          <w:p w14:paraId="7AE9A1DF" w14:textId="7B8D3A4F"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Se, %</w:t>
            </w:r>
          </w:p>
        </w:tc>
        <w:tc>
          <w:tcPr>
            <w:tcW w:w="2409" w:type="dxa"/>
            <w:vAlign w:val="center"/>
          </w:tcPr>
          <w:p w14:paraId="6FF3DA0D" w14:textId="2DDBE12F"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Sp, %</w:t>
            </w:r>
          </w:p>
        </w:tc>
        <w:tc>
          <w:tcPr>
            <w:tcW w:w="1328" w:type="dxa"/>
            <w:vAlign w:val="center"/>
          </w:tcPr>
          <w:p w14:paraId="7901103E" w14:textId="5FCCB3F7" w:rsidR="00C81AE7" w:rsidRPr="00A43B9C" w:rsidRDefault="00C81AE7" w:rsidP="00446A37">
            <w:pPr>
              <w:spacing w:after="0" w:line="240" w:lineRule="auto"/>
              <w:jc w:val="center"/>
              <w:rPr>
                <w:rFonts w:ascii="Times New Roman" w:hAnsi="Times New Roman" w:cs="Times New Roman"/>
                <w:b/>
                <w:bCs/>
                <w:sz w:val="28"/>
                <w:szCs w:val="28"/>
                <w:lang w:val="en-US"/>
              </w:rPr>
            </w:pPr>
            <w:r w:rsidRPr="00A43B9C">
              <w:rPr>
                <w:rFonts w:ascii="Times New Roman" w:hAnsi="Times New Roman" w:cs="Times New Roman"/>
                <w:sz w:val="28"/>
                <w:szCs w:val="28"/>
              </w:rPr>
              <w:t>PPV</w:t>
            </w:r>
            <w:r w:rsidR="003E57FA" w:rsidRPr="00A43B9C">
              <w:rPr>
                <w:rFonts w:ascii="Times New Roman" w:hAnsi="Times New Roman" w:cs="Times New Roman"/>
                <w:sz w:val="28"/>
                <w:szCs w:val="28"/>
                <w:lang w:val="en-US"/>
              </w:rPr>
              <w:t>, %</w:t>
            </w:r>
          </w:p>
        </w:tc>
        <w:tc>
          <w:tcPr>
            <w:tcW w:w="1328" w:type="dxa"/>
            <w:vAlign w:val="center"/>
          </w:tcPr>
          <w:p w14:paraId="38D90D8A" w14:textId="13CF5A2C" w:rsidR="00C81AE7" w:rsidRPr="00A43B9C" w:rsidRDefault="00C81AE7" w:rsidP="00446A37">
            <w:pPr>
              <w:spacing w:after="0" w:line="240" w:lineRule="auto"/>
              <w:jc w:val="center"/>
              <w:rPr>
                <w:rFonts w:ascii="Times New Roman" w:hAnsi="Times New Roman" w:cs="Times New Roman"/>
                <w:b/>
                <w:bCs/>
                <w:sz w:val="28"/>
                <w:szCs w:val="28"/>
                <w:lang w:val="en-US"/>
              </w:rPr>
            </w:pPr>
            <w:r w:rsidRPr="00A43B9C">
              <w:rPr>
                <w:rFonts w:ascii="Times New Roman" w:hAnsi="Times New Roman" w:cs="Times New Roman"/>
                <w:sz w:val="28"/>
                <w:szCs w:val="28"/>
              </w:rPr>
              <w:t>NPV</w:t>
            </w:r>
            <w:r w:rsidR="003E57FA" w:rsidRPr="00A43B9C">
              <w:rPr>
                <w:rFonts w:ascii="Times New Roman" w:hAnsi="Times New Roman" w:cs="Times New Roman"/>
                <w:sz w:val="28"/>
                <w:szCs w:val="28"/>
                <w:lang w:val="en-US"/>
              </w:rPr>
              <w:t>, %</w:t>
            </w:r>
          </w:p>
        </w:tc>
      </w:tr>
      <w:tr w:rsidR="00C81AE7" w:rsidRPr="00A43B9C" w14:paraId="741E04D0" w14:textId="77777777" w:rsidTr="00446A37">
        <w:trPr>
          <w:jc w:val="center"/>
        </w:trPr>
        <w:tc>
          <w:tcPr>
            <w:tcW w:w="1689" w:type="dxa"/>
            <w:vAlign w:val="center"/>
          </w:tcPr>
          <w:p w14:paraId="0365EE08" w14:textId="77777777" w:rsidR="00C81AE7" w:rsidRPr="00452443" w:rsidRDefault="00C81AE7" w:rsidP="00446A37">
            <w:pPr>
              <w:spacing w:after="0" w:line="240" w:lineRule="auto"/>
              <w:jc w:val="center"/>
              <w:rPr>
                <w:rFonts w:ascii="Times New Roman" w:hAnsi="Times New Roman" w:cs="Times New Roman"/>
                <w:sz w:val="28"/>
                <w:szCs w:val="28"/>
              </w:rPr>
            </w:pPr>
            <w:r w:rsidRPr="00452443">
              <w:rPr>
                <w:rFonts w:ascii="Times New Roman" w:hAnsi="Times New Roman" w:cs="Times New Roman"/>
                <w:sz w:val="28"/>
                <w:szCs w:val="28"/>
              </w:rPr>
              <w:t>0,87</w:t>
            </w:r>
          </w:p>
        </w:tc>
        <w:tc>
          <w:tcPr>
            <w:tcW w:w="2591" w:type="dxa"/>
            <w:vAlign w:val="center"/>
          </w:tcPr>
          <w:p w14:paraId="78695795" w14:textId="77777777" w:rsidR="00C81AE7" w:rsidRPr="00452443" w:rsidRDefault="00C81AE7" w:rsidP="00446A37">
            <w:pPr>
              <w:spacing w:after="0" w:line="240" w:lineRule="auto"/>
              <w:jc w:val="center"/>
              <w:rPr>
                <w:rFonts w:ascii="Times New Roman" w:hAnsi="Times New Roman" w:cs="Times New Roman"/>
                <w:sz w:val="28"/>
                <w:szCs w:val="28"/>
              </w:rPr>
            </w:pPr>
            <w:r w:rsidRPr="00452443">
              <w:rPr>
                <w:rFonts w:ascii="Times New Roman" w:hAnsi="Times New Roman" w:cs="Times New Roman"/>
                <w:sz w:val="28"/>
                <w:szCs w:val="28"/>
              </w:rPr>
              <w:t>67,9</w:t>
            </w:r>
          </w:p>
        </w:tc>
        <w:tc>
          <w:tcPr>
            <w:tcW w:w="2409" w:type="dxa"/>
            <w:vAlign w:val="center"/>
          </w:tcPr>
          <w:p w14:paraId="7C51F58C" w14:textId="77777777" w:rsidR="00C81AE7" w:rsidRPr="00452443" w:rsidRDefault="00C81AE7" w:rsidP="00446A37">
            <w:pPr>
              <w:spacing w:after="0" w:line="240" w:lineRule="auto"/>
              <w:jc w:val="center"/>
              <w:rPr>
                <w:rFonts w:ascii="Times New Roman" w:hAnsi="Times New Roman" w:cs="Times New Roman"/>
                <w:sz w:val="28"/>
                <w:szCs w:val="28"/>
              </w:rPr>
            </w:pPr>
            <w:r w:rsidRPr="00452443">
              <w:rPr>
                <w:rFonts w:ascii="Times New Roman" w:hAnsi="Times New Roman" w:cs="Times New Roman"/>
                <w:sz w:val="28"/>
                <w:szCs w:val="28"/>
              </w:rPr>
              <w:t>56,0</w:t>
            </w:r>
          </w:p>
        </w:tc>
        <w:tc>
          <w:tcPr>
            <w:tcW w:w="1328" w:type="dxa"/>
            <w:vAlign w:val="center"/>
          </w:tcPr>
          <w:p w14:paraId="6F45F6F7" w14:textId="77777777" w:rsidR="00C81AE7" w:rsidRPr="00452443" w:rsidRDefault="00C81AE7" w:rsidP="00446A37">
            <w:pPr>
              <w:spacing w:after="0" w:line="240" w:lineRule="auto"/>
              <w:jc w:val="center"/>
              <w:rPr>
                <w:rFonts w:ascii="Times New Roman" w:hAnsi="Times New Roman" w:cs="Times New Roman"/>
                <w:sz w:val="28"/>
                <w:szCs w:val="28"/>
              </w:rPr>
            </w:pPr>
            <w:r w:rsidRPr="00452443">
              <w:rPr>
                <w:rFonts w:ascii="Times New Roman" w:hAnsi="Times New Roman" w:cs="Times New Roman"/>
                <w:sz w:val="28"/>
                <w:szCs w:val="28"/>
              </w:rPr>
              <w:t>63,3</w:t>
            </w:r>
          </w:p>
        </w:tc>
        <w:tc>
          <w:tcPr>
            <w:tcW w:w="1328" w:type="dxa"/>
            <w:vAlign w:val="center"/>
          </w:tcPr>
          <w:p w14:paraId="6A204C5A" w14:textId="77777777" w:rsidR="00C81AE7" w:rsidRPr="00452443" w:rsidRDefault="00C81AE7" w:rsidP="00446A37">
            <w:pPr>
              <w:spacing w:after="0" w:line="240" w:lineRule="auto"/>
              <w:jc w:val="center"/>
              <w:rPr>
                <w:rFonts w:ascii="Times New Roman" w:hAnsi="Times New Roman" w:cs="Times New Roman"/>
                <w:sz w:val="28"/>
                <w:szCs w:val="28"/>
              </w:rPr>
            </w:pPr>
            <w:r w:rsidRPr="00452443">
              <w:rPr>
                <w:rFonts w:ascii="Times New Roman" w:hAnsi="Times New Roman" w:cs="Times New Roman"/>
                <w:sz w:val="28"/>
                <w:szCs w:val="28"/>
              </w:rPr>
              <w:t>60,9</w:t>
            </w:r>
          </w:p>
        </w:tc>
      </w:tr>
      <w:tr w:rsidR="00C81AE7" w:rsidRPr="00A43B9C" w14:paraId="6207BBEB" w14:textId="77777777" w:rsidTr="00446A37">
        <w:trPr>
          <w:jc w:val="center"/>
        </w:trPr>
        <w:tc>
          <w:tcPr>
            <w:tcW w:w="1689" w:type="dxa"/>
            <w:vAlign w:val="center"/>
          </w:tcPr>
          <w:p w14:paraId="3EABA3E3"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0,75</w:t>
            </w:r>
          </w:p>
        </w:tc>
        <w:tc>
          <w:tcPr>
            <w:tcW w:w="2591" w:type="dxa"/>
            <w:vAlign w:val="center"/>
          </w:tcPr>
          <w:p w14:paraId="59BB0CE9"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50,0</w:t>
            </w:r>
          </w:p>
        </w:tc>
        <w:tc>
          <w:tcPr>
            <w:tcW w:w="2409" w:type="dxa"/>
            <w:vAlign w:val="center"/>
          </w:tcPr>
          <w:p w14:paraId="77EB317D"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56,0</w:t>
            </w:r>
          </w:p>
        </w:tc>
        <w:tc>
          <w:tcPr>
            <w:tcW w:w="1328" w:type="dxa"/>
            <w:vAlign w:val="center"/>
          </w:tcPr>
          <w:p w14:paraId="14D6895D"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56,0</w:t>
            </w:r>
          </w:p>
        </w:tc>
        <w:tc>
          <w:tcPr>
            <w:tcW w:w="1328" w:type="dxa"/>
            <w:vAlign w:val="center"/>
          </w:tcPr>
          <w:p w14:paraId="05607F7E"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50,0</w:t>
            </w:r>
          </w:p>
        </w:tc>
      </w:tr>
    </w:tbl>
    <w:p w14:paraId="5DC11A95" w14:textId="77777777" w:rsidR="00C81AE7" w:rsidRPr="00A43B9C" w:rsidRDefault="00C81AE7" w:rsidP="00C81AE7">
      <w:pPr>
        <w:spacing w:after="0" w:line="240" w:lineRule="auto"/>
        <w:rPr>
          <w:rFonts w:ascii="Times New Roman" w:hAnsi="Times New Roman" w:cs="Times New Roman"/>
          <w:sz w:val="28"/>
          <w:szCs w:val="28"/>
        </w:rPr>
      </w:pPr>
    </w:p>
    <w:p w14:paraId="46A12EC9" w14:textId="6D682CF5" w:rsidR="00C81AE7" w:rsidRPr="00A43B9C" w:rsidRDefault="00C81AE7" w:rsidP="00C81AE7">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Площадь под ROC-кривой составила 0,565 </w:t>
      </w:r>
      <w:r w:rsidR="008A143D" w:rsidRPr="00A43B9C">
        <w:rPr>
          <w:rFonts w:ascii="Times New Roman" w:hAnsi="Times New Roman" w:cs="Times New Roman"/>
          <w:sz w:val="28"/>
          <w:szCs w:val="28"/>
        </w:rPr>
        <w:t>(</w:t>
      </w:r>
      <w:r w:rsidRPr="00A43B9C">
        <w:rPr>
          <w:rFonts w:ascii="Times New Roman" w:hAnsi="Times New Roman" w:cs="Times New Roman"/>
          <w:sz w:val="28"/>
          <w:szCs w:val="28"/>
        </w:rPr>
        <w:t>95% ДИ 0,409 – 0,721</w:t>
      </w:r>
      <w:r w:rsidR="008A143D" w:rsidRPr="00A43B9C">
        <w:rPr>
          <w:rFonts w:ascii="Times New Roman" w:hAnsi="Times New Roman" w:cs="Times New Roman"/>
          <w:sz w:val="28"/>
          <w:szCs w:val="28"/>
        </w:rPr>
        <w:t>), но статистической значимости в данной модели достичь не удалось</w:t>
      </w:r>
      <w:r w:rsidR="00520778" w:rsidRPr="00520778">
        <w:rPr>
          <w:rFonts w:ascii="Times New Roman" w:hAnsi="Times New Roman" w:cs="Times New Roman"/>
          <w:sz w:val="28"/>
          <w:szCs w:val="28"/>
        </w:rPr>
        <w:t xml:space="preserve"> (</w:t>
      </w:r>
      <w:r w:rsidR="00520778">
        <w:rPr>
          <w:rFonts w:ascii="Times New Roman" w:hAnsi="Times New Roman" w:cs="Times New Roman"/>
          <w:sz w:val="28"/>
          <w:szCs w:val="28"/>
          <w:lang w:val="en-US"/>
        </w:rPr>
        <w:t>p</w:t>
      </w:r>
      <w:r w:rsidR="00520778" w:rsidRPr="00520778">
        <w:rPr>
          <w:rFonts w:ascii="Times New Roman" w:hAnsi="Times New Roman" w:cs="Times New Roman"/>
          <w:sz w:val="28"/>
          <w:szCs w:val="28"/>
        </w:rPr>
        <w:t xml:space="preserve"> = 0,417)</w:t>
      </w:r>
      <w:r w:rsidRPr="00A43B9C">
        <w:rPr>
          <w:rFonts w:ascii="Times New Roman" w:hAnsi="Times New Roman" w:cs="Times New Roman"/>
          <w:sz w:val="28"/>
          <w:szCs w:val="28"/>
        </w:rPr>
        <w:t xml:space="preserve">. Пороговое значение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RU в точке </w:t>
      </w:r>
      <w:r w:rsidR="008A143D" w:rsidRPr="00A43B9C">
        <w:rPr>
          <w:rFonts w:ascii="Times New Roman" w:hAnsi="Times New Roman" w:cs="Times New Roman"/>
          <w:sz w:val="28"/>
          <w:szCs w:val="28"/>
        </w:rPr>
        <w:t>отсечения</w:t>
      </w:r>
      <w:r w:rsidRPr="00A43B9C">
        <w:rPr>
          <w:rFonts w:ascii="Times New Roman" w:hAnsi="Times New Roman" w:cs="Times New Roman"/>
          <w:sz w:val="28"/>
          <w:szCs w:val="28"/>
        </w:rPr>
        <w:t>, которому соответствовало наивысшее значение индекса Юдена, составило 0,87</w:t>
      </w:r>
      <w:r w:rsidR="00F31735" w:rsidRPr="00A43B9C">
        <w:rPr>
          <w:rFonts w:ascii="Times New Roman" w:hAnsi="Times New Roman" w:cs="Times New Roman"/>
          <w:sz w:val="28"/>
          <w:szCs w:val="28"/>
        </w:rPr>
        <w:t xml:space="preserve"> (рисунок 2</w:t>
      </w:r>
      <w:r w:rsidR="00006C4D">
        <w:rPr>
          <w:rFonts w:ascii="Times New Roman" w:hAnsi="Times New Roman" w:cs="Times New Roman"/>
          <w:sz w:val="28"/>
          <w:szCs w:val="28"/>
        </w:rPr>
        <w:t>2</w:t>
      </w:r>
      <w:r w:rsidR="00F31735" w:rsidRPr="00A43B9C">
        <w:rPr>
          <w:rFonts w:ascii="Times New Roman" w:hAnsi="Times New Roman" w:cs="Times New Roman"/>
          <w:sz w:val="28"/>
          <w:szCs w:val="28"/>
        </w:rPr>
        <w:t>)</w:t>
      </w:r>
      <w:r w:rsidRPr="00A43B9C">
        <w:rPr>
          <w:rFonts w:ascii="Times New Roman" w:hAnsi="Times New Roman" w:cs="Times New Roman"/>
          <w:sz w:val="28"/>
          <w:szCs w:val="28"/>
        </w:rPr>
        <w:t xml:space="preserve">. Наличие </w:t>
      </w:r>
      <w:r w:rsidR="001C40D1" w:rsidRPr="00A43B9C">
        <w:rPr>
          <w:rFonts w:ascii="Times New Roman" w:eastAsia="Times New Roman" w:hAnsi="Times New Roman" w:cs="Times New Roman"/>
          <w:sz w:val="28"/>
          <w:szCs w:val="28"/>
          <w:lang w:val="en-US" w:eastAsia="ru-RU"/>
        </w:rPr>
        <w:t>pLM</w:t>
      </w:r>
      <w:r w:rsidR="003B07F1"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прогнозировалось при значении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RU ниже данной величины или равном ей. Чувствительность и специфичность модели составили 67,9% и 56,0%, </w:t>
      </w:r>
      <w:r w:rsidR="00F31735" w:rsidRPr="00A43B9C">
        <w:rPr>
          <w:rFonts w:ascii="Times New Roman" w:hAnsi="Times New Roman" w:cs="Times New Roman"/>
          <w:sz w:val="28"/>
          <w:szCs w:val="28"/>
        </w:rPr>
        <w:t xml:space="preserve">а </w:t>
      </w:r>
      <w:r w:rsidR="00F31735" w:rsidRPr="00A43B9C">
        <w:rPr>
          <w:rFonts w:ascii="Times New Roman" w:hAnsi="Times New Roman" w:cs="Times New Roman"/>
          <w:sz w:val="28"/>
          <w:szCs w:val="28"/>
          <w:lang w:val="en-US"/>
        </w:rPr>
        <w:t>PPV</w:t>
      </w:r>
      <w:r w:rsidR="00F31735" w:rsidRPr="00A43B9C">
        <w:rPr>
          <w:rFonts w:ascii="Times New Roman" w:hAnsi="Times New Roman" w:cs="Times New Roman"/>
          <w:sz w:val="28"/>
          <w:szCs w:val="28"/>
        </w:rPr>
        <w:t xml:space="preserve"> и </w:t>
      </w:r>
      <w:r w:rsidR="00F31735" w:rsidRPr="00A43B9C">
        <w:rPr>
          <w:rFonts w:ascii="Times New Roman" w:hAnsi="Times New Roman" w:cs="Times New Roman"/>
          <w:sz w:val="28"/>
          <w:szCs w:val="28"/>
          <w:lang w:val="en-US"/>
        </w:rPr>
        <w:t>NPV</w:t>
      </w:r>
      <w:r w:rsidR="00F31735" w:rsidRPr="00A43B9C">
        <w:rPr>
          <w:rFonts w:ascii="Times New Roman" w:hAnsi="Times New Roman" w:cs="Times New Roman"/>
          <w:sz w:val="28"/>
          <w:szCs w:val="28"/>
        </w:rPr>
        <w:t xml:space="preserve"> составили 63,3% и 60,9% соответственно (таблица 17)</w:t>
      </w:r>
      <w:r w:rsidRPr="00A43B9C">
        <w:rPr>
          <w:rFonts w:ascii="Times New Roman" w:hAnsi="Times New Roman" w:cs="Times New Roman"/>
          <w:sz w:val="28"/>
          <w:szCs w:val="28"/>
        </w:rPr>
        <w:t>.</w:t>
      </w:r>
    </w:p>
    <w:p w14:paraId="308CB408" w14:textId="77777777" w:rsidR="00C81AE7" w:rsidRPr="00A43B9C" w:rsidRDefault="00C81AE7" w:rsidP="00C81AE7">
      <w:pPr>
        <w:spacing w:after="0" w:line="240" w:lineRule="auto"/>
        <w:ind w:firstLine="709"/>
        <w:jc w:val="both"/>
        <w:rPr>
          <w:rFonts w:ascii="Times New Roman" w:hAnsi="Times New Roman" w:cs="Times New Roman"/>
          <w:sz w:val="28"/>
          <w:szCs w:val="28"/>
        </w:rPr>
      </w:pPr>
    </w:p>
    <w:p w14:paraId="20E356AC" w14:textId="651B8D1D" w:rsidR="00C81AE7" w:rsidRPr="00A43B9C" w:rsidRDefault="00C81AE7" w:rsidP="00C81AE7">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При оценке зависимости вероятности </w:t>
      </w:r>
      <w:r w:rsidR="001C40D1" w:rsidRPr="00A43B9C">
        <w:rPr>
          <w:rFonts w:ascii="Times New Roman" w:eastAsia="Times New Roman" w:hAnsi="Times New Roman" w:cs="Times New Roman"/>
          <w:sz w:val="28"/>
          <w:szCs w:val="28"/>
          <w:lang w:val="en-US" w:eastAsia="ru-RU"/>
        </w:rPr>
        <w:t>pLM</w:t>
      </w:r>
      <w:r w:rsidR="00F31735"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в </w:t>
      </w:r>
      <w:r w:rsidR="008A143D"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RLL с помощью ROC-анализа была получена следующая кривая</w:t>
      </w:r>
      <w:r w:rsidR="00F31735" w:rsidRPr="00A43B9C">
        <w:rPr>
          <w:rFonts w:ascii="Times New Roman" w:hAnsi="Times New Roman" w:cs="Times New Roman"/>
          <w:sz w:val="28"/>
          <w:szCs w:val="28"/>
        </w:rPr>
        <w:t xml:space="preserve"> (рисунок 2</w:t>
      </w:r>
      <w:r w:rsidR="00006C4D">
        <w:rPr>
          <w:rFonts w:ascii="Times New Roman" w:hAnsi="Times New Roman" w:cs="Times New Roman"/>
          <w:sz w:val="28"/>
          <w:szCs w:val="28"/>
        </w:rPr>
        <w:t>3</w:t>
      </w:r>
      <w:r w:rsidR="00F31735" w:rsidRPr="00A43B9C">
        <w:rPr>
          <w:rFonts w:ascii="Times New Roman" w:hAnsi="Times New Roman" w:cs="Times New Roman"/>
          <w:sz w:val="28"/>
          <w:szCs w:val="28"/>
        </w:rPr>
        <w:t>)</w:t>
      </w:r>
      <w:r w:rsidRPr="00A43B9C">
        <w:rPr>
          <w:rFonts w:ascii="Times New Roman" w:hAnsi="Times New Roman" w:cs="Times New Roman"/>
          <w:sz w:val="28"/>
          <w:szCs w:val="28"/>
        </w:rPr>
        <w:t>.</w:t>
      </w:r>
    </w:p>
    <w:p w14:paraId="4C80CE10" w14:textId="77777777" w:rsidR="00C81AE7" w:rsidRPr="00A43B9C" w:rsidRDefault="00C81AE7" w:rsidP="00C81AE7">
      <w:pPr>
        <w:spacing w:after="0" w:line="240" w:lineRule="auto"/>
        <w:rPr>
          <w:rFonts w:ascii="Times New Roman" w:hAnsi="Times New Roman" w:cs="Times New Roman"/>
          <w:sz w:val="28"/>
          <w:szCs w:val="28"/>
        </w:rPr>
      </w:pPr>
    </w:p>
    <w:p w14:paraId="046E23E4" w14:textId="77777777"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2B4EA52E" wp14:editId="4292840B">
            <wp:extent cx="3685243" cy="2268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41.png"/>
                    <pic:cNvPicPr/>
                  </pic:nvPicPr>
                  <pic:blipFill>
                    <a:blip r:embed="rId157"/>
                    <a:stretch>
                      <a:fillRect/>
                    </a:stretch>
                  </pic:blipFill>
                  <pic:spPr>
                    <a:xfrm>
                      <a:off x="0" y="0"/>
                      <a:ext cx="3685243" cy="2268000"/>
                    </a:xfrm>
                    <a:prstGeom prst="rect">
                      <a:avLst/>
                    </a:prstGeom>
                  </pic:spPr>
                </pic:pic>
              </a:graphicData>
            </a:graphic>
          </wp:inline>
        </w:drawing>
      </w:r>
    </w:p>
    <w:p w14:paraId="1063A0C5" w14:textId="3BFBB483"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2</w:t>
      </w:r>
      <w:r w:rsidR="00006C4D">
        <w:rPr>
          <w:rFonts w:ascii="Times New Roman" w:hAnsi="Times New Roman" w:cs="Times New Roman"/>
          <w:sz w:val="28"/>
          <w:szCs w:val="28"/>
        </w:rPr>
        <w:t>3</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ROC-кривая, характеризующая зависимость вероятности </w:t>
      </w:r>
      <w:r w:rsidR="00777C9A">
        <w:rPr>
          <w:rFonts w:ascii="Times New Roman" w:hAnsi="Times New Roman" w:cs="Times New Roman"/>
          <w:sz w:val="28"/>
          <w:szCs w:val="28"/>
          <w:lang w:val="en-US"/>
        </w:rPr>
        <w:t>p</w:t>
      </w:r>
      <w:r w:rsidR="001C40D1" w:rsidRPr="00A43B9C">
        <w:rPr>
          <w:rFonts w:ascii="Times New Roman" w:hAnsi="Times New Roman" w:cs="Times New Roman"/>
          <w:sz w:val="28"/>
          <w:szCs w:val="28"/>
          <w:lang w:val="en-US"/>
        </w:rPr>
        <w:t>LM</w:t>
      </w:r>
      <w:r w:rsidR="005E7848"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от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RLL</w:t>
      </w:r>
    </w:p>
    <w:p w14:paraId="591B6F38" w14:textId="77777777" w:rsidR="00C81AE7" w:rsidRPr="00A43B9C" w:rsidRDefault="00C81AE7" w:rsidP="00C81AE7">
      <w:pPr>
        <w:spacing w:after="0" w:line="240" w:lineRule="auto"/>
        <w:rPr>
          <w:rFonts w:ascii="Times New Roman" w:hAnsi="Times New Roman" w:cs="Times New Roman"/>
          <w:sz w:val="28"/>
          <w:szCs w:val="28"/>
        </w:rPr>
      </w:pPr>
    </w:p>
    <w:p w14:paraId="0C86A664" w14:textId="77777777" w:rsidR="00C81AE7" w:rsidRPr="00A43B9C" w:rsidRDefault="00C81AE7" w:rsidP="00C81AE7">
      <w:pPr>
        <w:spacing w:after="0" w:line="240" w:lineRule="auto"/>
        <w:jc w:val="center"/>
        <w:rPr>
          <w:rFonts w:ascii="Times New Roman" w:hAnsi="Times New Roman" w:cs="Times New Roman"/>
          <w:sz w:val="28"/>
          <w:szCs w:val="28"/>
        </w:rPr>
      </w:pPr>
      <w:r w:rsidRPr="00A43B9C">
        <w:rPr>
          <w:noProof/>
        </w:rPr>
        <w:lastRenderedPageBreak/>
        <w:drawing>
          <wp:inline distT="0" distB="0" distL="0" distR="0" wp14:anchorId="0A746D03" wp14:editId="0C797114">
            <wp:extent cx="4968588" cy="2268000"/>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15.png"/>
                    <pic:cNvPicPr/>
                  </pic:nvPicPr>
                  <pic:blipFill>
                    <a:blip r:embed="rId158"/>
                    <a:stretch>
                      <a:fillRect/>
                    </a:stretch>
                  </pic:blipFill>
                  <pic:spPr>
                    <a:xfrm>
                      <a:off x="0" y="0"/>
                      <a:ext cx="4968588" cy="2268000"/>
                    </a:xfrm>
                    <a:prstGeom prst="rect">
                      <a:avLst/>
                    </a:prstGeom>
                  </pic:spPr>
                </pic:pic>
              </a:graphicData>
            </a:graphic>
          </wp:inline>
        </w:drawing>
      </w:r>
    </w:p>
    <w:p w14:paraId="24AA0526" w14:textId="03038A1F"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2</w:t>
      </w:r>
      <w:r w:rsidR="00006C4D">
        <w:rPr>
          <w:rFonts w:ascii="Times New Roman" w:hAnsi="Times New Roman" w:cs="Times New Roman"/>
          <w:sz w:val="28"/>
          <w:szCs w:val="28"/>
        </w:rPr>
        <w:t>4</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чувствительности и специфичности модели в зависимости от пороговых значений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RLL</w:t>
      </w:r>
    </w:p>
    <w:p w14:paraId="29944CD6" w14:textId="77777777" w:rsidR="00C81AE7" w:rsidRPr="00A43B9C" w:rsidRDefault="00C81AE7" w:rsidP="00C81AE7">
      <w:pPr>
        <w:spacing w:after="0" w:line="240" w:lineRule="auto"/>
        <w:rPr>
          <w:rFonts w:ascii="Times New Roman" w:hAnsi="Times New Roman" w:cs="Times New Roman"/>
          <w:sz w:val="28"/>
          <w:szCs w:val="28"/>
        </w:rPr>
      </w:pPr>
    </w:p>
    <w:p w14:paraId="395472E7" w14:textId="0E758B73" w:rsidR="00C81AE7"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18 -</w:t>
      </w:r>
      <w:r w:rsidR="00C81AE7" w:rsidRPr="00A43B9C">
        <w:rPr>
          <w:rFonts w:ascii="Times New Roman" w:hAnsi="Times New Roman" w:cs="Times New Roman"/>
          <w:sz w:val="28"/>
          <w:szCs w:val="28"/>
        </w:rPr>
        <w:t xml:space="preserve"> Пороговые значения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00C81AE7" w:rsidRPr="00A43B9C">
        <w:rPr>
          <w:rFonts w:ascii="Times New Roman" w:hAnsi="Times New Roman" w:cs="Times New Roman"/>
          <w:sz w:val="28"/>
          <w:szCs w:val="28"/>
          <w:lang w:val="en-US"/>
        </w:rPr>
        <w:t>SUV</w:t>
      </w:r>
      <w:r w:rsidR="00C81AE7" w:rsidRPr="00A43B9C">
        <w:rPr>
          <w:rFonts w:ascii="Times New Roman" w:hAnsi="Times New Roman" w:cs="Times New Roman"/>
          <w:sz w:val="28"/>
          <w:szCs w:val="28"/>
          <w:vertAlign w:val="subscript"/>
          <w:lang w:val="en-US"/>
        </w:rPr>
        <w:t>max</w:t>
      </w:r>
      <w:r w:rsidR="00C81AE7"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00C81AE7" w:rsidRPr="00A43B9C">
        <w:rPr>
          <w:rFonts w:ascii="Times New Roman" w:hAnsi="Times New Roman" w:cs="Times New Roman"/>
          <w:sz w:val="28"/>
          <w:szCs w:val="28"/>
        </w:rPr>
        <w:t>RLL</w:t>
      </w:r>
    </w:p>
    <w:p w14:paraId="1EBEBDE3"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0" w:type="auto"/>
        <w:jc w:val="center"/>
        <w:tblLook w:val="04A0" w:firstRow="1" w:lastRow="0" w:firstColumn="1" w:lastColumn="0" w:noHBand="0" w:noVBand="1"/>
      </w:tblPr>
      <w:tblGrid>
        <w:gridCol w:w="1789"/>
        <w:gridCol w:w="2069"/>
        <w:gridCol w:w="1967"/>
        <w:gridCol w:w="1756"/>
        <w:gridCol w:w="1763"/>
      </w:tblGrid>
      <w:tr w:rsidR="00C81AE7" w:rsidRPr="00A43B9C" w14:paraId="5ED9E542" w14:textId="77777777" w:rsidTr="00446A37">
        <w:trPr>
          <w:jc w:val="center"/>
        </w:trPr>
        <w:tc>
          <w:tcPr>
            <w:tcW w:w="1790" w:type="dxa"/>
            <w:vAlign w:val="center"/>
          </w:tcPr>
          <w:p w14:paraId="77C8D47E" w14:textId="2A6BDE5E"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Порог</w:t>
            </w:r>
            <w:r w:rsidR="008A143D" w:rsidRPr="00A43B9C">
              <w:rPr>
                <w:rFonts w:ascii="Times New Roman" w:hAnsi="Times New Roman" w:cs="Times New Roman"/>
                <w:sz w:val="28"/>
                <w:szCs w:val="28"/>
              </w:rPr>
              <w:t>овое значение</w:t>
            </w:r>
          </w:p>
        </w:tc>
        <w:tc>
          <w:tcPr>
            <w:tcW w:w="2069" w:type="dxa"/>
            <w:vAlign w:val="center"/>
          </w:tcPr>
          <w:p w14:paraId="6E8CD809" w14:textId="166214F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Se, %</w:t>
            </w:r>
          </w:p>
        </w:tc>
        <w:tc>
          <w:tcPr>
            <w:tcW w:w="1967" w:type="dxa"/>
            <w:vAlign w:val="center"/>
          </w:tcPr>
          <w:p w14:paraId="2C48D1A0" w14:textId="467E21A1"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Sp, %</w:t>
            </w:r>
          </w:p>
        </w:tc>
        <w:tc>
          <w:tcPr>
            <w:tcW w:w="1756" w:type="dxa"/>
            <w:vAlign w:val="center"/>
          </w:tcPr>
          <w:p w14:paraId="009EA073" w14:textId="1BE75FB9" w:rsidR="00C81AE7" w:rsidRPr="00A43B9C" w:rsidRDefault="00C81AE7" w:rsidP="00446A37">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PPV</w:t>
            </w:r>
            <w:r w:rsidR="003E57FA" w:rsidRPr="00A43B9C">
              <w:rPr>
                <w:rFonts w:ascii="Times New Roman" w:hAnsi="Times New Roman" w:cs="Times New Roman"/>
                <w:sz w:val="28"/>
                <w:szCs w:val="28"/>
                <w:lang w:val="en-US"/>
              </w:rPr>
              <w:t>, %</w:t>
            </w:r>
          </w:p>
        </w:tc>
        <w:tc>
          <w:tcPr>
            <w:tcW w:w="1763" w:type="dxa"/>
            <w:vAlign w:val="center"/>
          </w:tcPr>
          <w:p w14:paraId="607E0D87" w14:textId="3E8A1B53" w:rsidR="00C81AE7" w:rsidRPr="00A43B9C" w:rsidRDefault="00C81AE7" w:rsidP="00446A37">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NPV</w:t>
            </w:r>
            <w:r w:rsidR="003E57FA" w:rsidRPr="00A43B9C">
              <w:rPr>
                <w:rFonts w:ascii="Times New Roman" w:hAnsi="Times New Roman" w:cs="Times New Roman"/>
                <w:sz w:val="28"/>
                <w:szCs w:val="28"/>
                <w:lang w:val="en-US"/>
              </w:rPr>
              <w:t>, %</w:t>
            </w:r>
          </w:p>
        </w:tc>
      </w:tr>
      <w:tr w:rsidR="00C81AE7" w:rsidRPr="00A43B9C" w14:paraId="3B31F031" w14:textId="77777777" w:rsidTr="00446A37">
        <w:trPr>
          <w:jc w:val="center"/>
        </w:trPr>
        <w:tc>
          <w:tcPr>
            <w:tcW w:w="1790" w:type="dxa"/>
            <w:vAlign w:val="center"/>
          </w:tcPr>
          <w:p w14:paraId="683D0BE3"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1,26</w:t>
            </w:r>
          </w:p>
        </w:tc>
        <w:tc>
          <w:tcPr>
            <w:tcW w:w="2069" w:type="dxa"/>
            <w:vAlign w:val="center"/>
          </w:tcPr>
          <w:p w14:paraId="08FDE76C"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50,0</w:t>
            </w:r>
          </w:p>
        </w:tc>
        <w:tc>
          <w:tcPr>
            <w:tcW w:w="1967" w:type="dxa"/>
            <w:vAlign w:val="center"/>
          </w:tcPr>
          <w:p w14:paraId="0FA3D98D"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52,0</w:t>
            </w:r>
          </w:p>
        </w:tc>
        <w:tc>
          <w:tcPr>
            <w:tcW w:w="1756" w:type="dxa"/>
            <w:vAlign w:val="center"/>
          </w:tcPr>
          <w:p w14:paraId="1BDDBC5C"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53,8</w:t>
            </w:r>
          </w:p>
        </w:tc>
        <w:tc>
          <w:tcPr>
            <w:tcW w:w="1763" w:type="dxa"/>
            <w:vAlign w:val="center"/>
          </w:tcPr>
          <w:p w14:paraId="248FC980"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48,1</w:t>
            </w:r>
          </w:p>
        </w:tc>
      </w:tr>
      <w:tr w:rsidR="00C81AE7" w:rsidRPr="00A43B9C" w14:paraId="5A3809A8" w14:textId="77777777" w:rsidTr="00446A37">
        <w:trPr>
          <w:jc w:val="center"/>
        </w:trPr>
        <w:tc>
          <w:tcPr>
            <w:tcW w:w="1790" w:type="dxa"/>
            <w:vAlign w:val="center"/>
          </w:tcPr>
          <w:p w14:paraId="05D86697" w14:textId="77777777" w:rsidR="00C81AE7" w:rsidRPr="00452443" w:rsidRDefault="00C81AE7" w:rsidP="00446A37">
            <w:pPr>
              <w:spacing w:after="0" w:line="240" w:lineRule="auto"/>
              <w:jc w:val="center"/>
              <w:rPr>
                <w:rFonts w:ascii="Times New Roman" w:hAnsi="Times New Roman" w:cs="Times New Roman"/>
                <w:sz w:val="28"/>
                <w:szCs w:val="28"/>
              </w:rPr>
            </w:pPr>
            <w:r w:rsidRPr="00452443">
              <w:rPr>
                <w:rFonts w:ascii="Times New Roman" w:hAnsi="Times New Roman" w:cs="Times New Roman"/>
                <w:sz w:val="28"/>
                <w:szCs w:val="28"/>
              </w:rPr>
              <w:t>1,24</w:t>
            </w:r>
          </w:p>
        </w:tc>
        <w:tc>
          <w:tcPr>
            <w:tcW w:w="2069" w:type="dxa"/>
            <w:vAlign w:val="center"/>
          </w:tcPr>
          <w:p w14:paraId="59E459B7" w14:textId="77777777" w:rsidR="00C81AE7" w:rsidRPr="00452443" w:rsidRDefault="00C81AE7" w:rsidP="00446A37">
            <w:pPr>
              <w:spacing w:after="0" w:line="240" w:lineRule="auto"/>
              <w:jc w:val="center"/>
              <w:rPr>
                <w:rFonts w:ascii="Times New Roman" w:hAnsi="Times New Roman" w:cs="Times New Roman"/>
                <w:sz w:val="28"/>
                <w:szCs w:val="28"/>
              </w:rPr>
            </w:pPr>
            <w:r w:rsidRPr="00452443">
              <w:rPr>
                <w:rFonts w:ascii="Times New Roman" w:hAnsi="Times New Roman" w:cs="Times New Roman"/>
                <w:sz w:val="28"/>
                <w:szCs w:val="28"/>
              </w:rPr>
              <w:t>50,0</w:t>
            </w:r>
          </w:p>
        </w:tc>
        <w:tc>
          <w:tcPr>
            <w:tcW w:w="1967" w:type="dxa"/>
            <w:vAlign w:val="center"/>
          </w:tcPr>
          <w:p w14:paraId="2852976D" w14:textId="77777777" w:rsidR="00C81AE7" w:rsidRPr="00452443" w:rsidRDefault="00C81AE7" w:rsidP="00446A37">
            <w:pPr>
              <w:spacing w:after="0" w:line="240" w:lineRule="auto"/>
              <w:jc w:val="center"/>
              <w:rPr>
                <w:rFonts w:ascii="Times New Roman" w:hAnsi="Times New Roman" w:cs="Times New Roman"/>
                <w:sz w:val="28"/>
                <w:szCs w:val="28"/>
              </w:rPr>
            </w:pPr>
            <w:r w:rsidRPr="00452443">
              <w:rPr>
                <w:rFonts w:ascii="Times New Roman" w:hAnsi="Times New Roman" w:cs="Times New Roman"/>
                <w:sz w:val="28"/>
                <w:szCs w:val="28"/>
              </w:rPr>
              <w:t>56,0</w:t>
            </w:r>
          </w:p>
        </w:tc>
        <w:tc>
          <w:tcPr>
            <w:tcW w:w="1756" w:type="dxa"/>
            <w:vAlign w:val="center"/>
          </w:tcPr>
          <w:p w14:paraId="0387F131" w14:textId="77777777" w:rsidR="00C81AE7" w:rsidRPr="00452443" w:rsidRDefault="00C81AE7" w:rsidP="00446A37">
            <w:pPr>
              <w:spacing w:after="0" w:line="240" w:lineRule="auto"/>
              <w:jc w:val="center"/>
              <w:rPr>
                <w:rFonts w:ascii="Times New Roman" w:hAnsi="Times New Roman" w:cs="Times New Roman"/>
                <w:sz w:val="28"/>
                <w:szCs w:val="28"/>
              </w:rPr>
            </w:pPr>
            <w:r w:rsidRPr="00452443">
              <w:rPr>
                <w:rFonts w:ascii="Times New Roman" w:hAnsi="Times New Roman" w:cs="Times New Roman"/>
                <w:sz w:val="28"/>
                <w:szCs w:val="28"/>
              </w:rPr>
              <w:t>56,0</w:t>
            </w:r>
          </w:p>
        </w:tc>
        <w:tc>
          <w:tcPr>
            <w:tcW w:w="1763" w:type="dxa"/>
            <w:vAlign w:val="center"/>
          </w:tcPr>
          <w:p w14:paraId="113C87F2" w14:textId="77777777" w:rsidR="00C81AE7" w:rsidRPr="00452443" w:rsidRDefault="00C81AE7" w:rsidP="00446A37">
            <w:pPr>
              <w:spacing w:after="0" w:line="240" w:lineRule="auto"/>
              <w:jc w:val="center"/>
              <w:rPr>
                <w:rFonts w:ascii="Times New Roman" w:hAnsi="Times New Roman" w:cs="Times New Roman"/>
                <w:sz w:val="28"/>
                <w:szCs w:val="28"/>
              </w:rPr>
            </w:pPr>
            <w:r w:rsidRPr="00452443">
              <w:rPr>
                <w:rFonts w:ascii="Times New Roman" w:hAnsi="Times New Roman" w:cs="Times New Roman"/>
                <w:sz w:val="28"/>
                <w:szCs w:val="28"/>
              </w:rPr>
              <w:t>50,0</w:t>
            </w:r>
          </w:p>
        </w:tc>
      </w:tr>
    </w:tbl>
    <w:p w14:paraId="32D75B75" w14:textId="77777777" w:rsidR="00C81AE7" w:rsidRPr="00A43B9C" w:rsidRDefault="00C81AE7" w:rsidP="00C81AE7">
      <w:pPr>
        <w:spacing w:after="0" w:line="240" w:lineRule="auto"/>
        <w:rPr>
          <w:rFonts w:ascii="Times New Roman" w:hAnsi="Times New Roman" w:cs="Times New Roman"/>
          <w:sz w:val="28"/>
          <w:szCs w:val="28"/>
        </w:rPr>
      </w:pPr>
    </w:p>
    <w:p w14:paraId="4379CB39" w14:textId="5C80E3CF" w:rsidR="00C81AE7" w:rsidRPr="00A43B9C" w:rsidRDefault="00C81AE7" w:rsidP="00C81AE7">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Площадь под ROC-кривой составила 0,549 </w:t>
      </w:r>
      <w:r w:rsidR="008A143D" w:rsidRPr="00A43B9C">
        <w:rPr>
          <w:rFonts w:ascii="Times New Roman" w:hAnsi="Times New Roman" w:cs="Times New Roman"/>
          <w:sz w:val="28"/>
          <w:szCs w:val="28"/>
        </w:rPr>
        <w:t>(</w:t>
      </w:r>
      <w:r w:rsidRPr="00A43B9C">
        <w:rPr>
          <w:rFonts w:ascii="Times New Roman" w:hAnsi="Times New Roman" w:cs="Times New Roman"/>
          <w:sz w:val="28"/>
          <w:szCs w:val="28"/>
        </w:rPr>
        <w:t>95% ДИ 0,392 – 0,705</w:t>
      </w:r>
      <w:r w:rsidR="008A143D" w:rsidRPr="00A43B9C">
        <w:rPr>
          <w:rFonts w:ascii="Times New Roman" w:hAnsi="Times New Roman" w:cs="Times New Roman"/>
          <w:sz w:val="28"/>
          <w:szCs w:val="28"/>
        </w:rPr>
        <w:t>), но п</w:t>
      </w:r>
      <w:r w:rsidRPr="00A43B9C">
        <w:rPr>
          <w:rFonts w:ascii="Times New Roman" w:hAnsi="Times New Roman" w:cs="Times New Roman"/>
          <w:sz w:val="28"/>
          <w:szCs w:val="28"/>
        </w:rPr>
        <w:t>олученная модель не была статистически значимой</w:t>
      </w:r>
      <w:r w:rsidR="00520778" w:rsidRPr="00E97D9E">
        <w:rPr>
          <w:rFonts w:ascii="Times New Roman" w:hAnsi="Times New Roman" w:cs="Times New Roman"/>
          <w:sz w:val="28"/>
          <w:szCs w:val="28"/>
        </w:rPr>
        <w:t xml:space="preserve"> (</w:t>
      </w:r>
      <w:r w:rsidR="00520778">
        <w:rPr>
          <w:rFonts w:ascii="Times New Roman" w:hAnsi="Times New Roman" w:cs="Times New Roman"/>
          <w:sz w:val="28"/>
          <w:szCs w:val="28"/>
          <w:lang w:val="en-US"/>
        </w:rPr>
        <w:t>p</w:t>
      </w:r>
      <w:r w:rsidR="00520778" w:rsidRPr="00E97D9E">
        <w:rPr>
          <w:rFonts w:ascii="Times New Roman" w:hAnsi="Times New Roman" w:cs="Times New Roman"/>
          <w:sz w:val="28"/>
          <w:szCs w:val="28"/>
        </w:rPr>
        <w:t xml:space="preserve"> = 0,545)</w:t>
      </w:r>
      <w:r w:rsidRPr="00A43B9C">
        <w:rPr>
          <w:rFonts w:ascii="Times New Roman" w:hAnsi="Times New Roman" w:cs="Times New Roman"/>
          <w:sz w:val="28"/>
          <w:szCs w:val="28"/>
        </w:rPr>
        <w:t>.</w:t>
      </w:r>
      <w:r w:rsidR="008A143D"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Пороговое значение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RLL в точке </w:t>
      </w:r>
      <w:r w:rsidR="008A143D" w:rsidRPr="00A43B9C">
        <w:rPr>
          <w:rFonts w:ascii="Times New Roman" w:hAnsi="Times New Roman" w:cs="Times New Roman"/>
          <w:sz w:val="28"/>
          <w:szCs w:val="28"/>
        </w:rPr>
        <w:t>отсечения</w:t>
      </w:r>
      <w:r w:rsidRPr="00A43B9C">
        <w:rPr>
          <w:rFonts w:ascii="Times New Roman" w:hAnsi="Times New Roman" w:cs="Times New Roman"/>
          <w:sz w:val="28"/>
          <w:szCs w:val="28"/>
        </w:rPr>
        <w:t>, которому соответствовало наивысшее значение индекса Юдена, составило 1,24</w:t>
      </w:r>
      <w:r w:rsidR="00F31735" w:rsidRPr="00A43B9C">
        <w:rPr>
          <w:rFonts w:ascii="Times New Roman" w:hAnsi="Times New Roman" w:cs="Times New Roman"/>
          <w:sz w:val="28"/>
          <w:szCs w:val="28"/>
        </w:rPr>
        <w:t xml:space="preserve"> (рисунок 2</w:t>
      </w:r>
      <w:r w:rsidR="00006C4D">
        <w:rPr>
          <w:rFonts w:ascii="Times New Roman" w:hAnsi="Times New Roman" w:cs="Times New Roman"/>
          <w:sz w:val="28"/>
          <w:szCs w:val="28"/>
        </w:rPr>
        <w:t>4</w:t>
      </w:r>
      <w:r w:rsidR="00F31735" w:rsidRPr="00A43B9C">
        <w:rPr>
          <w:rFonts w:ascii="Times New Roman" w:hAnsi="Times New Roman" w:cs="Times New Roman"/>
          <w:sz w:val="28"/>
          <w:szCs w:val="28"/>
        </w:rPr>
        <w:t>)</w:t>
      </w:r>
      <w:r w:rsidRPr="00A43B9C">
        <w:rPr>
          <w:rFonts w:ascii="Times New Roman" w:hAnsi="Times New Roman" w:cs="Times New Roman"/>
          <w:sz w:val="28"/>
          <w:szCs w:val="28"/>
        </w:rPr>
        <w:t xml:space="preserve">. Наличие </w:t>
      </w:r>
      <w:r w:rsidR="001C40D1" w:rsidRPr="00A43B9C">
        <w:rPr>
          <w:rFonts w:ascii="Times New Roman" w:eastAsia="Times New Roman" w:hAnsi="Times New Roman" w:cs="Times New Roman"/>
          <w:sz w:val="28"/>
          <w:szCs w:val="28"/>
          <w:lang w:val="en-US" w:eastAsia="ru-RU"/>
        </w:rPr>
        <w:t>pLM</w:t>
      </w:r>
      <w:r w:rsidR="003B07F1"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прогнозировалось при значении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RLL ниже данной величины или равном ей. Чувствительность и специфичность модели составили 50,0% и 56,0%, </w:t>
      </w:r>
      <w:r w:rsidR="00F31735" w:rsidRPr="00A43B9C">
        <w:rPr>
          <w:rFonts w:ascii="Times New Roman" w:hAnsi="Times New Roman" w:cs="Times New Roman"/>
          <w:sz w:val="28"/>
          <w:szCs w:val="28"/>
        </w:rPr>
        <w:t xml:space="preserve">а </w:t>
      </w:r>
      <w:r w:rsidR="00F31735" w:rsidRPr="00A43B9C">
        <w:rPr>
          <w:rFonts w:ascii="Times New Roman" w:hAnsi="Times New Roman" w:cs="Times New Roman"/>
          <w:sz w:val="28"/>
          <w:szCs w:val="28"/>
          <w:lang w:val="en-US"/>
        </w:rPr>
        <w:t>PPV</w:t>
      </w:r>
      <w:r w:rsidR="00F31735" w:rsidRPr="00A43B9C">
        <w:rPr>
          <w:rFonts w:ascii="Times New Roman" w:hAnsi="Times New Roman" w:cs="Times New Roman"/>
          <w:sz w:val="28"/>
          <w:szCs w:val="28"/>
        </w:rPr>
        <w:t xml:space="preserve"> и </w:t>
      </w:r>
      <w:r w:rsidR="00F31735" w:rsidRPr="00A43B9C">
        <w:rPr>
          <w:rFonts w:ascii="Times New Roman" w:hAnsi="Times New Roman" w:cs="Times New Roman"/>
          <w:sz w:val="28"/>
          <w:szCs w:val="28"/>
          <w:lang w:val="en-US"/>
        </w:rPr>
        <w:t>NPV</w:t>
      </w:r>
      <w:r w:rsidR="00F31735" w:rsidRPr="00A43B9C">
        <w:rPr>
          <w:rFonts w:ascii="Times New Roman" w:hAnsi="Times New Roman" w:cs="Times New Roman"/>
          <w:sz w:val="28"/>
          <w:szCs w:val="28"/>
        </w:rPr>
        <w:t xml:space="preserve"> составили 56,0% и 50,0% соответственно (таблица 18)</w:t>
      </w:r>
      <w:r w:rsidRPr="00A43B9C">
        <w:rPr>
          <w:rFonts w:ascii="Times New Roman" w:hAnsi="Times New Roman" w:cs="Times New Roman"/>
          <w:sz w:val="28"/>
          <w:szCs w:val="28"/>
        </w:rPr>
        <w:t>.</w:t>
      </w:r>
    </w:p>
    <w:p w14:paraId="38E4B7A0" w14:textId="540E8582" w:rsidR="00C91528" w:rsidRDefault="00C91528" w:rsidP="00C81AE7">
      <w:pPr>
        <w:spacing w:after="0" w:line="240" w:lineRule="auto"/>
        <w:ind w:firstLine="709"/>
        <w:jc w:val="both"/>
        <w:rPr>
          <w:rFonts w:ascii="Times New Roman" w:hAnsi="Times New Roman" w:cs="Times New Roman"/>
          <w:sz w:val="28"/>
          <w:szCs w:val="28"/>
        </w:rPr>
      </w:pPr>
    </w:p>
    <w:p w14:paraId="77AEF581" w14:textId="111AF993" w:rsidR="00C81AE7" w:rsidRPr="00A43B9C" w:rsidRDefault="00C81AE7" w:rsidP="00C81AE7">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При оценке зависимости вероятности </w:t>
      </w:r>
      <w:r w:rsidR="001C40D1" w:rsidRPr="00A43B9C">
        <w:rPr>
          <w:rFonts w:ascii="Times New Roman" w:eastAsia="Times New Roman" w:hAnsi="Times New Roman" w:cs="Times New Roman"/>
          <w:sz w:val="28"/>
          <w:szCs w:val="28"/>
          <w:lang w:val="en-US" w:eastAsia="ru-RU"/>
        </w:rPr>
        <w:t>LM</w:t>
      </w:r>
      <w:r w:rsidR="003B07F1"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в </w:t>
      </w:r>
      <w:r w:rsidR="008A143D"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RRI с помощью ROC-анализа была получена следующая кривая</w:t>
      </w:r>
      <w:r w:rsidR="00F31735" w:rsidRPr="00A43B9C">
        <w:rPr>
          <w:rFonts w:ascii="Times New Roman" w:hAnsi="Times New Roman" w:cs="Times New Roman"/>
          <w:sz w:val="28"/>
          <w:szCs w:val="28"/>
        </w:rPr>
        <w:t xml:space="preserve"> (рисунок 2</w:t>
      </w:r>
      <w:r w:rsidR="00006C4D">
        <w:rPr>
          <w:rFonts w:ascii="Times New Roman" w:hAnsi="Times New Roman" w:cs="Times New Roman"/>
          <w:sz w:val="28"/>
          <w:szCs w:val="28"/>
        </w:rPr>
        <w:t>5</w:t>
      </w:r>
      <w:r w:rsidR="00F31735" w:rsidRPr="00A43B9C">
        <w:rPr>
          <w:rFonts w:ascii="Times New Roman" w:hAnsi="Times New Roman" w:cs="Times New Roman"/>
          <w:sz w:val="28"/>
          <w:szCs w:val="28"/>
        </w:rPr>
        <w:t>)</w:t>
      </w:r>
      <w:r w:rsidRPr="00A43B9C">
        <w:rPr>
          <w:rFonts w:ascii="Times New Roman" w:hAnsi="Times New Roman" w:cs="Times New Roman"/>
          <w:sz w:val="28"/>
          <w:szCs w:val="28"/>
        </w:rPr>
        <w:t>.</w:t>
      </w:r>
    </w:p>
    <w:p w14:paraId="0E0D52FF" w14:textId="77777777" w:rsidR="00C81AE7" w:rsidRPr="00A43B9C" w:rsidRDefault="00C81AE7" w:rsidP="00C81AE7">
      <w:pPr>
        <w:spacing w:after="0" w:line="240" w:lineRule="auto"/>
        <w:rPr>
          <w:rFonts w:ascii="Times New Roman" w:hAnsi="Times New Roman" w:cs="Times New Roman"/>
          <w:sz w:val="28"/>
          <w:szCs w:val="28"/>
        </w:rPr>
      </w:pPr>
    </w:p>
    <w:p w14:paraId="3035C14D" w14:textId="77777777"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lastRenderedPageBreak/>
        <w:drawing>
          <wp:inline distT="0" distB="0" distL="0" distR="0" wp14:anchorId="5ED7AD32" wp14:editId="052143F1">
            <wp:extent cx="3685243" cy="2268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44.png"/>
                    <pic:cNvPicPr/>
                  </pic:nvPicPr>
                  <pic:blipFill>
                    <a:blip r:embed="rId159"/>
                    <a:stretch>
                      <a:fillRect/>
                    </a:stretch>
                  </pic:blipFill>
                  <pic:spPr>
                    <a:xfrm>
                      <a:off x="0" y="0"/>
                      <a:ext cx="3685243" cy="2268000"/>
                    </a:xfrm>
                    <a:prstGeom prst="rect">
                      <a:avLst/>
                    </a:prstGeom>
                  </pic:spPr>
                </pic:pic>
              </a:graphicData>
            </a:graphic>
          </wp:inline>
        </w:drawing>
      </w:r>
    </w:p>
    <w:p w14:paraId="19457773" w14:textId="4248E2F3"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2</w:t>
      </w:r>
      <w:r w:rsidR="00006C4D">
        <w:rPr>
          <w:rFonts w:ascii="Times New Roman" w:hAnsi="Times New Roman" w:cs="Times New Roman"/>
          <w:sz w:val="28"/>
          <w:szCs w:val="28"/>
        </w:rPr>
        <w:t>5</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ROC-кривая, характеризующая зависимость вероятности </w:t>
      </w:r>
      <w:r w:rsidR="00777C9A">
        <w:rPr>
          <w:rFonts w:ascii="Times New Roman" w:hAnsi="Times New Roman" w:cs="Times New Roman"/>
          <w:sz w:val="28"/>
          <w:szCs w:val="28"/>
          <w:lang w:val="en-US"/>
        </w:rPr>
        <w:t>p</w:t>
      </w:r>
      <w:r w:rsidR="001C40D1" w:rsidRPr="00A43B9C">
        <w:rPr>
          <w:rFonts w:ascii="Times New Roman" w:hAnsi="Times New Roman" w:cs="Times New Roman"/>
          <w:sz w:val="28"/>
          <w:szCs w:val="28"/>
          <w:lang w:val="en-US"/>
        </w:rPr>
        <w:t>LM</w:t>
      </w:r>
      <w:r w:rsidRPr="00A43B9C">
        <w:rPr>
          <w:rFonts w:ascii="Times New Roman" w:hAnsi="Times New Roman" w:cs="Times New Roman"/>
          <w:sz w:val="28"/>
          <w:szCs w:val="28"/>
        </w:rPr>
        <w:t xml:space="preserve"> от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RRI</w:t>
      </w:r>
    </w:p>
    <w:p w14:paraId="19042D67" w14:textId="77777777" w:rsidR="00C81AE7" w:rsidRPr="00A43B9C" w:rsidRDefault="00C81AE7" w:rsidP="00C81AE7">
      <w:pPr>
        <w:spacing w:after="0" w:line="240" w:lineRule="auto"/>
        <w:rPr>
          <w:rFonts w:ascii="Times New Roman" w:hAnsi="Times New Roman" w:cs="Times New Roman"/>
          <w:sz w:val="28"/>
          <w:szCs w:val="28"/>
        </w:rPr>
      </w:pPr>
    </w:p>
    <w:p w14:paraId="504E8BDA" w14:textId="77777777" w:rsidR="00C81AE7" w:rsidRPr="00A43B9C" w:rsidRDefault="00C81AE7" w:rsidP="00C81AE7">
      <w:pPr>
        <w:spacing w:after="0" w:line="240" w:lineRule="auto"/>
        <w:jc w:val="center"/>
        <w:rPr>
          <w:rFonts w:ascii="Times New Roman" w:hAnsi="Times New Roman" w:cs="Times New Roman"/>
          <w:sz w:val="28"/>
          <w:szCs w:val="28"/>
        </w:rPr>
      </w:pPr>
      <w:r w:rsidRPr="00A43B9C">
        <w:rPr>
          <w:noProof/>
        </w:rPr>
        <w:drawing>
          <wp:inline distT="0" distB="0" distL="0" distR="0" wp14:anchorId="3BD731D4" wp14:editId="2528975A">
            <wp:extent cx="4968588" cy="2268000"/>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18.png"/>
                    <pic:cNvPicPr/>
                  </pic:nvPicPr>
                  <pic:blipFill>
                    <a:blip r:embed="rId160"/>
                    <a:stretch>
                      <a:fillRect/>
                    </a:stretch>
                  </pic:blipFill>
                  <pic:spPr>
                    <a:xfrm>
                      <a:off x="0" y="0"/>
                      <a:ext cx="4968588" cy="2268000"/>
                    </a:xfrm>
                    <a:prstGeom prst="rect">
                      <a:avLst/>
                    </a:prstGeom>
                  </pic:spPr>
                </pic:pic>
              </a:graphicData>
            </a:graphic>
          </wp:inline>
        </w:drawing>
      </w:r>
    </w:p>
    <w:p w14:paraId="70581650" w14:textId="348EFD8F"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2</w:t>
      </w:r>
      <w:r w:rsidR="00006C4D">
        <w:rPr>
          <w:rFonts w:ascii="Times New Roman" w:hAnsi="Times New Roman" w:cs="Times New Roman"/>
          <w:sz w:val="28"/>
          <w:szCs w:val="28"/>
        </w:rPr>
        <w:t>6</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чувствительности и специфичности модели в зависимости от пороговых значений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RRI</w:t>
      </w:r>
    </w:p>
    <w:p w14:paraId="7E5CFF62" w14:textId="21430BFF" w:rsidR="00C81AE7" w:rsidRDefault="00C81AE7" w:rsidP="00C81AE7">
      <w:pPr>
        <w:spacing w:after="0" w:line="240" w:lineRule="auto"/>
        <w:rPr>
          <w:rFonts w:ascii="Times New Roman" w:hAnsi="Times New Roman" w:cs="Times New Roman"/>
          <w:sz w:val="28"/>
          <w:szCs w:val="28"/>
        </w:rPr>
      </w:pPr>
    </w:p>
    <w:p w14:paraId="50BE4A69" w14:textId="7C280422" w:rsidR="00C81AE7"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19 -</w:t>
      </w:r>
      <w:r w:rsidR="00C81AE7" w:rsidRPr="00A43B9C">
        <w:rPr>
          <w:rFonts w:ascii="Times New Roman" w:hAnsi="Times New Roman" w:cs="Times New Roman"/>
          <w:sz w:val="28"/>
          <w:szCs w:val="28"/>
        </w:rPr>
        <w:t xml:space="preserve"> Пороговые значения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00C81AE7" w:rsidRPr="00A43B9C">
        <w:rPr>
          <w:rFonts w:ascii="Times New Roman" w:hAnsi="Times New Roman" w:cs="Times New Roman"/>
          <w:sz w:val="28"/>
          <w:szCs w:val="28"/>
          <w:lang w:val="en-US"/>
        </w:rPr>
        <w:t>SUV</w:t>
      </w:r>
      <w:r w:rsidR="00C81AE7" w:rsidRPr="00A43B9C">
        <w:rPr>
          <w:rFonts w:ascii="Times New Roman" w:hAnsi="Times New Roman" w:cs="Times New Roman"/>
          <w:sz w:val="28"/>
          <w:szCs w:val="28"/>
          <w:vertAlign w:val="subscript"/>
          <w:lang w:val="en-US"/>
        </w:rPr>
        <w:t>max</w:t>
      </w:r>
      <w:r w:rsidR="00C81AE7"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00C81AE7" w:rsidRPr="00A43B9C">
        <w:rPr>
          <w:rFonts w:ascii="Times New Roman" w:hAnsi="Times New Roman" w:cs="Times New Roman"/>
          <w:sz w:val="28"/>
          <w:szCs w:val="28"/>
        </w:rPr>
        <w:t>RRI</w:t>
      </w:r>
    </w:p>
    <w:p w14:paraId="67AF34E5"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0" w:type="auto"/>
        <w:jc w:val="center"/>
        <w:tblLook w:val="04A0" w:firstRow="1" w:lastRow="0" w:firstColumn="1" w:lastColumn="0" w:noHBand="0" w:noVBand="1"/>
      </w:tblPr>
      <w:tblGrid>
        <w:gridCol w:w="1789"/>
        <w:gridCol w:w="2069"/>
        <w:gridCol w:w="1967"/>
        <w:gridCol w:w="1756"/>
        <w:gridCol w:w="1763"/>
      </w:tblGrid>
      <w:tr w:rsidR="00C81AE7" w:rsidRPr="00A43B9C" w14:paraId="4E08AFF8" w14:textId="77777777" w:rsidTr="00446A37">
        <w:trPr>
          <w:jc w:val="center"/>
        </w:trPr>
        <w:tc>
          <w:tcPr>
            <w:tcW w:w="1790" w:type="dxa"/>
            <w:vAlign w:val="center"/>
          </w:tcPr>
          <w:p w14:paraId="2F398912" w14:textId="65EDC69A"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Порог</w:t>
            </w:r>
            <w:r w:rsidR="008A143D" w:rsidRPr="00A43B9C">
              <w:rPr>
                <w:rFonts w:ascii="Times New Roman" w:hAnsi="Times New Roman" w:cs="Times New Roman"/>
                <w:sz w:val="28"/>
                <w:szCs w:val="28"/>
              </w:rPr>
              <w:t>овое значение</w:t>
            </w:r>
          </w:p>
        </w:tc>
        <w:tc>
          <w:tcPr>
            <w:tcW w:w="2069" w:type="dxa"/>
            <w:vAlign w:val="center"/>
          </w:tcPr>
          <w:p w14:paraId="4D4C32BB" w14:textId="0DA40530"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Se, %</w:t>
            </w:r>
          </w:p>
        </w:tc>
        <w:tc>
          <w:tcPr>
            <w:tcW w:w="1967" w:type="dxa"/>
            <w:vAlign w:val="center"/>
          </w:tcPr>
          <w:p w14:paraId="7F431CCD" w14:textId="6E221F05"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Sp, %</w:t>
            </w:r>
          </w:p>
        </w:tc>
        <w:tc>
          <w:tcPr>
            <w:tcW w:w="1756" w:type="dxa"/>
            <w:vAlign w:val="center"/>
          </w:tcPr>
          <w:p w14:paraId="4CB4E1C1" w14:textId="0458DEAB" w:rsidR="00C81AE7" w:rsidRPr="00A43B9C" w:rsidRDefault="00C81AE7" w:rsidP="00446A37">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PPV</w:t>
            </w:r>
            <w:r w:rsidR="003E57FA" w:rsidRPr="00A43B9C">
              <w:rPr>
                <w:rFonts w:ascii="Times New Roman" w:hAnsi="Times New Roman" w:cs="Times New Roman"/>
                <w:sz w:val="28"/>
                <w:szCs w:val="28"/>
                <w:lang w:val="en-US"/>
              </w:rPr>
              <w:t>, %</w:t>
            </w:r>
          </w:p>
        </w:tc>
        <w:tc>
          <w:tcPr>
            <w:tcW w:w="1763" w:type="dxa"/>
            <w:vAlign w:val="center"/>
          </w:tcPr>
          <w:p w14:paraId="52457790" w14:textId="1C9F47DC" w:rsidR="00C81AE7" w:rsidRPr="00A43B9C" w:rsidRDefault="00C81AE7" w:rsidP="00446A37">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NPV</w:t>
            </w:r>
            <w:r w:rsidR="003E57FA" w:rsidRPr="00A43B9C">
              <w:rPr>
                <w:rFonts w:ascii="Times New Roman" w:hAnsi="Times New Roman" w:cs="Times New Roman"/>
                <w:sz w:val="28"/>
                <w:szCs w:val="28"/>
                <w:lang w:val="en-US"/>
              </w:rPr>
              <w:t>, %</w:t>
            </w:r>
          </w:p>
        </w:tc>
      </w:tr>
      <w:tr w:rsidR="00C81AE7" w:rsidRPr="00A43B9C" w14:paraId="09BE8B1D" w14:textId="77777777" w:rsidTr="00446A37">
        <w:trPr>
          <w:jc w:val="center"/>
        </w:trPr>
        <w:tc>
          <w:tcPr>
            <w:tcW w:w="1790" w:type="dxa"/>
            <w:vAlign w:val="center"/>
          </w:tcPr>
          <w:p w14:paraId="3E53A312"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0,84</w:t>
            </w:r>
          </w:p>
        </w:tc>
        <w:tc>
          <w:tcPr>
            <w:tcW w:w="2069" w:type="dxa"/>
            <w:vAlign w:val="center"/>
          </w:tcPr>
          <w:p w14:paraId="29A3CB8C"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78,6</w:t>
            </w:r>
          </w:p>
        </w:tc>
        <w:tc>
          <w:tcPr>
            <w:tcW w:w="1967" w:type="dxa"/>
            <w:vAlign w:val="center"/>
          </w:tcPr>
          <w:p w14:paraId="0BC483D1"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52,0</w:t>
            </w:r>
          </w:p>
        </w:tc>
        <w:tc>
          <w:tcPr>
            <w:tcW w:w="1756" w:type="dxa"/>
            <w:vAlign w:val="center"/>
          </w:tcPr>
          <w:p w14:paraId="0D01A71F"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64,7</w:t>
            </w:r>
          </w:p>
        </w:tc>
        <w:tc>
          <w:tcPr>
            <w:tcW w:w="1763" w:type="dxa"/>
            <w:vAlign w:val="center"/>
          </w:tcPr>
          <w:p w14:paraId="1374FA99"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68,4</w:t>
            </w:r>
          </w:p>
        </w:tc>
      </w:tr>
      <w:tr w:rsidR="00C81AE7" w:rsidRPr="00A43B9C" w14:paraId="750BB2C7" w14:textId="77777777" w:rsidTr="00446A37">
        <w:trPr>
          <w:jc w:val="center"/>
        </w:trPr>
        <w:tc>
          <w:tcPr>
            <w:tcW w:w="1790" w:type="dxa"/>
            <w:vAlign w:val="center"/>
          </w:tcPr>
          <w:p w14:paraId="6DEB8E9B"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0,83</w:t>
            </w:r>
          </w:p>
        </w:tc>
        <w:tc>
          <w:tcPr>
            <w:tcW w:w="2069" w:type="dxa"/>
            <w:vAlign w:val="center"/>
          </w:tcPr>
          <w:p w14:paraId="00CABD8F"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71,4</w:t>
            </w:r>
          </w:p>
        </w:tc>
        <w:tc>
          <w:tcPr>
            <w:tcW w:w="1967" w:type="dxa"/>
            <w:vAlign w:val="center"/>
          </w:tcPr>
          <w:p w14:paraId="7CD6C421"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52,0</w:t>
            </w:r>
          </w:p>
        </w:tc>
        <w:tc>
          <w:tcPr>
            <w:tcW w:w="1756" w:type="dxa"/>
            <w:vAlign w:val="center"/>
          </w:tcPr>
          <w:p w14:paraId="562F1422"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62,5</w:t>
            </w:r>
          </w:p>
        </w:tc>
        <w:tc>
          <w:tcPr>
            <w:tcW w:w="1763" w:type="dxa"/>
            <w:vAlign w:val="center"/>
          </w:tcPr>
          <w:p w14:paraId="6724422D"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61,9</w:t>
            </w:r>
          </w:p>
        </w:tc>
      </w:tr>
      <w:tr w:rsidR="00C81AE7" w:rsidRPr="00A43B9C" w14:paraId="5E8EC07E" w14:textId="77777777" w:rsidTr="00446A37">
        <w:trPr>
          <w:jc w:val="center"/>
        </w:trPr>
        <w:tc>
          <w:tcPr>
            <w:tcW w:w="1790" w:type="dxa"/>
            <w:vAlign w:val="center"/>
          </w:tcPr>
          <w:p w14:paraId="5CD674DA" w14:textId="77777777" w:rsidR="00C81AE7" w:rsidRPr="00452443" w:rsidRDefault="00C81AE7" w:rsidP="00446A37">
            <w:pPr>
              <w:spacing w:after="0" w:line="240" w:lineRule="auto"/>
              <w:jc w:val="center"/>
              <w:rPr>
                <w:rFonts w:ascii="Times New Roman" w:hAnsi="Times New Roman" w:cs="Times New Roman"/>
                <w:sz w:val="28"/>
                <w:szCs w:val="28"/>
              </w:rPr>
            </w:pPr>
            <w:r w:rsidRPr="00452443">
              <w:rPr>
                <w:rFonts w:ascii="Times New Roman" w:hAnsi="Times New Roman" w:cs="Times New Roman"/>
                <w:sz w:val="28"/>
                <w:szCs w:val="28"/>
              </w:rPr>
              <w:t>0,81</w:t>
            </w:r>
          </w:p>
        </w:tc>
        <w:tc>
          <w:tcPr>
            <w:tcW w:w="2069" w:type="dxa"/>
            <w:vAlign w:val="center"/>
          </w:tcPr>
          <w:p w14:paraId="2A4DB314" w14:textId="77777777" w:rsidR="00C81AE7" w:rsidRPr="00452443" w:rsidRDefault="00C81AE7" w:rsidP="00446A37">
            <w:pPr>
              <w:spacing w:after="0" w:line="240" w:lineRule="auto"/>
              <w:jc w:val="center"/>
              <w:rPr>
                <w:rFonts w:ascii="Times New Roman" w:hAnsi="Times New Roman" w:cs="Times New Roman"/>
                <w:sz w:val="28"/>
                <w:szCs w:val="28"/>
              </w:rPr>
            </w:pPr>
            <w:r w:rsidRPr="00452443">
              <w:rPr>
                <w:rFonts w:ascii="Times New Roman" w:hAnsi="Times New Roman" w:cs="Times New Roman"/>
                <w:sz w:val="28"/>
                <w:szCs w:val="28"/>
              </w:rPr>
              <w:t>67,9</w:t>
            </w:r>
          </w:p>
        </w:tc>
        <w:tc>
          <w:tcPr>
            <w:tcW w:w="1967" w:type="dxa"/>
            <w:vAlign w:val="center"/>
          </w:tcPr>
          <w:p w14:paraId="01DBBE9E" w14:textId="77777777" w:rsidR="00C81AE7" w:rsidRPr="00452443" w:rsidRDefault="00C81AE7" w:rsidP="00446A37">
            <w:pPr>
              <w:spacing w:after="0" w:line="240" w:lineRule="auto"/>
              <w:jc w:val="center"/>
              <w:rPr>
                <w:rFonts w:ascii="Times New Roman" w:hAnsi="Times New Roman" w:cs="Times New Roman"/>
                <w:sz w:val="28"/>
                <w:szCs w:val="28"/>
              </w:rPr>
            </w:pPr>
            <w:r w:rsidRPr="00452443">
              <w:rPr>
                <w:rFonts w:ascii="Times New Roman" w:hAnsi="Times New Roman" w:cs="Times New Roman"/>
                <w:sz w:val="28"/>
                <w:szCs w:val="28"/>
              </w:rPr>
              <w:t>56,0</w:t>
            </w:r>
          </w:p>
        </w:tc>
        <w:tc>
          <w:tcPr>
            <w:tcW w:w="1756" w:type="dxa"/>
            <w:vAlign w:val="center"/>
          </w:tcPr>
          <w:p w14:paraId="662C5749" w14:textId="77777777" w:rsidR="00C81AE7" w:rsidRPr="00452443" w:rsidRDefault="00C81AE7" w:rsidP="00446A37">
            <w:pPr>
              <w:spacing w:after="0" w:line="240" w:lineRule="auto"/>
              <w:jc w:val="center"/>
              <w:rPr>
                <w:rFonts w:ascii="Times New Roman" w:hAnsi="Times New Roman" w:cs="Times New Roman"/>
                <w:sz w:val="28"/>
                <w:szCs w:val="28"/>
              </w:rPr>
            </w:pPr>
            <w:r w:rsidRPr="00452443">
              <w:rPr>
                <w:rFonts w:ascii="Times New Roman" w:hAnsi="Times New Roman" w:cs="Times New Roman"/>
                <w:sz w:val="28"/>
                <w:szCs w:val="28"/>
              </w:rPr>
              <w:t>63,3</w:t>
            </w:r>
          </w:p>
        </w:tc>
        <w:tc>
          <w:tcPr>
            <w:tcW w:w="1763" w:type="dxa"/>
            <w:vAlign w:val="center"/>
          </w:tcPr>
          <w:p w14:paraId="4E1D8BF3" w14:textId="77777777" w:rsidR="00C81AE7" w:rsidRPr="00452443" w:rsidRDefault="00C81AE7" w:rsidP="00446A37">
            <w:pPr>
              <w:spacing w:after="0" w:line="240" w:lineRule="auto"/>
              <w:jc w:val="center"/>
              <w:rPr>
                <w:rFonts w:ascii="Times New Roman" w:hAnsi="Times New Roman" w:cs="Times New Roman"/>
                <w:sz w:val="28"/>
                <w:szCs w:val="28"/>
              </w:rPr>
            </w:pPr>
            <w:r w:rsidRPr="00452443">
              <w:rPr>
                <w:rFonts w:ascii="Times New Roman" w:hAnsi="Times New Roman" w:cs="Times New Roman"/>
                <w:sz w:val="28"/>
                <w:szCs w:val="28"/>
              </w:rPr>
              <w:t>60,9</w:t>
            </w:r>
          </w:p>
        </w:tc>
      </w:tr>
      <w:tr w:rsidR="00C81AE7" w:rsidRPr="00A43B9C" w14:paraId="590C30C5" w14:textId="77777777" w:rsidTr="00446A37">
        <w:trPr>
          <w:jc w:val="center"/>
        </w:trPr>
        <w:tc>
          <w:tcPr>
            <w:tcW w:w="1790" w:type="dxa"/>
            <w:vAlign w:val="center"/>
          </w:tcPr>
          <w:p w14:paraId="257B8C19"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0,80</w:t>
            </w:r>
          </w:p>
        </w:tc>
        <w:tc>
          <w:tcPr>
            <w:tcW w:w="2069" w:type="dxa"/>
            <w:vAlign w:val="center"/>
          </w:tcPr>
          <w:p w14:paraId="0FBA6B42"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60,7</w:t>
            </w:r>
          </w:p>
        </w:tc>
        <w:tc>
          <w:tcPr>
            <w:tcW w:w="1967" w:type="dxa"/>
            <w:vAlign w:val="center"/>
          </w:tcPr>
          <w:p w14:paraId="7DB18416"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56,0</w:t>
            </w:r>
          </w:p>
        </w:tc>
        <w:tc>
          <w:tcPr>
            <w:tcW w:w="1756" w:type="dxa"/>
            <w:vAlign w:val="center"/>
          </w:tcPr>
          <w:p w14:paraId="1E253A47"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60,7</w:t>
            </w:r>
          </w:p>
        </w:tc>
        <w:tc>
          <w:tcPr>
            <w:tcW w:w="1763" w:type="dxa"/>
            <w:vAlign w:val="center"/>
          </w:tcPr>
          <w:p w14:paraId="15397A0E"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56,0</w:t>
            </w:r>
          </w:p>
        </w:tc>
      </w:tr>
      <w:tr w:rsidR="00C81AE7" w:rsidRPr="00A43B9C" w14:paraId="1A9FD3BC" w14:textId="77777777" w:rsidTr="00446A37">
        <w:trPr>
          <w:jc w:val="center"/>
        </w:trPr>
        <w:tc>
          <w:tcPr>
            <w:tcW w:w="1790" w:type="dxa"/>
            <w:vAlign w:val="center"/>
          </w:tcPr>
          <w:p w14:paraId="43B7CC8F"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0,77</w:t>
            </w:r>
          </w:p>
        </w:tc>
        <w:tc>
          <w:tcPr>
            <w:tcW w:w="2069" w:type="dxa"/>
            <w:vAlign w:val="center"/>
          </w:tcPr>
          <w:p w14:paraId="7D2F5F5D"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50,0</w:t>
            </w:r>
          </w:p>
        </w:tc>
        <w:tc>
          <w:tcPr>
            <w:tcW w:w="1967" w:type="dxa"/>
            <w:vAlign w:val="center"/>
          </w:tcPr>
          <w:p w14:paraId="1D6A75B0"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60,0</w:t>
            </w:r>
          </w:p>
        </w:tc>
        <w:tc>
          <w:tcPr>
            <w:tcW w:w="1756" w:type="dxa"/>
            <w:vAlign w:val="center"/>
          </w:tcPr>
          <w:p w14:paraId="1831A101"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58,3</w:t>
            </w:r>
          </w:p>
        </w:tc>
        <w:tc>
          <w:tcPr>
            <w:tcW w:w="1763" w:type="dxa"/>
            <w:vAlign w:val="center"/>
          </w:tcPr>
          <w:p w14:paraId="42FA6274"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51,7</w:t>
            </w:r>
          </w:p>
        </w:tc>
      </w:tr>
    </w:tbl>
    <w:p w14:paraId="008A93BD" w14:textId="77777777" w:rsidR="00C81AE7" w:rsidRPr="00A43B9C" w:rsidRDefault="00C81AE7" w:rsidP="00C81AE7">
      <w:pPr>
        <w:spacing w:after="0" w:line="240" w:lineRule="auto"/>
        <w:rPr>
          <w:rFonts w:ascii="Times New Roman" w:hAnsi="Times New Roman" w:cs="Times New Roman"/>
          <w:sz w:val="28"/>
          <w:szCs w:val="28"/>
        </w:rPr>
      </w:pPr>
    </w:p>
    <w:p w14:paraId="79681B6B" w14:textId="22F4C10D" w:rsidR="00C81AE7" w:rsidRPr="00A43B9C" w:rsidRDefault="00C81AE7" w:rsidP="00C81AE7">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Площадь под ROC-кривой составила 0,600 </w:t>
      </w:r>
      <w:r w:rsidR="008A143D" w:rsidRPr="00A43B9C">
        <w:rPr>
          <w:rFonts w:ascii="Times New Roman" w:hAnsi="Times New Roman" w:cs="Times New Roman"/>
          <w:sz w:val="28"/>
          <w:szCs w:val="28"/>
        </w:rPr>
        <w:t>(</w:t>
      </w:r>
      <w:r w:rsidRPr="00A43B9C">
        <w:rPr>
          <w:rFonts w:ascii="Times New Roman" w:hAnsi="Times New Roman" w:cs="Times New Roman"/>
          <w:sz w:val="28"/>
          <w:szCs w:val="28"/>
        </w:rPr>
        <w:t>95% ДИ 0,446 – 0,754</w:t>
      </w:r>
      <w:r w:rsidR="008A143D" w:rsidRPr="00A43B9C">
        <w:rPr>
          <w:rFonts w:ascii="Times New Roman" w:hAnsi="Times New Roman" w:cs="Times New Roman"/>
          <w:sz w:val="28"/>
          <w:szCs w:val="28"/>
        </w:rPr>
        <w:t>), и данная модель также не достигла</w:t>
      </w:r>
      <w:r w:rsidRPr="00A43B9C">
        <w:rPr>
          <w:rFonts w:ascii="Times New Roman" w:hAnsi="Times New Roman" w:cs="Times New Roman"/>
          <w:sz w:val="28"/>
          <w:szCs w:val="28"/>
        </w:rPr>
        <w:t xml:space="preserve"> статистическ</w:t>
      </w:r>
      <w:r w:rsidR="008A143D" w:rsidRPr="00A43B9C">
        <w:rPr>
          <w:rFonts w:ascii="Times New Roman" w:hAnsi="Times New Roman" w:cs="Times New Roman"/>
          <w:sz w:val="28"/>
          <w:szCs w:val="28"/>
        </w:rPr>
        <w:t>ой</w:t>
      </w:r>
      <w:r w:rsidRPr="00A43B9C">
        <w:rPr>
          <w:rFonts w:ascii="Times New Roman" w:hAnsi="Times New Roman" w:cs="Times New Roman"/>
          <w:sz w:val="28"/>
          <w:szCs w:val="28"/>
        </w:rPr>
        <w:t xml:space="preserve"> значимо</w:t>
      </w:r>
      <w:r w:rsidR="008A143D" w:rsidRPr="00A43B9C">
        <w:rPr>
          <w:rFonts w:ascii="Times New Roman" w:hAnsi="Times New Roman" w:cs="Times New Roman"/>
          <w:sz w:val="28"/>
          <w:szCs w:val="28"/>
        </w:rPr>
        <w:t>сти</w:t>
      </w:r>
      <w:r w:rsidRPr="00A43B9C">
        <w:rPr>
          <w:rFonts w:ascii="Times New Roman" w:hAnsi="Times New Roman" w:cs="Times New Roman"/>
          <w:sz w:val="28"/>
          <w:szCs w:val="28"/>
        </w:rPr>
        <w:t xml:space="preserve"> (p = 0,212).</w:t>
      </w:r>
      <w:r w:rsidR="008A143D"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Пороговое значение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RRI в точке </w:t>
      </w:r>
      <w:r w:rsidR="008A143D" w:rsidRPr="00A43B9C">
        <w:rPr>
          <w:rFonts w:ascii="Times New Roman" w:hAnsi="Times New Roman" w:cs="Times New Roman"/>
          <w:sz w:val="28"/>
          <w:szCs w:val="28"/>
        </w:rPr>
        <w:t>отсечения</w:t>
      </w:r>
      <w:r w:rsidRPr="00A43B9C">
        <w:rPr>
          <w:rFonts w:ascii="Times New Roman" w:hAnsi="Times New Roman" w:cs="Times New Roman"/>
          <w:sz w:val="28"/>
          <w:szCs w:val="28"/>
        </w:rPr>
        <w:t xml:space="preserve">, которому соответствовало наивысшее значение индекса Юдена, </w:t>
      </w:r>
      <w:r w:rsidRPr="00A43B9C">
        <w:rPr>
          <w:rFonts w:ascii="Times New Roman" w:hAnsi="Times New Roman" w:cs="Times New Roman"/>
          <w:sz w:val="28"/>
          <w:szCs w:val="28"/>
        </w:rPr>
        <w:lastRenderedPageBreak/>
        <w:t>составило 0,81</w:t>
      </w:r>
      <w:r w:rsidR="00F31735" w:rsidRPr="00A43B9C">
        <w:rPr>
          <w:rFonts w:ascii="Times New Roman" w:hAnsi="Times New Roman" w:cs="Times New Roman"/>
          <w:sz w:val="28"/>
          <w:szCs w:val="28"/>
        </w:rPr>
        <w:t xml:space="preserve"> (рисунок 2</w:t>
      </w:r>
      <w:r w:rsidR="00006C4D">
        <w:rPr>
          <w:rFonts w:ascii="Times New Roman" w:hAnsi="Times New Roman" w:cs="Times New Roman"/>
          <w:sz w:val="28"/>
          <w:szCs w:val="28"/>
        </w:rPr>
        <w:t>6</w:t>
      </w:r>
      <w:r w:rsidR="00F31735" w:rsidRPr="00A43B9C">
        <w:rPr>
          <w:rFonts w:ascii="Times New Roman" w:hAnsi="Times New Roman" w:cs="Times New Roman"/>
          <w:sz w:val="28"/>
          <w:szCs w:val="28"/>
        </w:rPr>
        <w:t>)</w:t>
      </w:r>
      <w:r w:rsidRPr="00A43B9C">
        <w:rPr>
          <w:rFonts w:ascii="Times New Roman" w:hAnsi="Times New Roman" w:cs="Times New Roman"/>
          <w:sz w:val="28"/>
          <w:szCs w:val="28"/>
        </w:rPr>
        <w:t xml:space="preserve">. Наличие </w:t>
      </w:r>
      <w:r w:rsidR="001C40D1" w:rsidRPr="00A43B9C">
        <w:rPr>
          <w:rFonts w:ascii="Times New Roman" w:eastAsia="Times New Roman" w:hAnsi="Times New Roman" w:cs="Times New Roman"/>
          <w:sz w:val="28"/>
          <w:szCs w:val="28"/>
          <w:lang w:val="en-US" w:eastAsia="ru-RU"/>
        </w:rPr>
        <w:t>pLM</w:t>
      </w:r>
      <w:r w:rsidR="003B07F1"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прогнозировалось при значении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RRI ниже данной величины или равном ей. Чувствительность и специфичность модели составили 67,9% и 56,0%, </w:t>
      </w:r>
      <w:r w:rsidR="00F31735" w:rsidRPr="00A43B9C">
        <w:rPr>
          <w:rFonts w:ascii="Times New Roman" w:hAnsi="Times New Roman" w:cs="Times New Roman"/>
          <w:sz w:val="28"/>
          <w:szCs w:val="28"/>
        </w:rPr>
        <w:t xml:space="preserve">а </w:t>
      </w:r>
      <w:r w:rsidR="00F31735" w:rsidRPr="00A43B9C">
        <w:rPr>
          <w:rFonts w:ascii="Times New Roman" w:hAnsi="Times New Roman" w:cs="Times New Roman"/>
          <w:sz w:val="28"/>
          <w:szCs w:val="28"/>
          <w:lang w:val="en-US"/>
        </w:rPr>
        <w:t>PPV</w:t>
      </w:r>
      <w:r w:rsidR="00F31735" w:rsidRPr="00A43B9C">
        <w:rPr>
          <w:rFonts w:ascii="Times New Roman" w:hAnsi="Times New Roman" w:cs="Times New Roman"/>
          <w:sz w:val="28"/>
          <w:szCs w:val="28"/>
        </w:rPr>
        <w:t xml:space="preserve"> и </w:t>
      </w:r>
      <w:r w:rsidR="00F31735" w:rsidRPr="00A43B9C">
        <w:rPr>
          <w:rFonts w:ascii="Times New Roman" w:hAnsi="Times New Roman" w:cs="Times New Roman"/>
          <w:sz w:val="28"/>
          <w:szCs w:val="28"/>
          <w:lang w:val="en-US"/>
        </w:rPr>
        <w:t>NPV</w:t>
      </w:r>
      <w:r w:rsidR="00F31735" w:rsidRPr="00A43B9C">
        <w:rPr>
          <w:rFonts w:ascii="Times New Roman" w:hAnsi="Times New Roman" w:cs="Times New Roman"/>
          <w:sz w:val="28"/>
          <w:szCs w:val="28"/>
        </w:rPr>
        <w:t xml:space="preserve"> составили 63,3% и 60,9% соответственно (таблица 19)</w:t>
      </w:r>
      <w:r w:rsidRPr="00A43B9C">
        <w:rPr>
          <w:rFonts w:ascii="Times New Roman" w:hAnsi="Times New Roman" w:cs="Times New Roman"/>
          <w:sz w:val="28"/>
          <w:szCs w:val="28"/>
        </w:rPr>
        <w:t>.</w:t>
      </w:r>
    </w:p>
    <w:p w14:paraId="29F0CC03" w14:textId="77777777" w:rsidR="00C81AE7" w:rsidRPr="00A43B9C" w:rsidRDefault="00C81AE7" w:rsidP="00C81AE7">
      <w:pPr>
        <w:spacing w:after="0" w:line="240" w:lineRule="auto"/>
        <w:rPr>
          <w:rFonts w:ascii="Times New Roman" w:hAnsi="Times New Roman" w:cs="Times New Roman"/>
          <w:sz w:val="28"/>
          <w:szCs w:val="28"/>
        </w:rPr>
      </w:pPr>
    </w:p>
    <w:p w14:paraId="15CF578C" w14:textId="430BE6A9" w:rsidR="00C81AE7" w:rsidRPr="00A43B9C" w:rsidRDefault="00C81AE7" w:rsidP="00C81AE7">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При оценке зависимости вероятности </w:t>
      </w:r>
      <w:r w:rsidR="001C40D1" w:rsidRPr="00A43B9C">
        <w:rPr>
          <w:rFonts w:ascii="Times New Roman" w:eastAsia="Times New Roman" w:hAnsi="Times New Roman" w:cs="Times New Roman"/>
          <w:sz w:val="28"/>
          <w:szCs w:val="28"/>
          <w:lang w:val="en-US" w:eastAsia="ru-RU"/>
        </w:rPr>
        <w:t>LM</w:t>
      </w:r>
      <w:r w:rsidR="003B07F1"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в </w:t>
      </w:r>
      <w:r w:rsidR="008A143D"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RP с помощью ROC-анализа была получена следующая кривая</w:t>
      </w:r>
      <w:r w:rsidR="00F31735" w:rsidRPr="00A43B9C">
        <w:rPr>
          <w:rFonts w:ascii="Times New Roman" w:hAnsi="Times New Roman" w:cs="Times New Roman"/>
          <w:sz w:val="28"/>
          <w:szCs w:val="28"/>
        </w:rPr>
        <w:t xml:space="preserve"> (рисунок 2</w:t>
      </w:r>
      <w:r w:rsidR="00006C4D">
        <w:rPr>
          <w:rFonts w:ascii="Times New Roman" w:hAnsi="Times New Roman" w:cs="Times New Roman"/>
          <w:sz w:val="28"/>
          <w:szCs w:val="28"/>
        </w:rPr>
        <w:t>7</w:t>
      </w:r>
      <w:r w:rsidR="00F31735" w:rsidRPr="00A43B9C">
        <w:rPr>
          <w:rFonts w:ascii="Times New Roman" w:hAnsi="Times New Roman" w:cs="Times New Roman"/>
          <w:sz w:val="28"/>
          <w:szCs w:val="28"/>
        </w:rPr>
        <w:t>)</w:t>
      </w:r>
      <w:r w:rsidRPr="00A43B9C">
        <w:rPr>
          <w:rFonts w:ascii="Times New Roman" w:hAnsi="Times New Roman" w:cs="Times New Roman"/>
          <w:sz w:val="28"/>
          <w:szCs w:val="28"/>
        </w:rPr>
        <w:t>.</w:t>
      </w:r>
    </w:p>
    <w:p w14:paraId="4E5E6223" w14:textId="77777777" w:rsidR="00C81AE7" w:rsidRPr="00A43B9C" w:rsidRDefault="00C81AE7" w:rsidP="00C81AE7">
      <w:pPr>
        <w:spacing w:after="0" w:line="240" w:lineRule="auto"/>
        <w:rPr>
          <w:rFonts w:ascii="Times New Roman" w:hAnsi="Times New Roman" w:cs="Times New Roman"/>
          <w:sz w:val="28"/>
          <w:szCs w:val="28"/>
        </w:rPr>
      </w:pPr>
    </w:p>
    <w:p w14:paraId="15E7AF1C" w14:textId="77777777"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058070A5" wp14:editId="423B0D16">
            <wp:extent cx="3685243" cy="2268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47.png"/>
                    <pic:cNvPicPr/>
                  </pic:nvPicPr>
                  <pic:blipFill>
                    <a:blip r:embed="rId161"/>
                    <a:stretch>
                      <a:fillRect/>
                    </a:stretch>
                  </pic:blipFill>
                  <pic:spPr>
                    <a:xfrm>
                      <a:off x="0" y="0"/>
                      <a:ext cx="3685243" cy="2268000"/>
                    </a:xfrm>
                    <a:prstGeom prst="rect">
                      <a:avLst/>
                    </a:prstGeom>
                  </pic:spPr>
                </pic:pic>
              </a:graphicData>
            </a:graphic>
          </wp:inline>
        </w:drawing>
      </w:r>
    </w:p>
    <w:p w14:paraId="74358934" w14:textId="01376A8F"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2</w:t>
      </w:r>
      <w:r w:rsidR="00006C4D">
        <w:rPr>
          <w:rFonts w:ascii="Times New Roman" w:hAnsi="Times New Roman" w:cs="Times New Roman"/>
          <w:sz w:val="28"/>
          <w:szCs w:val="28"/>
        </w:rPr>
        <w:t>7</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ROC-кривая, характеризующая зависимость вероятности </w:t>
      </w:r>
      <w:r w:rsidR="00777C9A">
        <w:rPr>
          <w:rFonts w:ascii="Times New Roman" w:hAnsi="Times New Roman" w:cs="Times New Roman"/>
          <w:sz w:val="28"/>
          <w:szCs w:val="28"/>
          <w:lang w:val="en-US"/>
        </w:rPr>
        <w:t>p</w:t>
      </w:r>
      <w:r w:rsidR="001C40D1" w:rsidRPr="00A43B9C">
        <w:rPr>
          <w:rFonts w:ascii="Times New Roman" w:hAnsi="Times New Roman" w:cs="Times New Roman"/>
          <w:sz w:val="28"/>
          <w:szCs w:val="28"/>
          <w:lang w:val="en-US"/>
        </w:rPr>
        <w:t>LM</w:t>
      </w:r>
      <w:r w:rsidRPr="00A43B9C">
        <w:rPr>
          <w:rFonts w:ascii="Times New Roman" w:hAnsi="Times New Roman" w:cs="Times New Roman"/>
          <w:sz w:val="28"/>
          <w:szCs w:val="28"/>
        </w:rPr>
        <w:t xml:space="preserve"> от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RP</w:t>
      </w:r>
    </w:p>
    <w:p w14:paraId="44DD8D65" w14:textId="77777777" w:rsidR="00C81AE7" w:rsidRPr="00A43B9C" w:rsidRDefault="00C81AE7" w:rsidP="00C81AE7">
      <w:pPr>
        <w:spacing w:after="0" w:line="240" w:lineRule="auto"/>
        <w:rPr>
          <w:rFonts w:ascii="Times New Roman" w:hAnsi="Times New Roman" w:cs="Times New Roman"/>
          <w:sz w:val="28"/>
          <w:szCs w:val="28"/>
        </w:rPr>
      </w:pPr>
    </w:p>
    <w:p w14:paraId="02863F20" w14:textId="77777777" w:rsidR="00C81AE7" w:rsidRPr="00A43B9C" w:rsidRDefault="00C81AE7" w:rsidP="00C81AE7">
      <w:pPr>
        <w:spacing w:after="0" w:line="240" w:lineRule="auto"/>
        <w:jc w:val="center"/>
        <w:rPr>
          <w:rFonts w:ascii="Times New Roman" w:hAnsi="Times New Roman" w:cs="Times New Roman"/>
          <w:sz w:val="28"/>
          <w:szCs w:val="28"/>
        </w:rPr>
      </w:pPr>
      <w:r w:rsidRPr="00A43B9C">
        <w:rPr>
          <w:noProof/>
        </w:rPr>
        <w:drawing>
          <wp:inline distT="0" distB="0" distL="0" distR="0" wp14:anchorId="3C990A74" wp14:editId="65B40B52">
            <wp:extent cx="4968589" cy="2268000"/>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21.png"/>
                    <pic:cNvPicPr/>
                  </pic:nvPicPr>
                  <pic:blipFill>
                    <a:blip r:embed="rId162"/>
                    <a:stretch>
                      <a:fillRect/>
                    </a:stretch>
                  </pic:blipFill>
                  <pic:spPr>
                    <a:xfrm>
                      <a:off x="0" y="0"/>
                      <a:ext cx="4968589" cy="2268000"/>
                    </a:xfrm>
                    <a:prstGeom prst="rect">
                      <a:avLst/>
                    </a:prstGeom>
                  </pic:spPr>
                </pic:pic>
              </a:graphicData>
            </a:graphic>
          </wp:inline>
        </w:drawing>
      </w:r>
    </w:p>
    <w:p w14:paraId="73306386" w14:textId="68640156"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2</w:t>
      </w:r>
      <w:r w:rsidR="00006C4D">
        <w:rPr>
          <w:rFonts w:ascii="Times New Roman" w:hAnsi="Times New Roman" w:cs="Times New Roman"/>
          <w:sz w:val="28"/>
          <w:szCs w:val="28"/>
        </w:rPr>
        <w:t>8</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чувствительности и специфичности модели в зависимости от пороговых значений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RP</w:t>
      </w:r>
    </w:p>
    <w:p w14:paraId="2266EEAA" w14:textId="77777777" w:rsidR="00C81AE7" w:rsidRPr="00A43B9C" w:rsidRDefault="00C81AE7" w:rsidP="00C81AE7">
      <w:pPr>
        <w:spacing w:after="0" w:line="240" w:lineRule="auto"/>
        <w:rPr>
          <w:rFonts w:ascii="Times New Roman" w:hAnsi="Times New Roman" w:cs="Times New Roman"/>
          <w:sz w:val="28"/>
          <w:szCs w:val="28"/>
        </w:rPr>
      </w:pPr>
    </w:p>
    <w:p w14:paraId="61DEB836" w14:textId="0FFF6227" w:rsidR="00C81AE7"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20 -</w:t>
      </w:r>
      <w:r w:rsidR="00C81AE7" w:rsidRPr="00A43B9C">
        <w:rPr>
          <w:rFonts w:ascii="Times New Roman" w:hAnsi="Times New Roman" w:cs="Times New Roman"/>
          <w:sz w:val="28"/>
          <w:szCs w:val="28"/>
        </w:rPr>
        <w:t xml:space="preserve"> Пороговые значения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00C81AE7" w:rsidRPr="00A43B9C">
        <w:rPr>
          <w:rFonts w:ascii="Times New Roman" w:hAnsi="Times New Roman" w:cs="Times New Roman"/>
          <w:sz w:val="28"/>
          <w:szCs w:val="28"/>
          <w:lang w:val="en-US"/>
        </w:rPr>
        <w:t>SUV</w:t>
      </w:r>
      <w:r w:rsidR="00C81AE7" w:rsidRPr="00A43B9C">
        <w:rPr>
          <w:rFonts w:ascii="Times New Roman" w:hAnsi="Times New Roman" w:cs="Times New Roman"/>
          <w:sz w:val="28"/>
          <w:szCs w:val="28"/>
          <w:vertAlign w:val="subscript"/>
          <w:lang w:val="en-US"/>
        </w:rPr>
        <w:t>max</w:t>
      </w:r>
      <w:r w:rsidR="00C81AE7"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00C81AE7" w:rsidRPr="00A43B9C">
        <w:rPr>
          <w:rFonts w:ascii="Times New Roman" w:hAnsi="Times New Roman" w:cs="Times New Roman"/>
          <w:sz w:val="28"/>
          <w:szCs w:val="28"/>
        </w:rPr>
        <w:t>RP</w:t>
      </w:r>
    </w:p>
    <w:p w14:paraId="0CA2B3C2"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0" w:type="auto"/>
        <w:jc w:val="center"/>
        <w:tblLook w:val="04A0" w:firstRow="1" w:lastRow="0" w:firstColumn="1" w:lastColumn="0" w:noHBand="0" w:noVBand="1"/>
      </w:tblPr>
      <w:tblGrid>
        <w:gridCol w:w="1789"/>
        <w:gridCol w:w="2069"/>
        <w:gridCol w:w="1967"/>
        <w:gridCol w:w="1756"/>
        <w:gridCol w:w="1763"/>
      </w:tblGrid>
      <w:tr w:rsidR="00C81AE7" w:rsidRPr="00A43B9C" w14:paraId="5C0FE45A" w14:textId="77777777" w:rsidTr="00E45A02">
        <w:trPr>
          <w:jc w:val="center"/>
        </w:trPr>
        <w:tc>
          <w:tcPr>
            <w:tcW w:w="1789" w:type="dxa"/>
            <w:vAlign w:val="center"/>
          </w:tcPr>
          <w:p w14:paraId="384DE242" w14:textId="50721EB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Порог</w:t>
            </w:r>
            <w:r w:rsidR="008A143D" w:rsidRPr="00A43B9C">
              <w:rPr>
                <w:rFonts w:ascii="Times New Roman" w:hAnsi="Times New Roman" w:cs="Times New Roman"/>
                <w:sz w:val="28"/>
                <w:szCs w:val="28"/>
              </w:rPr>
              <w:t>овое значение</w:t>
            </w:r>
          </w:p>
        </w:tc>
        <w:tc>
          <w:tcPr>
            <w:tcW w:w="2069" w:type="dxa"/>
            <w:vAlign w:val="center"/>
          </w:tcPr>
          <w:p w14:paraId="1EEDD45F" w14:textId="44EBE08C"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Se, %</w:t>
            </w:r>
          </w:p>
        </w:tc>
        <w:tc>
          <w:tcPr>
            <w:tcW w:w="1967" w:type="dxa"/>
            <w:vAlign w:val="center"/>
          </w:tcPr>
          <w:p w14:paraId="24F9048C" w14:textId="5AAB0929"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Sp, %</w:t>
            </w:r>
          </w:p>
        </w:tc>
        <w:tc>
          <w:tcPr>
            <w:tcW w:w="1756" w:type="dxa"/>
            <w:vAlign w:val="center"/>
          </w:tcPr>
          <w:p w14:paraId="00304601" w14:textId="777B8EFB"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PPV</w:t>
            </w:r>
            <w:r w:rsidR="003E57FA" w:rsidRPr="00A43B9C">
              <w:rPr>
                <w:rFonts w:ascii="Times New Roman" w:hAnsi="Times New Roman" w:cs="Times New Roman"/>
                <w:sz w:val="28"/>
                <w:szCs w:val="28"/>
                <w:lang w:val="en-US"/>
              </w:rPr>
              <w:t>, %</w:t>
            </w:r>
          </w:p>
        </w:tc>
        <w:tc>
          <w:tcPr>
            <w:tcW w:w="1763" w:type="dxa"/>
            <w:vAlign w:val="center"/>
          </w:tcPr>
          <w:p w14:paraId="56FA515B" w14:textId="460DDCB5"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NPV</w:t>
            </w:r>
            <w:r w:rsidR="003E57FA" w:rsidRPr="00A43B9C">
              <w:rPr>
                <w:rFonts w:ascii="Times New Roman" w:hAnsi="Times New Roman" w:cs="Times New Roman"/>
                <w:sz w:val="28"/>
                <w:szCs w:val="28"/>
                <w:lang w:val="en-US"/>
              </w:rPr>
              <w:t>, %</w:t>
            </w:r>
          </w:p>
        </w:tc>
      </w:tr>
      <w:tr w:rsidR="00C81AE7" w:rsidRPr="00A43B9C" w14:paraId="1EC4497C" w14:textId="77777777" w:rsidTr="00E45A02">
        <w:trPr>
          <w:jc w:val="center"/>
        </w:trPr>
        <w:tc>
          <w:tcPr>
            <w:tcW w:w="1789" w:type="dxa"/>
            <w:vAlign w:val="center"/>
          </w:tcPr>
          <w:p w14:paraId="68B8462E" w14:textId="77777777" w:rsidR="00C81AE7" w:rsidRPr="00452443" w:rsidRDefault="00C81AE7" w:rsidP="00446A37">
            <w:pPr>
              <w:spacing w:after="0" w:line="240" w:lineRule="auto"/>
              <w:jc w:val="center"/>
              <w:rPr>
                <w:rFonts w:ascii="Times New Roman" w:hAnsi="Times New Roman" w:cs="Times New Roman"/>
                <w:sz w:val="28"/>
                <w:szCs w:val="28"/>
              </w:rPr>
            </w:pPr>
            <w:r w:rsidRPr="00452443">
              <w:rPr>
                <w:rFonts w:ascii="Times New Roman" w:hAnsi="Times New Roman" w:cs="Times New Roman"/>
                <w:sz w:val="28"/>
                <w:szCs w:val="28"/>
              </w:rPr>
              <w:t>1,23</w:t>
            </w:r>
          </w:p>
        </w:tc>
        <w:tc>
          <w:tcPr>
            <w:tcW w:w="2069" w:type="dxa"/>
            <w:vAlign w:val="center"/>
          </w:tcPr>
          <w:p w14:paraId="00694BB9" w14:textId="77777777" w:rsidR="00C81AE7" w:rsidRPr="00452443" w:rsidRDefault="00C81AE7" w:rsidP="00446A37">
            <w:pPr>
              <w:spacing w:after="0" w:line="240" w:lineRule="auto"/>
              <w:jc w:val="center"/>
              <w:rPr>
                <w:rFonts w:ascii="Times New Roman" w:hAnsi="Times New Roman" w:cs="Times New Roman"/>
                <w:sz w:val="28"/>
                <w:szCs w:val="28"/>
              </w:rPr>
            </w:pPr>
            <w:r w:rsidRPr="00452443">
              <w:rPr>
                <w:rFonts w:ascii="Times New Roman" w:hAnsi="Times New Roman" w:cs="Times New Roman"/>
                <w:sz w:val="28"/>
                <w:szCs w:val="28"/>
              </w:rPr>
              <w:t>60,7</w:t>
            </w:r>
          </w:p>
        </w:tc>
        <w:tc>
          <w:tcPr>
            <w:tcW w:w="1967" w:type="dxa"/>
            <w:vAlign w:val="center"/>
          </w:tcPr>
          <w:p w14:paraId="628AB918" w14:textId="77777777" w:rsidR="00C81AE7" w:rsidRPr="00452443" w:rsidRDefault="00C81AE7" w:rsidP="00446A37">
            <w:pPr>
              <w:spacing w:after="0" w:line="240" w:lineRule="auto"/>
              <w:jc w:val="center"/>
              <w:rPr>
                <w:rFonts w:ascii="Times New Roman" w:hAnsi="Times New Roman" w:cs="Times New Roman"/>
                <w:sz w:val="28"/>
                <w:szCs w:val="28"/>
              </w:rPr>
            </w:pPr>
            <w:r w:rsidRPr="00452443">
              <w:rPr>
                <w:rFonts w:ascii="Times New Roman" w:hAnsi="Times New Roman" w:cs="Times New Roman"/>
                <w:sz w:val="28"/>
                <w:szCs w:val="28"/>
              </w:rPr>
              <w:t>52,0</w:t>
            </w:r>
          </w:p>
        </w:tc>
        <w:tc>
          <w:tcPr>
            <w:tcW w:w="1756" w:type="dxa"/>
            <w:vAlign w:val="center"/>
          </w:tcPr>
          <w:p w14:paraId="7EEBB318" w14:textId="77777777" w:rsidR="00C81AE7" w:rsidRPr="00452443" w:rsidRDefault="00C81AE7" w:rsidP="00446A37">
            <w:pPr>
              <w:spacing w:after="0" w:line="240" w:lineRule="auto"/>
              <w:jc w:val="center"/>
              <w:rPr>
                <w:rFonts w:ascii="Times New Roman" w:hAnsi="Times New Roman" w:cs="Times New Roman"/>
                <w:sz w:val="28"/>
                <w:szCs w:val="28"/>
              </w:rPr>
            </w:pPr>
            <w:r w:rsidRPr="00452443">
              <w:rPr>
                <w:rFonts w:ascii="Times New Roman" w:hAnsi="Times New Roman" w:cs="Times New Roman"/>
                <w:sz w:val="28"/>
                <w:szCs w:val="28"/>
              </w:rPr>
              <w:t>58,6</w:t>
            </w:r>
          </w:p>
        </w:tc>
        <w:tc>
          <w:tcPr>
            <w:tcW w:w="1763" w:type="dxa"/>
            <w:vAlign w:val="center"/>
          </w:tcPr>
          <w:p w14:paraId="3342A518" w14:textId="77777777" w:rsidR="00C81AE7" w:rsidRPr="00452443" w:rsidRDefault="00C81AE7" w:rsidP="00446A37">
            <w:pPr>
              <w:spacing w:after="0" w:line="240" w:lineRule="auto"/>
              <w:jc w:val="center"/>
              <w:rPr>
                <w:rFonts w:ascii="Times New Roman" w:hAnsi="Times New Roman" w:cs="Times New Roman"/>
                <w:sz w:val="28"/>
                <w:szCs w:val="28"/>
              </w:rPr>
            </w:pPr>
            <w:r w:rsidRPr="00452443">
              <w:rPr>
                <w:rFonts w:ascii="Times New Roman" w:hAnsi="Times New Roman" w:cs="Times New Roman"/>
                <w:sz w:val="28"/>
                <w:szCs w:val="28"/>
              </w:rPr>
              <w:t>54,2</w:t>
            </w:r>
          </w:p>
        </w:tc>
      </w:tr>
      <w:tr w:rsidR="00C81AE7" w:rsidRPr="00A43B9C" w14:paraId="1E470BAA" w14:textId="77777777" w:rsidTr="00E45A02">
        <w:trPr>
          <w:jc w:val="center"/>
        </w:trPr>
        <w:tc>
          <w:tcPr>
            <w:tcW w:w="1789" w:type="dxa"/>
            <w:vAlign w:val="center"/>
          </w:tcPr>
          <w:p w14:paraId="6B43E3A0"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1,22</w:t>
            </w:r>
          </w:p>
        </w:tc>
        <w:tc>
          <w:tcPr>
            <w:tcW w:w="2069" w:type="dxa"/>
            <w:vAlign w:val="center"/>
          </w:tcPr>
          <w:p w14:paraId="26805934"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57,1</w:t>
            </w:r>
          </w:p>
        </w:tc>
        <w:tc>
          <w:tcPr>
            <w:tcW w:w="1967" w:type="dxa"/>
            <w:vAlign w:val="center"/>
          </w:tcPr>
          <w:p w14:paraId="24EADEE8"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52,0</w:t>
            </w:r>
          </w:p>
        </w:tc>
        <w:tc>
          <w:tcPr>
            <w:tcW w:w="1756" w:type="dxa"/>
            <w:vAlign w:val="center"/>
          </w:tcPr>
          <w:p w14:paraId="61763AE7"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57,1</w:t>
            </w:r>
          </w:p>
        </w:tc>
        <w:tc>
          <w:tcPr>
            <w:tcW w:w="1763" w:type="dxa"/>
            <w:vAlign w:val="center"/>
          </w:tcPr>
          <w:p w14:paraId="0FBE9AD8"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52,0</w:t>
            </w:r>
          </w:p>
        </w:tc>
      </w:tr>
    </w:tbl>
    <w:p w14:paraId="117836CF" w14:textId="53F238AC" w:rsidR="00C81AE7" w:rsidRPr="00A43B9C" w:rsidRDefault="00C81AE7" w:rsidP="00C81AE7">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lastRenderedPageBreak/>
        <w:t xml:space="preserve">Площадь под ROC-кривой составила 0,543 </w:t>
      </w:r>
      <w:r w:rsidR="008A143D" w:rsidRPr="00A43B9C">
        <w:rPr>
          <w:rFonts w:ascii="Times New Roman" w:hAnsi="Times New Roman" w:cs="Times New Roman"/>
          <w:sz w:val="28"/>
          <w:szCs w:val="28"/>
        </w:rPr>
        <w:t>(</w:t>
      </w:r>
      <w:r w:rsidRPr="00A43B9C">
        <w:rPr>
          <w:rFonts w:ascii="Times New Roman" w:hAnsi="Times New Roman" w:cs="Times New Roman"/>
          <w:sz w:val="28"/>
          <w:szCs w:val="28"/>
        </w:rPr>
        <w:t>95% ДИ 0,386 – 0,700</w:t>
      </w:r>
      <w:r w:rsidR="008A143D" w:rsidRPr="00A43B9C">
        <w:rPr>
          <w:rFonts w:ascii="Times New Roman" w:hAnsi="Times New Roman" w:cs="Times New Roman"/>
          <w:sz w:val="28"/>
          <w:szCs w:val="28"/>
        </w:rPr>
        <w:t>), но такая модель</w:t>
      </w:r>
      <w:r w:rsidRPr="00A43B9C">
        <w:rPr>
          <w:rFonts w:ascii="Times New Roman" w:hAnsi="Times New Roman" w:cs="Times New Roman"/>
          <w:sz w:val="28"/>
          <w:szCs w:val="28"/>
        </w:rPr>
        <w:t xml:space="preserve"> не была статистически значимой (p = 0,593).</w:t>
      </w:r>
      <w:r w:rsidR="008A143D"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Пороговое значение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RP в точке </w:t>
      </w:r>
      <w:r w:rsidR="008A143D" w:rsidRPr="00A43B9C">
        <w:rPr>
          <w:rFonts w:ascii="Times New Roman" w:hAnsi="Times New Roman" w:cs="Times New Roman"/>
          <w:sz w:val="28"/>
          <w:szCs w:val="28"/>
        </w:rPr>
        <w:t>отсечения</w:t>
      </w:r>
      <w:r w:rsidRPr="00A43B9C">
        <w:rPr>
          <w:rFonts w:ascii="Times New Roman" w:hAnsi="Times New Roman" w:cs="Times New Roman"/>
          <w:sz w:val="28"/>
          <w:szCs w:val="28"/>
        </w:rPr>
        <w:t>, которому соответствовало наивысшее значение индекса Юдена, составило 1,23</w:t>
      </w:r>
      <w:r w:rsidR="00F31735" w:rsidRPr="00A43B9C">
        <w:rPr>
          <w:rFonts w:ascii="Times New Roman" w:hAnsi="Times New Roman" w:cs="Times New Roman"/>
          <w:sz w:val="28"/>
          <w:szCs w:val="28"/>
        </w:rPr>
        <w:t xml:space="preserve"> (рисунок 2</w:t>
      </w:r>
      <w:r w:rsidR="00006C4D">
        <w:rPr>
          <w:rFonts w:ascii="Times New Roman" w:hAnsi="Times New Roman" w:cs="Times New Roman"/>
          <w:sz w:val="28"/>
          <w:szCs w:val="28"/>
        </w:rPr>
        <w:t>8</w:t>
      </w:r>
      <w:r w:rsidR="00F31735" w:rsidRPr="00A43B9C">
        <w:rPr>
          <w:rFonts w:ascii="Times New Roman" w:hAnsi="Times New Roman" w:cs="Times New Roman"/>
          <w:sz w:val="28"/>
          <w:szCs w:val="28"/>
        </w:rPr>
        <w:t>)</w:t>
      </w:r>
      <w:r w:rsidRPr="00A43B9C">
        <w:rPr>
          <w:rFonts w:ascii="Times New Roman" w:hAnsi="Times New Roman" w:cs="Times New Roman"/>
          <w:sz w:val="28"/>
          <w:szCs w:val="28"/>
        </w:rPr>
        <w:t xml:space="preserve">. Наличие </w:t>
      </w:r>
      <w:r w:rsidR="001C40D1" w:rsidRPr="00A43B9C">
        <w:rPr>
          <w:rFonts w:ascii="Times New Roman" w:eastAsia="Times New Roman" w:hAnsi="Times New Roman" w:cs="Times New Roman"/>
          <w:sz w:val="28"/>
          <w:szCs w:val="28"/>
          <w:lang w:val="en-US" w:eastAsia="ru-RU"/>
        </w:rPr>
        <w:t>pLM</w:t>
      </w:r>
      <w:r w:rsidR="003B07F1"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прогнозировалось при значении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w:t>
      </w:r>
      <w:r w:rsidRPr="00A43B9C">
        <w:rPr>
          <w:rFonts w:ascii="Times New Roman" w:hAnsi="Times New Roman" w:cs="Times New Roman"/>
          <w:sz w:val="24"/>
          <w:szCs w:val="24"/>
        </w:rPr>
        <w:t xml:space="preserve">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RP ниже данной величины или равном ей. Чувствительность и специфичность модели составили 60,7% и 52,0%, </w:t>
      </w:r>
      <w:r w:rsidR="00F31735" w:rsidRPr="00A43B9C">
        <w:rPr>
          <w:rFonts w:ascii="Times New Roman" w:hAnsi="Times New Roman" w:cs="Times New Roman"/>
          <w:sz w:val="28"/>
          <w:szCs w:val="28"/>
        </w:rPr>
        <w:t xml:space="preserve">а </w:t>
      </w:r>
      <w:r w:rsidR="00F31735" w:rsidRPr="00A43B9C">
        <w:rPr>
          <w:rFonts w:ascii="Times New Roman" w:hAnsi="Times New Roman" w:cs="Times New Roman"/>
          <w:sz w:val="28"/>
          <w:szCs w:val="28"/>
          <w:lang w:val="en-US"/>
        </w:rPr>
        <w:t>PPV</w:t>
      </w:r>
      <w:r w:rsidR="00F31735" w:rsidRPr="00A43B9C">
        <w:rPr>
          <w:rFonts w:ascii="Times New Roman" w:hAnsi="Times New Roman" w:cs="Times New Roman"/>
          <w:sz w:val="28"/>
          <w:szCs w:val="28"/>
        </w:rPr>
        <w:t xml:space="preserve"> и </w:t>
      </w:r>
      <w:r w:rsidR="00F31735" w:rsidRPr="00A43B9C">
        <w:rPr>
          <w:rFonts w:ascii="Times New Roman" w:hAnsi="Times New Roman" w:cs="Times New Roman"/>
          <w:sz w:val="28"/>
          <w:szCs w:val="28"/>
          <w:lang w:val="en-US"/>
        </w:rPr>
        <w:t>NPV</w:t>
      </w:r>
      <w:r w:rsidR="00F31735" w:rsidRPr="00A43B9C">
        <w:rPr>
          <w:rFonts w:ascii="Times New Roman" w:hAnsi="Times New Roman" w:cs="Times New Roman"/>
          <w:sz w:val="28"/>
          <w:szCs w:val="28"/>
        </w:rPr>
        <w:t xml:space="preserve"> составили 58,6% и 54,2% соответственно (таблица 20)</w:t>
      </w:r>
      <w:r w:rsidRPr="00A43B9C">
        <w:rPr>
          <w:rFonts w:ascii="Times New Roman" w:hAnsi="Times New Roman" w:cs="Times New Roman"/>
          <w:sz w:val="28"/>
          <w:szCs w:val="28"/>
        </w:rPr>
        <w:t>.</w:t>
      </w:r>
    </w:p>
    <w:p w14:paraId="4BDB6EBA" w14:textId="168D90A5" w:rsidR="00C81AE7" w:rsidRDefault="00C81AE7" w:rsidP="00C81AE7">
      <w:pPr>
        <w:spacing w:after="0" w:line="240" w:lineRule="auto"/>
        <w:rPr>
          <w:rFonts w:ascii="Times New Roman" w:hAnsi="Times New Roman" w:cs="Times New Roman"/>
          <w:sz w:val="28"/>
          <w:szCs w:val="28"/>
        </w:rPr>
      </w:pPr>
    </w:p>
    <w:p w14:paraId="3C33B302" w14:textId="3BD6F240" w:rsidR="00C81AE7" w:rsidRPr="00A43B9C" w:rsidRDefault="00C81AE7" w:rsidP="00C81AE7">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При оценке зависимости вероятности </w:t>
      </w:r>
      <w:r w:rsidR="001C40D1" w:rsidRPr="00A43B9C">
        <w:rPr>
          <w:rFonts w:ascii="Times New Roman" w:eastAsia="Times New Roman" w:hAnsi="Times New Roman" w:cs="Times New Roman"/>
          <w:sz w:val="28"/>
          <w:szCs w:val="28"/>
          <w:lang w:val="en-US" w:eastAsia="ru-RU"/>
        </w:rPr>
        <w:t>LM</w:t>
      </w:r>
      <w:r w:rsidR="003B07F1"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RLI с помощью ROC-анализа была получена следующая кривая</w:t>
      </w:r>
      <w:r w:rsidR="00F31735" w:rsidRPr="00A43B9C">
        <w:rPr>
          <w:rFonts w:ascii="Times New Roman" w:hAnsi="Times New Roman" w:cs="Times New Roman"/>
          <w:sz w:val="28"/>
          <w:szCs w:val="28"/>
        </w:rPr>
        <w:t xml:space="preserve"> (рисунок 2</w:t>
      </w:r>
      <w:r w:rsidR="00006C4D">
        <w:rPr>
          <w:rFonts w:ascii="Times New Roman" w:hAnsi="Times New Roman" w:cs="Times New Roman"/>
          <w:sz w:val="28"/>
          <w:szCs w:val="28"/>
        </w:rPr>
        <w:t>9</w:t>
      </w:r>
      <w:r w:rsidR="00F31735" w:rsidRPr="00A43B9C">
        <w:rPr>
          <w:rFonts w:ascii="Times New Roman" w:hAnsi="Times New Roman" w:cs="Times New Roman"/>
          <w:sz w:val="28"/>
          <w:szCs w:val="28"/>
        </w:rPr>
        <w:t>)</w:t>
      </w:r>
      <w:r w:rsidRPr="00A43B9C">
        <w:rPr>
          <w:rFonts w:ascii="Times New Roman" w:hAnsi="Times New Roman" w:cs="Times New Roman"/>
          <w:sz w:val="28"/>
          <w:szCs w:val="28"/>
        </w:rPr>
        <w:t>.</w:t>
      </w:r>
    </w:p>
    <w:p w14:paraId="26671A9C" w14:textId="77777777" w:rsidR="00C81AE7" w:rsidRPr="00A43B9C" w:rsidRDefault="00C81AE7" w:rsidP="00C81AE7">
      <w:pPr>
        <w:spacing w:after="0" w:line="240" w:lineRule="auto"/>
        <w:rPr>
          <w:rFonts w:ascii="Times New Roman" w:hAnsi="Times New Roman" w:cs="Times New Roman"/>
          <w:sz w:val="28"/>
          <w:szCs w:val="28"/>
        </w:rPr>
      </w:pPr>
    </w:p>
    <w:p w14:paraId="5C74A611" w14:textId="77777777"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79552E06" wp14:editId="2AF9E065">
            <wp:extent cx="3685243" cy="2268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50.png"/>
                    <pic:cNvPicPr/>
                  </pic:nvPicPr>
                  <pic:blipFill>
                    <a:blip r:embed="rId163"/>
                    <a:stretch>
                      <a:fillRect/>
                    </a:stretch>
                  </pic:blipFill>
                  <pic:spPr>
                    <a:xfrm>
                      <a:off x="0" y="0"/>
                      <a:ext cx="3685243" cy="2268000"/>
                    </a:xfrm>
                    <a:prstGeom prst="rect">
                      <a:avLst/>
                    </a:prstGeom>
                  </pic:spPr>
                </pic:pic>
              </a:graphicData>
            </a:graphic>
          </wp:inline>
        </w:drawing>
      </w:r>
    </w:p>
    <w:p w14:paraId="0213BA63" w14:textId="45FFA11A"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2</w:t>
      </w:r>
      <w:r w:rsidR="00006C4D">
        <w:rPr>
          <w:rFonts w:ascii="Times New Roman" w:hAnsi="Times New Roman" w:cs="Times New Roman"/>
          <w:sz w:val="28"/>
          <w:szCs w:val="28"/>
        </w:rPr>
        <w:t>9</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ROC-кривая, характеризующая зависимость вероятности </w:t>
      </w:r>
      <w:r w:rsidR="00777C9A">
        <w:rPr>
          <w:rFonts w:ascii="Times New Roman" w:hAnsi="Times New Roman" w:cs="Times New Roman"/>
          <w:sz w:val="28"/>
          <w:szCs w:val="28"/>
          <w:lang w:val="en-US"/>
        </w:rPr>
        <w:t>p</w:t>
      </w:r>
      <w:r w:rsidR="001C40D1" w:rsidRPr="00A43B9C">
        <w:rPr>
          <w:rFonts w:ascii="Times New Roman" w:hAnsi="Times New Roman" w:cs="Times New Roman"/>
          <w:sz w:val="28"/>
          <w:szCs w:val="28"/>
          <w:lang w:val="en-US"/>
        </w:rPr>
        <w:t>LM</w:t>
      </w:r>
      <w:r w:rsidRPr="00A43B9C">
        <w:rPr>
          <w:rFonts w:ascii="Times New Roman" w:hAnsi="Times New Roman" w:cs="Times New Roman"/>
          <w:sz w:val="28"/>
          <w:szCs w:val="28"/>
        </w:rPr>
        <w:t xml:space="preserve"> от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RLI</w:t>
      </w:r>
    </w:p>
    <w:p w14:paraId="49E22422" w14:textId="77777777" w:rsidR="00C81AE7" w:rsidRPr="00A43B9C" w:rsidRDefault="00C81AE7" w:rsidP="00C81AE7">
      <w:pPr>
        <w:spacing w:after="0" w:line="240" w:lineRule="auto"/>
        <w:rPr>
          <w:rFonts w:ascii="Times New Roman" w:hAnsi="Times New Roman" w:cs="Times New Roman"/>
          <w:sz w:val="28"/>
          <w:szCs w:val="28"/>
        </w:rPr>
      </w:pPr>
    </w:p>
    <w:p w14:paraId="039100BA" w14:textId="77777777" w:rsidR="00C81AE7" w:rsidRPr="00A43B9C" w:rsidRDefault="00C81AE7" w:rsidP="00C81AE7">
      <w:pPr>
        <w:spacing w:after="0" w:line="240" w:lineRule="auto"/>
        <w:jc w:val="center"/>
        <w:rPr>
          <w:rFonts w:ascii="Times New Roman" w:hAnsi="Times New Roman" w:cs="Times New Roman"/>
          <w:sz w:val="28"/>
          <w:szCs w:val="28"/>
        </w:rPr>
      </w:pPr>
      <w:r w:rsidRPr="00A43B9C">
        <w:rPr>
          <w:noProof/>
        </w:rPr>
        <w:drawing>
          <wp:inline distT="0" distB="0" distL="0" distR="0" wp14:anchorId="772078FC" wp14:editId="6EBEE9B7">
            <wp:extent cx="4968588" cy="2268000"/>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24.png"/>
                    <pic:cNvPicPr/>
                  </pic:nvPicPr>
                  <pic:blipFill>
                    <a:blip r:embed="rId164"/>
                    <a:stretch>
                      <a:fillRect/>
                    </a:stretch>
                  </pic:blipFill>
                  <pic:spPr>
                    <a:xfrm>
                      <a:off x="0" y="0"/>
                      <a:ext cx="4968588" cy="2268000"/>
                    </a:xfrm>
                    <a:prstGeom prst="rect">
                      <a:avLst/>
                    </a:prstGeom>
                  </pic:spPr>
                </pic:pic>
              </a:graphicData>
            </a:graphic>
          </wp:inline>
        </w:drawing>
      </w:r>
    </w:p>
    <w:p w14:paraId="6CD597EA" w14:textId="52D953FB"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 xml:space="preserve">Рисунок </w:t>
      </w:r>
      <w:r w:rsidR="00006C4D">
        <w:rPr>
          <w:rFonts w:ascii="Times New Roman" w:hAnsi="Times New Roman" w:cs="Times New Roman"/>
          <w:sz w:val="28"/>
          <w:szCs w:val="28"/>
        </w:rPr>
        <w:t>30</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чувствительности и специфичности модели в зависимости от пороговых значений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RLI</w:t>
      </w:r>
    </w:p>
    <w:p w14:paraId="5931DCA0" w14:textId="7C34E3C9" w:rsidR="00E45A02" w:rsidRDefault="00E45A02" w:rsidP="00E45A02">
      <w:pPr>
        <w:spacing w:after="0" w:line="240" w:lineRule="auto"/>
        <w:rPr>
          <w:rFonts w:ascii="Times New Roman" w:hAnsi="Times New Roman" w:cs="Times New Roman"/>
          <w:sz w:val="28"/>
          <w:szCs w:val="28"/>
        </w:rPr>
      </w:pPr>
      <w:r>
        <w:rPr>
          <w:rFonts w:ascii="Times New Roman" w:hAnsi="Times New Roman" w:cs="Times New Roman"/>
          <w:sz w:val="28"/>
          <w:szCs w:val="28"/>
        </w:rPr>
        <w:br w:type="page"/>
      </w:r>
    </w:p>
    <w:p w14:paraId="68E9C043" w14:textId="400C839D" w:rsidR="00C81AE7"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lastRenderedPageBreak/>
        <w:t>Таблица 21 -</w:t>
      </w:r>
      <w:r w:rsidR="00C81AE7" w:rsidRPr="00A43B9C">
        <w:rPr>
          <w:rFonts w:ascii="Times New Roman" w:hAnsi="Times New Roman" w:cs="Times New Roman"/>
          <w:sz w:val="28"/>
          <w:szCs w:val="28"/>
        </w:rPr>
        <w:t xml:space="preserve"> Пороговые значения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00C81AE7" w:rsidRPr="00A43B9C">
        <w:rPr>
          <w:rFonts w:ascii="Times New Roman" w:hAnsi="Times New Roman" w:cs="Times New Roman"/>
          <w:sz w:val="28"/>
          <w:szCs w:val="28"/>
          <w:lang w:val="en-US"/>
        </w:rPr>
        <w:t>SUV</w:t>
      </w:r>
      <w:r w:rsidR="00C81AE7" w:rsidRPr="00A43B9C">
        <w:rPr>
          <w:rFonts w:ascii="Times New Roman" w:hAnsi="Times New Roman" w:cs="Times New Roman"/>
          <w:sz w:val="28"/>
          <w:szCs w:val="28"/>
          <w:vertAlign w:val="subscript"/>
          <w:lang w:val="en-US"/>
        </w:rPr>
        <w:t>max</w:t>
      </w:r>
      <w:r w:rsidR="00C81AE7"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00C81AE7" w:rsidRPr="00A43B9C">
        <w:rPr>
          <w:rFonts w:ascii="Times New Roman" w:hAnsi="Times New Roman" w:cs="Times New Roman"/>
          <w:sz w:val="28"/>
          <w:szCs w:val="28"/>
        </w:rPr>
        <w:t>RLI</w:t>
      </w:r>
    </w:p>
    <w:p w14:paraId="44D78EEC"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0" w:type="auto"/>
        <w:jc w:val="center"/>
        <w:tblLook w:val="04A0" w:firstRow="1" w:lastRow="0" w:firstColumn="1" w:lastColumn="0" w:noHBand="0" w:noVBand="1"/>
      </w:tblPr>
      <w:tblGrid>
        <w:gridCol w:w="1789"/>
        <w:gridCol w:w="2069"/>
        <w:gridCol w:w="1967"/>
        <w:gridCol w:w="1756"/>
        <w:gridCol w:w="1763"/>
      </w:tblGrid>
      <w:tr w:rsidR="00C81AE7" w:rsidRPr="00A43B9C" w14:paraId="524577FC" w14:textId="77777777" w:rsidTr="00446A37">
        <w:trPr>
          <w:jc w:val="center"/>
        </w:trPr>
        <w:tc>
          <w:tcPr>
            <w:tcW w:w="1790" w:type="dxa"/>
            <w:vAlign w:val="center"/>
          </w:tcPr>
          <w:p w14:paraId="6A81B7E2" w14:textId="5B015F28"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Порог</w:t>
            </w:r>
            <w:r w:rsidR="008A143D" w:rsidRPr="00A43B9C">
              <w:rPr>
                <w:rFonts w:ascii="Times New Roman" w:hAnsi="Times New Roman" w:cs="Times New Roman"/>
                <w:sz w:val="28"/>
                <w:szCs w:val="28"/>
              </w:rPr>
              <w:t>овое значение</w:t>
            </w:r>
          </w:p>
        </w:tc>
        <w:tc>
          <w:tcPr>
            <w:tcW w:w="2069" w:type="dxa"/>
            <w:vAlign w:val="center"/>
          </w:tcPr>
          <w:p w14:paraId="0D784860" w14:textId="6F6A7833"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Se, %</w:t>
            </w:r>
          </w:p>
        </w:tc>
        <w:tc>
          <w:tcPr>
            <w:tcW w:w="1967" w:type="dxa"/>
            <w:vAlign w:val="center"/>
          </w:tcPr>
          <w:p w14:paraId="5A7D343C" w14:textId="1D53792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Sp, %</w:t>
            </w:r>
          </w:p>
        </w:tc>
        <w:tc>
          <w:tcPr>
            <w:tcW w:w="1756" w:type="dxa"/>
            <w:vAlign w:val="center"/>
          </w:tcPr>
          <w:p w14:paraId="1049C5D4" w14:textId="5574D5F8"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PPV</w:t>
            </w:r>
            <w:r w:rsidR="003E57FA" w:rsidRPr="00A43B9C">
              <w:rPr>
                <w:rFonts w:ascii="Times New Roman" w:hAnsi="Times New Roman" w:cs="Times New Roman"/>
                <w:sz w:val="28"/>
                <w:szCs w:val="28"/>
                <w:lang w:val="en-US"/>
              </w:rPr>
              <w:t>, %</w:t>
            </w:r>
          </w:p>
        </w:tc>
        <w:tc>
          <w:tcPr>
            <w:tcW w:w="1763" w:type="dxa"/>
            <w:vAlign w:val="center"/>
          </w:tcPr>
          <w:p w14:paraId="79371C4C" w14:textId="7E416D19"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NPV</w:t>
            </w:r>
            <w:r w:rsidR="003E57FA" w:rsidRPr="00A43B9C">
              <w:rPr>
                <w:rFonts w:ascii="Times New Roman" w:hAnsi="Times New Roman" w:cs="Times New Roman"/>
                <w:sz w:val="28"/>
                <w:szCs w:val="28"/>
                <w:lang w:val="en-US"/>
              </w:rPr>
              <w:t>, %</w:t>
            </w:r>
          </w:p>
        </w:tc>
      </w:tr>
      <w:tr w:rsidR="00C81AE7" w:rsidRPr="00A43B9C" w14:paraId="1526A56D" w14:textId="77777777" w:rsidTr="00446A37">
        <w:trPr>
          <w:jc w:val="center"/>
        </w:trPr>
        <w:tc>
          <w:tcPr>
            <w:tcW w:w="1790" w:type="dxa"/>
            <w:vAlign w:val="center"/>
          </w:tcPr>
          <w:p w14:paraId="4E18D96F"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0,89</w:t>
            </w:r>
          </w:p>
        </w:tc>
        <w:tc>
          <w:tcPr>
            <w:tcW w:w="2069" w:type="dxa"/>
            <w:vAlign w:val="center"/>
          </w:tcPr>
          <w:p w14:paraId="2A5A5DD4"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71,4</w:t>
            </w:r>
          </w:p>
        </w:tc>
        <w:tc>
          <w:tcPr>
            <w:tcW w:w="1967" w:type="dxa"/>
            <w:vAlign w:val="center"/>
          </w:tcPr>
          <w:p w14:paraId="67CE5412"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52,0</w:t>
            </w:r>
          </w:p>
        </w:tc>
        <w:tc>
          <w:tcPr>
            <w:tcW w:w="1756" w:type="dxa"/>
            <w:vAlign w:val="center"/>
          </w:tcPr>
          <w:p w14:paraId="717C305F"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62,5</w:t>
            </w:r>
          </w:p>
        </w:tc>
        <w:tc>
          <w:tcPr>
            <w:tcW w:w="1763" w:type="dxa"/>
            <w:vAlign w:val="center"/>
          </w:tcPr>
          <w:p w14:paraId="445893B0"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61,9</w:t>
            </w:r>
          </w:p>
        </w:tc>
      </w:tr>
      <w:tr w:rsidR="00C81AE7" w:rsidRPr="00A43B9C" w14:paraId="0D166D8E" w14:textId="77777777" w:rsidTr="00446A37">
        <w:trPr>
          <w:jc w:val="center"/>
        </w:trPr>
        <w:tc>
          <w:tcPr>
            <w:tcW w:w="1790" w:type="dxa"/>
            <w:vAlign w:val="center"/>
          </w:tcPr>
          <w:p w14:paraId="06A4FBF3"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0,87</w:t>
            </w:r>
          </w:p>
        </w:tc>
        <w:tc>
          <w:tcPr>
            <w:tcW w:w="2069" w:type="dxa"/>
            <w:vAlign w:val="center"/>
          </w:tcPr>
          <w:p w14:paraId="02625958"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67,9</w:t>
            </w:r>
          </w:p>
        </w:tc>
        <w:tc>
          <w:tcPr>
            <w:tcW w:w="1967" w:type="dxa"/>
            <w:vAlign w:val="center"/>
          </w:tcPr>
          <w:p w14:paraId="120A4410"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56,0</w:t>
            </w:r>
          </w:p>
        </w:tc>
        <w:tc>
          <w:tcPr>
            <w:tcW w:w="1756" w:type="dxa"/>
            <w:vAlign w:val="center"/>
          </w:tcPr>
          <w:p w14:paraId="2EE1CB0B"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63,3</w:t>
            </w:r>
          </w:p>
        </w:tc>
        <w:tc>
          <w:tcPr>
            <w:tcW w:w="1763" w:type="dxa"/>
            <w:vAlign w:val="center"/>
          </w:tcPr>
          <w:p w14:paraId="27373C70"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60,9</w:t>
            </w:r>
          </w:p>
        </w:tc>
      </w:tr>
      <w:tr w:rsidR="00C81AE7" w:rsidRPr="00A43B9C" w14:paraId="6CE6C16B" w14:textId="77777777" w:rsidTr="00446A37">
        <w:trPr>
          <w:jc w:val="center"/>
        </w:trPr>
        <w:tc>
          <w:tcPr>
            <w:tcW w:w="1790" w:type="dxa"/>
            <w:vAlign w:val="center"/>
          </w:tcPr>
          <w:p w14:paraId="3075A466" w14:textId="77777777" w:rsidR="00C81AE7" w:rsidRPr="00452443" w:rsidRDefault="00C81AE7" w:rsidP="00446A37">
            <w:pPr>
              <w:spacing w:after="0" w:line="240" w:lineRule="auto"/>
              <w:jc w:val="center"/>
              <w:rPr>
                <w:rFonts w:ascii="Times New Roman" w:hAnsi="Times New Roman" w:cs="Times New Roman"/>
                <w:bCs/>
                <w:sz w:val="28"/>
                <w:szCs w:val="28"/>
              </w:rPr>
            </w:pPr>
            <w:r w:rsidRPr="00452443">
              <w:rPr>
                <w:rFonts w:ascii="Times New Roman" w:hAnsi="Times New Roman" w:cs="Times New Roman"/>
                <w:bCs/>
                <w:sz w:val="28"/>
                <w:szCs w:val="28"/>
              </w:rPr>
              <w:t>0,85</w:t>
            </w:r>
          </w:p>
        </w:tc>
        <w:tc>
          <w:tcPr>
            <w:tcW w:w="2069" w:type="dxa"/>
            <w:vAlign w:val="center"/>
          </w:tcPr>
          <w:p w14:paraId="2C309F4B" w14:textId="77777777" w:rsidR="00C81AE7" w:rsidRPr="00452443" w:rsidRDefault="00C81AE7" w:rsidP="00446A37">
            <w:pPr>
              <w:spacing w:after="0" w:line="240" w:lineRule="auto"/>
              <w:jc w:val="center"/>
              <w:rPr>
                <w:rFonts w:ascii="Times New Roman" w:hAnsi="Times New Roman" w:cs="Times New Roman"/>
                <w:bCs/>
                <w:sz w:val="28"/>
                <w:szCs w:val="28"/>
              </w:rPr>
            </w:pPr>
            <w:r w:rsidRPr="00452443">
              <w:rPr>
                <w:rFonts w:ascii="Times New Roman" w:hAnsi="Times New Roman" w:cs="Times New Roman"/>
                <w:bCs/>
                <w:sz w:val="28"/>
                <w:szCs w:val="28"/>
              </w:rPr>
              <w:t>60,7</w:t>
            </w:r>
          </w:p>
        </w:tc>
        <w:tc>
          <w:tcPr>
            <w:tcW w:w="1967" w:type="dxa"/>
            <w:vAlign w:val="center"/>
          </w:tcPr>
          <w:p w14:paraId="605BC999" w14:textId="77777777" w:rsidR="00C81AE7" w:rsidRPr="00452443" w:rsidRDefault="00C81AE7" w:rsidP="00446A37">
            <w:pPr>
              <w:spacing w:after="0" w:line="240" w:lineRule="auto"/>
              <w:jc w:val="center"/>
              <w:rPr>
                <w:rFonts w:ascii="Times New Roman" w:hAnsi="Times New Roman" w:cs="Times New Roman"/>
                <w:bCs/>
                <w:sz w:val="28"/>
                <w:szCs w:val="28"/>
              </w:rPr>
            </w:pPr>
            <w:r w:rsidRPr="00452443">
              <w:rPr>
                <w:rFonts w:ascii="Times New Roman" w:hAnsi="Times New Roman" w:cs="Times New Roman"/>
                <w:bCs/>
                <w:sz w:val="28"/>
                <w:szCs w:val="28"/>
              </w:rPr>
              <w:t>60,0</w:t>
            </w:r>
          </w:p>
        </w:tc>
        <w:tc>
          <w:tcPr>
            <w:tcW w:w="1756" w:type="dxa"/>
            <w:vAlign w:val="center"/>
          </w:tcPr>
          <w:p w14:paraId="3C51EC1E" w14:textId="77777777" w:rsidR="00C81AE7" w:rsidRPr="00452443" w:rsidRDefault="00C81AE7" w:rsidP="00446A37">
            <w:pPr>
              <w:spacing w:after="0" w:line="240" w:lineRule="auto"/>
              <w:jc w:val="center"/>
              <w:rPr>
                <w:rFonts w:ascii="Times New Roman" w:hAnsi="Times New Roman" w:cs="Times New Roman"/>
                <w:bCs/>
                <w:sz w:val="28"/>
                <w:szCs w:val="28"/>
              </w:rPr>
            </w:pPr>
            <w:r w:rsidRPr="00452443">
              <w:rPr>
                <w:rFonts w:ascii="Times New Roman" w:hAnsi="Times New Roman" w:cs="Times New Roman"/>
                <w:bCs/>
                <w:sz w:val="28"/>
                <w:szCs w:val="28"/>
              </w:rPr>
              <w:t>63,0</w:t>
            </w:r>
          </w:p>
        </w:tc>
        <w:tc>
          <w:tcPr>
            <w:tcW w:w="1763" w:type="dxa"/>
            <w:vAlign w:val="center"/>
          </w:tcPr>
          <w:p w14:paraId="2DDC0634" w14:textId="77777777" w:rsidR="00C81AE7" w:rsidRPr="00452443" w:rsidRDefault="00C81AE7" w:rsidP="00446A37">
            <w:pPr>
              <w:spacing w:after="0" w:line="240" w:lineRule="auto"/>
              <w:jc w:val="center"/>
              <w:rPr>
                <w:rFonts w:ascii="Times New Roman" w:hAnsi="Times New Roman" w:cs="Times New Roman"/>
                <w:bCs/>
                <w:sz w:val="28"/>
                <w:szCs w:val="28"/>
              </w:rPr>
            </w:pPr>
            <w:r w:rsidRPr="00452443">
              <w:rPr>
                <w:rFonts w:ascii="Times New Roman" w:hAnsi="Times New Roman" w:cs="Times New Roman"/>
                <w:bCs/>
                <w:sz w:val="28"/>
                <w:szCs w:val="28"/>
              </w:rPr>
              <w:t>57,7</w:t>
            </w:r>
          </w:p>
        </w:tc>
      </w:tr>
      <w:tr w:rsidR="00C81AE7" w:rsidRPr="00A43B9C" w14:paraId="52F05066" w14:textId="77777777" w:rsidTr="00446A37">
        <w:trPr>
          <w:jc w:val="center"/>
        </w:trPr>
        <w:tc>
          <w:tcPr>
            <w:tcW w:w="1790" w:type="dxa"/>
            <w:vAlign w:val="center"/>
          </w:tcPr>
          <w:p w14:paraId="6B971F7A"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0,83</w:t>
            </w:r>
          </w:p>
        </w:tc>
        <w:tc>
          <w:tcPr>
            <w:tcW w:w="2069" w:type="dxa"/>
            <w:vAlign w:val="center"/>
          </w:tcPr>
          <w:p w14:paraId="1F9F8408"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57,1</w:t>
            </w:r>
          </w:p>
        </w:tc>
        <w:tc>
          <w:tcPr>
            <w:tcW w:w="1967" w:type="dxa"/>
            <w:vAlign w:val="center"/>
          </w:tcPr>
          <w:p w14:paraId="4598F25C"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60,0</w:t>
            </w:r>
          </w:p>
        </w:tc>
        <w:tc>
          <w:tcPr>
            <w:tcW w:w="1756" w:type="dxa"/>
            <w:vAlign w:val="center"/>
          </w:tcPr>
          <w:p w14:paraId="179689E4"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61,5</w:t>
            </w:r>
          </w:p>
        </w:tc>
        <w:tc>
          <w:tcPr>
            <w:tcW w:w="1763" w:type="dxa"/>
            <w:vAlign w:val="center"/>
          </w:tcPr>
          <w:p w14:paraId="0534BAD6"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55,6</w:t>
            </w:r>
          </w:p>
        </w:tc>
      </w:tr>
      <w:tr w:rsidR="00C81AE7" w:rsidRPr="00A43B9C" w14:paraId="3BE0BEBC" w14:textId="77777777" w:rsidTr="00446A37">
        <w:trPr>
          <w:jc w:val="center"/>
        </w:trPr>
        <w:tc>
          <w:tcPr>
            <w:tcW w:w="1790" w:type="dxa"/>
            <w:vAlign w:val="center"/>
          </w:tcPr>
          <w:p w14:paraId="68493CC8"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0,82</w:t>
            </w:r>
          </w:p>
        </w:tc>
        <w:tc>
          <w:tcPr>
            <w:tcW w:w="2069" w:type="dxa"/>
            <w:vAlign w:val="center"/>
          </w:tcPr>
          <w:p w14:paraId="5CADBBCA"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53,6</w:t>
            </w:r>
          </w:p>
        </w:tc>
        <w:tc>
          <w:tcPr>
            <w:tcW w:w="1967" w:type="dxa"/>
            <w:vAlign w:val="center"/>
          </w:tcPr>
          <w:p w14:paraId="100A2D3F"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64,0</w:t>
            </w:r>
          </w:p>
        </w:tc>
        <w:tc>
          <w:tcPr>
            <w:tcW w:w="1756" w:type="dxa"/>
            <w:vAlign w:val="center"/>
          </w:tcPr>
          <w:p w14:paraId="71767CD6"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62,5</w:t>
            </w:r>
          </w:p>
        </w:tc>
        <w:tc>
          <w:tcPr>
            <w:tcW w:w="1763" w:type="dxa"/>
            <w:vAlign w:val="center"/>
          </w:tcPr>
          <w:p w14:paraId="69A00B5C"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55,2</w:t>
            </w:r>
          </w:p>
        </w:tc>
      </w:tr>
      <w:tr w:rsidR="00C81AE7" w:rsidRPr="00A43B9C" w14:paraId="6C358BA1" w14:textId="77777777" w:rsidTr="00446A37">
        <w:trPr>
          <w:jc w:val="center"/>
        </w:trPr>
        <w:tc>
          <w:tcPr>
            <w:tcW w:w="1790" w:type="dxa"/>
            <w:vAlign w:val="center"/>
          </w:tcPr>
          <w:p w14:paraId="380204DE"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0,81</w:t>
            </w:r>
          </w:p>
        </w:tc>
        <w:tc>
          <w:tcPr>
            <w:tcW w:w="2069" w:type="dxa"/>
            <w:vAlign w:val="center"/>
          </w:tcPr>
          <w:p w14:paraId="408198EE"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53,6</w:t>
            </w:r>
          </w:p>
        </w:tc>
        <w:tc>
          <w:tcPr>
            <w:tcW w:w="1967" w:type="dxa"/>
            <w:vAlign w:val="center"/>
          </w:tcPr>
          <w:p w14:paraId="46D4CBF6"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68,0</w:t>
            </w:r>
          </w:p>
        </w:tc>
        <w:tc>
          <w:tcPr>
            <w:tcW w:w="1756" w:type="dxa"/>
            <w:vAlign w:val="center"/>
          </w:tcPr>
          <w:p w14:paraId="6CA16C9D"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65,2</w:t>
            </w:r>
          </w:p>
        </w:tc>
        <w:tc>
          <w:tcPr>
            <w:tcW w:w="1763" w:type="dxa"/>
            <w:vAlign w:val="center"/>
          </w:tcPr>
          <w:p w14:paraId="07D0B17C"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56,7</w:t>
            </w:r>
          </w:p>
        </w:tc>
      </w:tr>
    </w:tbl>
    <w:p w14:paraId="5D3A986C" w14:textId="77777777" w:rsidR="00C81AE7" w:rsidRPr="00A43B9C" w:rsidRDefault="00C81AE7" w:rsidP="00C81AE7">
      <w:pPr>
        <w:spacing w:after="0" w:line="240" w:lineRule="auto"/>
        <w:rPr>
          <w:rFonts w:ascii="Times New Roman" w:hAnsi="Times New Roman" w:cs="Times New Roman"/>
          <w:sz w:val="28"/>
          <w:szCs w:val="28"/>
        </w:rPr>
      </w:pPr>
    </w:p>
    <w:p w14:paraId="22283C32" w14:textId="047E7F95" w:rsidR="00C81AE7" w:rsidRPr="00A43B9C" w:rsidRDefault="00C81AE7" w:rsidP="00C81AE7">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Площадь под ROC-кривой составила 0,649 </w:t>
      </w:r>
      <w:r w:rsidR="008A143D" w:rsidRPr="00A43B9C">
        <w:rPr>
          <w:rFonts w:ascii="Times New Roman" w:hAnsi="Times New Roman" w:cs="Times New Roman"/>
          <w:sz w:val="28"/>
          <w:szCs w:val="28"/>
        </w:rPr>
        <w:t>(</w:t>
      </w:r>
      <w:r w:rsidRPr="00A43B9C">
        <w:rPr>
          <w:rFonts w:ascii="Times New Roman" w:hAnsi="Times New Roman" w:cs="Times New Roman"/>
          <w:sz w:val="28"/>
          <w:szCs w:val="28"/>
        </w:rPr>
        <w:t>95% ДИ 0,500 – 0,799</w:t>
      </w:r>
      <w:r w:rsidR="008A143D" w:rsidRPr="00A43B9C">
        <w:rPr>
          <w:rFonts w:ascii="Times New Roman" w:hAnsi="Times New Roman" w:cs="Times New Roman"/>
          <w:sz w:val="28"/>
          <w:szCs w:val="28"/>
        </w:rPr>
        <w:t>)</w:t>
      </w:r>
      <w:r w:rsidRPr="00A43B9C">
        <w:rPr>
          <w:rFonts w:ascii="Times New Roman" w:hAnsi="Times New Roman" w:cs="Times New Roman"/>
          <w:sz w:val="28"/>
          <w:szCs w:val="28"/>
        </w:rPr>
        <w:t>. Полученная модель не была статистически значимой (p = 0,063).</w:t>
      </w:r>
      <w:r w:rsidR="008A143D"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Пороговое значение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RLI в точке </w:t>
      </w:r>
      <w:r w:rsidR="008A143D" w:rsidRPr="00A43B9C">
        <w:rPr>
          <w:rFonts w:ascii="Times New Roman" w:hAnsi="Times New Roman" w:cs="Times New Roman"/>
          <w:sz w:val="28"/>
          <w:szCs w:val="28"/>
        </w:rPr>
        <w:t>отсечения</w:t>
      </w:r>
      <w:r w:rsidRPr="00A43B9C">
        <w:rPr>
          <w:rFonts w:ascii="Times New Roman" w:hAnsi="Times New Roman" w:cs="Times New Roman"/>
          <w:sz w:val="28"/>
          <w:szCs w:val="28"/>
        </w:rPr>
        <w:t>, которому соответствовало наивысшее значение индекса Юдена, составило 0,85</w:t>
      </w:r>
      <w:r w:rsidR="00F31735" w:rsidRPr="00A43B9C">
        <w:rPr>
          <w:rFonts w:ascii="Times New Roman" w:hAnsi="Times New Roman" w:cs="Times New Roman"/>
          <w:sz w:val="28"/>
          <w:szCs w:val="28"/>
        </w:rPr>
        <w:t xml:space="preserve"> (рисунок </w:t>
      </w:r>
      <w:r w:rsidR="00006C4D">
        <w:rPr>
          <w:rFonts w:ascii="Times New Roman" w:hAnsi="Times New Roman" w:cs="Times New Roman"/>
          <w:sz w:val="28"/>
          <w:szCs w:val="28"/>
        </w:rPr>
        <w:t>30</w:t>
      </w:r>
      <w:r w:rsidR="00F31735" w:rsidRPr="00A43B9C">
        <w:rPr>
          <w:rFonts w:ascii="Times New Roman" w:hAnsi="Times New Roman" w:cs="Times New Roman"/>
          <w:sz w:val="28"/>
          <w:szCs w:val="28"/>
        </w:rPr>
        <w:t>)</w:t>
      </w:r>
      <w:r w:rsidRPr="00A43B9C">
        <w:rPr>
          <w:rFonts w:ascii="Times New Roman" w:hAnsi="Times New Roman" w:cs="Times New Roman"/>
          <w:sz w:val="28"/>
          <w:szCs w:val="28"/>
        </w:rPr>
        <w:t xml:space="preserve">. Наличие </w:t>
      </w:r>
      <w:r w:rsidR="001C40D1" w:rsidRPr="00A43B9C">
        <w:rPr>
          <w:rFonts w:ascii="Times New Roman" w:eastAsia="Times New Roman" w:hAnsi="Times New Roman" w:cs="Times New Roman"/>
          <w:sz w:val="28"/>
          <w:szCs w:val="28"/>
          <w:lang w:val="en-US" w:eastAsia="ru-RU"/>
        </w:rPr>
        <w:t>pLM</w:t>
      </w:r>
      <w:r w:rsidR="003B07F1"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прогнозировалось при значении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накопления в </w:t>
      </w:r>
      <w:r w:rsidR="008A143D"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RLI ниже данной величины или равном ей. Чувствительность и специфичность модели составили 60,7% и 60,0%, </w:t>
      </w:r>
      <w:r w:rsidR="00F31735" w:rsidRPr="00A43B9C">
        <w:rPr>
          <w:rFonts w:ascii="Times New Roman" w:hAnsi="Times New Roman" w:cs="Times New Roman"/>
          <w:sz w:val="28"/>
          <w:szCs w:val="28"/>
        </w:rPr>
        <w:t xml:space="preserve">а </w:t>
      </w:r>
      <w:r w:rsidR="00F31735" w:rsidRPr="00A43B9C">
        <w:rPr>
          <w:rFonts w:ascii="Times New Roman" w:hAnsi="Times New Roman" w:cs="Times New Roman"/>
          <w:sz w:val="28"/>
          <w:szCs w:val="28"/>
          <w:lang w:val="en-US"/>
        </w:rPr>
        <w:t>PPV</w:t>
      </w:r>
      <w:r w:rsidR="00F31735" w:rsidRPr="00A43B9C">
        <w:rPr>
          <w:rFonts w:ascii="Times New Roman" w:hAnsi="Times New Roman" w:cs="Times New Roman"/>
          <w:sz w:val="28"/>
          <w:szCs w:val="28"/>
        </w:rPr>
        <w:t xml:space="preserve"> и </w:t>
      </w:r>
      <w:r w:rsidR="00F31735" w:rsidRPr="00A43B9C">
        <w:rPr>
          <w:rFonts w:ascii="Times New Roman" w:hAnsi="Times New Roman" w:cs="Times New Roman"/>
          <w:sz w:val="28"/>
          <w:szCs w:val="28"/>
          <w:lang w:val="en-US"/>
        </w:rPr>
        <w:t>NPV</w:t>
      </w:r>
      <w:r w:rsidR="00F31735" w:rsidRPr="00A43B9C">
        <w:rPr>
          <w:rFonts w:ascii="Times New Roman" w:hAnsi="Times New Roman" w:cs="Times New Roman"/>
          <w:sz w:val="28"/>
          <w:szCs w:val="28"/>
        </w:rPr>
        <w:t xml:space="preserve"> составили 63,0% и 57,7% соответственно (таблица 21)</w:t>
      </w:r>
      <w:r w:rsidRPr="00A43B9C">
        <w:rPr>
          <w:rFonts w:ascii="Times New Roman" w:hAnsi="Times New Roman" w:cs="Times New Roman"/>
          <w:sz w:val="28"/>
          <w:szCs w:val="28"/>
        </w:rPr>
        <w:t>.</w:t>
      </w:r>
    </w:p>
    <w:p w14:paraId="7C9A122B" w14:textId="77777777" w:rsidR="00C81AE7" w:rsidRPr="00A43B9C" w:rsidRDefault="00C81AE7" w:rsidP="00C81AE7">
      <w:pPr>
        <w:spacing w:after="0" w:line="240" w:lineRule="auto"/>
        <w:rPr>
          <w:rFonts w:ascii="Times New Roman" w:hAnsi="Times New Roman" w:cs="Times New Roman"/>
          <w:sz w:val="28"/>
          <w:szCs w:val="28"/>
        </w:rPr>
      </w:pPr>
    </w:p>
    <w:p w14:paraId="3DB7EAD1" w14:textId="5716014E" w:rsidR="00C81AE7" w:rsidRPr="00A43B9C" w:rsidRDefault="00C81AE7" w:rsidP="00C81AE7">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При оценке зависимости вероятности </w:t>
      </w:r>
      <w:r w:rsidR="001C40D1" w:rsidRPr="00A43B9C">
        <w:rPr>
          <w:rFonts w:ascii="Times New Roman" w:eastAsia="Times New Roman" w:hAnsi="Times New Roman" w:cs="Times New Roman"/>
          <w:sz w:val="28"/>
          <w:szCs w:val="28"/>
          <w:lang w:val="en-US" w:eastAsia="ru-RU"/>
        </w:rPr>
        <w:t>LM</w:t>
      </w:r>
      <w:r w:rsidR="003B07F1"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в </w:t>
      </w:r>
      <w:r w:rsidR="008A143D"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P с помощью ROC-анализа была получена следующая кривая</w:t>
      </w:r>
      <w:r w:rsidR="00F31735" w:rsidRPr="00A43B9C">
        <w:rPr>
          <w:rFonts w:ascii="Times New Roman" w:hAnsi="Times New Roman" w:cs="Times New Roman"/>
          <w:sz w:val="28"/>
          <w:szCs w:val="28"/>
        </w:rPr>
        <w:t xml:space="preserve"> (рисунок </w:t>
      </w:r>
      <w:r w:rsidR="00B164B5" w:rsidRPr="00A43B9C">
        <w:rPr>
          <w:rFonts w:ascii="Times New Roman" w:hAnsi="Times New Roman" w:cs="Times New Roman"/>
          <w:sz w:val="28"/>
          <w:szCs w:val="28"/>
        </w:rPr>
        <w:t>3</w:t>
      </w:r>
      <w:r w:rsidR="00006C4D">
        <w:rPr>
          <w:rFonts w:ascii="Times New Roman" w:hAnsi="Times New Roman" w:cs="Times New Roman"/>
          <w:sz w:val="28"/>
          <w:szCs w:val="28"/>
        </w:rPr>
        <w:t>1</w:t>
      </w:r>
      <w:r w:rsidR="00F31735" w:rsidRPr="00A43B9C">
        <w:rPr>
          <w:rFonts w:ascii="Times New Roman" w:hAnsi="Times New Roman" w:cs="Times New Roman"/>
          <w:sz w:val="28"/>
          <w:szCs w:val="28"/>
        </w:rPr>
        <w:t>)</w:t>
      </w:r>
      <w:r w:rsidRPr="00A43B9C">
        <w:rPr>
          <w:rFonts w:ascii="Times New Roman" w:hAnsi="Times New Roman" w:cs="Times New Roman"/>
          <w:sz w:val="28"/>
          <w:szCs w:val="28"/>
        </w:rPr>
        <w:t>.</w:t>
      </w:r>
    </w:p>
    <w:p w14:paraId="5931275C" w14:textId="77777777"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0DB41129" wp14:editId="346F47D7">
            <wp:extent cx="3685243" cy="2268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53.png"/>
                    <pic:cNvPicPr/>
                  </pic:nvPicPr>
                  <pic:blipFill>
                    <a:blip r:embed="rId165"/>
                    <a:stretch>
                      <a:fillRect/>
                    </a:stretch>
                  </pic:blipFill>
                  <pic:spPr>
                    <a:xfrm>
                      <a:off x="0" y="0"/>
                      <a:ext cx="3685243" cy="2268000"/>
                    </a:xfrm>
                    <a:prstGeom prst="rect">
                      <a:avLst/>
                    </a:prstGeom>
                  </pic:spPr>
                </pic:pic>
              </a:graphicData>
            </a:graphic>
          </wp:inline>
        </w:drawing>
      </w:r>
    </w:p>
    <w:p w14:paraId="4DBFE0B1" w14:textId="7AD44247"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 xml:space="preserve">Рисунок </w:t>
      </w:r>
      <w:r w:rsidR="00B164B5" w:rsidRPr="00A43B9C">
        <w:rPr>
          <w:rFonts w:ascii="Times New Roman" w:hAnsi="Times New Roman" w:cs="Times New Roman"/>
          <w:sz w:val="28"/>
          <w:szCs w:val="28"/>
        </w:rPr>
        <w:t>3</w:t>
      </w:r>
      <w:r w:rsidR="00006C4D">
        <w:rPr>
          <w:rFonts w:ascii="Times New Roman" w:hAnsi="Times New Roman" w:cs="Times New Roman"/>
          <w:sz w:val="28"/>
          <w:szCs w:val="28"/>
        </w:rPr>
        <w:t>1</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ROC-кривая, характеризующая зависимость вероятности </w:t>
      </w:r>
      <w:r w:rsidR="00777C9A">
        <w:rPr>
          <w:rFonts w:ascii="Times New Roman" w:hAnsi="Times New Roman" w:cs="Times New Roman"/>
          <w:sz w:val="28"/>
          <w:szCs w:val="28"/>
          <w:lang w:val="en-US"/>
        </w:rPr>
        <w:t>p</w:t>
      </w:r>
      <w:r w:rsidR="001C40D1" w:rsidRPr="00A43B9C">
        <w:rPr>
          <w:rFonts w:ascii="Times New Roman" w:hAnsi="Times New Roman" w:cs="Times New Roman"/>
          <w:sz w:val="28"/>
          <w:szCs w:val="28"/>
          <w:lang w:val="en-US"/>
        </w:rPr>
        <w:t>LM</w:t>
      </w:r>
      <w:r w:rsidRPr="00A43B9C">
        <w:rPr>
          <w:rFonts w:ascii="Times New Roman" w:hAnsi="Times New Roman" w:cs="Times New Roman"/>
          <w:sz w:val="28"/>
          <w:szCs w:val="28"/>
        </w:rPr>
        <w:t xml:space="preserve"> от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P</w:t>
      </w:r>
    </w:p>
    <w:p w14:paraId="551BD232" w14:textId="77777777" w:rsidR="00C81AE7" w:rsidRPr="00A43B9C" w:rsidRDefault="00C81AE7" w:rsidP="00C81AE7">
      <w:pPr>
        <w:spacing w:after="0" w:line="240" w:lineRule="auto"/>
        <w:rPr>
          <w:rFonts w:ascii="Times New Roman" w:hAnsi="Times New Roman" w:cs="Times New Roman"/>
          <w:sz w:val="28"/>
          <w:szCs w:val="28"/>
        </w:rPr>
      </w:pPr>
    </w:p>
    <w:p w14:paraId="275BB796" w14:textId="77777777" w:rsidR="00C81AE7" w:rsidRPr="00A43B9C" w:rsidRDefault="00C81AE7" w:rsidP="00C81AE7">
      <w:pPr>
        <w:spacing w:after="0" w:line="240" w:lineRule="auto"/>
        <w:jc w:val="center"/>
        <w:rPr>
          <w:rFonts w:ascii="Times New Roman" w:hAnsi="Times New Roman" w:cs="Times New Roman"/>
          <w:sz w:val="28"/>
          <w:szCs w:val="28"/>
        </w:rPr>
      </w:pPr>
      <w:r w:rsidRPr="00A43B9C">
        <w:rPr>
          <w:noProof/>
        </w:rPr>
        <w:lastRenderedPageBreak/>
        <w:drawing>
          <wp:inline distT="0" distB="0" distL="0" distR="0" wp14:anchorId="1E650586" wp14:editId="6530837E">
            <wp:extent cx="4968588" cy="2268000"/>
            <wp:effectExtent l="0" t="0" r="3810" b="0"/>
            <wp:docPr id="30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27.png"/>
                    <pic:cNvPicPr/>
                  </pic:nvPicPr>
                  <pic:blipFill>
                    <a:blip r:embed="rId166"/>
                    <a:stretch>
                      <a:fillRect/>
                    </a:stretch>
                  </pic:blipFill>
                  <pic:spPr>
                    <a:xfrm>
                      <a:off x="0" y="0"/>
                      <a:ext cx="4968588" cy="2268000"/>
                    </a:xfrm>
                    <a:prstGeom prst="rect">
                      <a:avLst/>
                    </a:prstGeom>
                  </pic:spPr>
                </pic:pic>
              </a:graphicData>
            </a:graphic>
          </wp:inline>
        </w:drawing>
      </w:r>
    </w:p>
    <w:p w14:paraId="049EACCB" w14:textId="2669EE56"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3</w:t>
      </w:r>
      <w:r w:rsidR="00006C4D">
        <w:rPr>
          <w:rFonts w:ascii="Times New Roman" w:hAnsi="Times New Roman" w:cs="Times New Roman"/>
          <w:sz w:val="28"/>
          <w:szCs w:val="28"/>
        </w:rPr>
        <w:t>2</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чувствительности и специфичности модели в зависимости от пороговых значений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P</w:t>
      </w:r>
    </w:p>
    <w:p w14:paraId="56579D2B" w14:textId="77777777" w:rsidR="00C81AE7" w:rsidRPr="00A43B9C" w:rsidRDefault="00C81AE7" w:rsidP="00C81AE7">
      <w:pPr>
        <w:spacing w:after="0" w:line="240" w:lineRule="auto"/>
        <w:rPr>
          <w:rFonts w:ascii="Times New Roman" w:hAnsi="Times New Roman" w:cs="Times New Roman"/>
          <w:sz w:val="28"/>
          <w:szCs w:val="28"/>
        </w:rPr>
      </w:pPr>
    </w:p>
    <w:p w14:paraId="7A356803" w14:textId="1C989C03" w:rsidR="00C81AE7"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22 -</w:t>
      </w:r>
      <w:r w:rsidR="00C81AE7" w:rsidRPr="00A43B9C">
        <w:rPr>
          <w:rFonts w:ascii="Times New Roman" w:hAnsi="Times New Roman" w:cs="Times New Roman"/>
          <w:sz w:val="28"/>
          <w:szCs w:val="28"/>
        </w:rPr>
        <w:t xml:space="preserve"> Пороговые значения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00C81AE7" w:rsidRPr="00A43B9C">
        <w:rPr>
          <w:rFonts w:ascii="Times New Roman" w:hAnsi="Times New Roman" w:cs="Times New Roman"/>
          <w:sz w:val="28"/>
          <w:szCs w:val="28"/>
          <w:lang w:val="en-US"/>
        </w:rPr>
        <w:t>SUV</w:t>
      </w:r>
      <w:r w:rsidR="00C81AE7" w:rsidRPr="00A43B9C">
        <w:rPr>
          <w:rFonts w:ascii="Times New Roman" w:hAnsi="Times New Roman" w:cs="Times New Roman"/>
          <w:sz w:val="28"/>
          <w:szCs w:val="28"/>
          <w:vertAlign w:val="subscript"/>
          <w:lang w:val="en-US"/>
        </w:rPr>
        <w:t>max</w:t>
      </w:r>
      <w:r w:rsidR="00C81AE7"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00C81AE7" w:rsidRPr="00A43B9C">
        <w:rPr>
          <w:rFonts w:ascii="Times New Roman" w:hAnsi="Times New Roman" w:cs="Times New Roman"/>
          <w:sz w:val="28"/>
          <w:szCs w:val="28"/>
        </w:rPr>
        <w:t>P</w:t>
      </w:r>
    </w:p>
    <w:p w14:paraId="4813247F"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0" w:type="auto"/>
        <w:jc w:val="center"/>
        <w:tblLook w:val="04A0" w:firstRow="1" w:lastRow="0" w:firstColumn="1" w:lastColumn="0" w:noHBand="0" w:noVBand="1"/>
      </w:tblPr>
      <w:tblGrid>
        <w:gridCol w:w="1789"/>
        <w:gridCol w:w="2069"/>
        <w:gridCol w:w="1967"/>
        <w:gridCol w:w="1756"/>
        <w:gridCol w:w="1763"/>
      </w:tblGrid>
      <w:tr w:rsidR="00C81AE7" w:rsidRPr="00A43B9C" w14:paraId="5F0B37A7" w14:textId="77777777" w:rsidTr="00446A37">
        <w:trPr>
          <w:jc w:val="center"/>
        </w:trPr>
        <w:tc>
          <w:tcPr>
            <w:tcW w:w="1790" w:type="dxa"/>
            <w:vAlign w:val="center"/>
          </w:tcPr>
          <w:p w14:paraId="6DE442C8" w14:textId="76DAEB92"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Порог</w:t>
            </w:r>
            <w:r w:rsidR="008A143D" w:rsidRPr="00A43B9C">
              <w:rPr>
                <w:rFonts w:ascii="Times New Roman" w:hAnsi="Times New Roman" w:cs="Times New Roman"/>
                <w:sz w:val="28"/>
                <w:szCs w:val="28"/>
              </w:rPr>
              <w:t>овое значение</w:t>
            </w:r>
          </w:p>
        </w:tc>
        <w:tc>
          <w:tcPr>
            <w:tcW w:w="2069" w:type="dxa"/>
            <w:vAlign w:val="center"/>
          </w:tcPr>
          <w:p w14:paraId="68E2F10F" w14:textId="1F65EB7C"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Se, %</w:t>
            </w:r>
          </w:p>
        </w:tc>
        <w:tc>
          <w:tcPr>
            <w:tcW w:w="1967" w:type="dxa"/>
            <w:vAlign w:val="center"/>
          </w:tcPr>
          <w:p w14:paraId="6546B6C5" w14:textId="278B8FC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Sp, %</w:t>
            </w:r>
          </w:p>
        </w:tc>
        <w:tc>
          <w:tcPr>
            <w:tcW w:w="1756" w:type="dxa"/>
            <w:vAlign w:val="center"/>
          </w:tcPr>
          <w:p w14:paraId="64DE9A1A" w14:textId="3C884BA9"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PPV</w:t>
            </w:r>
            <w:r w:rsidR="003E57FA" w:rsidRPr="00A43B9C">
              <w:rPr>
                <w:rFonts w:ascii="Times New Roman" w:hAnsi="Times New Roman" w:cs="Times New Roman"/>
                <w:sz w:val="28"/>
                <w:szCs w:val="28"/>
                <w:lang w:val="en-US"/>
              </w:rPr>
              <w:t>, %</w:t>
            </w:r>
          </w:p>
        </w:tc>
        <w:tc>
          <w:tcPr>
            <w:tcW w:w="1763" w:type="dxa"/>
            <w:vAlign w:val="center"/>
          </w:tcPr>
          <w:p w14:paraId="4ACABEEC" w14:textId="5ED76501"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NPV</w:t>
            </w:r>
            <w:r w:rsidR="003E57FA" w:rsidRPr="00A43B9C">
              <w:rPr>
                <w:rFonts w:ascii="Times New Roman" w:hAnsi="Times New Roman" w:cs="Times New Roman"/>
                <w:sz w:val="28"/>
                <w:szCs w:val="28"/>
                <w:lang w:val="en-US"/>
              </w:rPr>
              <w:t>, %</w:t>
            </w:r>
          </w:p>
        </w:tc>
      </w:tr>
      <w:tr w:rsidR="00C81AE7" w:rsidRPr="00A43B9C" w14:paraId="3BEB2F79" w14:textId="77777777" w:rsidTr="00446A37">
        <w:trPr>
          <w:jc w:val="center"/>
        </w:trPr>
        <w:tc>
          <w:tcPr>
            <w:tcW w:w="1790" w:type="dxa"/>
            <w:vAlign w:val="center"/>
          </w:tcPr>
          <w:p w14:paraId="4C62EC4A" w14:textId="77777777" w:rsidR="00C81AE7" w:rsidRPr="00452443" w:rsidRDefault="00C81AE7" w:rsidP="00446A37">
            <w:pPr>
              <w:spacing w:after="0" w:line="240" w:lineRule="auto"/>
              <w:jc w:val="center"/>
              <w:rPr>
                <w:rFonts w:ascii="Times New Roman" w:hAnsi="Times New Roman" w:cs="Times New Roman"/>
                <w:bCs/>
                <w:sz w:val="28"/>
                <w:szCs w:val="28"/>
              </w:rPr>
            </w:pPr>
            <w:r w:rsidRPr="00452443">
              <w:rPr>
                <w:rFonts w:ascii="Times New Roman" w:hAnsi="Times New Roman" w:cs="Times New Roman"/>
                <w:bCs/>
                <w:sz w:val="28"/>
                <w:szCs w:val="28"/>
              </w:rPr>
              <w:t>1,13</w:t>
            </w:r>
          </w:p>
        </w:tc>
        <w:tc>
          <w:tcPr>
            <w:tcW w:w="2069" w:type="dxa"/>
            <w:vAlign w:val="center"/>
          </w:tcPr>
          <w:p w14:paraId="0A0FBEEF" w14:textId="77777777" w:rsidR="00C81AE7" w:rsidRPr="00452443" w:rsidRDefault="00C81AE7" w:rsidP="00446A37">
            <w:pPr>
              <w:spacing w:after="0" w:line="240" w:lineRule="auto"/>
              <w:jc w:val="center"/>
              <w:rPr>
                <w:rFonts w:ascii="Times New Roman" w:hAnsi="Times New Roman" w:cs="Times New Roman"/>
                <w:bCs/>
                <w:sz w:val="28"/>
                <w:szCs w:val="28"/>
              </w:rPr>
            </w:pPr>
            <w:r w:rsidRPr="00452443">
              <w:rPr>
                <w:rFonts w:ascii="Times New Roman" w:hAnsi="Times New Roman" w:cs="Times New Roman"/>
                <w:bCs/>
                <w:sz w:val="28"/>
                <w:szCs w:val="28"/>
              </w:rPr>
              <w:t>50,0</w:t>
            </w:r>
          </w:p>
        </w:tc>
        <w:tc>
          <w:tcPr>
            <w:tcW w:w="1967" w:type="dxa"/>
            <w:vAlign w:val="center"/>
          </w:tcPr>
          <w:p w14:paraId="191C8775" w14:textId="77777777" w:rsidR="00C81AE7" w:rsidRPr="00452443" w:rsidRDefault="00C81AE7" w:rsidP="00446A37">
            <w:pPr>
              <w:spacing w:after="0" w:line="240" w:lineRule="auto"/>
              <w:jc w:val="center"/>
              <w:rPr>
                <w:rFonts w:ascii="Times New Roman" w:hAnsi="Times New Roman" w:cs="Times New Roman"/>
                <w:bCs/>
                <w:sz w:val="28"/>
                <w:szCs w:val="28"/>
              </w:rPr>
            </w:pPr>
            <w:r w:rsidRPr="00452443">
              <w:rPr>
                <w:rFonts w:ascii="Times New Roman" w:hAnsi="Times New Roman" w:cs="Times New Roman"/>
                <w:bCs/>
                <w:sz w:val="28"/>
                <w:szCs w:val="28"/>
              </w:rPr>
              <w:t>56,0</w:t>
            </w:r>
          </w:p>
        </w:tc>
        <w:tc>
          <w:tcPr>
            <w:tcW w:w="1756" w:type="dxa"/>
            <w:vAlign w:val="center"/>
          </w:tcPr>
          <w:p w14:paraId="7685428E" w14:textId="77777777" w:rsidR="00C81AE7" w:rsidRPr="00452443" w:rsidRDefault="00C81AE7" w:rsidP="00446A37">
            <w:pPr>
              <w:spacing w:after="0" w:line="240" w:lineRule="auto"/>
              <w:jc w:val="center"/>
              <w:rPr>
                <w:rFonts w:ascii="Times New Roman" w:hAnsi="Times New Roman" w:cs="Times New Roman"/>
                <w:bCs/>
                <w:sz w:val="28"/>
                <w:szCs w:val="28"/>
              </w:rPr>
            </w:pPr>
            <w:r w:rsidRPr="00452443">
              <w:rPr>
                <w:rFonts w:ascii="Times New Roman" w:hAnsi="Times New Roman" w:cs="Times New Roman"/>
                <w:bCs/>
                <w:sz w:val="28"/>
                <w:szCs w:val="28"/>
              </w:rPr>
              <w:t>56,0</w:t>
            </w:r>
          </w:p>
        </w:tc>
        <w:tc>
          <w:tcPr>
            <w:tcW w:w="1763" w:type="dxa"/>
            <w:vAlign w:val="center"/>
          </w:tcPr>
          <w:p w14:paraId="7157447C" w14:textId="77777777" w:rsidR="00C81AE7" w:rsidRPr="00452443" w:rsidRDefault="00C81AE7" w:rsidP="00446A37">
            <w:pPr>
              <w:spacing w:after="0" w:line="240" w:lineRule="auto"/>
              <w:jc w:val="center"/>
              <w:rPr>
                <w:rFonts w:ascii="Times New Roman" w:hAnsi="Times New Roman" w:cs="Times New Roman"/>
                <w:bCs/>
                <w:sz w:val="28"/>
                <w:szCs w:val="28"/>
              </w:rPr>
            </w:pPr>
            <w:r w:rsidRPr="00452443">
              <w:rPr>
                <w:rFonts w:ascii="Times New Roman" w:hAnsi="Times New Roman" w:cs="Times New Roman"/>
                <w:bCs/>
                <w:sz w:val="28"/>
                <w:szCs w:val="28"/>
              </w:rPr>
              <w:t>50,0</w:t>
            </w:r>
          </w:p>
        </w:tc>
      </w:tr>
    </w:tbl>
    <w:p w14:paraId="48891A7C" w14:textId="77777777" w:rsidR="00C81AE7" w:rsidRPr="00A43B9C" w:rsidRDefault="00C81AE7" w:rsidP="00C81AE7">
      <w:pPr>
        <w:spacing w:after="0" w:line="240" w:lineRule="auto"/>
        <w:rPr>
          <w:rFonts w:ascii="Times New Roman" w:hAnsi="Times New Roman" w:cs="Times New Roman"/>
          <w:sz w:val="28"/>
          <w:szCs w:val="28"/>
        </w:rPr>
      </w:pPr>
    </w:p>
    <w:p w14:paraId="327A4DFE" w14:textId="33CFB005" w:rsidR="00C81AE7" w:rsidRDefault="00C81AE7" w:rsidP="00C81AE7">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Площадь под ROC-кривой составила 0,573 </w:t>
      </w:r>
      <w:r w:rsidR="008A143D" w:rsidRPr="00A43B9C">
        <w:rPr>
          <w:rFonts w:ascii="Times New Roman" w:hAnsi="Times New Roman" w:cs="Times New Roman"/>
          <w:sz w:val="28"/>
          <w:szCs w:val="28"/>
        </w:rPr>
        <w:t>(</w:t>
      </w:r>
      <w:r w:rsidRPr="00A43B9C">
        <w:rPr>
          <w:rFonts w:ascii="Times New Roman" w:hAnsi="Times New Roman" w:cs="Times New Roman"/>
          <w:sz w:val="28"/>
          <w:szCs w:val="28"/>
        </w:rPr>
        <w:t>95% ДИ 0,417 – 0,728</w:t>
      </w:r>
      <w:r w:rsidR="008A143D" w:rsidRPr="00A43B9C">
        <w:rPr>
          <w:rFonts w:ascii="Times New Roman" w:hAnsi="Times New Roman" w:cs="Times New Roman"/>
          <w:sz w:val="28"/>
          <w:szCs w:val="28"/>
        </w:rPr>
        <w:t xml:space="preserve">), и такая </w:t>
      </w:r>
      <w:r w:rsidRPr="00A43B9C">
        <w:rPr>
          <w:rFonts w:ascii="Times New Roman" w:hAnsi="Times New Roman" w:cs="Times New Roman"/>
          <w:sz w:val="28"/>
          <w:szCs w:val="28"/>
        </w:rPr>
        <w:t>модель не была статистически значимой (p = 0,363).</w:t>
      </w:r>
      <w:r w:rsidR="008A143D"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Пороговое значение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P в точке </w:t>
      </w:r>
      <w:r w:rsidR="008A143D" w:rsidRPr="00A43B9C">
        <w:rPr>
          <w:rFonts w:ascii="Times New Roman" w:hAnsi="Times New Roman" w:cs="Times New Roman"/>
          <w:sz w:val="28"/>
          <w:szCs w:val="28"/>
        </w:rPr>
        <w:t>отсечения</w:t>
      </w:r>
      <w:r w:rsidRPr="00A43B9C">
        <w:rPr>
          <w:rFonts w:ascii="Times New Roman" w:hAnsi="Times New Roman" w:cs="Times New Roman"/>
          <w:sz w:val="28"/>
          <w:szCs w:val="28"/>
        </w:rPr>
        <w:t>, которому соответствовало наивысшее значение индекса Юдена, составило 1,13</w:t>
      </w:r>
      <w:r w:rsidR="00F31735" w:rsidRPr="00A43B9C">
        <w:rPr>
          <w:rFonts w:ascii="Times New Roman" w:hAnsi="Times New Roman" w:cs="Times New Roman"/>
          <w:sz w:val="28"/>
          <w:szCs w:val="28"/>
        </w:rPr>
        <w:t xml:space="preserve"> (рисунок 3</w:t>
      </w:r>
      <w:r w:rsidR="00006C4D">
        <w:rPr>
          <w:rFonts w:ascii="Times New Roman" w:hAnsi="Times New Roman" w:cs="Times New Roman"/>
          <w:sz w:val="28"/>
          <w:szCs w:val="28"/>
        </w:rPr>
        <w:t>2</w:t>
      </w:r>
      <w:r w:rsidR="00F31735" w:rsidRPr="00A43B9C">
        <w:rPr>
          <w:rFonts w:ascii="Times New Roman" w:hAnsi="Times New Roman" w:cs="Times New Roman"/>
          <w:sz w:val="28"/>
          <w:szCs w:val="28"/>
        </w:rPr>
        <w:t>)</w:t>
      </w:r>
      <w:r w:rsidRPr="00A43B9C">
        <w:rPr>
          <w:rFonts w:ascii="Times New Roman" w:hAnsi="Times New Roman" w:cs="Times New Roman"/>
          <w:sz w:val="28"/>
          <w:szCs w:val="28"/>
        </w:rPr>
        <w:t xml:space="preserve">. Наличие </w:t>
      </w:r>
      <w:r w:rsidR="001C40D1" w:rsidRPr="00A43B9C">
        <w:rPr>
          <w:rFonts w:ascii="Times New Roman" w:eastAsia="Times New Roman" w:hAnsi="Times New Roman" w:cs="Times New Roman"/>
          <w:sz w:val="28"/>
          <w:szCs w:val="28"/>
          <w:lang w:val="en-US" w:eastAsia="ru-RU"/>
        </w:rPr>
        <w:t>pLM</w:t>
      </w:r>
      <w:r w:rsidR="003B07F1"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прогнозировалось при значении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8A143D"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P ниже данной величины или равном ей. Чувствительность и специфичность модели составили 50,0% и 56,0%, </w:t>
      </w:r>
      <w:r w:rsidR="000A6437" w:rsidRPr="00A43B9C">
        <w:rPr>
          <w:rFonts w:ascii="Times New Roman" w:hAnsi="Times New Roman" w:cs="Times New Roman"/>
          <w:sz w:val="28"/>
          <w:szCs w:val="28"/>
        </w:rPr>
        <w:t xml:space="preserve">а </w:t>
      </w:r>
      <w:r w:rsidR="000A6437" w:rsidRPr="00A43B9C">
        <w:rPr>
          <w:rFonts w:ascii="Times New Roman" w:hAnsi="Times New Roman" w:cs="Times New Roman"/>
          <w:sz w:val="28"/>
          <w:szCs w:val="28"/>
          <w:lang w:val="en-US"/>
        </w:rPr>
        <w:t>PPV</w:t>
      </w:r>
      <w:r w:rsidR="000A6437" w:rsidRPr="00A43B9C">
        <w:rPr>
          <w:rFonts w:ascii="Times New Roman" w:hAnsi="Times New Roman" w:cs="Times New Roman"/>
          <w:sz w:val="28"/>
          <w:szCs w:val="28"/>
        </w:rPr>
        <w:t xml:space="preserve"> и </w:t>
      </w:r>
      <w:r w:rsidR="000A6437" w:rsidRPr="00A43B9C">
        <w:rPr>
          <w:rFonts w:ascii="Times New Roman" w:hAnsi="Times New Roman" w:cs="Times New Roman"/>
          <w:sz w:val="28"/>
          <w:szCs w:val="28"/>
          <w:lang w:val="en-US"/>
        </w:rPr>
        <w:t>NPV</w:t>
      </w:r>
      <w:r w:rsidR="000A6437" w:rsidRPr="00A43B9C">
        <w:rPr>
          <w:rFonts w:ascii="Times New Roman" w:hAnsi="Times New Roman" w:cs="Times New Roman"/>
          <w:sz w:val="28"/>
          <w:szCs w:val="28"/>
        </w:rPr>
        <w:t xml:space="preserve"> составили 56,0% и 50,0% соответственно (таблица 22)</w:t>
      </w:r>
      <w:r w:rsidRPr="00A43B9C">
        <w:rPr>
          <w:rFonts w:ascii="Times New Roman" w:hAnsi="Times New Roman" w:cs="Times New Roman"/>
          <w:sz w:val="28"/>
          <w:szCs w:val="28"/>
        </w:rPr>
        <w:t>.</w:t>
      </w:r>
    </w:p>
    <w:p w14:paraId="771FAC25" w14:textId="77777777" w:rsidR="00AB2535" w:rsidRPr="00A43B9C" w:rsidRDefault="00AB2535" w:rsidP="00C81AE7">
      <w:pPr>
        <w:spacing w:after="0" w:line="240" w:lineRule="auto"/>
        <w:ind w:firstLine="709"/>
        <w:jc w:val="both"/>
        <w:rPr>
          <w:rFonts w:ascii="Times New Roman" w:hAnsi="Times New Roman" w:cs="Times New Roman"/>
          <w:sz w:val="28"/>
          <w:szCs w:val="28"/>
        </w:rPr>
      </w:pPr>
    </w:p>
    <w:p w14:paraId="64457BD9" w14:textId="5E0E3A8A" w:rsidR="00295362" w:rsidRPr="00A43B9C" w:rsidRDefault="00295362" w:rsidP="006E2E0F">
      <w:pPr>
        <w:pStyle w:val="31"/>
        <w:spacing w:before="0" w:line="240" w:lineRule="auto"/>
        <w:ind w:firstLine="709"/>
        <w:jc w:val="both"/>
        <w:rPr>
          <w:rFonts w:ascii="Times New Roman" w:eastAsia="Times New Roman" w:hAnsi="Times New Roman" w:cs="Times New Roman"/>
          <w:color w:val="auto"/>
          <w:sz w:val="28"/>
          <w:szCs w:val="28"/>
          <w:lang w:val="kk-KZ" w:eastAsia="ru-RU"/>
        </w:rPr>
      </w:pPr>
      <w:bookmarkStart w:id="71" w:name="_Toc101861820"/>
      <w:bookmarkStart w:id="72" w:name="_Toc102937623"/>
      <w:r w:rsidRPr="00A43B9C">
        <w:rPr>
          <w:rFonts w:ascii="Times New Roman" w:eastAsia="Times New Roman" w:hAnsi="Times New Roman" w:cs="Times New Roman"/>
          <w:color w:val="auto"/>
          <w:sz w:val="28"/>
          <w:szCs w:val="28"/>
          <w:lang w:eastAsia="ru-RU"/>
        </w:rPr>
        <w:t>3.</w:t>
      </w:r>
      <w:r w:rsidR="00040E82" w:rsidRPr="00A43B9C">
        <w:rPr>
          <w:rFonts w:ascii="Times New Roman" w:eastAsia="Times New Roman" w:hAnsi="Times New Roman" w:cs="Times New Roman"/>
          <w:color w:val="auto"/>
          <w:sz w:val="28"/>
          <w:szCs w:val="28"/>
          <w:lang w:eastAsia="ru-RU"/>
        </w:rPr>
        <w:t>1.</w:t>
      </w:r>
      <w:r w:rsidR="00B674B1" w:rsidRPr="00A43B9C">
        <w:rPr>
          <w:rFonts w:ascii="Times New Roman" w:eastAsia="Times New Roman" w:hAnsi="Times New Roman" w:cs="Times New Roman"/>
          <w:color w:val="auto"/>
          <w:sz w:val="28"/>
          <w:szCs w:val="28"/>
          <w:lang w:eastAsia="ru-RU"/>
        </w:rPr>
        <w:t>5</w:t>
      </w:r>
      <w:r w:rsidRPr="00A43B9C">
        <w:rPr>
          <w:rFonts w:ascii="Times New Roman" w:eastAsia="Times New Roman" w:hAnsi="Times New Roman" w:cs="Times New Roman"/>
          <w:color w:val="auto"/>
          <w:sz w:val="28"/>
          <w:szCs w:val="28"/>
          <w:lang w:eastAsia="ru-RU"/>
        </w:rPr>
        <w:t xml:space="preserve"> </w:t>
      </w:r>
      <w:r w:rsidR="00E27D35" w:rsidRPr="00A43B9C">
        <w:rPr>
          <w:rFonts w:ascii="Times New Roman" w:eastAsia="Times New Roman" w:hAnsi="Times New Roman" w:cs="Times New Roman"/>
          <w:color w:val="auto"/>
          <w:sz w:val="28"/>
          <w:szCs w:val="28"/>
          <w:lang w:eastAsia="ru-RU"/>
        </w:rPr>
        <w:t xml:space="preserve">Результаты оценки </w:t>
      </w:r>
      <w:r w:rsidRPr="00A43B9C">
        <w:rPr>
          <w:rFonts w:ascii="Times New Roman" w:eastAsia="Times New Roman" w:hAnsi="Times New Roman" w:cs="Times New Roman"/>
          <w:color w:val="auto"/>
          <w:sz w:val="28"/>
          <w:szCs w:val="28"/>
          <w:lang w:eastAsia="ru-RU"/>
        </w:rPr>
        <w:t xml:space="preserve">прогностической </w:t>
      </w:r>
      <w:r w:rsidRPr="00A43B9C">
        <w:rPr>
          <w:rFonts w:ascii="Times New Roman" w:eastAsia="Times New Roman" w:hAnsi="Times New Roman" w:cs="Times New Roman"/>
          <w:color w:val="auto"/>
          <w:sz w:val="28"/>
          <w:szCs w:val="28"/>
          <w:lang w:val="kk-KZ" w:eastAsia="ru-RU"/>
        </w:rPr>
        <w:t>ценности</w:t>
      </w:r>
      <w:bookmarkEnd w:id="71"/>
      <w:bookmarkEnd w:id="72"/>
    </w:p>
    <w:p w14:paraId="58AD2592" w14:textId="451BB73B" w:rsidR="00295362" w:rsidRPr="00A43B9C" w:rsidRDefault="008A143D" w:rsidP="00295362">
      <w:pPr>
        <w:spacing w:after="0" w:line="240" w:lineRule="auto"/>
        <w:ind w:firstLine="709"/>
        <w:jc w:val="both"/>
        <w:rPr>
          <w:rFonts w:ascii="Times New Roman" w:hAnsi="Times New Roman" w:cs="Times New Roman"/>
          <w:sz w:val="28"/>
          <w:szCs w:val="28"/>
        </w:rPr>
      </w:pPr>
      <w:bookmarkStart w:id="73" w:name="_Hlk102936337"/>
      <w:r w:rsidRPr="00A43B9C">
        <w:rPr>
          <w:rFonts w:ascii="Times New Roman" w:hAnsi="Times New Roman" w:cs="Times New Roman"/>
          <w:sz w:val="28"/>
          <w:szCs w:val="28"/>
        </w:rPr>
        <w:t>Нами б</w:t>
      </w:r>
      <w:r w:rsidR="00295362" w:rsidRPr="00A43B9C">
        <w:rPr>
          <w:rFonts w:ascii="Times New Roman" w:hAnsi="Times New Roman" w:cs="Times New Roman"/>
          <w:sz w:val="28"/>
          <w:szCs w:val="28"/>
        </w:rPr>
        <w:t xml:space="preserve">ыла разработана прогностическая модель для определения вероятности </w:t>
      </w:r>
      <w:r w:rsidR="001C40D1" w:rsidRPr="00A43B9C">
        <w:rPr>
          <w:rFonts w:ascii="Times New Roman" w:hAnsi="Times New Roman" w:cs="Times New Roman"/>
          <w:sz w:val="28"/>
          <w:szCs w:val="28"/>
          <w:lang w:val="en-US"/>
        </w:rPr>
        <w:t>LM</w:t>
      </w:r>
      <w:r w:rsidR="00295362" w:rsidRPr="00A43B9C">
        <w:rPr>
          <w:rFonts w:ascii="Times New Roman" w:hAnsi="Times New Roman" w:cs="Times New Roman"/>
          <w:sz w:val="28"/>
          <w:szCs w:val="28"/>
        </w:rPr>
        <w:t xml:space="preserve"> при проведении </w:t>
      </w:r>
      <w:r w:rsidR="00295362" w:rsidRPr="00A43B9C">
        <w:rPr>
          <w:rFonts w:ascii="Times New Roman" w:hAnsi="Times New Roman" w:cs="Times New Roman"/>
          <w:sz w:val="28"/>
          <w:szCs w:val="28"/>
          <w:vertAlign w:val="superscript"/>
        </w:rPr>
        <w:t>18</w:t>
      </w:r>
      <w:r w:rsidR="00295362" w:rsidRPr="00A43B9C">
        <w:rPr>
          <w:rFonts w:ascii="Times New Roman" w:hAnsi="Times New Roman" w:cs="Times New Roman"/>
          <w:sz w:val="28"/>
          <w:szCs w:val="28"/>
          <w:lang w:val="en-US"/>
        </w:rPr>
        <w:t>F</w:t>
      </w:r>
      <w:r w:rsidR="00295362" w:rsidRPr="00A43B9C">
        <w:rPr>
          <w:rFonts w:ascii="Times New Roman" w:hAnsi="Times New Roman" w:cs="Times New Roman"/>
          <w:sz w:val="28"/>
          <w:szCs w:val="28"/>
        </w:rPr>
        <w:t>-</w:t>
      </w:r>
      <w:r w:rsidR="00295362" w:rsidRPr="00A43B9C">
        <w:rPr>
          <w:rFonts w:ascii="Times New Roman" w:hAnsi="Times New Roman" w:cs="Times New Roman"/>
          <w:sz w:val="28"/>
          <w:szCs w:val="28"/>
          <w:lang w:val="en-US"/>
        </w:rPr>
        <w:t>FDG</w:t>
      </w:r>
      <w:r w:rsidR="00295362" w:rsidRPr="00A43B9C">
        <w:rPr>
          <w:rFonts w:ascii="Times New Roman" w:hAnsi="Times New Roman" w:cs="Times New Roman"/>
          <w:sz w:val="28"/>
          <w:szCs w:val="28"/>
        </w:rPr>
        <w:t xml:space="preserve"> ПЭТ/КТ исследовании в зависимости от уровня </w:t>
      </w:r>
      <w:r w:rsidR="009307C9" w:rsidRPr="00A43B9C">
        <w:rPr>
          <w:rFonts w:ascii="Times New Roman" w:hAnsi="Times New Roman" w:cs="Times New Roman"/>
          <w:sz w:val="28"/>
          <w:szCs w:val="28"/>
        </w:rPr>
        <w:t>накопления</w:t>
      </w:r>
      <w:r w:rsidR="003844C6" w:rsidRPr="00A43B9C">
        <w:rPr>
          <w:rFonts w:ascii="Times New Roman" w:hAnsi="Times New Roman" w:cs="Times New Roman"/>
          <w:sz w:val="28"/>
          <w:szCs w:val="28"/>
        </w:rPr>
        <w:t xml:space="preserve"> </w:t>
      </w:r>
      <w:r w:rsidR="00093E79" w:rsidRPr="00A43B9C">
        <w:rPr>
          <w:rFonts w:ascii="Times New Roman" w:hAnsi="Times New Roman" w:cs="Times New Roman"/>
          <w:sz w:val="28"/>
          <w:szCs w:val="28"/>
          <w:lang w:val="en-US"/>
        </w:rPr>
        <w:t>SUV</w:t>
      </w:r>
      <w:r w:rsidR="00093E79" w:rsidRPr="00A43B9C">
        <w:rPr>
          <w:rFonts w:ascii="Times New Roman" w:hAnsi="Times New Roman" w:cs="Times New Roman"/>
          <w:sz w:val="28"/>
          <w:szCs w:val="28"/>
          <w:vertAlign w:val="subscript"/>
          <w:lang w:val="en-US"/>
        </w:rPr>
        <w:t>max</w:t>
      </w:r>
      <w:r w:rsidR="00093E79" w:rsidRPr="00A43B9C">
        <w:rPr>
          <w:rFonts w:ascii="Times New Roman" w:hAnsi="Times New Roman" w:cs="Times New Roman"/>
          <w:sz w:val="28"/>
          <w:szCs w:val="28"/>
        </w:rPr>
        <w:t xml:space="preserve"> </w:t>
      </w:r>
      <w:r w:rsidR="00295362" w:rsidRPr="00A43B9C">
        <w:rPr>
          <w:rFonts w:ascii="Times New Roman" w:hAnsi="Times New Roman" w:cs="Times New Roman"/>
          <w:sz w:val="28"/>
          <w:szCs w:val="28"/>
        </w:rPr>
        <w:t xml:space="preserve">в </w:t>
      </w:r>
      <w:r w:rsidR="00093E79" w:rsidRPr="00A43B9C">
        <w:rPr>
          <w:rFonts w:ascii="Times New Roman" w:hAnsi="Times New Roman" w:cs="Times New Roman"/>
          <w:sz w:val="28"/>
          <w:szCs w:val="28"/>
          <w:lang w:val="en-US"/>
        </w:rPr>
        <w:t>VAT</w:t>
      </w:r>
      <w:r w:rsidR="00093E79" w:rsidRPr="00A43B9C">
        <w:rPr>
          <w:rFonts w:ascii="Times New Roman" w:hAnsi="Times New Roman" w:cs="Times New Roman"/>
          <w:sz w:val="28"/>
          <w:szCs w:val="28"/>
        </w:rPr>
        <w:t xml:space="preserve"> в</w:t>
      </w:r>
      <w:r w:rsidR="00295362" w:rsidRPr="00A43B9C">
        <w:rPr>
          <w:rFonts w:ascii="Times New Roman" w:hAnsi="Times New Roman" w:cs="Times New Roman"/>
          <w:sz w:val="28"/>
          <w:szCs w:val="28"/>
        </w:rPr>
        <w:t xml:space="preserve"> локализациях RE, RRL методом бинарной логистической регрессии</w:t>
      </w:r>
      <w:r w:rsidR="00E92B99" w:rsidRPr="00A43B9C">
        <w:rPr>
          <w:rFonts w:ascii="Times New Roman" w:hAnsi="Times New Roman" w:cs="Times New Roman"/>
          <w:sz w:val="28"/>
          <w:szCs w:val="28"/>
        </w:rPr>
        <w:t xml:space="preserve"> (рисунок 3</w:t>
      </w:r>
      <w:r w:rsidR="00006C4D">
        <w:rPr>
          <w:rFonts w:ascii="Times New Roman" w:hAnsi="Times New Roman" w:cs="Times New Roman"/>
          <w:sz w:val="28"/>
          <w:szCs w:val="28"/>
        </w:rPr>
        <w:t>3</w:t>
      </w:r>
      <w:r w:rsidR="00E92B99" w:rsidRPr="00A43B9C">
        <w:rPr>
          <w:rFonts w:ascii="Times New Roman" w:hAnsi="Times New Roman" w:cs="Times New Roman"/>
          <w:sz w:val="28"/>
          <w:szCs w:val="28"/>
        </w:rPr>
        <w:t>)</w:t>
      </w:r>
      <w:r w:rsidR="00295362" w:rsidRPr="00A43B9C">
        <w:rPr>
          <w:rFonts w:ascii="Times New Roman" w:hAnsi="Times New Roman" w:cs="Times New Roman"/>
          <w:sz w:val="28"/>
          <w:szCs w:val="28"/>
        </w:rPr>
        <w:t>. Число наблюдений составило 53. Наблюдаемая зависимость описывается уравнением:</w:t>
      </w:r>
    </w:p>
    <w:p w14:paraId="058747E8" w14:textId="77777777" w:rsidR="00295362" w:rsidRPr="00A43B9C" w:rsidRDefault="00295362" w:rsidP="00A564C6">
      <w:pPr>
        <w:spacing w:after="0" w:line="240" w:lineRule="auto"/>
        <w:ind w:firstLine="709"/>
        <w:rPr>
          <w:rFonts w:ascii="Times New Roman" w:hAnsi="Times New Roman" w:cs="Times New Roman"/>
          <w:sz w:val="28"/>
          <w:szCs w:val="28"/>
        </w:rPr>
      </w:pPr>
      <w:r w:rsidRPr="00A43B9C">
        <w:rPr>
          <w:rFonts w:ascii="Times New Roman" w:hAnsi="Times New Roman" w:cs="Times New Roman"/>
          <w:sz w:val="28"/>
          <w:szCs w:val="28"/>
          <w:lang w:val="en-US"/>
        </w:rPr>
        <w:t>P</w:t>
      </w:r>
      <w:r w:rsidRPr="00A43B9C">
        <w:rPr>
          <w:rFonts w:ascii="Times New Roman" w:hAnsi="Times New Roman" w:cs="Times New Roman"/>
          <w:sz w:val="28"/>
          <w:szCs w:val="28"/>
        </w:rPr>
        <w:t xml:space="preserve"> = 1 / (1 + </w:t>
      </w:r>
      <w:r w:rsidRPr="00A43B9C">
        <w:rPr>
          <w:rFonts w:ascii="Times New Roman" w:hAnsi="Times New Roman" w:cs="Times New Roman"/>
          <w:sz w:val="28"/>
          <w:szCs w:val="28"/>
          <w:lang w:val="en-US"/>
        </w:rPr>
        <w:t>e</w:t>
      </w:r>
      <w:r w:rsidRPr="00A43B9C">
        <w:rPr>
          <w:rFonts w:ascii="Times New Roman" w:hAnsi="Times New Roman" w:cs="Times New Roman"/>
          <w:sz w:val="28"/>
          <w:szCs w:val="28"/>
          <w:vertAlign w:val="superscript"/>
        </w:rPr>
        <w:t>-</w:t>
      </w:r>
      <w:r w:rsidRPr="00A43B9C">
        <w:rPr>
          <w:rFonts w:ascii="Times New Roman" w:hAnsi="Times New Roman" w:cs="Times New Roman"/>
          <w:sz w:val="28"/>
          <w:szCs w:val="28"/>
          <w:vertAlign w:val="superscript"/>
          <w:lang w:val="en-US"/>
        </w:rPr>
        <w:t>z</w:t>
      </w:r>
      <w:r w:rsidRPr="00A43B9C">
        <w:rPr>
          <w:rFonts w:ascii="Times New Roman" w:hAnsi="Times New Roman" w:cs="Times New Roman"/>
          <w:sz w:val="28"/>
          <w:szCs w:val="28"/>
        </w:rPr>
        <w:t>) × 100%</w:t>
      </w:r>
    </w:p>
    <w:p w14:paraId="31DE380B" w14:textId="33747C33" w:rsidR="00295362" w:rsidRPr="00A43B9C" w:rsidRDefault="00295362" w:rsidP="00A564C6">
      <w:pPr>
        <w:spacing w:after="0" w:line="240" w:lineRule="auto"/>
        <w:ind w:firstLine="709"/>
        <w:rPr>
          <w:rFonts w:ascii="Times New Roman" w:hAnsi="Times New Roman" w:cs="Times New Roman"/>
          <w:sz w:val="28"/>
          <w:szCs w:val="28"/>
        </w:rPr>
      </w:pPr>
      <w:r w:rsidRPr="00A43B9C">
        <w:rPr>
          <w:rFonts w:ascii="Times New Roman" w:hAnsi="Times New Roman" w:cs="Times New Roman"/>
          <w:sz w:val="28"/>
          <w:szCs w:val="28"/>
          <w:lang w:val="en-US"/>
        </w:rPr>
        <w:t>z</w:t>
      </w:r>
      <w:r w:rsidRPr="00A43B9C">
        <w:rPr>
          <w:rFonts w:ascii="Times New Roman" w:hAnsi="Times New Roman" w:cs="Times New Roman"/>
          <w:sz w:val="28"/>
          <w:szCs w:val="28"/>
        </w:rPr>
        <w:t xml:space="preserve"> = 1,374 + 1,953</w:t>
      </w:r>
      <w:r w:rsidRPr="00A43B9C">
        <w:rPr>
          <w:rFonts w:ascii="Times New Roman" w:hAnsi="Times New Roman" w:cs="Times New Roman"/>
          <w:sz w:val="28"/>
          <w:szCs w:val="28"/>
          <w:lang w:val="en-US"/>
        </w:rPr>
        <w:t>X</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RE</w:t>
      </w:r>
      <w:r w:rsidRPr="00A43B9C">
        <w:rPr>
          <w:rFonts w:ascii="Times New Roman" w:hAnsi="Times New Roman" w:cs="Times New Roman"/>
          <w:sz w:val="28"/>
          <w:szCs w:val="28"/>
        </w:rPr>
        <w:t xml:space="preserve"> - 3,039</w:t>
      </w:r>
      <w:r w:rsidRPr="00A43B9C">
        <w:rPr>
          <w:rFonts w:ascii="Times New Roman" w:hAnsi="Times New Roman" w:cs="Times New Roman"/>
          <w:sz w:val="28"/>
          <w:szCs w:val="28"/>
          <w:lang w:val="en-US"/>
        </w:rPr>
        <w:t>X</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RRL</w:t>
      </w:r>
    </w:p>
    <w:p w14:paraId="3518D0A5" w14:textId="066F2B93" w:rsidR="00295362" w:rsidRPr="00A43B9C" w:rsidRDefault="00295362" w:rsidP="00295362">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где </w:t>
      </w:r>
      <w:r w:rsidRPr="00A43B9C">
        <w:rPr>
          <w:rFonts w:ascii="Times New Roman" w:hAnsi="Times New Roman" w:cs="Times New Roman"/>
          <w:sz w:val="28"/>
          <w:szCs w:val="28"/>
          <w:lang w:val="en-US"/>
        </w:rPr>
        <w:t>P</w:t>
      </w:r>
      <w:r w:rsidRPr="00A43B9C">
        <w:rPr>
          <w:rFonts w:ascii="Times New Roman" w:hAnsi="Times New Roman" w:cs="Times New Roman"/>
          <w:sz w:val="28"/>
          <w:szCs w:val="28"/>
        </w:rPr>
        <w:t xml:space="preserve"> – вероятность </w:t>
      </w:r>
      <w:r w:rsidRPr="00A43B9C">
        <w:rPr>
          <w:rFonts w:ascii="Times New Roman" w:hAnsi="Times New Roman" w:cs="Times New Roman"/>
          <w:sz w:val="28"/>
          <w:szCs w:val="28"/>
          <w:lang w:val="en-US"/>
        </w:rPr>
        <w:t>pLM</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X</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RE</w:t>
      </w:r>
      <w:r w:rsidRPr="00A43B9C">
        <w:rPr>
          <w:rFonts w:ascii="Times New Roman" w:hAnsi="Times New Roman" w:cs="Times New Roman"/>
          <w:sz w:val="28"/>
          <w:szCs w:val="28"/>
        </w:rPr>
        <w:t xml:space="preserve"> –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lang w:val="en-US"/>
        </w:rPr>
        <w:t>RE</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X</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RRL</w:t>
      </w:r>
      <w:r w:rsidRPr="00A43B9C">
        <w:rPr>
          <w:rFonts w:ascii="Times New Roman" w:hAnsi="Times New Roman" w:cs="Times New Roman"/>
          <w:sz w:val="28"/>
          <w:szCs w:val="28"/>
        </w:rPr>
        <w:t xml:space="preserve"> –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lang w:val="en-US"/>
        </w:rPr>
        <w:t>RRL</w:t>
      </w:r>
    </w:p>
    <w:p w14:paraId="14090AD5" w14:textId="77777777" w:rsidR="00295362" w:rsidRPr="00A43B9C" w:rsidRDefault="00295362" w:rsidP="00295362">
      <w:pPr>
        <w:spacing w:after="0" w:line="240" w:lineRule="auto"/>
        <w:rPr>
          <w:rFonts w:ascii="Times New Roman" w:hAnsi="Times New Roman" w:cs="Times New Roman"/>
          <w:sz w:val="28"/>
          <w:szCs w:val="28"/>
        </w:rPr>
      </w:pPr>
    </w:p>
    <w:p w14:paraId="790C8F50" w14:textId="57AF0834" w:rsidR="00295362" w:rsidRPr="00A43B9C" w:rsidRDefault="00295362" w:rsidP="00295362">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Полученная регрессионная модель является статистически значимой (p = 0,007). Исходя из значения коэффициента детерминации Найджелкерка, модель объясняет 22,9% наблюдаемой дисперсии показателя </w:t>
      </w:r>
      <w:r w:rsidR="00093E79" w:rsidRPr="00A43B9C">
        <w:rPr>
          <w:rFonts w:ascii="Times New Roman" w:eastAsia="Times New Roman" w:hAnsi="Times New Roman" w:cs="Times New Roman"/>
          <w:sz w:val="28"/>
          <w:szCs w:val="28"/>
          <w:lang w:eastAsia="ru-RU"/>
        </w:rPr>
        <w:t xml:space="preserve">метастатического поражения </w:t>
      </w:r>
      <w:r w:rsidR="00F33C0A" w:rsidRPr="00A43B9C">
        <w:rPr>
          <w:rFonts w:ascii="Times New Roman" w:eastAsia="Times New Roman" w:hAnsi="Times New Roman" w:cs="Times New Roman"/>
          <w:sz w:val="28"/>
          <w:szCs w:val="28"/>
          <w:lang w:eastAsia="ru-RU"/>
        </w:rPr>
        <w:t>ЛУ</w:t>
      </w:r>
      <w:r w:rsidRPr="00A43B9C">
        <w:rPr>
          <w:rFonts w:ascii="Times New Roman" w:hAnsi="Times New Roman" w:cs="Times New Roman"/>
          <w:sz w:val="28"/>
          <w:szCs w:val="28"/>
        </w:rPr>
        <w:t>.</w:t>
      </w:r>
      <w:r w:rsidR="008A143D"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Исходя из значений регрессионных </w:t>
      </w:r>
      <w:r w:rsidRPr="00A43B9C">
        <w:rPr>
          <w:rFonts w:ascii="Times New Roman" w:hAnsi="Times New Roman" w:cs="Times New Roman"/>
          <w:sz w:val="28"/>
          <w:szCs w:val="28"/>
        </w:rPr>
        <w:lastRenderedPageBreak/>
        <w:t xml:space="preserve">коэффициентов была установлена прямая </w:t>
      </w:r>
      <w:r w:rsidR="008A143D" w:rsidRPr="00A43B9C">
        <w:rPr>
          <w:rFonts w:ascii="Times New Roman" w:hAnsi="Times New Roman" w:cs="Times New Roman"/>
          <w:sz w:val="28"/>
          <w:szCs w:val="28"/>
        </w:rPr>
        <w:t xml:space="preserve">ассоциация локализации </w:t>
      </w:r>
      <w:r w:rsidRPr="00A43B9C">
        <w:rPr>
          <w:rFonts w:ascii="Times New Roman" w:hAnsi="Times New Roman" w:cs="Times New Roman"/>
          <w:sz w:val="28"/>
          <w:szCs w:val="28"/>
        </w:rPr>
        <w:t>RE</w:t>
      </w:r>
      <w:r w:rsidR="008A143D" w:rsidRPr="00A43B9C">
        <w:rPr>
          <w:rFonts w:ascii="Times New Roman" w:hAnsi="Times New Roman" w:cs="Times New Roman"/>
          <w:sz w:val="28"/>
          <w:szCs w:val="28"/>
        </w:rPr>
        <w:t xml:space="preserve"> и</w:t>
      </w:r>
      <w:r w:rsidRPr="00A43B9C">
        <w:rPr>
          <w:rFonts w:ascii="Times New Roman" w:hAnsi="Times New Roman" w:cs="Times New Roman"/>
          <w:sz w:val="28"/>
          <w:szCs w:val="28"/>
        </w:rPr>
        <w:t xml:space="preserve"> обратная </w:t>
      </w:r>
      <w:r w:rsidR="008A143D" w:rsidRPr="00A43B9C">
        <w:rPr>
          <w:rFonts w:ascii="Times New Roman" w:hAnsi="Times New Roman" w:cs="Times New Roman"/>
          <w:sz w:val="28"/>
          <w:szCs w:val="28"/>
        </w:rPr>
        <w:t>ассоциаци</w:t>
      </w:r>
      <w:r w:rsidR="00D5685F" w:rsidRPr="00A43B9C">
        <w:rPr>
          <w:rFonts w:ascii="Times New Roman" w:hAnsi="Times New Roman" w:cs="Times New Roman"/>
          <w:sz w:val="28"/>
          <w:szCs w:val="28"/>
        </w:rPr>
        <w:t>я локализации</w:t>
      </w:r>
      <w:r w:rsidR="008A143D"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RRL с вероятностью выявления </w:t>
      </w:r>
      <w:r w:rsidR="001C40D1" w:rsidRPr="00A43B9C">
        <w:rPr>
          <w:rFonts w:ascii="Times New Roman" w:eastAsia="Times New Roman" w:hAnsi="Times New Roman" w:cs="Times New Roman"/>
          <w:sz w:val="28"/>
          <w:szCs w:val="28"/>
          <w:lang w:val="en-US" w:eastAsia="ru-RU"/>
        </w:rPr>
        <w:t>LM</w:t>
      </w:r>
      <w:r w:rsidR="00E92B99" w:rsidRPr="00A43B9C">
        <w:rPr>
          <w:rFonts w:ascii="Times New Roman" w:eastAsia="Times New Roman" w:hAnsi="Times New Roman" w:cs="Times New Roman"/>
          <w:sz w:val="28"/>
          <w:szCs w:val="28"/>
          <w:lang w:eastAsia="ru-RU"/>
        </w:rPr>
        <w:t xml:space="preserve"> (таблица 23)</w:t>
      </w:r>
      <w:r w:rsidRPr="00A43B9C">
        <w:rPr>
          <w:rFonts w:ascii="Times New Roman" w:hAnsi="Times New Roman" w:cs="Times New Roman"/>
          <w:sz w:val="28"/>
          <w:szCs w:val="28"/>
        </w:rPr>
        <w:t>.</w:t>
      </w:r>
    </w:p>
    <w:p w14:paraId="71E2DAFC" w14:textId="77777777" w:rsidR="00295362" w:rsidRPr="00A43B9C" w:rsidRDefault="00295362" w:rsidP="00295362">
      <w:pPr>
        <w:spacing w:after="0" w:line="240" w:lineRule="auto"/>
        <w:rPr>
          <w:rFonts w:ascii="Times New Roman" w:hAnsi="Times New Roman" w:cs="Times New Roman"/>
          <w:sz w:val="28"/>
          <w:szCs w:val="28"/>
        </w:rPr>
      </w:pPr>
    </w:p>
    <w:p w14:paraId="26F7D72E" w14:textId="05B6CF2A" w:rsidR="00295362" w:rsidRPr="00A43B9C" w:rsidRDefault="000A6F86" w:rsidP="000B6935">
      <w:pPr>
        <w:spacing w:after="0" w:line="240" w:lineRule="auto"/>
        <w:jc w:val="both"/>
        <w:rPr>
          <w:rFonts w:ascii="Times New Roman" w:eastAsia="Times New Roman" w:hAnsi="Times New Roman" w:cs="Times New Roman"/>
          <w:sz w:val="28"/>
          <w:szCs w:val="28"/>
          <w:lang w:eastAsia="ru-RU"/>
        </w:rPr>
      </w:pPr>
      <w:r w:rsidRPr="00A43B9C">
        <w:rPr>
          <w:rFonts w:ascii="Times New Roman" w:hAnsi="Times New Roman" w:cs="Times New Roman"/>
          <w:sz w:val="28"/>
          <w:szCs w:val="28"/>
        </w:rPr>
        <w:t>Таблица 23 -</w:t>
      </w:r>
      <w:r w:rsidR="00295362" w:rsidRPr="00A43B9C">
        <w:rPr>
          <w:rFonts w:ascii="Times New Roman" w:hAnsi="Times New Roman" w:cs="Times New Roman"/>
          <w:sz w:val="28"/>
          <w:szCs w:val="28"/>
        </w:rPr>
        <w:t xml:space="preserve"> Характеристики </w:t>
      </w:r>
      <w:r w:rsidR="00AA52D4" w:rsidRPr="00A43B9C">
        <w:rPr>
          <w:rFonts w:ascii="Times New Roman" w:hAnsi="Times New Roman" w:cs="Times New Roman"/>
          <w:sz w:val="28"/>
          <w:szCs w:val="28"/>
        </w:rPr>
        <w:t xml:space="preserve">ассоциации </w:t>
      </w:r>
      <w:r w:rsidR="00295362" w:rsidRPr="00A43B9C">
        <w:rPr>
          <w:rFonts w:ascii="Times New Roman" w:hAnsi="Times New Roman" w:cs="Times New Roman"/>
          <w:sz w:val="28"/>
          <w:szCs w:val="28"/>
        </w:rPr>
        <w:t xml:space="preserve">предикторов модели с вероятностью выявления </w:t>
      </w:r>
      <w:r w:rsidR="001C40D1" w:rsidRPr="00A43B9C">
        <w:rPr>
          <w:rFonts w:ascii="Times New Roman" w:hAnsi="Times New Roman" w:cs="Times New Roman"/>
          <w:sz w:val="28"/>
          <w:szCs w:val="28"/>
          <w:lang w:val="en-US"/>
        </w:rPr>
        <w:t>LM</w:t>
      </w:r>
    </w:p>
    <w:p w14:paraId="441BFCC3"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5000" w:type="pct"/>
        <w:jc w:val="center"/>
        <w:tblLook w:val="04A0" w:firstRow="1" w:lastRow="0" w:firstColumn="1" w:lastColumn="0" w:noHBand="0" w:noVBand="1"/>
      </w:tblPr>
      <w:tblGrid>
        <w:gridCol w:w="1944"/>
        <w:gridCol w:w="1846"/>
        <w:gridCol w:w="1852"/>
        <w:gridCol w:w="1852"/>
        <w:gridCol w:w="1850"/>
      </w:tblGrid>
      <w:tr w:rsidR="00295362" w:rsidRPr="00A43B9C" w14:paraId="3F99421A" w14:textId="77777777" w:rsidTr="003F0A73">
        <w:trPr>
          <w:jc w:val="center"/>
        </w:trPr>
        <w:tc>
          <w:tcPr>
            <w:tcW w:w="1040" w:type="pct"/>
            <w:vMerge w:val="restart"/>
            <w:vAlign w:val="center"/>
          </w:tcPr>
          <w:p w14:paraId="0D06CD44" w14:textId="77777777" w:rsidR="00295362" w:rsidRPr="00A43B9C" w:rsidRDefault="0029536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Предикторы</w:t>
            </w:r>
          </w:p>
        </w:tc>
        <w:tc>
          <w:tcPr>
            <w:tcW w:w="1979" w:type="pct"/>
            <w:gridSpan w:val="2"/>
            <w:vAlign w:val="center"/>
          </w:tcPr>
          <w:p w14:paraId="58FD5D1A" w14:textId="2F71F403" w:rsidR="00295362" w:rsidRPr="00A43B9C" w:rsidRDefault="00AA52D4"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Однофакторный анализ</w:t>
            </w:r>
          </w:p>
        </w:tc>
        <w:tc>
          <w:tcPr>
            <w:tcW w:w="1982" w:type="pct"/>
            <w:gridSpan w:val="2"/>
            <w:vAlign w:val="center"/>
          </w:tcPr>
          <w:p w14:paraId="0AE99F84" w14:textId="41AAF3A0" w:rsidR="00295362" w:rsidRPr="00A43B9C" w:rsidRDefault="00AA52D4"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Многофакторный анализ</w:t>
            </w:r>
          </w:p>
        </w:tc>
      </w:tr>
      <w:tr w:rsidR="00295362" w:rsidRPr="00A43B9C" w14:paraId="113AE8F7" w14:textId="77777777" w:rsidTr="003F0A73">
        <w:trPr>
          <w:jc w:val="center"/>
        </w:trPr>
        <w:tc>
          <w:tcPr>
            <w:tcW w:w="1040" w:type="pct"/>
            <w:vMerge/>
          </w:tcPr>
          <w:p w14:paraId="7589AD4B" w14:textId="77777777" w:rsidR="00295362" w:rsidRPr="00A43B9C" w:rsidRDefault="00295362" w:rsidP="007E4204">
            <w:pPr>
              <w:spacing w:after="0" w:line="240" w:lineRule="auto"/>
              <w:rPr>
                <w:rFonts w:ascii="Times New Roman" w:hAnsi="Times New Roman" w:cs="Times New Roman"/>
                <w:sz w:val="28"/>
                <w:szCs w:val="28"/>
              </w:rPr>
            </w:pPr>
          </w:p>
        </w:tc>
        <w:tc>
          <w:tcPr>
            <w:tcW w:w="988" w:type="pct"/>
            <w:vAlign w:val="center"/>
          </w:tcPr>
          <w:p w14:paraId="3DCA0BE2" w14:textId="1CD6C6CC" w:rsidR="00295362" w:rsidRPr="00A43B9C" w:rsidRDefault="00AA52D4"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ОШ</w:t>
            </w:r>
            <w:r w:rsidR="00295362" w:rsidRPr="00A43B9C">
              <w:rPr>
                <w:rFonts w:ascii="Times New Roman" w:hAnsi="Times New Roman" w:cs="Times New Roman"/>
                <w:sz w:val="28"/>
                <w:szCs w:val="28"/>
              </w:rPr>
              <w:t>; 95% ДИ</w:t>
            </w:r>
          </w:p>
        </w:tc>
        <w:tc>
          <w:tcPr>
            <w:tcW w:w="991" w:type="pct"/>
            <w:vAlign w:val="center"/>
          </w:tcPr>
          <w:p w14:paraId="0B36BDD6" w14:textId="77777777" w:rsidR="00295362" w:rsidRPr="00A43B9C" w:rsidRDefault="0029536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w:t>
            </w:r>
          </w:p>
        </w:tc>
        <w:tc>
          <w:tcPr>
            <w:tcW w:w="991" w:type="pct"/>
            <w:vAlign w:val="center"/>
          </w:tcPr>
          <w:p w14:paraId="4E1D8153" w14:textId="76954E42" w:rsidR="00295362" w:rsidRPr="00A43B9C" w:rsidRDefault="00AA52D4"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ОШ</w:t>
            </w:r>
            <w:r w:rsidR="00295362" w:rsidRPr="00A43B9C">
              <w:rPr>
                <w:rFonts w:ascii="Times New Roman" w:hAnsi="Times New Roman" w:cs="Times New Roman"/>
                <w:sz w:val="28"/>
                <w:szCs w:val="28"/>
              </w:rPr>
              <w:t>; 95% ДИ</w:t>
            </w:r>
          </w:p>
        </w:tc>
        <w:tc>
          <w:tcPr>
            <w:tcW w:w="991" w:type="pct"/>
            <w:vAlign w:val="center"/>
          </w:tcPr>
          <w:p w14:paraId="5CF72B09" w14:textId="77777777" w:rsidR="00295362" w:rsidRPr="00A43B9C" w:rsidRDefault="0029536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w:t>
            </w:r>
          </w:p>
        </w:tc>
      </w:tr>
      <w:tr w:rsidR="00295362" w:rsidRPr="00A43B9C" w14:paraId="2FD3A5FB" w14:textId="77777777" w:rsidTr="003F0A73">
        <w:trPr>
          <w:jc w:val="center"/>
        </w:trPr>
        <w:tc>
          <w:tcPr>
            <w:tcW w:w="1040" w:type="pct"/>
            <w:vAlign w:val="center"/>
          </w:tcPr>
          <w:p w14:paraId="1C080667" w14:textId="55A130F3" w:rsidR="00295362" w:rsidRPr="00A43B9C" w:rsidRDefault="0029536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SUV</w:t>
            </w:r>
            <w:r w:rsidRPr="00A43B9C">
              <w:rPr>
                <w:rFonts w:ascii="Times New Roman" w:hAnsi="Times New Roman" w:cs="Times New Roman"/>
                <w:sz w:val="28"/>
                <w:szCs w:val="28"/>
                <w:vertAlign w:val="subscript"/>
              </w:rPr>
              <w:t xml:space="preserve">max </w:t>
            </w:r>
            <w:r w:rsidRPr="00A43B9C">
              <w:rPr>
                <w:rFonts w:ascii="Times New Roman" w:hAnsi="Times New Roman" w:cs="Times New Roman"/>
                <w:sz w:val="28"/>
                <w:szCs w:val="28"/>
              </w:rPr>
              <w:t>RE</w:t>
            </w:r>
          </w:p>
        </w:tc>
        <w:tc>
          <w:tcPr>
            <w:tcW w:w="988" w:type="pct"/>
            <w:vAlign w:val="center"/>
          </w:tcPr>
          <w:p w14:paraId="7AEA5982" w14:textId="77777777" w:rsidR="00295362" w:rsidRPr="00A43B9C" w:rsidRDefault="0029536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1,135; 0,353 – 3,647</w:t>
            </w:r>
          </w:p>
        </w:tc>
        <w:tc>
          <w:tcPr>
            <w:tcW w:w="991" w:type="pct"/>
            <w:vAlign w:val="center"/>
          </w:tcPr>
          <w:p w14:paraId="0B78C3FF" w14:textId="77777777" w:rsidR="00295362" w:rsidRPr="00A43B9C" w:rsidRDefault="0029536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0,832</w:t>
            </w:r>
          </w:p>
        </w:tc>
        <w:tc>
          <w:tcPr>
            <w:tcW w:w="991" w:type="pct"/>
            <w:vAlign w:val="center"/>
          </w:tcPr>
          <w:p w14:paraId="3303B32D" w14:textId="77777777" w:rsidR="00295362" w:rsidRPr="00A43B9C" w:rsidRDefault="0029536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7,053; 1,042 – 47,751</w:t>
            </w:r>
          </w:p>
        </w:tc>
        <w:tc>
          <w:tcPr>
            <w:tcW w:w="991" w:type="pct"/>
            <w:vAlign w:val="center"/>
          </w:tcPr>
          <w:p w14:paraId="2FFD9F43" w14:textId="77777777" w:rsidR="00295362" w:rsidRPr="00A43B9C" w:rsidRDefault="0029536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0,045*</w:t>
            </w:r>
          </w:p>
        </w:tc>
      </w:tr>
      <w:tr w:rsidR="00295362" w:rsidRPr="00A43B9C" w14:paraId="20EDB945" w14:textId="77777777" w:rsidTr="003F0A73">
        <w:trPr>
          <w:jc w:val="center"/>
        </w:trPr>
        <w:tc>
          <w:tcPr>
            <w:tcW w:w="1040" w:type="pct"/>
            <w:vAlign w:val="center"/>
          </w:tcPr>
          <w:p w14:paraId="65936373" w14:textId="59722488" w:rsidR="00295362" w:rsidRPr="00A43B9C" w:rsidRDefault="0029536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SUV</w:t>
            </w:r>
            <w:r w:rsidRPr="00A43B9C">
              <w:rPr>
                <w:rFonts w:ascii="Times New Roman" w:hAnsi="Times New Roman" w:cs="Times New Roman"/>
                <w:sz w:val="28"/>
                <w:szCs w:val="28"/>
                <w:vertAlign w:val="subscript"/>
              </w:rPr>
              <w:t xml:space="preserve">max </w:t>
            </w:r>
            <w:r w:rsidRPr="00A43B9C">
              <w:rPr>
                <w:rFonts w:ascii="Times New Roman" w:hAnsi="Times New Roman" w:cs="Times New Roman"/>
                <w:sz w:val="28"/>
                <w:szCs w:val="28"/>
              </w:rPr>
              <w:t>RRL</w:t>
            </w:r>
          </w:p>
        </w:tc>
        <w:tc>
          <w:tcPr>
            <w:tcW w:w="988" w:type="pct"/>
            <w:vAlign w:val="center"/>
          </w:tcPr>
          <w:p w14:paraId="625B27BD" w14:textId="77777777" w:rsidR="00295362" w:rsidRPr="00A43B9C" w:rsidRDefault="0029536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0,217; 0,050 – 0,946</w:t>
            </w:r>
          </w:p>
        </w:tc>
        <w:tc>
          <w:tcPr>
            <w:tcW w:w="991" w:type="pct"/>
            <w:vAlign w:val="center"/>
          </w:tcPr>
          <w:p w14:paraId="5E106C41" w14:textId="77777777" w:rsidR="00295362" w:rsidRPr="00A43B9C" w:rsidRDefault="0029536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0,042*</w:t>
            </w:r>
          </w:p>
        </w:tc>
        <w:tc>
          <w:tcPr>
            <w:tcW w:w="991" w:type="pct"/>
            <w:vAlign w:val="center"/>
          </w:tcPr>
          <w:p w14:paraId="3715D759" w14:textId="77777777" w:rsidR="00295362" w:rsidRPr="00A43B9C" w:rsidRDefault="0029536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0,048; 0,005 – 0,440</w:t>
            </w:r>
          </w:p>
        </w:tc>
        <w:tc>
          <w:tcPr>
            <w:tcW w:w="991" w:type="pct"/>
            <w:vAlign w:val="center"/>
          </w:tcPr>
          <w:p w14:paraId="5BF35416" w14:textId="77777777" w:rsidR="00295362" w:rsidRPr="00A43B9C" w:rsidRDefault="0029536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0,007*</w:t>
            </w:r>
          </w:p>
        </w:tc>
      </w:tr>
    </w:tbl>
    <w:p w14:paraId="2A609576" w14:textId="77777777" w:rsidR="00482050" w:rsidRPr="00A43B9C" w:rsidRDefault="00482050" w:rsidP="007825DC">
      <w:pPr>
        <w:spacing w:after="0" w:line="240" w:lineRule="auto"/>
        <w:jc w:val="center"/>
        <w:rPr>
          <w:rFonts w:ascii="Times New Roman" w:hAnsi="Times New Roman" w:cs="Times New Roman"/>
          <w:sz w:val="28"/>
          <w:szCs w:val="28"/>
        </w:rPr>
      </w:pPr>
    </w:p>
    <w:p w14:paraId="42655B97" w14:textId="4BA59561" w:rsidR="00295362" w:rsidRPr="00A43B9C" w:rsidRDefault="007825DC" w:rsidP="007825DC">
      <w:pPr>
        <w:spacing w:after="0" w:line="240" w:lineRule="auto"/>
        <w:jc w:val="center"/>
        <w:rPr>
          <w:rFonts w:ascii="Times New Roman" w:hAnsi="Times New Roman" w:cs="Times New Roman"/>
          <w:sz w:val="28"/>
          <w:szCs w:val="28"/>
        </w:rPr>
      </w:pPr>
      <w:r w:rsidRPr="00A43B9C">
        <w:rPr>
          <w:noProof/>
        </w:rPr>
        <w:drawing>
          <wp:inline distT="0" distB="0" distL="0" distR="0" wp14:anchorId="48A23520" wp14:editId="103AAE86">
            <wp:extent cx="3790299" cy="2160000"/>
            <wp:effectExtent l="0" t="0" r="1270" b="0"/>
            <wp:docPr id="30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28.png"/>
                    <pic:cNvPicPr/>
                  </pic:nvPicPr>
                  <pic:blipFill>
                    <a:blip r:embed="rId167"/>
                    <a:stretch>
                      <a:fillRect/>
                    </a:stretch>
                  </pic:blipFill>
                  <pic:spPr>
                    <a:xfrm>
                      <a:off x="0" y="0"/>
                      <a:ext cx="3790299" cy="2160000"/>
                    </a:xfrm>
                    <a:prstGeom prst="rect">
                      <a:avLst/>
                    </a:prstGeom>
                  </pic:spPr>
                </pic:pic>
              </a:graphicData>
            </a:graphic>
          </wp:inline>
        </w:drawing>
      </w:r>
    </w:p>
    <w:p w14:paraId="143DF69C" w14:textId="6D4FDD43" w:rsidR="00295362" w:rsidRPr="00A43B9C" w:rsidRDefault="00763F0C" w:rsidP="00295362">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w:t>
      </w:r>
      <w:r w:rsidR="00295362" w:rsidRPr="00A43B9C">
        <w:rPr>
          <w:rFonts w:ascii="Times New Roman" w:hAnsi="Times New Roman" w:cs="Times New Roman"/>
          <w:sz w:val="28"/>
          <w:szCs w:val="28"/>
        </w:rPr>
        <w:t xml:space="preserve"> </w:t>
      </w:r>
      <w:r w:rsidR="00482050" w:rsidRPr="00A43B9C">
        <w:rPr>
          <w:rFonts w:ascii="Times New Roman" w:hAnsi="Times New Roman" w:cs="Times New Roman"/>
          <w:sz w:val="28"/>
          <w:szCs w:val="28"/>
        </w:rPr>
        <w:t>3</w:t>
      </w:r>
      <w:r w:rsidR="00006C4D">
        <w:rPr>
          <w:rFonts w:ascii="Times New Roman" w:hAnsi="Times New Roman" w:cs="Times New Roman"/>
          <w:sz w:val="28"/>
          <w:szCs w:val="28"/>
        </w:rPr>
        <w:t>3</w:t>
      </w:r>
      <w:r w:rsidR="001D33E2" w:rsidRPr="00A43B9C">
        <w:rPr>
          <w:rFonts w:ascii="Times New Roman" w:hAnsi="Times New Roman" w:cs="Times New Roman"/>
          <w:sz w:val="28"/>
          <w:szCs w:val="28"/>
        </w:rPr>
        <w:t xml:space="preserve"> -</w:t>
      </w:r>
      <w:r w:rsidR="00295362" w:rsidRPr="00A43B9C">
        <w:rPr>
          <w:rFonts w:ascii="Times New Roman" w:hAnsi="Times New Roman" w:cs="Times New Roman"/>
          <w:sz w:val="28"/>
          <w:szCs w:val="28"/>
        </w:rPr>
        <w:t xml:space="preserve"> </w:t>
      </w:r>
      <w:r w:rsidR="00AA52D4" w:rsidRPr="00A43B9C">
        <w:rPr>
          <w:rFonts w:ascii="Times New Roman" w:hAnsi="Times New Roman" w:cs="Times New Roman"/>
          <w:sz w:val="28"/>
          <w:szCs w:val="28"/>
        </w:rPr>
        <w:t>Величины ОШ</w:t>
      </w:r>
      <w:r w:rsidR="00295362" w:rsidRPr="00A43B9C">
        <w:rPr>
          <w:rFonts w:ascii="Times New Roman" w:hAnsi="Times New Roman" w:cs="Times New Roman"/>
          <w:sz w:val="28"/>
          <w:szCs w:val="28"/>
        </w:rPr>
        <w:t xml:space="preserve"> с 95% ДИ для изучаемых предикторов показателя </w:t>
      </w:r>
      <w:r w:rsidR="001C40D1" w:rsidRPr="00A43B9C">
        <w:rPr>
          <w:rFonts w:ascii="Times New Roman" w:hAnsi="Times New Roman" w:cs="Times New Roman"/>
          <w:sz w:val="28"/>
          <w:szCs w:val="28"/>
          <w:lang w:val="en-US"/>
        </w:rPr>
        <w:t>LM</w:t>
      </w:r>
    </w:p>
    <w:p w14:paraId="282A71ED" w14:textId="77777777" w:rsidR="00295362" w:rsidRPr="00A43B9C" w:rsidRDefault="00295362" w:rsidP="00295362">
      <w:pPr>
        <w:spacing w:after="0" w:line="240" w:lineRule="auto"/>
        <w:rPr>
          <w:rFonts w:ascii="Times New Roman" w:hAnsi="Times New Roman" w:cs="Times New Roman"/>
          <w:sz w:val="28"/>
          <w:szCs w:val="28"/>
        </w:rPr>
      </w:pPr>
    </w:p>
    <w:p w14:paraId="7F614DDC" w14:textId="07F14EAB" w:rsidR="00295362" w:rsidRPr="00A43B9C" w:rsidRDefault="00295362" w:rsidP="00295362">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При оценке зависимости вероятности </w:t>
      </w:r>
      <w:r w:rsidR="001C40D1" w:rsidRPr="00A43B9C">
        <w:rPr>
          <w:rFonts w:ascii="Times New Roman" w:eastAsia="Times New Roman" w:hAnsi="Times New Roman" w:cs="Times New Roman"/>
          <w:sz w:val="28"/>
          <w:szCs w:val="28"/>
          <w:lang w:val="en-US" w:eastAsia="ru-RU"/>
        </w:rPr>
        <w:t>LM</w:t>
      </w:r>
      <w:r w:rsidR="00093E79" w:rsidRPr="00A43B9C">
        <w:rPr>
          <w:rFonts w:ascii="Times New Roman" w:hAnsi="Times New Roman" w:cs="Times New Roman"/>
          <w:sz w:val="28"/>
          <w:szCs w:val="28"/>
        </w:rPr>
        <w:t xml:space="preserve"> </w:t>
      </w:r>
      <w:r w:rsidR="00AA52D4" w:rsidRPr="00A43B9C">
        <w:rPr>
          <w:rFonts w:ascii="Times New Roman" w:hAnsi="Times New Roman" w:cs="Times New Roman"/>
          <w:sz w:val="28"/>
          <w:szCs w:val="28"/>
        </w:rPr>
        <w:t xml:space="preserve">в зависимости от </w:t>
      </w:r>
      <w:r w:rsidRPr="00A43B9C">
        <w:rPr>
          <w:rFonts w:ascii="Times New Roman" w:hAnsi="Times New Roman" w:cs="Times New Roman"/>
          <w:sz w:val="28"/>
          <w:szCs w:val="28"/>
        </w:rPr>
        <w:t xml:space="preserve">значения логистической функции </w:t>
      </w:r>
      <w:r w:rsidR="003844C6"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P с помощью ROC-анализа была получена следующая кривая</w:t>
      </w:r>
      <w:r w:rsidR="00E92B99" w:rsidRPr="00A43B9C">
        <w:rPr>
          <w:rFonts w:ascii="Times New Roman" w:hAnsi="Times New Roman" w:cs="Times New Roman"/>
          <w:sz w:val="28"/>
          <w:szCs w:val="28"/>
        </w:rPr>
        <w:t xml:space="preserve"> (рисунок 3</w:t>
      </w:r>
      <w:r w:rsidR="00006C4D">
        <w:rPr>
          <w:rFonts w:ascii="Times New Roman" w:hAnsi="Times New Roman" w:cs="Times New Roman"/>
          <w:sz w:val="28"/>
          <w:szCs w:val="28"/>
        </w:rPr>
        <w:t>4</w:t>
      </w:r>
      <w:r w:rsidR="00E92B99" w:rsidRPr="00A43B9C">
        <w:rPr>
          <w:rFonts w:ascii="Times New Roman" w:hAnsi="Times New Roman" w:cs="Times New Roman"/>
          <w:sz w:val="28"/>
          <w:szCs w:val="28"/>
        </w:rPr>
        <w:t>)</w:t>
      </w:r>
      <w:r w:rsidRPr="00A43B9C">
        <w:rPr>
          <w:rFonts w:ascii="Times New Roman" w:hAnsi="Times New Roman" w:cs="Times New Roman"/>
          <w:sz w:val="28"/>
          <w:szCs w:val="28"/>
        </w:rPr>
        <w:t>.</w:t>
      </w:r>
    </w:p>
    <w:p w14:paraId="52F4FD09" w14:textId="77777777" w:rsidR="00295362" w:rsidRPr="00A43B9C" w:rsidRDefault="00295362" w:rsidP="00295362">
      <w:pPr>
        <w:spacing w:after="0" w:line="240" w:lineRule="auto"/>
        <w:rPr>
          <w:rFonts w:ascii="Times New Roman" w:hAnsi="Times New Roman" w:cs="Times New Roman"/>
          <w:sz w:val="28"/>
          <w:szCs w:val="28"/>
        </w:rPr>
      </w:pPr>
    </w:p>
    <w:p w14:paraId="1B9C35E3" w14:textId="77777777" w:rsidR="00295362" w:rsidRPr="00A43B9C" w:rsidRDefault="00295362" w:rsidP="0051081F">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67C8E3E7" wp14:editId="2B8B942E">
            <wp:extent cx="3509755" cy="2160000"/>
            <wp:effectExtent l="0" t="0" r="0" b="0"/>
            <wp:docPr id="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2.png"/>
                    <pic:cNvPicPr/>
                  </pic:nvPicPr>
                  <pic:blipFill>
                    <a:blip r:embed="rId168"/>
                    <a:stretch>
                      <a:fillRect/>
                    </a:stretch>
                  </pic:blipFill>
                  <pic:spPr>
                    <a:xfrm>
                      <a:off x="0" y="0"/>
                      <a:ext cx="3509755" cy="2160000"/>
                    </a:xfrm>
                    <a:prstGeom prst="rect">
                      <a:avLst/>
                    </a:prstGeom>
                  </pic:spPr>
                </pic:pic>
              </a:graphicData>
            </a:graphic>
          </wp:inline>
        </w:drawing>
      </w:r>
    </w:p>
    <w:p w14:paraId="52CC035B" w14:textId="3BFF8F4F" w:rsidR="00295362" w:rsidRPr="00A43B9C" w:rsidRDefault="00763F0C" w:rsidP="00295362">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w:t>
      </w:r>
      <w:r w:rsidR="00295362" w:rsidRPr="00A43B9C">
        <w:rPr>
          <w:rFonts w:ascii="Times New Roman" w:hAnsi="Times New Roman" w:cs="Times New Roman"/>
          <w:sz w:val="28"/>
          <w:szCs w:val="28"/>
        </w:rPr>
        <w:t xml:space="preserve"> </w:t>
      </w:r>
      <w:r w:rsidR="00482050" w:rsidRPr="00A43B9C">
        <w:rPr>
          <w:rFonts w:ascii="Times New Roman" w:hAnsi="Times New Roman" w:cs="Times New Roman"/>
          <w:sz w:val="28"/>
          <w:szCs w:val="28"/>
        </w:rPr>
        <w:t>3</w:t>
      </w:r>
      <w:r w:rsidR="00006C4D">
        <w:rPr>
          <w:rFonts w:ascii="Times New Roman" w:hAnsi="Times New Roman" w:cs="Times New Roman"/>
          <w:sz w:val="28"/>
          <w:szCs w:val="28"/>
        </w:rPr>
        <w:t>4</w:t>
      </w:r>
      <w:r w:rsidR="001D33E2" w:rsidRPr="00A43B9C">
        <w:rPr>
          <w:rFonts w:ascii="Times New Roman" w:hAnsi="Times New Roman" w:cs="Times New Roman"/>
          <w:sz w:val="28"/>
          <w:szCs w:val="28"/>
        </w:rPr>
        <w:t xml:space="preserve"> -</w:t>
      </w:r>
      <w:r w:rsidR="00295362" w:rsidRPr="00A43B9C">
        <w:rPr>
          <w:rFonts w:ascii="Times New Roman" w:hAnsi="Times New Roman" w:cs="Times New Roman"/>
          <w:sz w:val="28"/>
          <w:szCs w:val="28"/>
        </w:rPr>
        <w:t xml:space="preserve"> ROC-кривая, характеризующая зависимость вероятности </w:t>
      </w:r>
      <w:r w:rsidR="00777C9A">
        <w:rPr>
          <w:rFonts w:ascii="Times New Roman" w:hAnsi="Times New Roman" w:cs="Times New Roman"/>
          <w:sz w:val="28"/>
          <w:szCs w:val="28"/>
          <w:lang w:val="en-US"/>
        </w:rPr>
        <w:t>p</w:t>
      </w:r>
      <w:r w:rsidR="001C40D1" w:rsidRPr="00A43B9C">
        <w:rPr>
          <w:rFonts w:ascii="Times New Roman" w:eastAsia="Times New Roman" w:hAnsi="Times New Roman" w:cs="Times New Roman"/>
          <w:sz w:val="28"/>
          <w:szCs w:val="28"/>
          <w:lang w:val="en-US" w:eastAsia="ru-RU"/>
        </w:rPr>
        <w:t>LM</w:t>
      </w:r>
      <w:r w:rsidR="00093E79" w:rsidRPr="00A43B9C">
        <w:rPr>
          <w:rFonts w:ascii="Times New Roman" w:hAnsi="Times New Roman" w:cs="Times New Roman"/>
          <w:sz w:val="28"/>
          <w:szCs w:val="28"/>
        </w:rPr>
        <w:t xml:space="preserve"> </w:t>
      </w:r>
      <w:r w:rsidR="00295362" w:rsidRPr="00A43B9C">
        <w:rPr>
          <w:rFonts w:ascii="Times New Roman" w:hAnsi="Times New Roman" w:cs="Times New Roman"/>
          <w:sz w:val="28"/>
          <w:szCs w:val="28"/>
        </w:rPr>
        <w:t xml:space="preserve">от значения логистической функции </w:t>
      </w:r>
      <w:r w:rsidR="003844C6" w:rsidRPr="00A43B9C">
        <w:rPr>
          <w:rFonts w:ascii="Times New Roman" w:hAnsi="Times New Roman" w:cs="Times New Roman"/>
          <w:sz w:val="28"/>
          <w:szCs w:val="28"/>
        </w:rPr>
        <w:t xml:space="preserve">локализации </w:t>
      </w:r>
      <w:r w:rsidR="00295362" w:rsidRPr="00A43B9C">
        <w:rPr>
          <w:rFonts w:ascii="Times New Roman" w:hAnsi="Times New Roman" w:cs="Times New Roman"/>
          <w:sz w:val="28"/>
          <w:szCs w:val="28"/>
        </w:rPr>
        <w:t>P</w:t>
      </w:r>
    </w:p>
    <w:p w14:paraId="3FCF6DE6" w14:textId="77777777" w:rsidR="00295362" w:rsidRPr="00A43B9C" w:rsidRDefault="00295362" w:rsidP="0051081F">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lastRenderedPageBreak/>
        <w:drawing>
          <wp:inline distT="0" distB="0" distL="0" distR="0" wp14:anchorId="31E768B1" wp14:editId="4372D872">
            <wp:extent cx="4968590" cy="2268000"/>
            <wp:effectExtent l="0" t="0" r="3810" b="0"/>
            <wp:docPr id="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3.png"/>
                    <pic:cNvPicPr/>
                  </pic:nvPicPr>
                  <pic:blipFill>
                    <a:blip r:embed="rId169"/>
                    <a:stretch>
                      <a:fillRect/>
                    </a:stretch>
                  </pic:blipFill>
                  <pic:spPr>
                    <a:xfrm>
                      <a:off x="0" y="0"/>
                      <a:ext cx="4968590" cy="2268000"/>
                    </a:xfrm>
                    <a:prstGeom prst="rect">
                      <a:avLst/>
                    </a:prstGeom>
                  </pic:spPr>
                </pic:pic>
              </a:graphicData>
            </a:graphic>
          </wp:inline>
        </w:drawing>
      </w:r>
    </w:p>
    <w:p w14:paraId="13B7EC7F" w14:textId="74CFAFEB" w:rsidR="00295362" w:rsidRPr="00A43B9C" w:rsidRDefault="00763F0C" w:rsidP="00295362">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w:t>
      </w:r>
      <w:r w:rsidR="00295362" w:rsidRPr="00A43B9C">
        <w:rPr>
          <w:rFonts w:ascii="Times New Roman" w:hAnsi="Times New Roman" w:cs="Times New Roman"/>
          <w:sz w:val="28"/>
          <w:szCs w:val="28"/>
        </w:rPr>
        <w:t xml:space="preserve"> </w:t>
      </w:r>
      <w:r w:rsidR="00482050" w:rsidRPr="00A43B9C">
        <w:rPr>
          <w:rFonts w:ascii="Times New Roman" w:hAnsi="Times New Roman" w:cs="Times New Roman"/>
          <w:sz w:val="28"/>
          <w:szCs w:val="28"/>
        </w:rPr>
        <w:t>3</w:t>
      </w:r>
      <w:r w:rsidR="00006C4D">
        <w:rPr>
          <w:rFonts w:ascii="Times New Roman" w:hAnsi="Times New Roman" w:cs="Times New Roman"/>
          <w:sz w:val="28"/>
          <w:szCs w:val="28"/>
        </w:rPr>
        <w:t>5</w:t>
      </w:r>
      <w:r w:rsidR="001D33E2" w:rsidRPr="00A43B9C">
        <w:rPr>
          <w:rFonts w:ascii="Times New Roman" w:hAnsi="Times New Roman" w:cs="Times New Roman"/>
          <w:sz w:val="28"/>
          <w:szCs w:val="28"/>
        </w:rPr>
        <w:t xml:space="preserve"> -</w:t>
      </w:r>
      <w:r w:rsidR="00295362" w:rsidRPr="00A43B9C">
        <w:rPr>
          <w:rFonts w:ascii="Times New Roman" w:hAnsi="Times New Roman" w:cs="Times New Roman"/>
          <w:sz w:val="28"/>
          <w:szCs w:val="28"/>
        </w:rPr>
        <w:t xml:space="preserve"> Анализ чувствительности и специфичности модели в зависимости от пороговых значений логистической функции </w:t>
      </w:r>
      <w:r w:rsidR="00AA52D4" w:rsidRPr="00A43B9C">
        <w:rPr>
          <w:rFonts w:ascii="Times New Roman" w:hAnsi="Times New Roman" w:cs="Times New Roman"/>
          <w:sz w:val="28"/>
          <w:szCs w:val="28"/>
        </w:rPr>
        <w:t xml:space="preserve">локализации </w:t>
      </w:r>
      <w:r w:rsidR="00295362" w:rsidRPr="00A43B9C">
        <w:rPr>
          <w:rFonts w:ascii="Times New Roman" w:hAnsi="Times New Roman" w:cs="Times New Roman"/>
          <w:sz w:val="28"/>
          <w:szCs w:val="28"/>
        </w:rPr>
        <w:t>P</w:t>
      </w:r>
    </w:p>
    <w:p w14:paraId="11F872BF" w14:textId="073A2B01" w:rsidR="00295362" w:rsidRDefault="00295362" w:rsidP="00295362">
      <w:pPr>
        <w:spacing w:after="0" w:line="240" w:lineRule="auto"/>
        <w:rPr>
          <w:rFonts w:ascii="Times New Roman" w:hAnsi="Times New Roman" w:cs="Times New Roman"/>
          <w:sz w:val="28"/>
          <w:szCs w:val="28"/>
        </w:rPr>
      </w:pPr>
    </w:p>
    <w:p w14:paraId="0356BC1E" w14:textId="183D54E6" w:rsidR="00295362"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24 -</w:t>
      </w:r>
      <w:r w:rsidR="00295362" w:rsidRPr="00A43B9C">
        <w:rPr>
          <w:rFonts w:ascii="Times New Roman" w:hAnsi="Times New Roman" w:cs="Times New Roman"/>
          <w:sz w:val="28"/>
          <w:szCs w:val="28"/>
        </w:rPr>
        <w:t xml:space="preserve"> Пороговые значения логистической функции </w:t>
      </w:r>
      <w:r w:rsidR="003844C6" w:rsidRPr="00A43B9C">
        <w:rPr>
          <w:rFonts w:ascii="Times New Roman" w:hAnsi="Times New Roman" w:cs="Times New Roman"/>
          <w:sz w:val="28"/>
          <w:szCs w:val="28"/>
        </w:rPr>
        <w:t xml:space="preserve">локализации </w:t>
      </w:r>
      <w:r w:rsidR="00295362" w:rsidRPr="00A43B9C">
        <w:rPr>
          <w:rFonts w:ascii="Times New Roman" w:hAnsi="Times New Roman" w:cs="Times New Roman"/>
          <w:sz w:val="28"/>
          <w:szCs w:val="28"/>
        </w:rPr>
        <w:t>P</w:t>
      </w:r>
    </w:p>
    <w:p w14:paraId="5F17AB45"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0" w:type="auto"/>
        <w:jc w:val="center"/>
        <w:tblLook w:val="04A0" w:firstRow="1" w:lastRow="0" w:firstColumn="1" w:lastColumn="0" w:noHBand="0" w:noVBand="1"/>
      </w:tblPr>
      <w:tblGrid>
        <w:gridCol w:w="1789"/>
        <w:gridCol w:w="2069"/>
        <w:gridCol w:w="1967"/>
        <w:gridCol w:w="1756"/>
        <w:gridCol w:w="1763"/>
      </w:tblGrid>
      <w:tr w:rsidR="00B771B5" w:rsidRPr="00A43B9C" w14:paraId="4FE29BB7" w14:textId="77777777" w:rsidTr="00B771B5">
        <w:trPr>
          <w:jc w:val="center"/>
        </w:trPr>
        <w:tc>
          <w:tcPr>
            <w:tcW w:w="1790" w:type="dxa"/>
            <w:vAlign w:val="center"/>
          </w:tcPr>
          <w:p w14:paraId="22B876CD" w14:textId="0219D633"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Порог</w:t>
            </w:r>
            <w:r w:rsidR="00AA52D4" w:rsidRPr="00A43B9C">
              <w:rPr>
                <w:rFonts w:ascii="Times New Roman" w:hAnsi="Times New Roman" w:cs="Times New Roman"/>
                <w:sz w:val="28"/>
                <w:szCs w:val="28"/>
              </w:rPr>
              <w:t>овое значение</w:t>
            </w:r>
          </w:p>
        </w:tc>
        <w:tc>
          <w:tcPr>
            <w:tcW w:w="2069" w:type="dxa"/>
            <w:vAlign w:val="center"/>
          </w:tcPr>
          <w:p w14:paraId="19B249E0" w14:textId="10166884"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Se, %</w:t>
            </w:r>
          </w:p>
        </w:tc>
        <w:tc>
          <w:tcPr>
            <w:tcW w:w="1967" w:type="dxa"/>
            <w:vAlign w:val="center"/>
          </w:tcPr>
          <w:p w14:paraId="67C8E114" w14:textId="0EDBC9FF"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Sp, %</w:t>
            </w:r>
          </w:p>
        </w:tc>
        <w:tc>
          <w:tcPr>
            <w:tcW w:w="1756" w:type="dxa"/>
            <w:vAlign w:val="center"/>
          </w:tcPr>
          <w:p w14:paraId="206F99C7" w14:textId="14919772"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PPV</w:t>
            </w:r>
            <w:r w:rsidR="003E57FA" w:rsidRPr="00A43B9C">
              <w:rPr>
                <w:rFonts w:ascii="Times New Roman" w:hAnsi="Times New Roman" w:cs="Times New Roman"/>
                <w:sz w:val="28"/>
                <w:szCs w:val="28"/>
                <w:lang w:val="en-US"/>
              </w:rPr>
              <w:t>, %</w:t>
            </w:r>
          </w:p>
        </w:tc>
        <w:tc>
          <w:tcPr>
            <w:tcW w:w="1763" w:type="dxa"/>
            <w:vAlign w:val="center"/>
          </w:tcPr>
          <w:p w14:paraId="746B3524" w14:textId="306BA52A"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NPV</w:t>
            </w:r>
            <w:r w:rsidR="003E57FA" w:rsidRPr="00A43B9C">
              <w:rPr>
                <w:rFonts w:ascii="Times New Roman" w:hAnsi="Times New Roman" w:cs="Times New Roman"/>
                <w:sz w:val="28"/>
                <w:szCs w:val="28"/>
                <w:lang w:val="en-US"/>
              </w:rPr>
              <w:t>, %</w:t>
            </w:r>
          </w:p>
        </w:tc>
      </w:tr>
      <w:tr w:rsidR="00B771B5" w:rsidRPr="00A43B9C" w14:paraId="29D67550" w14:textId="77777777" w:rsidTr="00B771B5">
        <w:trPr>
          <w:jc w:val="center"/>
        </w:trPr>
        <w:tc>
          <w:tcPr>
            <w:tcW w:w="1790" w:type="dxa"/>
            <w:vAlign w:val="center"/>
          </w:tcPr>
          <w:p w14:paraId="437C9C37"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0,669</w:t>
            </w:r>
          </w:p>
        </w:tc>
        <w:tc>
          <w:tcPr>
            <w:tcW w:w="2069" w:type="dxa"/>
            <w:vAlign w:val="center"/>
          </w:tcPr>
          <w:p w14:paraId="1E81B091"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50,0</w:t>
            </w:r>
          </w:p>
        </w:tc>
        <w:tc>
          <w:tcPr>
            <w:tcW w:w="1967" w:type="dxa"/>
            <w:vAlign w:val="center"/>
          </w:tcPr>
          <w:p w14:paraId="705F6232"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92,0</w:t>
            </w:r>
          </w:p>
        </w:tc>
        <w:tc>
          <w:tcPr>
            <w:tcW w:w="1756" w:type="dxa"/>
            <w:vAlign w:val="center"/>
          </w:tcPr>
          <w:p w14:paraId="164708DC"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86,2</w:t>
            </w:r>
          </w:p>
        </w:tc>
        <w:tc>
          <w:tcPr>
            <w:tcW w:w="1763" w:type="dxa"/>
            <w:vAlign w:val="center"/>
          </w:tcPr>
          <w:p w14:paraId="3E2B9A97"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64,8</w:t>
            </w:r>
          </w:p>
        </w:tc>
      </w:tr>
      <w:tr w:rsidR="00B771B5" w:rsidRPr="00A43B9C" w14:paraId="14E09765" w14:textId="77777777" w:rsidTr="00B771B5">
        <w:trPr>
          <w:jc w:val="center"/>
        </w:trPr>
        <w:tc>
          <w:tcPr>
            <w:tcW w:w="1790" w:type="dxa"/>
            <w:vAlign w:val="center"/>
          </w:tcPr>
          <w:p w14:paraId="235F4B77"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0,668</w:t>
            </w:r>
          </w:p>
        </w:tc>
        <w:tc>
          <w:tcPr>
            <w:tcW w:w="2069" w:type="dxa"/>
            <w:vAlign w:val="center"/>
          </w:tcPr>
          <w:p w14:paraId="19DEE010"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50,0</w:t>
            </w:r>
          </w:p>
        </w:tc>
        <w:tc>
          <w:tcPr>
            <w:tcW w:w="1967" w:type="dxa"/>
            <w:vAlign w:val="center"/>
          </w:tcPr>
          <w:p w14:paraId="16467266"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88,0</w:t>
            </w:r>
          </w:p>
        </w:tc>
        <w:tc>
          <w:tcPr>
            <w:tcW w:w="1756" w:type="dxa"/>
            <w:vAlign w:val="center"/>
          </w:tcPr>
          <w:p w14:paraId="279F6974"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80,6</w:t>
            </w:r>
          </w:p>
        </w:tc>
        <w:tc>
          <w:tcPr>
            <w:tcW w:w="1763" w:type="dxa"/>
            <w:vAlign w:val="center"/>
          </w:tcPr>
          <w:p w14:paraId="299D5C09"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63,8</w:t>
            </w:r>
          </w:p>
        </w:tc>
      </w:tr>
      <w:tr w:rsidR="00B771B5" w:rsidRPr="00A43B9C" w14:paraId="19826BF7" w14:textId="77777777" w:rsidTr="00B771B5">
        <w:trPr>
          <w:jc w:val="center"/>
        </w:trPr>
        <w:tc>
          <w:tcPr>
            <w:tcW w:w="1790" w:type="dxa"/>
            <w:vAlign w:val="center"/>
          </w:tcPr>
          <w:p w14:paraId="071CB42B"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0,662</w:t>
            </w:r>
          </w:p>
        </w:tc>
        <w:tc>
          <w:tcPr>
            <w:tcW w:w="2069" w:type="dxa"/>
            <w:vAlign w:val="center"/>
          </w:tcPr>
          <w:p w14:paraId="73388B1E"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53,6</w:t>
            </w:r>
          </w:p>
        </w:tc>
        <w:tc>
          <w:tcPr>
            <w:tcW w:w="1967" w:type="dxa"/>
            <w:vAlign w:val="center"/>
          </w:tcPr>
          <w:p w14:paraId="5B3DF243"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88,0</w:t>
            </w:r>
          </w:p>
        </w:tc>
        <w:tc>
          <w:tcPr>
            <w:tcW w:w="1756" w:type="dxa"/>
            <w:vAlign w:val="center"/>
          </w:tcPr>
          <w:p w14:paraId="7283D19F"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81,7</w:t>
            </w:r>
          </w:p>
        </w:tc>
        <w:tc>
          <w:tcPr>
            <w:tcW w:w="1763" w:type="dxa"/>
            <w:vAlign w:val="center"/>
          </w:tcPr>
          <w:p w14:paraId="460DC66F"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65,5</w:t>
            </w:r>
          </w:p>
        </w:tc>
      </w:tr>
      <w:tr w:rsidR="00B771B5" w:rsidRPr="00A43B9C" w14:paraId="49959585" w14:textId="77777777" w:rsidTr="00B771B5">
        <w:trPr>
          <w:jc w:val="center"/>
        </w:trPr>
        <w:tc>
          <w:tcPr>
            <w:tcW w:w="1790" w:type="dxa"/>
            <w:vAlign w:val="center"/>
          </w:tcPr>
          <w:p w14:paraId="3B749BD4"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0,660</w:t>
            </w:r>
          </w:p>
        </w:tc>
        <w:tc>
          <w:tcPr>
            <w:tcW w:w="2069" w:type="dxa"/>
            <w:vAlign w:val="center"/>
          </w:tcPr>
          <w:p w14:paraId="038AD73B"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53,6</w:t>
            </w:r>
          </w:p>
        </w:tc>
        <w:tc>
          <w:tcPr>
            <w:tcW w:w="1967" w:type="dxa"/>
            <w:vAlign w:val="center"/>
          </w:tcPr>
          <w:p w14:paraId="006FA34B"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84,0</w:t>
            </w:r>
          </w:p>
        </w:tc>
        <w:tc>
          <w:tcPr>
            <w:tcW w:w="1756" w:type="dxa"/>
            <w:vAlign w:val="center"/>
          </w:tcPr>
          <w:p w14:paraId="55D811D7"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77,0</w:t>
            </w:r>
          </w:p>
        </w:tc>
        <w:tc>
          <w:tcPr>
            <w:tcW w:w="1763" w:type="dxa"/>
            <w:vAlign w:val="center"/>
          </w:tcPr>
          <w:p w14:paraId="5D315BA4"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64,4</w:t>
            </w:r>
          </w:p>
        </w:tc>
      </w:tr>
      <w:tr w:rsidR="00B771B5" w:rsidRPr="00A43B9C" w14:paraId="4847522E" w14:textId="77777777" w:rsidTr="00B771B5">
        <w:trPr>
          <w:jc w:val="center"/>
        </w:trPr>
        <w:tc>
          <w:tcPr>
            <w:tcW w:w="1790" w:type="dxa"/>
            <w:vAlign w:val="center"/>
          </w:tcPr>
          <w:p w14:paraId="0A95DB39" w14:textId="77777777" w:rsidR="00B771B5" w:rsidRPr="00452443" w:rsidRDefault="00B771B5" w:rsidP="00B771B5">
            <w:pPr>
              <w:spacing w:after="0" w:line="240" w:lineRule="auto"/>
              <w:jc w:val="center"/>
              <w:rPr>
                <w:rFonts w:ascii="Times New Roman" w:hAnsi="Times New Roman" w:cs="Times New Roman"/>
                <w:sz w:val="28"/>
                <w:szCs w:val="28"/>
              </w:rPr>
            </w:pPr>
            <w:r w:rsidRPr="00452443">
              <w:rPr>
                <w:rFonts w:ascii="Times New Roman" w:hAnsi="Times New Roman" w:cs="Times New Roman"/>
                <w:sz w:val="28"/>
                <w:szCs w:val="28"/>
              </w:rPr>
              <w:t>0,617</w:t>
            </w:r>
          </w:p>
        </w:tc>
        <w:tc>
          <w:tcPr>
            <w:tcW w:w="2069" w:type="dxa"/>
            <w:vAlign w:val="center"/>
          </w:tcPr>
          <w:p w14:paraId="3207CD42" w14:textId="77777777" w:rsidR="00B771B5" w:rsidRPr="00452443" w:rsidRDefault="00B771B5" w:rsidP="00B771B5">
            <w:pPr>
              <w:spacing w:after="0" w:line="240" w:lineRule="auto"/>
              <w:jc w:val="center"/>
              <w:rPr>
                <w:rFonts w:ascii="Times New Roman" w:hAnsi="Times New Roman" w:cs="Times New Roman"/>
                <w:sz w:val="28"/>
                <w:szCs w:val="28"/>
              </w:rPr>
            </w:pPr>
            <w:r w:rsidRPr="00452443">
              <w:rPr>
                <w:rFonts w:ascii="Times New Roman" w:hAnsi="Times New Roman" w:cs="Times New Roman"/>
                <w:sz w:val="28"/>
                <w:szCs w:val="28"/>
              </w:rPr>
              <w:t>60,7</w:t>
            </w:r>
          </w:p>
        </w:tc>
        <w:tc>
          <w:tcPr>
            <w:tcW w:w="1967" w:type="dxa"/>
            <w:vAlign w:val="center"/>
          </w:tcPr>
          <w:p w14:paraId="705A359D" w14:textId="77777777" w:rsidR="00B771B5" w:rsidRPr="00452443" w:rsidRDefault="00B771B5" w:rsidP="00B771B5">
            <w:pPr>
              <w:spacing w:after="0" w:line="240" w:lineRule="auto"/>
              <w:jc w:val="center"/>
              <w:rPr>
                <w:rFonts w:ascii="Times New Roman" w:hAnsi="Times New Roman" w:cs="Times New Roman"/>
                <w:sz w:val="28"/>
                <w:szCs w:val="28"/>
              </w:rPr>
            </w:pPr>
            <w:r w:rsidRPr="00452443">
              <w:rPr>
                <w:rFonts w:ascii="Times New Roman" w:hAnsi="Times New Roman" w:cs="Times New Roman"/>
                <w:sz w:val="28"/>
                <w:szCs w:val="28"/>
              </w:rPr>
              <w:t>84,0</w:t>
            </w:r>
          </w:p>
        </w:tc>
        <w:tc>
          <w:tcPr>
            <w:tcW w:w="1756" w:type="dxa"/>
            <w:vAlign w:val="center"/>
          </w:tcPr>
          <w:p w14:paraId="4FC7C3AB" w14:textId="77777777" w:rsidR="00B771B5" w:rsidRPr="00452443" w:rsidRDefault="00B771B5" w:rsidP="00B771B5">
            <w:pPr>
              <w:spacing w:after="0" w:line="240" w:lineRule="auto"/>
              <w:jc w:val="center"/>
              <w:rPr>
                <w:rFonts w:ascii="Times New Roman" w:hAnsi="Times New Roman" w:cs="Times New Roman"/>
                <w:sz w:val="28"/>
                <w:szCs w:val="28"/>
              </w:rPr>
            </w:pPr>
            <w:r w:rsidRPr="00452443">
              <w:rPr>
                <w:rFonts w:ascii="Times New Roman" w:hAnsi="Times New Roman" w:cs="Times New Roman"/>
                <w:sz w:val="28"/>
                <w:szCs w:val="28"/>
              </w:rPr>
              <w:t>79,1</w:t>
            </w:r>
          </w:p>
        </w:tc>
        <w:tc>
          <w:tcPr>
            <w:tcW w:w="1763" w:type="dxa"/>
            <w:vAlign w:val="center"/>
          </w:tcPr>
          <w:p w14:paraId="3DAA45DF" w14:textId="77777777" w:rsidR="00B771B5" w:rsidRPr="00452443" w:rsidRDefault="00B771B5" w:rsidP="00B771B5">
            <w:pPr>
              <w:spacing w:after="0" w:line="240" w:lineRule="auto"/>
              <w:jc w:val="center"/>
              <w:rPr>
                <w:rFonts w:ascii="Times New Roman" w:hAnsi="Times New Roman" w:cs="Times New Roman"/>
                <w:sz w:val="28"/>
                <w:szCs w:val="28"/>
              </w:rPr>
            </w:pPr>
            <w:r w:rsidRPr="00452443">
              <w:rPr>
                <w:rFonts w:ascii="Times New Roman" w:hAnsi="Times New Roman" w:cs="Times New Roman"/>
                <w:sz w:val="28"/>
                <w:szCs w:val="28"/>
              </w:rPr>
              <w:t>68,1</w:t>
            </w:r>
          </w:p>
        </w:tc>
      </w:tr>
      <w:tr w:rsidR="00B771B5" w:rsidRPr="00A43B9C" w14:paraId="621B2CDB" w14:textId="77777777" w:rsidTr="00B771B5">
        <w:trPr>
          <w:jc w:val="center"/>
        </w:trPr>
        <w:tc>
          <w:tcPr>
            <w:tcW w:w="1790" w:type="dxa"/>
            <w:vAlign w:val="center"/>
          </w:tcPr>
          <w:p w14:paraId="73288434"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0,598</w:t>
            </w:r>
          </w:p>
        </w:tc>
        <w:tc>
          <w:tcPr>
            <w:tcW w:w="2069" w:type="dxa"/>
            <w:vAlign w:val="center"/>
          </w:tcPr>
          <w:p w14:paraId="7464A264"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60,7</w:t>
            </w:r>
          </w:p>
        </w:tc>
        <w:tc>
          <w:tcPr>
            <w:tcW w:w="1967" w:type="dxa"/>
            <w:vAlign w:val="center"/>
          </w:tcPr>
          <w:p w14:paraId="53B6DEEC"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76,0</w:t>
            </w:r>
          </w:p>
        </w:tc>
        <w:tc>
          <w:tcPr>
            <w:tcW w:w="1756" w:type="dxa"/>
            <w:vAlign w:val="center"/>
          </w:tcPr>
          <w:p w14:paraId="2992E2AC"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71,7</w:t>
            </w:r>
          </w:p>
        </w:tc>
        <w:tc>
          <w:tcPr>
            <w:tcW w:w="1763" w:type="dxa"/>
            <w:vAlign w:val="center"/>
          </w:tcPr>
          <w:p w14:paraId="030E9949"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65,9</w:t>
            </w:r>
          </w:p>
        </w:tc>
      </w:tr>
      <w:tr w:rsidR="00B771B5" w:rsidRPr="00A43B9C" w14:paraId="3F067668" w14:textId="77777777" w:rsidTr="00B771B5">
        <w:trPr>
          <w:jc w:val="center"/>
        </w:trPr>
        <w:tc>
          <w:tcPr>
            <w:tcW w:w="1790" w:type="dxa"/>
            <w:vAlign w:val="center"/>
          </w:tcPr>
          <w:p w14:paraId="4794B543"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0,593</w:t>
            </w:r>
          </w:p>
        </w:tc>
        <w:tc>
          <w:tcPr>
            <w:tcW w:w="2069" w:type="dxa"/>
            <w:vAlign w:val="center"/>
          </w:tcPr>
          <w:p w14:paraId="2EFAA4CE"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60,7</w:t>
            </w:r>
          </w:p>
        </w:tc>
        <w:tc>
          <w:tcPr>
            <w:tcW w:w="1967" w:type="dxa"/>
            <w:vAlign w:val="center"/>
          </w:tcPr>
          <w:p w14:paraId="60914807"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68,0</w:t>
            </w:r>
          </w:p>
        </w:tc>
        <w:tc>
          <w:tcPr>
            <w:tcW w:w="1756" w:type="dxa"/>
            <w:vAlign w:val="center"/>
          </w:tcPr>
          <w:p w14:paraId="4085228A"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65,5</w:t>
            </w:r>
          </w:p>
        </w:tc>
        <w:tc>
          <w:tcPr>
            <w:tcW w:w="1763" w:type="dxa"/>
            <w:vAlign w:val="center"/>
          </w:tcPr>
          <w:p w14:paraId="4E8AD47C"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63,4</w:t>
            </w:r>
          </w:p>
        </w:tc>
      </w:tr>
      <w:tr w:rsidR="00B771B5" w:rsidRPr="00A43B9C" w14:paraId="2BD161B7" w14:textId="77777777" w:rsidTr="00B771B5">
        <w:trPr>
          <w:jc w:val="center"/>
        </w:trPr>
        <w:tc>
          <w:tcPr>
            <w:tcW w:w="1790" w:type="dxa"/>
            <w:vAlign w:val="center"/>
          </w:tcPr>
          <w:p w14:paraId="75F95A0E" w14:textId="77777777" w:rsidR="00B771B5" w:rsidRPr="00A43B9C" w:rsidRDefault="00B771B5" w:rsidP="00B771B5">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0,578</w:t>
            </w:r>
          </w:p>
        </w:tc>
        <w:tc>
          <w:tcPr>
            <w:tcW w:w="2069" w:type="dxa"/>
            <w:vAlign w:val="center"/>
          </w:tcPr>
          <w:p w14:paraId="7A00C8F6" w14:textId="77777777" w:rsidR="00B771B5" w:rsidRPr="00A43B9C" w:rsidRDefault="00B771B5" w:rsidP="00B771B5">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60,7</w:t>
            </w:r>
          </w:p>
        </w:tc>
        <w:tc>
          <w:tcPr>
            <w:tcW w:w="1967" w:type="dxa"/>
            <w:vAlign w:val="center"/>
          </w:tcPr>
          <w:p w14:paraId="0B2A8B91" w14:textId="77777777" w:rsidR="00B771B5" w:rsidRPr="00A43B9C" w:rsidRDefault="00B771B5" w:rsidP="00B771B5">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60,0</w:t>
            </w:r>
          </w:p>
        </w:tc>
        <w:tc>
          <w:tcPr>
            <w:tcW w:w="1756" w:type="dxa"/>
            <w:vAlign w:val="center"/>
          </w:tcPr>
          <w:p w14:paraId="7A38F970" w14:textId="77777777" w:rsidR="00B771B5" w:rsidRPr="00A43B9C" w:rsidRDefault="00B771B5" w:rsidP="00B771B5">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60,3</w:t>
            </w:r>
          </w:p>
        </w:tc>
        <w:tc>
          <w:tcPr>
            <w:tcW w:w="1763" w:type="dxa"/>
            <w:vAlign w:val="center"/>
          </w:tcPr>
          <w:p w14:paraId="76C62DA1" w14:textId="77777777" w:rsidR="00B771B5" w:rsidRPr="00A43B9C" w:rsidRDefault="00B771B5" w:rsidP="00B771B5">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60,4</w:t>
            </w:r>
          </w:p>
        </w:tc>
      </w:tr>
      <w:tr w:rsidR="00B771B5" w:rsidRPr="00A43B9C" w14:paraId="5992CC02" w14:textId="77777777" w:rsidTr="00B771B5">
        <w:trPr>
          <w:jc w:val="center"/>
        </w:trPr>
        <w:tc>
          <w:tcPr>
            <w:tcW w:w="1790" w:type="dxa"/>
            <w:vAlign w:val="center"/>
          </w:tcPr>
          <w:p w14:paraId="1A9E766F"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0,537</w:t>
            </w:r>
          </w:p>
        </w:tc>
        <w:tc>
          <w:tcPr>
            <w:tcW w:w="2069" w:type="dxa"/>
            <w:vAlign w:val="center"/>
          </w:tcPr>
          <w:p w14:paraId="4C3248B4"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71,4</w:t>
            </w:r>
          </w:p>
        </w:tc>
        <w:tc>
          <w:tcPr>
            <w:tcW w:w="1967" w:type="dxa"/>
            <w:vAlign w:val="center"/>
          </w:tcPr>
          <w:p w14:paraId="401C0D10"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60,0</w:t>
            </w:r>
          </w:p>
        </w:tc>
        <w:tc>
          <w:tcPr>
            <w:tcW w:w="1756" w:type="dxa"/>
            <w:vAlign w:val="center"/>
          </w:tcPr>
          <w:p w14:paraId="0F2DF954"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64,1</w:t>
            </w:r>
          </w:p>
        </w:tc>
        <w:tc>
          <w:tcPr>
            <w:tcW w:w="1763" w:type="dxa"/>
            <w:vAlign w:val="center"/>
          </w:tcPr>
          <w:p w14:paraId="71C2CF2C"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67,7</w:t>
            </w:r>
          </w:p>
        </w:tc>
      </w:tr>
      <w:tr w:rsidR="00B771B5" w:rsidRPr="00A43B9C" w14:paraId="617F0797" w14:textId="77777777" w:rsidTr="00B771B5">
        <w:trPr>
          <w:jc w:val="center"/>
        </w:trPr>
        <w:tc>
          <w:tcPr>
            <w:tcW w:w="1790" w:type="dxa"/>
            <w:vAlign w:val="center"/>
          </w:tcPr>
          <w:p w14:paraId="6FA960D6"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0,502</w:t>
            </w:r>
          </w:p>
        </w:tc>
        <w:tc>
          <w:tcPr>
            <w:tcW w:w="2069" w:type="dxa"/>
            <w:vAlign w:val="center"/>
          </w:tcPr>
          <w:p w14:paraId="4FF4D219"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71,4</w:t>
            </w:r>
          </w:p>
        </w:tc>
        <w:tc>
          <w:tcPr>
            <w:tcW w:w="1967" w:type="dxa"/>
            <w:vAlign w:val="center"/>
          </w:tcPr>
          <w:p w14:paraId="7E2CF9B2"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56,0</w:t>
            </w:r>
          </w:p>
        </w:tc>
        <w:tc>
          <w:tcPr>
            <w:tcW w:w="1756" w:type="dxa"/>
            <w:vAlign w:val="center"/>
          </w:tcPr>
          <w:p w14:paraId="1E742218"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61,9</w:t>
            </w:r>
          </w:p>
        </w:tc>
        <w:tc>
          <w:tcPr>
            <w:tcW w:w="1763" w:type="dxa"/>
            <w:vAlign w:val="center"/>
          </w:tcPr>
          <w:p w14:paraId="684CB314"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66,2</w:t>
            </w:r>
          </w:p>
        </w:tc>
      </w:tr>
      <w:tr w:rsidR="00B771B5" w:rsidRPr="00A43B9C" w14:paraId="190B6C49" w14:textId="77777777" w:rsidTr="00B771B5">
        <w:trPr>
          <w:jc w:val="center"/>
        </w:trPr>
        <w:tc>
          <w:tcPr>
            <w:tcW w:w="1790" w:type="dxa"/>
            <w:vAlign w:val="center"/>
          </w:tcPr>
          <w:p w14:paraId="61531953"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0,495</w:t>
            </w:r>
          </w:p>
        </w:tc>
        <w:tc>
          <w:tcPr>
            <w:tcW w:w="2069" w:type="dxa"/>
            <w:vAlign w:val="center"/>
          </w:tcPr>
          <w:p w14:paraId="4BFF6D74"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78,6</w:t>
            </w:r>
          </w:p>
        </w:tc>
        <w:tc>
          <w:tcPr>
            <w:tcW w:w="1967" w:type="dxa"/>
            <w:vAlign w:val="center"/>
          </w:tcPr>
          <w:p w14:paraId="2116CEFD"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56,0</w:t>
            </w:r>
          </w:p>
        </w:tc>
        <w:tc>
          <w:tcPr>
            <w:tcW w:w="1756" w:type="dxa"/>
            <w:vAlign w:val="center"/>
          </w:tcPr>
          <w:p w14:paraId="030F7D35"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64,1</w:t>
            </w:r>
          </w:p>
        </w:tc>
        <w:tc>
          <w:tcPr>
            <w:tcW w:w="1763" w:type="dxa"/>
            <w:vAlign w:val="center"/>
          </w:tcPr>
          <w:p w14:paraId="0442FDB3"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72,3</w:t>
            </w:r>
          </w:p>
        </w:tc>
      </w:tr>
    </w:tbl>
    <w:p w14:paraId="475854C2" w14:textId="77777777" w:rsidR="00B771B5" w:rsidRPr="00A43B9C" w:rsidRDefault="00B771B5" w:rsidP="00295362">
      <w:pPr>
        <w:spacing w:after="0" w:line="240" w:lineRule="auto"/>
        <w:rPr>
          <w:rFonts w:ascii="Times New Roman" w:hAnsi="Times New Roman" w:cs="Times New Roman"/>
          <w:sz w:val="28"/>
          <w:szCs w:val="28"/>
        </w:rPr>
      </w:pPr>
    </w:p>
    <w:p w14:paraId="384F3561" w14:textId="3D6DD9AC" w:rsidR="00295362" w:rsidRPr="00A43B9C" w:rsidRDefault="00295362" w:rsidP="00295362">
      <w:pPr>
        <w:spacing w:after="0" w:line="240" w:lineRule="auto"/>
        <w:ind w:firstLine="709"/>
        <w:jc w:val="both"/>
        <w:rPr>
          <w:rFonts w:ascii="Times New Roman" w:hAnsi="Times New Roman" w:cs="Times New Roman"/>
          <w:sz w:val="28"/>
          <w:szCs w:val="28"/>
          <w:lang w:val="kk-KZ"/>
        </w:rPr>
      </w:pPr>
      <w:r w:rsidRPr="00A43B9C">
        <w:rPr>
          <w:rFonts w:ascii="Times New Roman" w:hAnsi="Times New Roman" w:cs="Times New Roman"/>
          <w:sz w:val="28"/>
          <w:szCs w:val="28"/>
        </w:rPr>
        <w:t xml:space="preserve">Площадь под ROC-кривой составила 0,749 </w:t>
      </w:r>
      <w:r w:rsidR="00AA52D4" w:rsidRPr="00A43B9C">
        <w:rPr>
          <w:rFonts w:ascii="Times New Roman" w:hAnsi="Times New Roman" w:cs="Times New Roman"/>
          <w:sz w:val="28"/>
          <w:szCs w:val="28"/>
        </w:rPr>
        <w:t>(</w:t>
      </w:r>
      <w:r w:rsidRPr="00A43B9C">
        <w:rPr>
          <w:rFonts w:ascii="Times New Roman" w:hAnsi="Times New Roman" w:cs="Times New Roman"/>
          <w:sz w:val="28"/>
          <w:szCs w:val="28"/>
        </w:rPr>
        <w:t>95% ДИ 0,617 – 0,880</w:t>
      </w:r>
      <w:r w:rsidR="00AA52D4" w:rsidRPr="00A43B9C">
        <w:rPr>
          <w:rFonts w:ascii="Times New Roman" w:hAnsi="Times New Roman" w:cs="Times New Roman"/>
          <w:sz w:val="28"/>
          <w:szCs w:val="28"/>
        </w:rPr>
        <w:t xml:space="preserve">), и такая </w:t>
      </w:r>
      <w:r w:rsidRPr="00A43B9C">
        <w:rPr>
          <w:rFonts w:ascii="Times New Roman" w:hAnsi="Times New Roman" w:cs="Times New Roman"/>
          <w:sz w:val="28"/>
          <w:szCs w:val="28"/>
        </w:rPr>
        <w:t>модель была статистически значимой (p = 0,002).</w:t>
      </w:r>
      <w:r w:rsidR="00AA52D4"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Пороговое значение логистической функции </w:t>
      </w:r>
      <w:r w:rsidR="003844C6"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P в точке </w:t>
      </w:r>
      <w:r w:rsidR="00AA52D4" w:rsidRPr="00A43B9C">
        <w:rPr>
          <w:rFonts w:ascii="Times New Roman" w:hAnsi="Times New Roman" w:cs="Times New Roman"/>
          <w:sz w:val="28"/>
          <w:szCs w:val="28"/>
        </w:rPr>
        <w:t>отсечения</w:t>
      </w:r>
      <w:r w:rsidRPr="00A43B9C">
        <w:rPr>
          <w:rFonts w:ascii="Times New Roman" w:hAnsi="Times New Roman" w:cs="Times New Roman"/>
          <w:sz w:val="28"/>
          <w:szCs w:val="28"/>
        </w:rPr>
        <w:t>, которому соответствовало наивысшее значение индекса Юдена, составило 0,617</w:t>
      </w:r>
      <w:r w:rsidR="00E92B99" w:rsidRPr="00A43B9C">
        <w:rPr>
          <w:rFonts w:ascii="Times New Roman" w:hAnsi="Times New Roman" w:cs="Times New Roman"/>
          <w:sz w:val="28"/>
          <w:szCs w:val="28"/>
        </w:rPr>
        <w:t xml:space="preserve"> (рисунок 3</w:t>
      </w:r>
      <w:r w:rsidR="00006C4D">
        <w:rPr>
          <w:rFonts w:ascii="Times New Roman" w:hAnsi="Times New Roman" w:cs="Times New Roman"/>
          <w:sz w:val="28"/>
          <w:szCs w:val="28"/>
        </w:rPr>
        <w:t>5</w:t>
      </w:r>
      <w:r w:rsidR="00E92B99" w:rsidRPr="00A43B9C">
        <w:rPr>
          <w:rFonts w:ascii="Times New Roman" w:hAnsi="Times New Roman" w:cs="Times New Roman"/>
          <w:sz w:val="28"/>
          <w:szCs w:val="28"/>
        </w:rPr>
        <w:t>)</w:t>
      </w:r>
      <w:r w:rsidRPr="00A43B9C">
        <w:rPr>
          <w:rFonts w:ascii="Times New Roman" w:hAnsi="Times New Roman" w:cs="Times New Roman"/>
          <w:sz w:val="28"/>
          <w:szCs w:val="28"/>
        </w:rPr>
        <w:t xml:space="preserve">. </w:t>
      </w:r>
      <w:r w:rsidR="00093E79" w:rsidRPr="00A43B9C">
        <w:rPr>
          <w:rFonts w:ascii="Times New Roman" w:hAnsi="Times New Roman" w:cs="Times New Roman"/>
          <w:sz w:val="28"/>
          <w:szCs w:val="28"/>
        </w:rPr>
        <w:t xml:space="preserve">Наличие </w:t>
      </w:r>
      <w:r w:rsidR="001C40D1" w:rsidRPr="00A43B9C">
        <w:rPr>
          <w:rFonts w:ascii="Times New Roman" w:eastAsia="Times New Roman" w:hAnsi="Times New Roman" w:cs="Times New Roman"/>
          <w:sz w:val="28"/>
          <w:szCs w:val="28"/>
          <w:lang w:val="en-US" w:eastAsia="ru-RU"/>
        </w:rPr>
        <w:t>pLM</w:t>
      </w:r>
      <w:r w:rsidR="00093E79"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прогнозировалось при значении логистической функции </w:t>
      </w:r>
      <w:r w:rsidR="003844C6"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P выше данной величины или равном ей. Чувствительность и специфичность модели составили 60,7% и 84,0%, </w:t>
      </w:r>
      <w:r w:rsidR="00E92B99" w:rsidRPr="00A43B9C">
        <w:rPr>
          <w:rFonts w:ascii="Times New Roman" w:hAnsi="Times New Roman" w:cs="Times New Roman"/>
          <w:sz w:val="28"/>
          <w:szCs w:val="28"/>
        </w:rPr>
        <w:t xml:space="preserve">а </w:t>
      </w:r>
      <w:r w:rsidR="00E92B99" w:rsidRPr="00A43B9C">
        <w:rPr>
          <w:rFonts w:ascii="Times New Roman" w:hAnsi="Times New Roman" w:cs="Times New Roman"/>
          <w:sz w:val="28"/>
          <w:szCs w:val="28"/>
          <w:lang w:val="en-US"/>
        </w:rPr>
        <w:t>PPV</w:t>
      </w:r>
      <w:r w:rsidR="00E92B99" w:rsidRPr="00A43B9C">
        <w:rPr>
          <w:rFonts w:ascii="Times New Roman" w:hAnsi="Times New Roman" w:cs="Times New Roman"/>
          <w:sz w:val="28"/>
          <w:szCs w:val="28"/>
        </w:rPr>
        <w:t xml:space="preserve"> и </w:t>
      </w:r>
      <w:r w:rsidR="00E92B99" w:rsidRPr="00A43B9C">
        <w:rPr>
          <w:rFonts w:ascii="Times New Roman" w:hAnsi="Times New Roman" w:cs="Times New Roman"/>
          <w:sz w:val="28"/>
          <w:szCs w:val="28"/>
          <w:lang w:val="en-US"/>
        </w:rPr>
        <w:t>NPV</w:t>
      </w:r>
      <w:r w:rsidR="00E92B99" w:rsidRPr="00A43B9C">
        <w:rPr>
          <w:rFonts w:ascii="Times New Roman" w:hAnsi="Times New Roman" w:cs="Times New Roman"/>
          <w:sz w:val="28"/>
          <w:szCs w:val="28"/>
        </w:rPr>
        <w:t xml:space="preserve"> составили 79,1% и 68,1% соответственно (таблица 24)</w:t>
      </w:r>
      <w:r w:rsidRPr="00A43B9C">
        <w:rPr>
          <w:rFonts w:ascii="Times New Roman" w:hAnsi="Times New Roman" w:cs="Times New Roman"/>
          <w:sz w:val="28"/>
          <w:szCs w:val="28"/>
        </w:rPr>
        <w:t>.</w:t>
      </w:r>
    </w:p>
    <w:p w14:paraId="6AA14BB7" w14:textId="05CDD81A" w:rsidR="00D26255" w:rsidRPr="00A43B9C" w:rsidRDefault="00D26255" w:rsidP="00D26255">
      <w:pPr>
        <w:spacing w:after="0" w:line="240" w:lineRule="auto"/>
        <w:rPr>
          <w:rFonts w:ascii="Times New Roman" w:hAnsi="Times New Roman" w:cs="Times New Roman"/>
          <w:sz w:val="28"/>
          <w:szCs w:val="28"/>
        </w:rPr>
      </w:pPr>
    </w:p>
    <w:p w14:paraId="5FBCA165" w14:textId="1483F502" w:rsidR="00040E82" w:rsidRPr="00A448AA" w:rsidRDefault="00040E82" w:rsidP="00AE28CD">
      <w:pPr>
        <w:pStyle w:val="1"/>
        <w:spacing w:line="240" w:lineRule="auto"/>
        <w:ind w:left="709"/>
        <w:jc w:val="both"/>
        <w:rPr>
          <w:rStyle w:val="a9"/>
          <w:rFonts w:cs="Times New Roman"/>
          <w:noProof/>
          <w:color w:val="auto"/>
          <w:u w:val="none"/>
        </w:rPr>
      </w:pPr>
      <w:bookmarkStart w:id="74" w:name="_Toc101269051"/>
      <w:bookmarkStart w:id="75" w:name="_Toc101861822"/>
      <w:bookmarkStart w:id="76" w:name="_Toc102937625"/>
      <w:bookmarkEnd w:id="70"/>
      <w:bookmarkEnd w:id="73"/>
      <w:r w:rsidRPr="00A448AA">
        <w:rPr>
          <w:rStyle w:val="a9"/>
          <w:rFonts w:cs="Times New Roman"/>
          <w:noProof/>
          <w:color w:val="auto"/>
          <w:u w:val="none"/>
        </w:rPr>
        <w:t>3</w:t>
      </w:r>
      <w:hyperlink w:anchor="_Toc94099720" w:history="1">
        <w:r w:rsidRPr="00A448AA">
          <w:rPr>
            <w:rStyle w:val="a9"/>
            <w:rFonts w:cs="Times New Roman"/>
            <w:noProof/>
            <w:color w:val="auto"/>
            <w:u w:val="none"/>
          </w:rPr>
          <w:t>.2 Колоректальный рак</w:t>
        </w:r>
      </w:hyperlink>
    </w:p>
    <w:p w14:paraId="238FB90B" w14:textId="52F24EF5" w:rsidR="00825215" w:rsidRPr="00A43B9C" w:rsidRDefault="00040E82" w:rsidP="006E2E0F">
      <w:pPr>
        <w:pStyle w:val="31"/>
        <w:spacing w:before="0" w:line="240" w:lineRule="auto"/>
        <w:ind w:firstLine="709"/>
        <w:jc w:val="both"/>
        <w:rPr>
          <w:rStyle w:val="a9"/>
          <w:rFonts w:ascii="Times New Roman" w:eastAsia="Times New Roman" w:hAnsi="Times New Roman" w:cs="Times New Roman"/>
          <w:noProof/>
          <w:color w:val="auto"/>
          <w:sz w:val="28"/>
          <w:szCs w:val="28"/>
          <w:u w:val="none"/>
          <w:lang w:eastAsia="ru-RU"/>
        </w:rPr>
      </w:pPr>
      <w:r w:rsidRPr="00A43B9C">
        <w:rPr>
          <w:rStyle w:val="a9"/>
          <w:rFonts w:ascii="Times New Roman" w:hAnsi="Times New Roman" w:cs="Times New Roman"/>
          <w:noProof/>
          <w:color w:val="auto"/>
          <w:sz w:val="28"/>
          <w:szCs w:val="28"/>
          <w:u w:val="none"/>
        </w:rPr>
        <w:t>3</w:t>
      </w:r>
      <w:hyperlink w:anchor="_Toc94099720" w:history="1">
        <w:r w:rsidR="00825215" w:rsidRPr="00A43B9C">
          <w:rPr>
            <w:rStyle w:val="a9"/>
            <w:rFonts w:ascii="Times New Roman" w:eastAsia="Times New Roman" w:hAnsi="Times New Roman" w:cs="Times New Roman"/>
            <w:noProof/>
            <w:color w:val="auto"/>
            <w:sz w:val="28"/>
            <w:szCs w:val="28"/>
            <w:u w:val="none"/>
            <w:lang w:eastAsia="ru-RU"/>
          </w:rPr>
          <w:t>.</w:t>
        </w:r>
        <w:r w:rsidRPr="00A43B9C">
          <w:rPr>
            <w:rStyle w:val="a9"/>
            <w:rFonts w:ascii="Times New Roman" w:eastAsia="Times New Roman" w:hAnsi="Times New Roman" w:cs="Times New Roman"/>
            <w:noProof/>
            <w:color w:val="auto"/>
            <w:sz w:val="28"/>
            <w:szCs w:val="28"/>
            <w:u w:val="none"/>
            <w:lang w:eastAsia="ru-RU"/>
          </w:rPr>
          <w:t>2.1</w:t>
        </w:r>
        <w:r w:rsidR="00825215" w:rsidRPr="00A43B9C">
          <w:rPr>
            <w:rStyle w:val="a9"/>
            <w:rFonts w:ascii="Times New Roman" w:eastAsia="Times New Roman" w:hAnsi="Times New Roman" w:cs="Times New Roman"/>
            <w:noProof/>
            <w:color w:val="auto"/>
            <w:sz w:val="28"/>
            <w:szCs w:val="28"/>
            <w:u w:val="none"/>
            <w:lang w:eastAsia="ru-RU"/>
          </w:rPr>
          <w:t xml:space="preserve"> </w:t>
        </w:r>
        <w:r w:rsidR="0075659D" w:rsidRPr="0075659D">
          <w:rPr>
            <w:rStyle w:val="a9"/>
            <w:rFonts w:ascii="Times New Roman" w:eastAsia="Times New Roman" w:hAnsi="Times New Roman" w:cs="Times New Roman"/>
            <w:noProof/>
            <w:color w:val="auto"/>
            <w:sz w:val="28"/>
            <w:szCs w:val="28"/>
            <w:u w:val="none"/>
            <w:lang w:eastAsia="ru-RU"/>
          </w:rPr>
          <w:t xml:space="preserve">Уровень накопления </w:t>
        </w:r>
        <w:r w:rsidR="00825215" w:rsidRPr="00A43B9C">
          <w:rPr>
            <w:rStyle w:val="a9"/>
            <w:rFonts w:ascii="Times New Roman" w:eastAsia="Times New Roman" w:hAnsi="Times New Roman" w:cs="Times New Roman"/>
            <w:noProof/>
            <w:color w:val="auto"/>
            <w:sz w:val="28"/>
            <w:szCs w:val="28"/>
            <w:u w:val="none"/>
            <w:lang w:eastAsia="ru-RU"/>
          </w:rPr>
          <w:t>SUV</w:t>
        </w:r>
        <w:r w:rsidR="00825215" w:rsidRPr="00A43B9C">
          <w:rPr>
            <w:rStyle w:val="a9"/>
            <w:rFonts w:ascii="Times New Roman" w:eastAsia="Times New Roman" w:hAnsi="Times New Roman" w:cs="Times New Roman"/>
            <w:noProof/>
            <w:color w:val="auto"/>
            <w:sz w:val="28"/>
            <w:szCs w:val="28"/>
            <w:u w:val="none"/>
            <w:vertAlign w:val="subscript"/>
            <w:lang w:eastAsia="ru-RU"/>
          </w:rPr>
          <w:t>max</w:t>
        </w:r>
        <w:r w:rsidR="00825215" w:rsidRPr="00A43B9C">
          <w:rPr>
            <w:rStyle w:val="a9"/>
            <w:rFonts w:ascii="Times New Roman" w:eastAsia="Times New Roman" w:hAnsi="Times New Roman" w:cs="Times New Roman"/>
            <w:noProof/>
            <w:color w:val="auto"/>
            <w:sz w:val="28"/>
            <w:szCs w:val="28"/>
            <w:u w:val="none"/>
            <w:lang w:eastAsia="ru-RU"/>
          </w:rPr>
          <w:t xml:space="preserve"> в висцеральном жире</w:t>
        </w:r>
        <w:bookmarkEnd w:id="74"/>
        <w:bookmarkEnd w:id="75"/>
        <w:bookmarkEnd w:id="76"/>
      </w:hyperlink>
    </w:p>
    <w:p w14:paraId="6B0146B4" w14:textId="4488A784" w:rsidR="00A82579" w:rsidRPr="00A43B9C" w:rsidRDefault="00A82579" w:rsidP="00A82579">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Для определения уровня накоплени</w:t>
      </w:r>
      <w:r w:rsidR="00B336CA" w:rsidRP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Pr="00A43B9C">
        <w:rPr>
          <w:rFonts w:ascii="Times New Roman" w:hAnsi="Times New Roman" w:cs="Times New Roman"/>
          <w:sz w:val="28"/>
          <w:szCs w:val="28"/>
          <w:lang w:val="en-US"/>
        </w:rPr>
        <w:t>VAT</w:t>
      </w:r>
      <w:r w:rsidRPr="00A43B9C">
        <w:rPr>
          <w:rFonts w:ascii="Times New Roman" w:hAnsi="Times New Roman" w:cs="Times New Roman"/>
          <w:sz w:val="28"/>
          <w:szCs w:val="28"/>
        </w:rPr>
        <w:t xml:space="preserve"> с использованием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FDG</w:t>
      </w:r>
      <w:r w:rsidRPr="00A43B9C">
        <w:rPr>
          <w:rFonts w:ascii="Times New Roman" w:hAnsi="Times New Roman" w:cs="Times New Roman"/>
          <w:sz w:val="28"/>
          <w:szCs w:val="28"/>
        </w:rPr>
        <w:t xml:space="preserve"> при ПЭТ/КТ исследовании была проведена стратификация </w:t>
      </w:r>
      <w:r w:rsidRPr="00A43B9C">
        <w:rPr>
          <w:rFonts w:ascii="Times New Roman" w:hAnsi="Times New Roman" w:cs="Times New Roman"/>
          <w:sz w:val="28"/>
          <w:szCs w:val="28"/>
        </w:rPr>
        <w:lastRenderedPageBreak/>
        <w:t>накоплени</w:t>
      </w:r>
      <w:r w:rsidR="00AA52D4" w:rsidRPr="00A43B9C">
        <w:rPr>
          <w:rFonts w:ascii="Times New Roman" w:hAnsi="Times New Roman" w:cs="Times New Roman"/>
          <w:sz w:val="28"/>
          <w:szCs w:val="28"/>
        </w:rPr>
        <w:t>я</w:t>
      </w:r>
      <w:r w:rsidRPr="00A43B9C">
        <w:rPr>
          <w:rFonts w:ascii="Times New Roman" w:hAnsi="Times New Roman" w:cs="Times New Roman"/>
          <w:sz w:val="28"/>
          <w:szCs w:val="28"/>
        </w:rPr>
        <w:t xml:space="preserve"> (таблица 25) в различных локализациях брюшной полости и малого таза по полу, </w:t>
      </w:r>
      <w:r w:rsidR="000874C1" w:rsidRPr="00A43B9C">
        <w:rPr>
          <w:rFonts w:ascii="Times New Roman" w:hAnsi="Times New Roman" w:cs="Times New Roman"/>
          <w:sz w:val="28"/>
          <w:szCs w:val="28"/>
          <w:lang w:val="en-US"/>
        </w:rPr>
        <w:t>PTL</w:t>
      </w:r>
      <w:r w:rsidRPr="00A43B9C">
        <w:rPr>
          <w:rFonts w:ascii="Times New Roman" w:hAnsi="Times New Roman" w:cs="Times New Roman"/>
          <w:sz w:val="28"/>
          <w:szCs w:val="28"/>
        </w:rPr>
        <w:t xml:space="preserve">, классификации </w:t>
      </w:r>
      <w:r w:rsidRPr="00A43B9C">
        <w:rPr>
          <w:rFonts w:ascii="Times New Roman" w:hAnsi="Times New Roman" w:cs="Times New Roman"/>
          <w:sz w:val="28"/>
          <w:szCs w:val="28"/>
          <w:lang w:val="en-US"/>
        </w:rPr>
        <w:t>TNM</w:t>
      </w:r>
      <w:r w:rsidRPr="00A43B9C">
        <w:rPr>
          <w:rFonts w:ascii="Times New Roman" w:hAnsi="Times New Roman" w:cs="Times New Roman"/>
          <w:sz w:val="28"/>
          <w:szCs w:val="28"/>
        </w:rPr>
        <w:t xml:space="preserve"> и стадии </w:t>
      </w:r>
      <w:r w:rsidR="003235EF">
        <w:rPr>
          <w:rFonts w:ascii="Times New Roman" w:hAnsi="Times New Roman" w:cs="Times New Roman"/>
          <w:sz w:val="28"/>
          <w:szCs w:val="28"/>
          <w:lang w:val="en-US"/>
        </w:rPr>
        <w:t>AJCC</w:t>
      </w:r>
      <w:r w:rsidRPr="00A43B9C">
        <w:rPr>
          <w:rFonts w:ascii="Times New Roman" w:hAnsi="Times New Roman" w:cs="Times New Roman"/>
          <w:sz w:val="28"/>
          <w:szCs w:val="28"/>
        </w:rPr>
        <w:t>.</w:t>
      </w:r>
    </w:p>
    <w:p w14:paraId="23A733B4" w14:textId="77777777" w:rsidR="00825215" w:rsidRPr="00A43B9C" w:rsidRDefault="00825215" w:rsidP="00825215">
      <w:pPr>
        <w:spacing w:after="0" w:line="240" w:lineRule="auto"/>
        <w:jc w:val="center"/>
        <w:rPr>
          <w:rFonts w:ascii="Times New Roman" w:hAnsi="Times New Roman" w:cs="Times New Roman"/>
          <w:sz w:val="28"/>
          <w:szCs w:val="28"/>
        </w:rPr>
      </w:pPr>
    </w:p>
    <w:p w14:paraId="60773B48" w14:textId="0EF87F67" w:rsidR="00825215"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25 -</w:t>
      </w:r>
      <w:r w:rsidR="00825215" w:rsidRPr="00A43B9C">
        <w:rPr>
          <w:rFonts w:ascii="Times New Roman" w:hAnsi="Times New Roman" w:cs="Times New Roman"/>
          <w:sz w:val="28"/>
          <w:szCs w:val="28"/>
        </w:rPr>
        <w:t xml:space="preserve"> Общая характеристика уровня накоплени</w:t>
      </w:r>
      <w:r w:rsidR="00B336CA" w:rsidRPr="00A43B9C">
        <w:rPr>
          <w:rFonts w:ascii="Times New Roman" w:hAnsi="Times New Roman" w:cs="Times New Roman"/>
          <w:sz w:val="28"/>
          <w:szCs w:val="28"/>
        </w:rPr>
        <w:t>я</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SUV</w:t>
      </w:r>
      <w:r w:rsidR="00825215" w:rsidRPr="00A43B9C">
        <w:rPr>
          <w:rFonts w:ascii="Times New Roman" w:hAnsi="Times New Roman" w:cs="Times New Roman"/>
          <w:sz w:val="28"/>
          <w:szCs w:val="28"/>
          <w:vertAlign w:val="subscript"/>
          <w:lang w:val="en-US"/>
        </w:rPr>
        <w:t>max</w:t>
      </w:r>
      <w:r w:rsidR="00825215" w:rsidRPr="00A43B9C">
        <w:rPr>
          <w:rFonts w:ascii="Times New Roman" w:hAnsi="Times New Roman" w:cs="Times New Roman"/>
          <w:sz w:val="28"/>
          <w:szCs w:val="28"/>
        </w:rPr>
        <w:t xml:space="preserve"> у первичных пациентов</w:t>
      </w:r>
    </w:p>
    <w:p w14:paraId="1D595FDB"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5079" w:type="pct"/>
        <w:jc w:val="center"/>
        <w:tblLayout w:type="fixed"/>
        <w:tblLook w:val="04A0" w:firstRow="1" w:lastRow="0" w:firstColumn="1" w:lastColumn="0" w:noHBand="0" w:noVBand="1"/>
      </w:tblPr>
      <w:tblGrid>
        <w:gridCol w:w="1558"/>
        <w:gridCol w:w="1272"/>
        <w:gridCol w:w="706"/>
        <w:gridCol w:w="776"/>
        <w:gridCol w:w="761"/>
        <w:gridCol w:w="706"/>
        <w:gridCol w:w="746"/>
        <w:gridCol w:w="706"/>
        <w:gridCol w:w="706"/>
        <w:gridCol w:w="706"/>
        <w:gridCol w:w="849"/>
      </w:tblGrid>
      <w:tr w:rsidR="00825215" w:rsidRPr="00A43B9C" w14:paraId="22774279" w14:textId="77777777" w:rsidTr="00290AA2">
        <w:trPr>
          <w:jc w:val="center"/>
        </w:trPr>
        <w:tc>
          <w:tcPr>
            <w:tcW w:w="820" w:type="pct"/>
            <w:vMerge w:val="restart"/>
            <w:vAlign w:val="center"/>
          </w:tcPr>
          <w:p w14:paraId="592A3084" w14:textId="77777777" w:rsidR="00825215" w:rsidRPr="00A43B9C" w:rsidRDefault="00825215" w:rsidP="007E4204">
            <w:pPr>
              <w:spacing w:after="0" w:line="240" w:lineRule="auto"/>
              <w:jc w:val="center"/>
              <w:rPr>
                <w:rFonts w:ascii="Times New Roman" w:hAnsi="Times New Roman" w:cs="Times New Roman"/>
                <w:sz w:val="28"/>
                <w:szCs w:val="28"/>
              </w:rPr>
            </w:pPr>
            <w:bookmarkStart w:id="77" w:name="_Hlk134453812"/>
            <w:r w:rsidRPr="00A43B9C">
              <w:rPr>
                <w:rFonts w:ascii="Times New Roman" w:hAnsi="Times New Roman" w:cs="Times New Roman"/>
                <w:sz w:val="28"/>
                <w:szCs w:val="28"/>
              </w:rPr>
              <w:t>Категория</w:t>
            </w:r>
          </w:p>
        </w:tc>
        <w:tc>
          <w:tcPr>
            <w:tcW w:w="670" w:type="pct"/>
            <w:vMerge w:val="restart"/>
            <w:vAlign w:val="center"/>
          </w:tcPr>
          <w:p w14:paraId="42941F5B" w14:textId="77777777" w:rsidR="00825215" w:rsidRPr="00A43B9C" w:rsidRDefault="00825215" w:rsidP="007E4204">
            <w:pPr>
              <w:spacing w:after="0" w:line="240" w:lineRule="auto"/>
              <w:jc w:val="center"/>
              <w:rPr>
                <w:rFonts w:ascii="Times New Roman" w:eastAsiaTheme="minorEastAsia" w:hAnsi="Times New Roman" w:cs="Times New Roman"/>
                <w:sz w:val="28"/>
                <w:szCs w:val="28"/>
                <w:lang w:val="en-US"/>
              </w:rPr>
            </w:pPr>
            <w:r w:rsidRPr="00A43B9C">
              <w:rPr>
                <w:rFonts w:ascii="Times New Roman" w:hAnsi="Times New Roman" w:cs="Times New Roman"/>
                <w:sz w:val="28"/>
                <w:szCs w:val="28"/>
                <w:lang w:val="en-US"/>
              </w:rPr>
              <w:t>n (%)</w:t>
            </w:r>
          </w:p>
        </w:tc>
        <w:tc>
          <w:tcPr>
            <w:tcW w:w="3510" w:type="pct"/>
            <w:gridSpan w:val="9"/>
            <w:vAlign w:val="center"/>
          </w:tcPr>
          <w:p w14:paraId="4783B303" w14:textId="77777777" w:rsidR="00825215" w:rsidRPr="00A43B9C" w:rsidRDefault="00825215" w:rsidP="007E4204">
            <w:pPr>
              <w:spacing w:after="0" w:line="240" w:lineRule="auto"/>
              <w:jc w:val="center"/>
              <w:rPr>
                <w:rFonts w:ascii="Times New Roman" w:eastAsiaTheme="minorEastAsia" w:hAnsi="Times New Roman" w:cs="Times New Roman"/>
                <w:sz w:val="28"/>
                <w:szCs w:val="28"/>
                <w:lang w:val="en-US"/>
              </w:rPr>
            </w:pP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p>
        </w:tc>
      </w:tr>
      <w:tr w:rsidR="00825215" w:rsidRPr="00A43B9C" w14:paraId="4C0BB416" w14:textId="77777777" w:rsidTr="00290AA2">
        <w:trPr>
          <w:jc w:val="center"/>
        </w:trPr>
        <w:tc>
          <w:tcPr>
            <w:tcW w:w="820" w:type="pct"/>
            <w:vMerge/>
            <w:vAlign w:val="center"/>
          </w:tcPr>
          <w:p w14:paraId="543DE144" w14:textId="77777777" w:rsidR="00825215" w:rsidRPr="00A43B9C" w:rsidRDefault="00825215" w:rsidP="007E4204">
            <w:pPr>
              <w:spacing w:after="0" w:line="240" w:lineRule="auto"/>
              <w:jc w:val="center"/>
              <w:rPr>
                <w:rFonts w:ascii="Times New Roman" w:eastAsiaTheme="minorEastAsia" w:hAnsi="Times New Roman" w:cs="Times New Roman"/>
                <w:sz w:val="28"/>
                <w:szCs w:val="28"/>
                <w:lang w:val="en-US"/>
              </w:rPr>
            </w:pPr>
          </w:p>
        </w:tc>
        <w:tc>
          <w:tcPr>
            <w:tcW w:w="670" w:type="pct"/>
            <w:vMerge/>
            <w:vAlign w:val="center"/>
          </w:tcPr>
          <w:p w14:paraId="64F7C837" w14:textId="77777777" w:rsidR="00825215" w:rsidRPr="00A43B9C" w:rsidRDefault="00825215" w:rsidP="007E4204">
            <w:pPr>
              <w:spacing w:after="0" w:line="240" w:lineRule="auto"/>
              <w:jc w:val="center"/>
              <w:rPr>
                <w:rFonts w:ascii="Times New Roman" w:eastAsiaTheme="minorEastAsia" w:hAnsi="Times New Roman" w:cs="Times New Roman"/>
                <w:sz w:val="28"/>
                <w:szCs w:val="28"/>
                <w:lang w:val="en-US"/>
              </w:rPr>
            </w:pPr>
          </w:p>
        </w:tc>
        <w:tc>
          <w:tcPr>
            <w:tcW w:w="372" w:type="pct"/>
            <w:vAlign w:val="center"/>
          </w:tcPr>
          <w:p w14:paraId="10C8D002" w14:textId="77777777" w:rsidR="00825215" w:rsidRPr="00A43B9C" w:rsidRDefault="00825215" w:rsidP="007E4204">
            <w:pPr>
              <w:spacing w:after="0" w:line="240" w:lineRule="auto"/>
              <w:contextualSpacing/>
              <w:jc w:val="center"/>
              <w:rPr>
                <w:rFonts w:ascii="Times New Roman" w:eastAsiaTheme="minorEastAsia" w:hAnsi="Times New Roman" w:cs="Times New Roman"/>
                <w:sz w:val="28"/>
                <w:szCs w:val="28"/>
                <w:lang w:val="en-US"/>
              </w:rPr>
            </w:pPr>
            <w:r w:rsidRPr="00A43B9C">
              <w:rPr>
                <w:rFonts w:ascii="Times New Roman" w:hAnsi="Times New Roman" w:cs="Times New Roman"/>
                <w:sz w:val="28"/>
                <w:szCs w:val="28"/>
                <w:lang w:val="en-US"/>
              </w:rPr>
              <w:t>RE</w:t>
            </w:r>
          </w:p>
        </w:tc>
        <w:tc>
          <w:tcPr>
            <w:tcW w:w="409" w:type="pct"/>
            <w:vAlign w:val="center"/>
          </w:tcPr>
          <w:p w14:paraId="02E09108" w14:textId="77777777" w:rsidR="00825215" w:rsidRPr="00A43B9C" w:rsidRDefault="00825215" w:rsidP="007E4204">
            <w:pPr>
              <w:spacing w:after="0" w:line="240" w:lineRule="auto"/>
              <w:contextualSpacing/>
              <w:jc w:val="center"/>
              <w:rPr>
                <w:rFonts w:ascii="Times New Roman" w:eastAsiaTheme="minorEastAsia" w:hAnsi="Times New Roman" w:cs="Times New Roman"/>
                <w:sz w:val="28"/>
                <w:szCs w:val="28"/>
                <w:lang w:val="en-US"/>
              </w:rPr>
            </w:pPr>
            <w:r w:rsidRPr="00A43B9C">
              <w:rPr>
                <w:rFonts w:ascii="Times New Roman" w:hAnsi="Times New Roman" w:cs="Times New Roman"/>
                <w:sz w:val="28"/>
                <w:szCs w:val="28"/>
                <w:lang w:val="en-US"/>
              </w:rPr>
              <w:t>RLH</w:t>
            </w:r>
          </w:p>
        </w:tc>
        <w:tc>
          <w:tcPr>
            <w:tcW w:w="401" w:type="pct"/>
            <w:vAlign w:val="center"/>
          </w:tcPr>
          <w:p w14:paraId="7C288B23" w14:textId="77777777" w:rsidR="00825215" w:rsidRPr="00A43B9C" w:rsidRDefault="00825215" w:rsidP="007E4204">
            <w:pPr>
              <w:spacing w:after="0" w:line="240" w:lineRule="auto"/>
              <w:jc w:val="center"/>
              <w:rPr>
                <w:rFonts w:ascii="Times New Roman" w:eastAsiaTheme="minorEastAsia" w:hAnsi="Times New Roman" w:cs="Times New Roman"/>
                <w:sz w:val="28"/>
                <w:szCs w:val="28"/>
                <w:lang w:val="en-US"/>
              </w:rPr>
            </w:pPr>
            <w:r w:rsidRPr="00A43B9C">
              <w:rPr>
                <w:rFonts w:ascii="Times New Roman" w:hAnsi="Times New Roman" w:cs="Times New Roman"/>
                <w:sz w:val="28"/>
                <w:szCs w:val="28"/>
                <w:lang w:val="en-US"/>
              </w:rPr>
              <w:t>RRL</w:t>
            </w:r>
          </w:p>
        </w:tc>
        <w:tc>
          <w:tcPr>
            <w:tcW w:w="372" w:type="pct"/>
            <w:vAlign w:val="center"/>
          </w:tcPr>
          <w:p w14:paraId="3A6EB681" w14:textId="77777777" w:rsidR="00825215" w:rsidRPr="00A43B9C" w:rsidRDefault="00825215" w:rsidP="007E4204">
            <w:pPr>
              <w:spacing w:after="0" w:line="240" w:lineRule="auto"/>
              <w:jc w:val="center"/>
              <w:rPr>
                <w:rFonts w:ascii="Times New Roman" w:eastAsiaTheme="minorEastAsia" w:hAnsi="Times New Roman" w:cs="Times New Roman"/>
                <w:sz w:val="28"/>
                <w:szCs w:val="28"/>
                <w:lang w:val="en-US"/>
              </w:rPr>
            </w:pPr>
            <w:r w:rsidRPr="00A43B9C">
              <w:rPr>
                <w:rFonts w:ascii="Times New Roman" w:hAnsi="Times New Roman" w:cs="Times New Roman"/>
                <w:sz w:val="28"/>
                <w:szCs w:val="28"/>
                <w:lang w:val="en-US"/>
              </w:rPr>
              <w:t>RU</w:t>
            </w:r>
          </w:p>
        </w:tc>
        <w:tc>
          <w:tcPr>
            <w:tcW w:w="393" w:type="pct"/>
            <w:vAlign w:val="center"/>
          </w:tcPr>
          <w:p w14:paraId="445C35ED" w14:textId="77777777" w:rsidR="00825215" w:rsidRPr="00A43B9C" w:rsidRDefault="00825215" w:rsidP="007E4204">
            <w:pPr>
              <w:spacing w:after="0" w:line="240" w:lineRule="auto"/>
              <w:jc w:val="center"/>
              <w:rPr>
                <w:rFonts w:ascii="Times New Roman" w:eastAsiaTheme="minorEastAsia" w:hAnsi="Times New Roman" w:cs="Times New Roman"/>
                <w:sz w:val="28"/>
                <w:szCs w:val="28"/>
              </w:rPr>
            </w:pPr>
            <w:r w:rsidRPr="00A43B9C">
              <w:rPr>
                <w:rFonts w:ascii="Times New Roman" w:hAnsi="Times New Roman" w:cs="Times New Roman"/>
                <w:sz w:val="28"/>
                <w:szCs w:val="28"/>
                <w:lang w:val="en-US"/>
              </w:rPr>
              <w:t>RLL</w:t>
            </w:r>
          </w:p>
        </w:tc>
        <w:tc>
          <w:tcPr>
            <w:tcW w:w="372" w:type="pct"/>
            <w:vAlign w:val="center"/>
          </w:tcPr>
          <w:p w14:paraId="208D8E61" w14:textId="77777777" w:rsidR="00825215" w:rsidRPr="00A43B9C" w:rsidRDefault="00825215" w:rsidP="007E4204">
            <w:pPr>
              <w:spacing w:after="0" w:line="240" w:lineRule="auto"/>
              <w:jc w:val="center"/>
              <w:rPr>
                <w:rFonts w:ascii="Times New Roman" w:eastAsiaTheme="minorEastAsia" w:hAnsi="Times New Roman" w:cs="Times New Roman"/>
                <w:sz w:val="28"/>
                <w:szCs w:val="28"/>
                <w:lang w:val="en-US"/>
              </w:rPr>
            </w:pPr>
            <w:r w:rsidRPr="00A43B9C">
              <w:rPr>
                <w:rFonts w:ascii="Times New Roman" w:hAnsi="Times New Roman" w:cs="Times New Roman"/>
                <w:sz w:val="28"/>
                <w:szCs w:val="28"/>
                <w:lang w:val="en-US"/>
              </w:rPr>
              <w:t>RRI</w:t>
            </w:r>
          </w:p>
        </w:tc>
        <w:tc>
          <w:tcPr>
            <w:tcW w:w="372" w:type="pct"/>
            <w:vAlign w:val="center"/>
          </w:tcPr>
          <w:p w14:paraId="719BEB70" w14:textId="77777777" w:rsidR="00825215" w:rsidRPr="00A43B9C" w:rsidRDefault="00825215" w:rsidP="007E4204">
            <w:pPr>
              <w:spacing w:after="0" w:line="240" w:lineRule="auto"/>
              <w:jc w:val="center"/>
              <w:rPr>
                <w:rFonts w:ascii="Times New Roman" w:eastAsiaTheme="minorEastAsia" w:hAnsi="Times New Roman" w:cs="Times New Roman"/>
                <w:sz w:val="28"/>
                <w:szCs w:val="28"/>
                <w:lang w:val="en-US"/>
              </w:rPr>
            </w:pPr>
            <w:r w:rsidRPr="00A43B9C">
              <w:rPr>
                <w:rFonts w:ascii="Times New Roman" w:hAnsi="Times New Roman" w:cs="Times New Roman"/>
                <w:sz w:val="28"/>
                <w:szCs w:val="28"/>
                <w:lang w:val="en-US"/>
              </w:rPr>
              <w:t>RP</w:t>
            </w:r>
          </w:p>
        </w:tc>
        <w:tc>
          <w:tcPr>
            <w:tcW w:w="372" w:type="pct"/>
            <w:vAlign w:val="center"/>
          </w:tcPr>
          <w:p w14:paraId="05A41D7B" w14:textId="77777777" w:rsidR="00825215" w:rsidRPr="00A43B9C" w:rsidRDefault="00825215" w:rsidP="007E4204">
            <w:pPr>
              <w:spacing w:after="0" w:line="240" w:lineRule="auto"/>
              <w:jc w:val="center"/>
              <w:rPr>
                <w:rFonts w:ascii="Times New Roman" w:eastAsiaTheme="minorEastAsia" w:hAnsi="Times New Roman" w:cs="Times New Roman"/>
                <w:sz w:val="28"/>
                <w:szCs w:val="28"/>
                <w:lang w:val="en-US"/>
              </w:rPr>
            </w:pPr>
            <w:r w:rsidRPr="00A43B9C">
              <w:rPr>
                <w:rFonts w:ascii="Times New Roman" w:hAnsi="Times New Roman" w:cs="Times New Roman"/>
                <w:sz w:val="28"/>
                <w:szCs w:val="28"/>
                <w:lang w:val="en-US"/>
              </w:rPr>
              <w:t>RLI</w:t>
            </w:r>
          </w:p>
        </w:tc>
        <w:tc>
          <w:tcPr>
            <w:tcW w:w="448" w:type="pct"/>
            <w:vAlign w:val="center"/>
          </w:tcPr>
          <w:p w14:paraId="040B997B" w14:textId="77777777" w:rsidR="00825215" w:rsidRPr="00A43B9C" w:rsidRDefault="00825215" w:rsidP="007E4204">
            <w:pPr>
              <w:spacing w:after="0" w:line="240" w:lineRule="auto"/>
              <w:jc w:val="center"/>
              <w:rPr>
                <w:rFonts w:ascii="Times New Roman" w:eastAsiaTheme="minorEastAsia" w:hAnsi="Times New Roman" w:cs="Times New Roman"/>
                <w:sz w:val="28"/>
                <w:szCs w:val="28"/>
                <w:lang w:val="en-US"/>
              </w:rPr>
            </w:pPr>
            <w:r w:rsidRPr="00A43B9C">
              <w:rPr>
                <w:rFonts w:ascii="Times New Roman" w:hAnsi="Times New Roman" w:cs="Times New Roman"/>
                <w:sz w:val="28"/>
                <w:szCs w:val="28"/>
                <w:lang w:val="en-US"/>
              </w:rPr>
              <w:t>P</w:t>
            </w:r>
          </w:p>
        </w:tc>
      </w:tr>
      <w:tr w:rsidR="00825215" w:rsidRPr="00A43B9C" w14:paraId="7C90AB8B" w14:textId="77777777" w:rsidTr="00290AA2">
        <w:trPr>
          <w:jc w:val="center"/>
        </w:trPr>
        <w:tc>
          <w:tcPr>
            <w:tcW w:w="5000" w:type="pct"/>
            <w:gridSpan w:val="11"/>
            <w:vAlign w:val="center"/>
          </w:tcPr>
          <w:p w14:paraId="780896DE" w14:textId="77777777" w:rsidR="00825215" w:rsidRPr="00A43B9C" w:rsidRDefault="00825215"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rPr>
              <w:t>Пол</w:t>
            </w:r>
          </w:p>
        </w:tc>
      </w:tr>
      <w:tr w:rsidR="00825215" w:rsidRPr="00A43B9C" w14:paraId="1025C675" w14:textId="77777777" w:rsidTr="00290AA2">
        <w:trPr>
          <w:jc w:val="center"/>
        </w:trPr>
        <w:tc>
          <w:tcPr>
            <w:tcW w:w="820" w:type="pct"/>
            <w:vAlign w:val="center"/>
          </w:tcPr>
          <w:p w14:paraId="5511FF16" w14:textId="77777777" w:rsidR="00825215" w:rsidRPr="00A43B9C" w:rsidRDefault="00825215"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rPr>
              <w:t>Женский</w:t>
            </w:r>
          </w:p>
        </w:tc>
        <w:tc>
          <w:tcPr>
            <w:tcW w:w="670" w:type="pct"/>
            <w:vAlign w:val="center"/>
          </w:tcPr>
          <w:p w14:paraId="2E73D81E" w14:textId="77777777" w:rsidR="00825215" w:rsidRPr="00A43B9C" w:rsidRDefault="00825215" w:rsidP="007E4204">
            <w:pPr>
              <w:spacing w:after="0" w:line="240" w:lineRule="auto"/>
              <w:contextualSpacing/>
              <w:jc w:val="center"/>
              <w:rPr>
                <w:rFonts w:ascii="Times New Roman" w:hAnsi="Times New Roman" w:cs="Times New Roman"/>
                <w:sz w:val="28"/>
                <w:szCs w:val="28"/>
              </w:rPr>
            </w:pPr>
            <w:r w:rsidRPr="00A43B9C">
              <w:rPr>
                <w:rFonts w:ascii="Times New Roman" w:hAnsi="Times New Roman" w:cs="Times New Roman"/>
                <w:sz w:val="28"/>
                <w:szCs w:val="28"/>
              </w:rPr>
              <w:t>4</w:t>
            </w:r>
            <w:r w:rsidRPr="00A43B9C">
              <w:rPr>
                <w:rFonts w:ascii="Times New Roman" w:hAnsi="Times New Roman" w:cs="Times New Roman"/>
                <w:sz w:val="28"/>
                <w:szCs w:val="28"/>
                <w:lang w:val="en-US"/>
              </w:rPr>
              <w:t>6 (76,7)</w:t>
            </w:r>
          </w:p>
        </w:tc>
        <w:tc>
          <w:tcPr>
            <w:tcW w:w="372" w:type="pct"/>
            <w:vAlign w:val="center"/>
          </w:tcPr>
          <w:p w14:paraId="2D36CAAB"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83</w:t>
            </w:r>
          </w:p>
        </w:tc>
        <w:tc>
          <w:tcPr>
            <w:tcW w:w="409" w:type="pct"/>
            <w:vAlign w:val="center"/>
          </w:tcPr>
          <w:p w14:paraId="2A09DECF"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81</w:t>
            </w:r>
          </w:p>
        </w:tc>
        <w:tc>
          <w:tcPr>
            <w:tcW w:w="401" w:type="pct"/>
            <w:vAlign w:val="center"/>
          </w:tcPr>
          <w:p w14:paraId="57B57920"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0,88</w:t>
            </w:r>
          </w:p>
        </w:tc>
        <w:tc>
          <w:tcPr>
            <w:tcW w:w="372" w:type="pct"/>
            <w:vAlign w:val="center"/>
          </w:tcPr>
          <w:p w14:paraId="67F496DE"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0,85</w:t>
            </w:r>
          </w:p>
        </w:tc>
        <w:tc>
          <w:tcPr>
            <w:tcW w:w="393" w:type="pct"/>
            <w:vAlign w:val="center"/>
          </w:tcPr>
          <w:p w14:paraId="2D4C9F1D"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0,90</w:t>
            </w:r>
          </w:p>
        </w:tc>
        <w:tc>
          <w:tcPr>
            <w:tcW w:w="372" w:type="pct"/>
            <w:vAlign w:val="center"/>
          </w:tcPr>
          <w:p w14:paraId="6F80D48E"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79</w:t>
            </w:r>
          </w:p>
        </w:tc>
        <w:tc>
          <w:tcPr>
            <w:tcW w:w="372" w:type="pct"/>
            <w:vAlign w:val="center"/>
          </w:tcPr>
          <w:p w14:paraId="3C672E31"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0,91</w:t>
            </w:r>
          </w:p>
        </w:tc>
        <w:tc>
          <w:tcPr>
            <w:tcW w:w="372" w:type="pct"/>
            <w:vAlign w:val="center"/>
          </w:tcPr>
          <w:p w14:paraId="5D63E923"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74</w:t>
            </w:r>
          </w:p>
        </w:tc>
        <w:tc>
          <w:tcPr>
            <w:tcW w:w="448" w:type="pct"/>
            <w:vAlign w:val="center"/>
          </w:tcPr>
          <w:p w14:paraId="5CF3CDA9"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89</w:t>
            </w:r>
          </w:p>
        </w:tc>
      </w:tr>
      <w:tr w:rsidR="00825215" w:rsidRPr="00A43B9C" w14:paraId="27814A2E" w14:textId="77777777" w:rsidTr="00290AA2">
        <w:trPr>
          <w:jc w:val="center"/>
        </w:trPr>
        <w:tc>
          <w:tcPr>
            <w:tcW w:w="820" w:type="pct"/>
            <w:vAlign w:val="center"/>
          </w:tcPr>
          <w:p w14:paraId="143B25DD" w14:textId="77777777" w:rsidR="00825215" w:rsidRPr="00A43B9C" w:rsidRDefault="00825215"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rPr>
              <w:t>Мужской</w:t>
            </w:r>
          </w:p>
        </w:tc>
        <w:tc>
          <w:tcPr>
            <w:tcW w:w="670" w:type="pct"/>
            <w:vAlign w:val="center"/>
          </w:tcPr>
          <w:p w14:paraId="3C283AF8"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14 (23,3)</w:t>
            </w:r>
          </w:p>
        </w:tc>
        <w:tc>
          <w:tcPr>
            <w:tcW w:w="372" w:type="pct"/>
            <w:vAlign w:val="center"/>
          </w:tcPr>
          <w:p w14:paraId="6E6B11F6"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0,66</w:t>
            </w:r>
          </w:p>
        </w:tc>
        <w:tc>
          <w:tcPr>
            <w:tcW w:w="409" w:type="pct"/>
            <w:vAlign w:val="center"/>
          </w:tcPr>
          <w:p w14:paraId="1C9CEA5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0,61</w:t>
            </w:r>
          </w:p>
        </w:tc>
        <w:tc>
          <w:tcPr>
            <w:tcW w:w="401" w:type="pct"/>
            <w:vAlign w:val="center"/>
          </w:tcPr>
          <w:p w14:paraId="4AD74C65"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0,76</w:t>
            </w:r>
          </w:p>
        </w:tc>
        <w:tc>
          <w:tcPr>
            <w:tcW w:w="372" w:type="pct"/>
            <w:vAlign w:val="center"/>
          </w:tcPr>
          <w:p w14:paraId="409AA664"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0,63</w:t>
            </w:r>
          </w:p>
        </w:tc>
        <w:tc>
          <w:tcPr>
            <w:tcW w:w="393" w:type="pct"/>
            <w:vAlign w:val="center"/>
          </w:tcPr>
          <w:p w14:paraId="07EE332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0,70</w:t>
            </w:r>
          </w:p>
        </w:tc>
        <w:tc>
          <w:tcPr>
            <w:tcW w:w="372" w:type="pct"/>
            <w:vAlign w:val="center"/>
          </w:tcPr>
          <w:p w14:paraId="582D3D6D"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0,60</w:t>
            </w:r>
          </w:p>
        </w:tc>
        <w:tc>
          <w:tcPr>
            <w:tcW w:w="372" w:type="pct"/>
            <w:vAlign w:val="center"/>
          </w:tcPr>
          <w:p w14:paraId="5A9A6BC4"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0,68</w:t>
            </w:r>
          </w:p>
        </w:tc>
        <w:tc>
          <w:tcPr>
            <w:tcW w:w="372" w:type="pct"/>
            <w:vAlign w:val="center"/>
          </w:tcPr>
          <w:p w14:paraId="712530FE"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0,54</w:t>
            </w:r>
          </w:p>
        </w:tc>
        <w:tc>
          <w:tcPr>
            <w:tcW w:w="448" w:type="pct"/>
            <w:vAlign w:val="center"/>
          </w:tcPr>
          <w:p w14:paraId="3AD5649A"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0,70</w:t>
            </w:r>
          </w:p>
        </w:tc>
      </w:tr>
      <w:tr w:rsidR="00825215" w:rsidRPr="00A43B9C" w14:paraId="08A7EC73" w14:textId="77777777" w:rsidTr="00290AA2">
        <w:trPr>
          <w:jc w:val="center"/>
        </w:trPr>
        <w:tc>
          <w:tcPr>
            <w:tcW w:w="5000" w:type="pct"/>
            <w:gridSpan w:val="11"/>
            <w:vAlign w:val="center"/>
          </w:tcPr>
          <w:p w14:paraId="26077F35" w14:textId="77777777" w:rsidR="00825215" w:rsidRPr="00A43B9C" w:rsidDel="00DB112D" w:rsidRDefault="00825215"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rPr>
              <w:t>Локализация первичной опухоли</w:t>
            </w:r>
          </w:p>
        </w:tc>
      </w:tr>
      <w:tr w:rsidR="00825215" w:rsidRPr="00A43B9C" w14:paraId="22A999F3" w14:textId="77777777" w:rsidTr="00290AA2">
        <w:trPr>
          <w:jc w:val="center"/>
        </w:trPr>
        <w:tc>
          <w:tcPr>
            <w:tcW w:w="820" w:type="pct"/>
            <w:vAlign w:val="center"/>
          </w:tcPr>
          <w:p w14:paraId="2D26A33D" w14:textId="77777777" w:rsidR="00825215" w:rsidRPr="00A43B9C" w:rsidRDefault="00825215" w:rsidP="007E4204">
            <w:pPr>
              <w:spacing w:after="0" w:line="240" w:lineRule="auto"/>
              <w:contextualSpacing/>
              <w:rPr>
                <w:rFonts w:ascii="Times New Roman" w:eastAsiaTheme="minorEastAsia" w:hAnsi="Times New Roman" w:cs="Times New Roman"/>
                <w:sz w:val="28"/>
                <w:szCs w:val="28"/>
                <w:lang w:val="en-US"/>
              </w:rPr>
            </w:pPr>
            <w:r w:rsidRPr="00A43B9C">
              <w:rPr>
                <w:rFonts w:ascii="Times New Roman" w:hAnsi="Times New Roman" w:cs="Times New Roman"/>
                <w:sz w:val="28"/>
                <w:szCs w:val="28"/>
              </w:rPr>
              <w:t>Ободочная кишка</w:t>
            </w:r>
          </w:p>
        </w:tc>
        <w:tc>
          <w:tcPr>
            <w:tcW w:w="670" w:type="pct"/>
            <w:vAlign w:val="center"/>
          </w:tcPr>
          <w:p w14:paraId="3E511C20" w14:textId="77777777" w:rsidR="00825215" w:rsidRPr="00A43B9C" w:rsidRDefault="00825215" w:rsidP="007E4204">
            <w:pPr>
              <w:spacing w:after="0" w:line="240" w:lineRule="auto"/>
              <w:contextualSpacing/>
              <w:jc w:val="center"/>
              <w:rPr>
                <w:rFonts w:ascii="Times New Roman" w:eastAsiaTheme="minorEastAsia" w:hAnsi="Times New Roman" w:cs="Times New Roman"/>
                <w:sz w:val="28"/>
                <w:szCs w:val="28"/>
                <w:lang w:val="en-US"/>
              </w:rPr>
            </w:pPr>
            <w:r w:rsidRPr="00A43B9C">
              <w:rPr>
                <w:rFonts w:ascii="Times New Roman" w:hAnsi="Times New Roman" w:cs="Times New Roman"/>
                <w:sz w:val="28"/>
                <w:szCs w:val="28"/>
              </w:rPr>
              <w:t>20 (33</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3)</w:t>
            </w:r>
          </w:p>
        </w:tc>
        <w:tc>
          <w:tcPr>
            <w:tcW w:w="372" w:type="pct"/>
            <w:vAlign w:val="center"/>
          </w:tcPr>
          <w:p w14:paraId="48B0BD9C" w14:textId="77777777" w:rsidR="00825215" w:rsidRPr="00A43B9C" w:rsidRDefault="00825215" w:rsidP="007E4204">
            <w:pPr>
              <w:spacing w:after="0" w:line="240" w:lineRule="auto"/>
              <w:contextualSpacing/>
              <w:jc w:val="center"/>
              <w:rPr>
                <w:rFonts w:ascii="Times New Roman" w:eastAsiaTheme="minorEastAsia" w:hAnsi="Times New Roman" w:cs="Times New Roman"/>
                <w:sz w:val="28"/>
                <w:szCs w:val="28"/>
                <w:lang w:val="en-US"/>
              </w:rPr>
            </w:pPr>
            <w:r w:rsidRPr="00A43B9C">
              <w:rPr>
                <w:rFonts w:ascii="Times New Roman" w:hAnsi="Times New Roman" w:cs="Times New Roman"/>
                <w:sz w:val="28"/>
                <w:szCs w:val="28"/>
                <w:lang w:val="en-US"/>
              </w:rPr>
              <w:t>0,9</w:t>
            </w:r>
            <w:r w:rsidRPr="00A43B9C">
              <w:rPr>
                <w:rFonts w:ascii="Times New Roman" w:hAnsi="Times New Roman" w:cs="Times New Roman"/>
                <w:sz w:val="28"/>
                <w:szCs w:val="28"/>
              </w:rPr>
              <w:t>3</w:t>
            </w:r>
          </w:p>
        </w:tc>
        <w:tc>
          <w:tcPr>
            <w:tcW w:w="409" w:type="pct"/>
            <w:vAlign w:val="center"/>
          </w:tcPr>
          <w:p w14:paraId="3F66D62D" w14:textId="77777777" w:rsidR="00825215" w:rsidRPr="00A43B9C" w:rsidRDefault="00825215" w:rsidP="007E4204">
            <w:pPr>
              <w:spacing w:after="0" w:line="240" w:lineRule="auto"/>
              <w:contextualSpacing/>
              <w:jc w:val="center"/>
              <w:rPr>
                <w:rFonts w:ascii="Times New Roman" w:eastAsiaTheme="minorEastAsia"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7</w:t>
            </w:r>
            <w:r w:rsidRPr="00A43B9C">
              <w:rPr>
                <w:rFonts w:ascii="Times New Roman" w:hAnsi="Times New Roman" w:cs="Times New Roman"/>
                <w:sz w:val="28"/>
                <w:szCs w:val="28"/>
                <w:lang w:val="en-US"/>
              </w:rPr>
              <w:t>9</w:t>
            </w:r>
          </w:p>
        </w:tc>
        <w:tc>
          <w:tcPr>
            <w:tcW w:w="401" w:type="pct"/>
            <w:vAlign w:val="center"/>
          </w:tcPr>
          <w:p w14:paraId="67334148" w14:textId="77777777" w:rsidR="00825215" w:rsidRPr="00A43B9C" w:rsidRDefault="00825215" w:rsidP="007E4204">
            <w:pPr>
              <w:spacing w:after="0" w:line="240" w:lineRule="auto"/>
              <w:contextualSpacing/>
              <w:jc w:val="center"/>
              <w:rPr>
                <w:rFonts w:ascii="Times New Roman" w:eastAsiaTheme="minorEastAsia" w:hAnsi="Times New Roman" w:cs="Times New Roman"/>
                <w:sz w:val="28"/>
                <w:szCs w:val="28"/>
                <w:lang w:val="en-US"/>
              </w:rPr>
            </w:pPr>
            <w:r w:rsidRPr="00A43B9C">
              <w:rPr>
                <w:rFonts w:ascii="Times New Roman" w:hAnsi="Times New Roman" w:cs="Times New Roman"/>
                <w:sz w:val="28"/>
                <w:szCs w:val="28"/>
              </w:rPr>
              <w:t>1</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08</w:t>
            </w:r>
          </w:p>
        </w:tc>
        <w:tc>
          <w:tcPr>
            <w:tcW w:w="372" w:type="pct"/>
            <w:vAlign w:val="center"/>
          </w:tcPr>
          <w:p w14:paraId="345C4531" w14:textId="77777777" w:rsidR="00825215" w:rsidRPr="00A43B9C" w:rsidRDefault="00825215" w:rsidP="007E4204">
            <w:pPr>
              <w:spacing w:after="0" w:line="240" w:lineRule="auto"/>
              <w:contextualSpacing/>
              <w:jc w:val="center"/>
              <w:rPr>
                <w:rFonts w:ascii="Times New Roman" w:eastAsiaTheme="minorEastAsia" w:hAnsi="Times New Roman" w:cs="Times New Roman"/>
                <w:sz w:val="28"/>
                <w:szCs w:val="28"/>
                <w:lang w:val="en-US"/>
              </w:rPr>
            </w:pPr>
            <w:r w:rsidRPr="00A43B9C">
              <w:rPr>
                <w:rFonts w:ascii="Times New Roman" w:hAnsi="Times New Roman" w:cs="Times New Roman"/>
                <w:sz w:val="28"/>
                <w:szCs w:val="28"/>
              </w:rPr>
              <w:t>1</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07</w:t>
            </w:r>
          </w:p>
        </w:tc>
        <w:tc>
          <w:tcPr>
            <w:tcW w:w="393" w:type="pct"/>
            <w:vAlign w:val="center"/>
          </w:tcPr>
          <w:p w14:paraId="52D74111" w14:textId="77777777" w:rsidR="00825215" w:rsidRPr="00A43B9C" w:rsidRDefault="00825215" w:rsidP="007E4204">
            <w:pPr>
              <w:spacing w:after="0" w:line="240" w:lineRule="auto"/>
              <w:contextualSpacing/>
              <w:jc w:val="center"/>
              <w:rPr>
                <w:rFonts w:ascii="Times New Roman" w:eastAsiaTheme="minorEastAsia" w:hAnsi="Times New Roman" w:cs="Times New Roman"/>
                <w:sz w:val="28"/>
                <w:szCs w:val="28"/>
                <w:lang w:val="en-US"/>
              </w:rPr>
            </w:pPr>
            <w:r w:rsidRPr="00A43B9C">
              <w:rPr>
                <w:rFonts w:ascii="Times New Roman" w:hAnsi="Times New Roman" w:cs="Times New Roman"/>
                <w:sz w:val="28"/>
                <w:szCs w:val="28"/>
                <w:lang w:val="en-US"/>
              </w:rPr>
              <w:t>0,9</w:t>
            </w:r>
            <w:r w:rsidRPr="00A43B9C">
              <w:rPr>
                <w:rFonts w:ascii="Times New Roman" w:hAnsi="Times New Roman" w:cs="Times New Roman"/>
                <w:sz w:val="28"/>
                <w:szCs w:val="28"/>
              </w:rPr>
              <w:t>3</w:t>
            </w:r>
          </w:p>
        </w:tc>
        <w:tc>
          <w:tcPr>
            <w:tcW w:w="372" w:type="pct"/>
            <w:vAlign w:val="center"/>
          </w:tcPr>
          <w:p w14:paraId="26E801F8" w14:textId="77777777" w:rsidR="00825215" w:rsidRPr="00A43B9C" w:rsidRDefault="00825215" w:rsidP="007E4204">
            <w:pPr>
              <w:spacing w:after="0" w:line="240" w:lineRule="auto"/>
              <w:contextualSpacing/>
              <w:jc w:val="center"/>
              <w:rPr>
                <w:rFonts w:ascii="Times New Roman" w:eastAsiaTheme="minorEastAsia" w:hAnsi="Times New Roman" w:cs="Times New Roman"/>
                <w:sz w:val="28"/>
                <w:szCs w:val="28"/>
                <w:lang w:val="en-US"/>
              </w:rPr>
            </w:pPr>
            <w:r w:rsidRPr="00A43B9C">
              <w:rPr>
                <w:rFonts w:ascii="Times New Roman" w:hAnsi="Times New Roman" w:cs="Times New Roman"/>
                <w:sz w:val="28"/>
                <w:szCs w:val="28"/>
                <w:lang w:val="en-US"/>
              </w:rPr>
              <w:t>0,9</w:t>
            </w:r>
            <w:r w:rsidRPr="00A43B9C">
              <w:rPr>
                <w:rFonts w:ascii="Times New Roman" w:hAnsi="Times New Roman" w:cs="Times New Roman"/>
                <w:sz w:val="28"/>
                <w:szCs w:val="28"/>
              </w:rPr>
              <w:t>2</w:t>
            </w:r>
          </w:p>
        </w:tc>
        <w:tc>
          <w:tcPr>
            <w:tcW w:w="372" w:type="pct"/>
            <w:vAlign w:val="center"/>
          </w:tcPr>
          <w:p w14:paraId="2DA043F0" w14:textId="77777777" w:rsidR="00825215" w:rsidRPr="00A43B9C" w:rsidRDefault="00825215" w:rsidP="007E4204">
            <w:pPr>
              <w:spacing w:after="0" w:line="240" w:lineRule="auto"/>
              <w:contextualSpacing/>
              <w:jc w:val="center"/>
              <w:rPr>
                <w:rFonts w:ascii="Times New Roman" w:eastAsiaTheme="minorEastAsia" w:hAnsi="Times New Roman" w:cs="Times New Roman"/>
                <w:sz w:val="28"/>
                <w:szCs w:val="28"/>
                <w:lang w:val="en-US"/>
              </w:rPr>
            </w:pPr>
            <w:r w:rsidRPr="00A43B9C">
              <w:rPr>
                <w:rFonts w:ascii="Times New Roman" w:hAnsi="Times New Roman" w:cs="Times New Roman"/>
                <w:sz w:val="28"/>
                <w:szCs w:val="28"/>
                <w:lang w:val="en-US"/>
              </w:rPr>
              <w:t>0,9</w:t>
            </w:r>
            <w:r w:rsidRPr="00A43B9C">
              <w:rPr>
                <w:rFonts w:ascii="Times New Roman" w:hAnsi="Times New Roman" w:cs="Times New Roman"/>
                <w:sz w:val="28"/>
                <w:szCs w:val="28"/>
              </w:rPr>
              <w:t>6</w:t>
            </w:r>
          </w:p>
        </w:tc>
        <w:tc>
          <w:tcPr>
            <w:tcW w:w="372" w:type="pct"/>
            <w:vAlign w:val="center"/>
          </w:tcPr>
          <w:p w14:paraId="785B148B" w14:textId="77777777" w:rsidR="00825215" w:rsidRPr="00A43B9C" w:rsidRDefault="00825215" w:rsidP="007E4204">
            <w:pPr>
              <w:spacing w:after="0" w:line="240" w:lineRule="auto"/>
              <w:contextualSpacing/>
              <w:jc w:val="center"/>
              <w:rPr>
                <w:rFonts w:ascii="Times New Roman" w:eastAsiaTheme="minorEastAsia"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74</w:t>
            </w:r>
          </w:p>
        </w:tc>
        <w:tc>
          <w:tcPr>
            <w:tcW w:w="448" w:type="pct"/>
            <w:vAlign w:val="center"/>
          </w:tcPr>
          <w:p w14:paraId="593007D7" w14:textId="77777777" w:rsidR="00825215" w:rsidRPr="00A43B9C" w:rsidRDefault="00825215" w:rsidP="007E4204">
            <w:pPr>
              <w:spacing w:after="0" w:line="240" w:lineRule="auto"/>
              <w:contextualSpacing/>
              <w:jc w:val="center"/>
              <w:rPr>
                <w:rFonts w:ascii="Times New Roman" w:eastAsiaTheme="minorEastAsia"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8</w:t>
            </w:r>
            <w:r w:rsidRPr="00A43B9C">
              <w:rPr>
                <w:rFonts w:ascii="Times New Roman" w:hAnsi="Times New Roman" w:cs="Times New Roman"/>
                <w:sz w:val="28"/>
                <w:szCs w:val="28"/>
                <w:lang w:val="en-US"/>
              </w:rPr>
              <w:t>9</w:t>
            </w:r>
          </w:p>
        </w:tc>
      </w:tr>
      <w:tr w:rsidR="00825215" w:rsidRPr="00A43B9C" w14:paraId="63E47BF4" w14:textId="77777777" w:rsidTr="00290AA2">
        <w:trPr>
          <w:jc w:val="center"/>
        </w:trPr>
        <w:tc>
          <w:tcPr>
            <w:tcW w:w="820" w:type="pct"/>
            <w:vAlign w:val="center"/>
          </w:tcPr>
          <w:p w14:paraId="5F83C6C2" w14:textId="77777777" w:rsidR="00825215" w:rsidRPr="00A43B9C" w:rsidRDefault="00825215"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rPr>
              <w:t>Прямая кишка</w:t>
            </w:r>
          </w:p>
        </w:tc>
        <w:tc>
          <w:tcPr>
            <w:tcW w:w="670" w:type="pct"/>
            <w:vAlign w:val="center"/>
          </w:tcPr>
          <w:p w14:paraId="5D6CE541"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21 (35,0)</w:t>
            </w:r>
          </w:p>
        </w:tc>
        <w:tc>
          <w:tcPr>
            <w:tcW w:w="372" w:type="pct"/>
            <w:vAlign w:val="center"/>
          </w:tcPr>
          <w:p w14:paraId="35A3D438"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76</w:t>
            </w:r>
          </w:p>
        </w:tc>
        <w:tc>
          <w:tcPr>
            <w:tcW w:w="409" w:type="pct"/>
            <w:vAlign w:val="center"/>
          </w:tcPr>
          <w:p w14:paraId="69112782"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0,69</w:t>
            </w:r>
          </w:p>
        </w:tc>
        <w:tc>
          <w:tcPr>
            <w:tcW w:w="401" w:type="pct"/>
            <w:vAlign w:val="center"/>
          </w:tcPr>
          <w:p w14:paraId="522584C9"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0,86</w:t>
            </w:r>
          </w:p>
        </w:tc>
        <w:tc>
          <w:tcPr>
            <w:tcW w:w="372" w:type="pct"/>
            <w:vAlign w:val="center"/>
          </w:tcPr>
          <w:p w14:paraId="0463F5B4"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0,80</w:t>
            </w:r>
          </w:p>
        </w:tc>
        <w:tc>
          <w:tcPr>
            <w:tcW w:w="393" w:type="pct"/>
            <w:vAlign w:val="center"/>
          </w:tcPr>
          <w:p w14:paraId="09D5B656"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93</w:t>
            </w:r>
          </w:p>
        </w:tc>
        <w:tc>
          <w:tcPr>
            <w:tcW w:w="372" w:type="pct"/>
            <w:vAlign w:val="center"/>
          </w:tcPr>
          <w:p w14:paraId="66C0C0B4"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79</w:t>
            </w:r>
          </w:p>
        </w:tc>
        <w:tc>
          <w:tcPr>
            <w:tcW w:w="372" w:type="pct"/>
            <w:vAlign w:val="center"/>
          </w:tcPr>
          <w:p w14:paraId="0BADB3D4"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86</w:t>
            </w:r>
          </w:p>
        </w:tc>
        <w:tc>
          <w:tcPr>
            <w:tcW w:w="372" w:type="pct"/>
            <w:vAlign w:val="center"/>
          </w:tcPr>
          <w:p w14:paraId="21D877DA"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81</w:t>
            </w:r>
          </w:p>
        </w:tc>
        <w:tc>
          <w:tcPr>
            <w:tcW w:w="448" w:type="pct"/>
            <w:vAlign w:val="center"/>
          </w:tcPr>
          <w:p w14:paraId="087AA3A4"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1</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02</w:t>
            </w:r>
          </w:p>
        </w:tc>
      </w:tr>
      <w:tr w:rsidR="00825215" w:rsidRPr="00A43B9C" w14:paraId="5A566C03" w14:textId="77777777" w:rsidTr="00290AA2">
        <w:trPr>
          <w:jc w:val="center"/>
        </w:trPr>
        <w:tc>
          <w:tcPr>
            <w:tcW w:w="820" w:type="pct"/>
            <w:vAlign w:val="center"/>
          </w:tcPr>
          <w:p w14:paraId="4F743461" w14:textId="77777777" w:rsidR="00825215" w:rsidRPr="00A43B9C" w:rsidRDefault="00825215"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rPr>
              <w:t>Сигмовидная кишка</w:t>
            </w:r>
          </w:p>
        </w:tc>
        <w:tc>
          <w:tcPr>
            <w:tcW w:w="670" w:type="pct"/>
            <w:vAlign w:val="center"/>
          </w:tcPr>
          <w:p w14:paraId="380A46EE"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19 (31,7)</w:t>
            </w:r>
          </w:p>
        </w:tc>
        <w:tc>
          <w:tcPr>
            <w:tcW w:w="372" w:type="pct"/>
            <w:vAlign w:val="center"/>
          </w:tcPr>
          <w:p w14:paraId="7D4FDC31"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67</w:t>
            </w:r>
          </w:p>
        </w:tc>
        <w:tc>
          <w:tcPr>
            <w:tcW w:w="409" w:type="pct"/>
            <w:vAlign w:val="center"/>
          </w:tcPr>
          <w:p w14:paraId="7BBF4BCB"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0,61</w:t>
            </w:r>
          </w:p>
        </w:tc>
        <w:tc>
          <w:tcPr>
            <w:tcW w:w="401" w:type="pct"/>
            <w:vAlign w:val="center"/>
          </w:tcPr>
          <w:p w14:paraId="74CB9EA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0,74</w:t>
            </w:r>
          </w:p>
        </w:tc>
        <w:tc>
          <w:tcPr>
            <w:tcW w:w="372" w:type="pct"/>
            <w:vAlign w:val="center"/>
          </w:tcPr>
          <w:p w14:paraId="4292933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0,62</w:t>
            </w:r>
          </w:p>
        </w:tc>
        <w:tc>
          <w:tcPr>
            <w:tcW w:w="393" w:type="pct"/>
            <w:vAlign w:val="center"/>
          </w:tcPr>
          <w:p w14:paraId="0C27368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78</w:t>
            </w:r>
          </w:p>
        </w:tc>
        <w:tc>
          <w:tcPr>
            <w:tcW w:w="372" w:type="pct"/>
            <w:vAlign w:val="center"/>
          </w:tcPr>
          <w:p w14:paraId="576452D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58</w:t>
            </w:r>
          </w:p>
        </w:tc>
        <w:tc>
          <w:tcPr>
            <w:tcW w:w="372" w:type="pct"/>
            <w:vAlign w:val="center"/>
          </w:tcPr>
          <w:p w14:paraId="3ECB65A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75</w:t>
            </w:r>
          </w:p>
        </w:tc>
        <w:tc>
          <w:tcPr>
            <w:tcW w:w="372" w:type="pct"/>
            <w:vAlign w:val="center"/>
          </w:tcPr>
          <w:p w14:paraId="1C07F6E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59</w:t>
            </w:r>
          </w:p>
        </w:tc>
        <w:tc>
          <w:tcPr>
            <w:tcW w:w="448" w:type="pct"/>
            <w:vAlign w:val="center"/>
          </w:tcPr>
          <w:p w14:paraId="78972AE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67</w:t>
            </w:r>
          </w:p>
        </w:tc>
      </w:tr>
      <w:tr w:rsidR="00825215" w:rsidRPr="00A43B9C" w14:paraId="376569D3" w14:textId="77777777" w:rsidTr="00290AA2">
        <w:trPr>
          <w:jc w:val="center"/>
        </w:trPr>
        <w:tc>
          <w:tcPr>
            <w:tcW w:w="5000" w:type="pct"/>
            <w:gridSpan w:val="11"/>
            <w:vAlign w:val="center"/>
          </w:tcPr>
          <w:p w14:paraId="407A85A2" w14:textId="77777777" w:rsidR="00825215" w:rsidRPr="00A43B9C" w:rsidRDefault="00825215"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T</w:t>
            </w:r>
            <w:r w:rsidRPr="00A43B9C">
              <w:rPr>
                <w:rFonts w:ascii="Times New Roman" w:hAnsi="Times New Roman" w:cs="Times New Roman"/>
                <w:sz w:val="28"/>
                <w:szCs w:val="28"/>
              </w:rPr>
              <w:t xml:space="preserve"> стадия</w:t>
            </w:r>
          </w:p>
        </w:tc>
      </w:tr>
      <w:tr w:rsidR="00825215" w:rsidRPr="00A43B9C" w14:paraId="09C6303E" w14:textId="77777777" w:rsidTr="00290AA2">
        <w:trPr>
          <w:jc w:val="center"/>
        </w:trPr>
        <w:tc>
          <w:tcPr>
            <w:tcW w:w="820" w:type="pct"/>
            <w:vAlign w:val="center"/>
          </w:tcPr>
          <w:p w14:paraId="4899928D" w14:textId="77777777" w:rsidR="00825215" w:rsidRPr="00A43B9C" w:rsidRDefault="00825215" w:rsidP="007E4204">
            <w:pPr>
              <w:pStyle w:val="p"/>
              <w:spacing w:before="0" w:beforeAutospacing="0" w:after="0" w:afterAutospacing="0"/>
              <w:jc w:val="both"/>
              <w:rPr>
                <w:sz w:val="28"/>
                <w:szCs w:val="28"/>
              </w:rPr>
            </w:pPr>
            <w:r w:rsidRPr="00A43B9C">
              <w:rPr>
                <w:sz w:val="28"/>
                <w:szCs w:val="28"/>
                <w:lang w:val="en-US"/>
              </w:rPr>
              <w:t>T</w:t>
            </w:r>
            <w:r w:rsidRPr="00A43B9C">
              <w:rPr>
                <w:sz w:val="28"/>
                <w:szCs w:val="28"/>
                <w:vertAlign w:val="subscript"/>
              </w:rPr>
              <w:t>1</w:t>
            </w:r>
          </w:p>
        </w:tc>
        <w:tc>
          <w:tcPr>
            <w:tcW w:w="670" w:type="pct"/>
            <w:vAlign w:val="center"/>
          </w:tcPr>
          <w:p w14:paraId="46980F54" w14:textId="77777777" w:rsidR="00825215" w:rsidRPr="00A43B9C" w:rsidRDefault="00825215" w:rsidP="007E4204">
            <w:pPr>
              <w:pStyle w:val="p"/>
              <w:spacing w:before="0" w:beforeAutospacing="0" w:after="0" w:afterAutospacing="0"/>
              <w:jc w:val="center"/>
              <w:rPr>
                <w:sz w:val="28"/>
                <w:szCs w:val="28"/>
              </w:rPr>
            </w:pPr>
            <w:r w:rsidRPr="00A43B9C">
              <w:rPr>
                <w:sz w:val="28"/>
                <w:szCs w:val="28"/>
              </w:rPr>
              <w:t>1 (1</w:t>
            </w:r>
            <w:r w:rsidRPr="00A43B9C">
              <w:rPr>
                <w:sz w:val="28"/>
                <w:szCs w:val="28"/>
                <w:lang w:val="en-US"/>
              </w:rPr>
              <w:t>,</w:t>
            </w:r>
            <w:r w:rsidRPr="00A43B9C">
              <w:rPr>
                <w:sz w:val="28"/>
                <w:szCs w:val="28"/>
              </w:rPr>
              <w:t>7)</w:t>
            </w:r>
          </w:p>
        </w:tc>
        <w:tc>
          <w:tcPr>
            <w:tcW w:w="372" w:type="pct"/>
            <w:vAlign w:val="center"/>
          </w:tcPr>
          <w:p w14:paraId="5290D6C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92</w:t>
            </w:r>
          </w:p>
        </w:tc>
        <w:tc>
          <w:tcPr>
            <w:tcW w:w="409" w:type="pct"/>
            <w:vAlign w:val="center"/>
          </w:tcPr>
          <w:p w14:paraId="198C017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18</w:t>
            </w:r>
          </w:p>
        </w:tc>
        <w:tc>
          <w:tcPr>
            <w:tcW w:w="401" w:type="pct"/>
            <w:vAlign w:val="center"/>
          </w:tcPr>
          <w:p w14:paraId="2B20C0B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82</w:t>
            </w:r>
          </w:p>
        </w:tc>
        <w:tc>
          <w:tcPr>
            <w:tcW w:w="372" w:type="pct"/>
            <w:vAlign w:val="center"/>
          </w:tcPr>
          <w:p w14:paraId="228D225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31</w:t>
            </w:r>
          </w:p>
        </w:tc>
        <w:tc>
          <w:tcPr>
            <w:tcW w:w="393" w:type="pct"/>
            <w:vAlign w:val="center"/>
          </w:tcPr>
          <w:p w14:paraId="1B6A330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67</w:t>
            </w:r>
          </w:p>
        </w:tc>
        <w:tc>
          <w:tcPr>
            <w:tcW w:w="372" w:type="pct"/>
            <w:vAlign w:val="center"/>
          </w:tcPr>
          <w:p w14:paraId="54335BF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07</w:t>
            </w:r>
          </w:p>
        </w:tc>
        <w:tc>
          <w:tcPr>
            <w:tcW w:w="372" w:type="pct"/>
            <w:vAlign w:val="center"/>
          </w:tcPr>
          <w:p w14:paraId="515C122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05</w:t>
            </w:r>
          </w:p>
        </w:tc>
        <w:tc>
          <w:tcPr>
            <w:tcW w:w="372" w:type="pct"/>
            <w:vAlign w:val="center"/>
          </w:tcPr>
          <w:p w14:paraId="54326DC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75</w:t>
            </w:r>
          </w:p>
        </w:tc>
        <w:tc>
          <w:tcPr>
            <w:tcW w:w="448" w:type="pct"/>
            <w:vAlign w:val="center"/>
          </w:tcPr>
          <w:p w14:paraId="2DAABA9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03</w:t>
            </w:r>
          </w:p>
        </w:tc>
      </w:tr>
      <w:tr w:rsidR="00825215" w:rsidRPr="00A43B9C" w14:paraId="2E8FCCD3" w14:textId="77777777" w:rsidTr="00290AA2">
        <w:trPr>
          <w:jc w:val="center"/>
        </w:trPr>
        <w:tc>
          <w:tcPr>
            <w:tcW w:w="820" w:type="pct"/>
            <w:vAlign w:val="center"/>
          </w:tcPr>
          <w:p w14:paraId="13358322" w14:textId="77777777" w:rsidR="00825215" w:rsidRPr="00A43B9C" w:rsidRDefault="00825215" w:rsidP="007E4204">
            <w:pPr>
              <w:pStyle w:val="p"/>
              <w:spacing w:before="0" w:beforeAutospacing="0" w:after="0" w:afterAutospacing="0"/>
              <w:jc w:val="both"/>
              <w:rPr>
                <w:sz w:val="28"/>
                <w:szCs w:val="28"/>
              </w:rPr>
            </w:pPr>
            <w:r w:rsidRPr="00A43B9C">
              <w:rPr>
                <w:sz w:val="28"/>
                <w:szCs w:val="28"/>
                <w:lang w:val="en-US"/>
              </w:rPr>
              <w:t>T</w:t>
            </w:r>
            <w:r w:rsidRPr="00A43B9C">
              <w:rPr>
                <w:sz w:val="28"/>
                <w:szCs w:val="28"/>
                <w:vertAlign w:val="subscript"/>
              </w:rPr>
              <w:t>2</w:t>
            </w:r>
          </w:p>
        </w:tc>
        <w:tc>
          <w:tcPr>
            <w:tcW w:w="670" w:type="pct"/>
            <w:vAlign w:val="center"/>
          </w:tcPr>
          <w:p w14:paraId="06F46335" w14:textId="77777777" w:rsidR="00825215" w:rsidRPr="00A43B9C" w:rsidRDefault="00825215" w:rsidP="007E4204">
            <w:pPr>
              <w:pStyle w:val="p"/>
              <w:spacing w:before="0" w:beforeAutospacing="0" w:after="0" w:afterAutospacing="0"/>
              <w:jc w:val="center"/>
              <w:rPr>
                <w:sz w:val="28"/>
                <w:szCs w:val="28"/>
              </w:rPr>
            </w:pPr>
            <w:r w:rsidRPr="00A43B9C">
              <w:rPr>
                <w:sz w:val="28"/>
                <w:szCs w:val="28"/>
              </w:rPr>
              <w:t>9 (15</w:t>
            </w:r>
            <w:r w:rsidRPr="00A43B9C">
              <w:rPr>
                <w:sz w:val="28"/>
                <w:szCs w:val="28"/>
                <w:lang w:val="en-US"/>
              </w:rPr>
              <w:t>,</w:t>
            </w:r>
            <w:r w:rsidRPr="00A43B9C">
              <w:rPr>
                <w:sz w:val="28"/>
                <w:szCs w:val="28"/>
              </w:rPr>
              <w:t>0)</w:t>
            </w:r>
          </w:p>
        </w:tc>
        <w:tc>
          <w:tcPr>
            <w:tcW w:w="372" w:type="pct"/>
            <w:vAlign w:val="center"/>
          </w:tcPr>
          <w:p w14:paraId="688E900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77</w:t>
            </w:r>
          </w:p>
        </w:tc>
        <w:tc>
          <w:tcPr>
            <w:tcW w:w="409" w:type="pct"/>
            <w:vAlign w:val="center"/>
          </w:tcPr>
          <w:p w14:paraId="4038BAC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93</w:t>
            </w:r>
          </w:p>
        </w:tc>
        <w:tc>
          <w:tcPr>
            <w:tcW w:w="401" w:type="pct"/>
            <w:vAlign w:val="center"/>
          </w:tcPr>
          <w:p w14:paraId="5B625AC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86</w:t>
            </w:r>
          </w:p>
        </w:tc>
        <w:tc>
          <w:tcPr>
            <w:tcW w:w="372" w:type="pct"/>
            <w:vAlign w:val="center"/>
          </w:tcPr>
          <w:p w14:paraId="67407E9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07</w:t>
            </w:r>
          </w:p>
        </w:tc>
        <w:tc>
          <w:tcPr>
            <w:tcW w:w="393" w:type="pct"/>
            <w:vAlign w:val="center"/>
          </w:tcPr>
          <w:p w14:paraId="304671C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96</w:t>
            </w:r>
          </w:p>
        </w:tc>
        <w:tc>
          <w:tcPr>
            <w:tcW w:w="372" w:type="pct"/>
            <w:vAlign w:val="center"/>
          </w:tcPr>
          <w:p w14:paraId="1988AFB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91</w:t>
            </w:r>
          </w:p>
        </w:tc>
        <w:tc>
          <w:tcPr>
            <w:tcW w:w="372" w:type="pct"/>
            <w:vAlign w:val="center"/>
          </w:tcPr>
          <w:p w14:paraId="2BCA156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92</w:t>
            </w:r>
          </w:p>
        </w:tc>
        <w:tc>
          <w:tcPr>
            <w:tcW w:w="372" w:type="pct"/>
            <w:vAlign w:val="center"/>
          </w:tcPr>
          <w:p w14:paraId="02A448B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90</w:t>
            </w:r>
          </w:p>
        </w:tc>
        <w:tc>
          <w:tcPr>
            <w:tcW w:w="448" w:type="pct"/>
            <w:vAlign w:val="center"/>
          </w:tcPr>
          <w:p w14:paraId="7387749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11</w:t>
            </w:r>
          </w:p>
        </w:tc>
      </w:tr>
      <w:tr w:rsidR="00825215" w:rsidRPr="00A43B9C" w14:paraId="228CF177" w14:textId="77777777" w:rsidTr="00290AA2">
        <w:trPr>
          <w:jc w:val="center"/>
        </w:trPr>
        <w:tc>
          <w:tcPr>
            <w:tcW w:w="820" w:type="pct"/>
            <w:vAlign w:val="center"/>
          </w:tcPr>
          <w:p w14:paraId="5DB185A7" w14:textId="77777777" w:rsidR="00825215" w:rsidRPr="00A43B9C" w:rsidRDefault="00825215" w:rsidP="007E4204">
            <w:pPr>
              <w:pStyle w:val="p"/>
              <w:spacing w:before="0" w:beforeAutospacing="0" w:after="0" w:afterAutospacing="0"/>
              <w:jc w:val="both"/>
              <w:rPr>
                <w:sz w:val="28"/>
                <w:szCs w:val="28"/>
              </w:rPr>
            </w:pPr>
            <w:r w:rsidRPr="00A43B9C">
              <w:rPr>
                <w:sz w:val="28"/>
                <w:szCs w:val="28"/>
                <w:lang w:val="en-US"/>
              </w:rPr>
              <w:t>T</w:t>
            </w:r>
            <w:r w:rsidRPr="00A43B9C">
              <w:rPr>
                <w:sz w:val="28"/>
                <w:szCs w:val="28"/>
                <w:vertAlign w:val="subscript"/>
              </w:rPr>
              <w:t>3</w:t>
            </w:r>
          </w:p>
        </w:tc>
        <w:tc>
          <w:tcPr>
            <w:tcW w:w="670" w:type="pct"/>
            <w:vAlign w:val="center"/>
          </w:tcPr>
          <w:p w14:paraId="7E61510C" w14:textId="77777777" w:rsidR="00825215" w:rsidRPr="00A43B9C" w:rsidRDefault="00825215" w:rsidP="007E4204">
            <w:pPr>
              <w:pStyle w:val="p"/>
              <w:spacing w:before="0" w:beforeAutospacing="0" w:after="0" w:afterAutospacing="0"/>
              <w:jc w:val="center"/>
              <w:rPr>
                <w:sz w:val="28"/>
                <w:szCs w:val="28"/>
              </w:rPr>
            </w:pPr>
            <w:r w:rsidRPr="00A43B9C">
              <w:rPr>
                <w:sz w:val="28"/>
                <w:szCs w:val="28"/>
              </w:rPr>
              <w:t>28 (46</w:t>
            </w:r>
            <w:r w:rsidRPr="00A43B9C">
              <w:rPr>
                <w:sz w:val="28"/>
                <w:szCs w:val="28"/>
                <w:lang w:val="en-US"/>
              </w:rPr>
              <w:t>,</w:t>
            </w:r>
            <w:r w:rsidRPr="00A43B9C">
              <w:rPr>
                <w:sz w:val="28"/>
                <w:szCs w:val="28"/>
              </w:rPr>
              <w:t>7)</w:t>
            </w:r>
          </w:p>
        </w:tc>
        <w:tc>
          <w:tcPr>
            <w:tcW w:w="372" w:type="pct"/>
            <w:vAlign w:val="center"/>
          </w:tcPr>
          <w:p w14:paraId="766F437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75</w:t>
            </w:r>
          </w:p>
        </w:tc>
        <w:tc>
          <w:tcPr>
            <w:tcW w:w="409" w:type="pct"/>
            <w:vAlign w:val="center"/>
          </w:tcPr>
          <w:p w14:paraId="257B89F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63</w:t>
            </w:r>
          </w:p>
        </w:tc>
        <w:tc>
          <w:tcPr>
            <w:tcW w:w="401" w:type="pct"/>
            <w:vAlign w:val="center"/>
          </w:tcPr>
          <w:p w14:paraId="0F69887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82</w:t>
            </w:r>
          </w:p>
        </w:tc>
        <w:tc>
          <w:tcPr>
            <w:tcW w:w="372" w:type="pct"/>
            <w:vAlign w:val="center"/>
          </w:tcPr>
          <w:p w14:paraId="5EA47FF0"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,62</w:t>
            </w:r>
          </w:p>
        </w:tc>
        <w:tc>
          <w:tcPr>
            <w:tcW w:w="393" w:type="pct"/>
            <w:vAlign w:val="center"/>
          </w:tcPr>
          <w:p w14:paraId="67CD040F"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79</w:t>
            </w:r>
          </w:p>
        </w:tc>
        <w:tc>
          <w:tcPr>
            <w:tcW w:w="372" w:type="pct"/>
            <w:vAlign w:val="center"/>
          </w:tcPr>
          <w:p w14:paraId="3F21A68A"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67</w:t>
            </w:r>
          </w:p>
        </w:tc>
        <w:tc>
          <w:tcPr>
            <w:tcW w:w="372" w:type="pct"/>
            <w:vAlign w:val="center"/>
          </w:tcPr>
          <w:p w14:paraId="08FED5FA"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83</w:t>
            </w:r>
          </w:p>
        </w:tc>
        <w:tc>
          <w:tcPr>
            <w:tcW w:w="372" w:type="pct"/>
            <w:vAlign w:val="center"/>
          </w:tcPr>
          <w:p w14:paraId="33638321"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65</w:t>
            </w:r>
          </w:p>
        </w:tc>
        <w:tc>
          <w:tcPr>
            <w:tcW w:w="448" w:type="pct"/>
            <w:vAlign w:val="center"/>
          </w:tcPr>
          <w:p w14:paraId="0BAA6262"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73</w:t>
            </w:r>
          </w:p>
        </w:tc>
      </w:tr>
      <w:tr w:rsidR="00825215" w:rsidRPr="00A43B9C" w14:paraId="47EDDFB8" w14:textId="77777777" w:rsidTr="00290AA2">
        <w:trPr>
          <w:jc w:val="center"/>
        </w:trPr>
        <w:tc>
          <w:tcPr>
            <w:tcW w:w="820" w:type="pct"/>
            <w:vAlign w:val="center"/>
          </w:tcPr>
          <w:p w14:paraId="14182DFC" w14:textId="77777777" w:rsidR="00825215" w:rsidRPr="00A43B9C" w:rsidRDefault="00825215" w:rsidP="007E4204">
            <w:pPr>
              <w:pStyle w:val="p"/>
              <w:spacing w:before="0" w:beforeAutospacing="0" w:after="0" w:afterAutospacing="0"/>
              <w:jc w:val="both"/>
              <w:rPr>
                <w:sz w:val="28"/>
                <w:szCs w:val="28"/>
                <w:lang w:val="en-US"/>
              </w:rPr>
            </w:pPr>
            <w:r w:rsidRPr="00A43B9C">
              <w:rPr>
                <w:sz w:val="28"/>
                <w:szCs w:val="28"/>
                <w:lang w:val="en-US"/>
              </w:rPr>
              <w:t>T</w:t>
            </w:r>
            <w:r w:rsidRPr="00A43B9C">
              <w:rPr>
                <w:sz w:val="28"/>
                <w:szCs w:val="28"/>
                <w:vertAlign w:val="subscript"/>
                <w:lang w:val="en-US"/>
              </w:rPr>
              <w:t>4</w:t>
            </w:r>
          </w:p>
        </w:tc>
        <w:tc>
          <w:tcPr>
            <w:tcW w:w="670" w:type="pct"/>
            <w:vAlign w:val="center"/>
          </w:tcPr>
          <w:p w14:paraId="7EA8E885" w14:textId="77777777" w:rsidR="00825215" w:rsidRPr="00A43B9C" w:rsidRDefault="00825215" w:rsidP="007E4204">
            <w:pPr>
              <w:pStyle w:val="p"/>
              <w:spacing w:before="0" w:beforeAutospacing="0" w:after="0" w:afterAutospacing="0"/>
              <w:jc w:val="center"/>
              <w:rPr>
                <w:sz w:val="28"/>
                <w:szCs w:val="28"/>
                <w:lang w:val="en-US"/>
              </w:rPr>
            </w:pPr>
            <w:r w:rsidRPr="00A43B9C">
              <w:rPr>
                <w:sz w:val="28"/>
                <w:szCs w:val="28"/>
                <w:lang w:val="en-US"/>
              </w:rPr>
              <w:t>22 (36,7)</w:t>
            </w:r>
          </w:p>
        </w:tc>
        <w:tc>
          <w:tcPr>
            <w:tcW w:w="372" w:type="pct"/>
            <w:vAlign w:val="center"/>
          </w:tcPr>
          <w:p w14:paraId="30ED3D90"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0,88</w:t>
            </w:r>
          </w:p>
        </w:tc>
        <w:tc>
          <w:tcPr>
            <w:tcW w:w="409" w:type="pct"/>
            <w:vAlign w:val="center"/>
          </w:tcPr>
          <w:p w14:paraId="185F91E9"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0,72</w:t>
            </w:r>
          </w:p>
        </w:tc>
        <w:tc>
          <w:tcPr>
            <w:tcW w:w="401" w:type="pct"/>
            <w:vAlign w:val="center"/>
          </w:tcPr>
          <w:p w14:paraId="256D4DE5"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0,89</w:t>
            </w:r>
          </w:p>
        </w:tc>
        <w:tc>
          <w:tcPr>
            <w:tcW w:w="372" w:type="pct"/>
            <w:vAlign w:val="center"/>
          </w:tcPr>
          <w:p w14:paraId="6D521125"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0,89</w:t>
            </w:r>
          </w:p>
        </w:tc>
        <w:tc>
          <w:tcPr>
            <w:tcW w:w="393" w:type="pct"/>
            <w:vAlign w:val="center"/>
          </w:tcPr>
          <w:p w14:paraId="0068B92C"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87</w:t>
            </w:r>
          </w:p>
        </w:tc>
        <w:tc>
          <w:tcPr>
            <w:tcW w:w="372" w:type="pct"/>
            <w:vAlign w:val="center"/>
          </w:tcPr>
          <w:p w14:paraId="4C9482DB"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72</w:t>
            </w:r>
          </w:p>
        </w:tc>
        <w:tc>
          <w:tcPr>
            <w:tcW w:w="372" w:type="pct"/>
            <w:vAlign w:val="center"/>
          </w:tcPr>
          <w:p w14:paraId="786CFC66"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91</w:t>
            </w:r>
          </w:p>
        </w:tc>
        <w:tc>
          <w:tcPr>
            <w:tcW w:w="372" w:type="pct"/>
            <w:vAlign w:val="center"/>
          </w:tcPr>
          <w:p w14:paraId="081BD26A"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71</w:t>
            </w:r>
          </w:p>
        </w:tc>
        <w:tc>
          <w:tcPr>
            <w:tcW w:w="448" w:type="pct"/>
            <w:vAlign w:val="center"/>
          </w:tcPr>
          <w:p w14:paraId="2E63DBA4"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84</w:t>
            </w:r>
          </w:p>
        </w:tc>
      </w:tr>
      <w:tr w:rsidR="00825215" w:rsidRPr="00A43B9C" w14:paraId="72874FC2" w14:textId="77777777" w:rsidTr="00290AA2">
        <w:trPr>
          <w:jc w:val="center"/>
        </w:trPr>
        <w:tc>
          <w:tcPr>
            <w:tcW w:w="5000" w:type="pct"/>
            <w:gridSpan w:val="11"/>
            <w:vAlign w:val="center"/>
          </w:tcPr>
          <w:p w14:paraId="0BAC7814" w14:textId="77777777" w:rsidR="00825215" w:rsidRPr="00A43B9C" w:rsidRDefault="00825215"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 xml:space="preserve">N </w:t>
            </w:r>
            <w:r w:rsidRPr="00A43B9C">
              <w:rPr>
                <w:rFonts w:ascii="Times New Roman" w:hAnsi="Times New Roman" w:cs="Times New Roman"/>
                <w:sz w:val="28"/>
                <w:szCs w:val="28"/>
              </w:rPr>
              <w:t>стадия</w:t>
            </w:r>
          </w:p>
        </w:tc>
      </w:tr>
      <w:tr w:rsidR="00825215" w:rsidRPr="00A43B9C" w14:paraId="70311F4E" w14:textId="77777777" w:rsidTr="00290AA2">
        <w:trPr>
          <w:jc w:val="center"/>
        </w:trPr>
        <w:tc>
          <w:tcPr>
            <w:tcW w:w="820" w:type="pct"/>
            <w:vAlign w:val="center"/>
          </w:tcPr>
          <w:p w14:paraId="4C0BC408" w14:textId="77777777" w:rsidR="00825215" w:rsidRPr="00A43B9C" w:rsidRDefault="00825215" w:rsidP="007E4204">
            <w:pPr>
              <w:pStyle w:val="p"/>
              <w:spacing w:before="0" w:beforeAutospacing="0" w:after="0" w:afterAutospacing="0"/>
              <w:jc w:val="both"/>
              <w:rPr>
                <w:sz w:val="28"/>
                <w:szCs w:val="28"/>
                <w:lang w:val="en-US"/>
              </w:rPr>
            </w:pPr>
            <w:r w:rsidRPr="00A43B9C">
              <w:rPr>
                <w:sz w:val="28"/>
                <w:szCs w:val="28"/>
                <w:lang w:val="en-US"/>
              </w:rPr>
              <w:t>N</w:t>
            </w:r>
            <w:r w:rsidRPr="00A43B9C">
              <w:rPr>
                <w:sz w:val="28"/>
                <w:szCs w:val="28"/>
                <w:vertAlign w:val="subscript"/>
                <w:lang w:val="en-US"/>
              </w:rPr>
              <w:t>0</w:t>
            </w:r>
          </w:p>
        </w:tc>
        <w:tc>
          <w:tcPr>
            <w:tcW w:w="670" w:type="pct"/>
            <w:vAlign w:val="center"/>
          </w:tcPr>
          <w:p w14:paraId="7A6C38CD" w14:textId="77777777" w:rsidR="00825215" w:rsidRPr="00A43B9C" w:rsidRDefault="00825215" w:rsidP="007E4204">
            <w:pPr>
              <w:pStyle w:val="p"/>
              <w:spacing w:before="0" w:beforeAutospacing="0" w:after="0" w:afterAutospacing="0"/>
              <w:jc w:val="center"/>
              <w:rPr>
                <w:sz w:val="28"/>
                <w:szCs w:val="28"/>
                <w:lang w:val="en-US"/>
              </w:rPr>
            </w:pPr>
            <w:r w:rsidRPr="00A43B9C">
              <w:rPr>
                <w:sz w:val="28"/>
                <w:szCs w:val="28"/>
                <w:lang w:val="en-US"/>
              </w:rPr>
              <w:t>21 (35,0)</w:t>
            </w:r>
          </w:p>
        </w:tc>
        <w:tc>
          <w:tcPr>
            <w:tcW w:w="372" w:type="pct"/>
            <w:vAlign w:val="center"/>
          </w:tcPr>
          <w:p w14:paraId="24CBFEC5"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84</w:t>
            </w:r>
          </w:p>
        </w:tc>
        <w:tc>
          <w:tcPr>
            <w:tcW w:w="409" w:type="pct"/>
            <w:vAlign w:val="center"/>
          </w:tcPr>
          <w:p w14:paraId="40F98D6E"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76</w:t>
            </w:r>
          </w:p>
        </w:tc>
        <w:tc>
          <w:tcPr>
            <w:tcW w:w="401" w:type="pct"/>
            <w:vAlign w:val="center"/>
          </w:tcPr>
          <w:p w14:paraId="40B381D6"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0,82</w:t>
            </w:r>
          </w:p>
        </w:tc>
        <w:tc>
          <w:tcPr>
            <w:tcW w:w="372" w:type="pct"/>
            <w:vAlign w:val="center"/>
          </w:tcPr>
          <w:p w14:paraId="4188D685"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92</w:t>
            </w:r>
          </w:p>
        </w:tc>
        <w:tc>
          <w:tcPr>
            <w:tcW w:w="393" w:type="pct"/>
            <w:vAlign w:val="center"/>
          </w:tcPr>
          <w:p w14:paraId="399A75BF"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87</w:t>
            </w:r>
          </w:p>
        </w:tc>
        <w:tc>
          <w:tcPr>
            <w:tcW w:w="372" w:type="pct"/>
            <w:vAlign w:val="center"/>
          </w:tcPr>
          <w:p w14:paraId="75A3FA86"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77</w:t>
            </w:r>
          </w:p>
        </w:tc>
        <w:tc>
          <w:tcPr>
            <w:tcW w:w="372" w:type="pct"/>
            <w:vAlign w:val="center"/>
          </w:tcPr>
          <w:p w14:paraId="2ECED43A"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92</w:t>
            </w:r>
          </w:p>
        </w:tc>
        <w:tc>
          <w:tcPr>
            <w:tcW w:w="372" w:type="pct"/>
            <w:vAlign w:val="center"/>
          </w:tcPr>
          <w:p w14:paraId="4FB07E20"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75</w:t>
            </w:r>
          </w:p>
        </w:tc>
        <w:tc>
          <w:tcPr>
            <w:tcW w:w="448" w:type="pct"/>
            <w:vAlign w:val="center"/>
          </w:tcPr>
          <w:p w14:paraId="40E36F49"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89</w:t>
            </w:r>
          </w:p>
        </w:tc>
      </w:tr>
      <w:tr w:rsidR="00825215" w:rsidRPr="00A43B9C" w14:paraId="64876C91" w14:textId="77777777" w:rsidTr="00290AA2">
        <w:trPr>
          <w:jc w:val="center"/>
        </w:trPr>
        <w:tc>
          <w:tcPr>
            <w:tcW w:w="820" w:type="pct"/>
            <w:vAlign w:val="center"/>
          </w:tcPr>
          <w:p w14:paraId="278AE0BC" w14:textId="77777777" w:rsidR="00825215" w:rsidRPr="00A43B9C" w:rsidRDefault="00825215" w:rsidP="007E4204">
            <w:pPr>
              <w:pStyle w:val="p"/>
              <w:spacing w:before="0" w:beforeAutospacing="0" w:after="0" w:afterAutospacing="0"/>
              <w:jc w:val="both"/>
              <w:rPr>
                <w:sz w:val="28"/>
                <w:szCs w:val="28"/>
                <w:lang w:val="en-US"/>
              </w:rPr>
            </w:pPr>
            <w:r w:rsidRPr="00A43B9C">
              <w:rPr>
                <w:sz w:val="28"/>
                <w:szCs w:val="28"/>
                <w:lang w:val="en-US"/>
              </w:rPr>
              <w:t>N</w:t>
            </w:r>
            <w:r w:rsidRPr="00A43B9C">
              <w:rPr>
                <w:sz w:val="28"/>
                <w:szCs w:val="28"/>
                <w:vertAlign w:val="subscript"/>
                <w:lang w:val="en-US"/>
              </w:rPr>
              <w:t>1</w:t>
            </w:r>
          </w:p>
        </w:tc>
        <w:tc>
          <w:tcPr>
            <w:tcW w:w="670" w:type="pct"/>
            <w:vAlign w:val="center"/>
          </w:tcPr>
          <w:p w14:paraId="15DC4745" w14:textId="77777777" w:rsidR="00825215" w:rsidRPr="00A43B9C" w:rsidRDefault="00825215" w:rsidP="007E4204">
            <w:pPr>
              <w:pStyle w:val="p"/>
              <w:spacing w:before="0" w:beforeAutospacing="0" w:after="0" w:afterAutospacing="0"/>
              <w:jc w:val="center"/>
              <w:rPr>
                <w:sz w:val="28"/>
                <w:szCs w:val="28"/>
                <w:lang w:val="en-US"/>
              </w:rPr>
            </w:pPr>
            <w:r w:rsidRPr="00A43B9C">
              <w:rPr>
                <w:sz w:val="28"/>
                <w:szCs w:val="28"/>
                <w:lang w:val="en-US"/>
              </w:rPr>
              <w:t>21 (35,0)</w:t>
            </w:r>
          </w:p>
        </w:tc>
        <w:tc>
          <w:tcPr>
            <w:tcW w:w="372" w:type="pct"/>
            <w:vAlign w:val="center"/>
          </w:tcPr>
          <w:p w14:paraId="3EA6D3AB"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75</w:t>
            </w:r>
          </w:p>
        </w:tc>
        <w:tc>
          <w:tcPr>
            <w:tcW w:w="409" w:type="pct"/>
            <w:vAlign w:val="center"/>
          </w:tcPr>
          <w:p w14:paraId="21132A67"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0,66</w:t>
            </w:r>
          </w:p>
        </w:tc>
        <w:tc>
          <w:tcPr>
            <w:tcW w:w="401" w:type="pct"/>
            <w:vAlign w:val="center"/>
          </w:tcPr>
          <w:p w14:paraId="774E7EBE"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0,89</w:t>
            </w:r>
          </w:p>
        </w:tc>
        <w:tc>
          <w:tcPr>
            <w:tcW w:w="372" w:type="pct"/>
            <w:vAlign w:val="center"/>
          </w:tcPr>
          <w:p w14:paraId="19612A40"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0,76</w:t>
            </w:r>
          </w:p>
        </w:tc>
        <w:tc>
          <w:tcPr>
            <w:tcW w:w="393" w:type="pct"/>
            <w:vAlign w:val="center"/>
          </w:tcPr>
          <w:p w14:paraId="3F9E8A07"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79</w:t>
            </w:r>
          </w:p>
        </w:tc>
        <w:tc>
          <w:tcPr>
            <w:tcW w:w="372" w:type="pct"/>
            <w:vAlign w:val="center"/>
          </w:tcPr>
          <w:p w14:paraId="402211E6"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78</w:t>
            </w:r>
          </w:p>
        </w:tc>
        <w:tc>
          <w:tcPr>
            <w:tcW w:w="372" w:type="pct"/>
            <w:vAlign w:val="center"/>
          </w:tcPr>
          <w:p w14:paraId="761578D9"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87</w:t>
            </w:r>
          </w:p>
        </w:tc>
        <w:tc>
          <w:tcPr>
            <w:tcW w:w="372" w:type="pct"/>
            <w:vAlign w:val="center"/>
          </w:tcPr>
          <w:p w14:paraId="30CA03EF"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59</w:t>
            </w:r>
          </w:p>
        </w:tc>
        <w:tc>
          <w:tcPr>
            <w:tcW w:w="448" w:type="pct"/>
            <w:vAlign w:val="center"/>
          </w:tcPr>
          <w:p w14:paraId="5105BF44"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89</w:t>
            </w:r>
          </w:p>
        </w:tc>
      </w:tr>
      <w:tr w:rsidR="00825215" w:rsidRPr="00A43B9C" w14:paraId="346D18F7" w14:textId="77777777" w:rsidTr="00290AA2">
        <w:trPr>
          <w:jc w:val="center"/>
        </w:trPr>
        <w:tc>
          <w:tcPr>
            <w:tcW w:w="820" w:type="pct"/>
            <w:vAlign w:val="center"/>
          </w:tcPr>
          <w:p w14:paraId="3A5CE0DA" w14:textId="77777777" w:rsidR="00825215" w:rsidRPr="00A43B9C" w:rsidRDefault="00825215" w:rsidP="007E4204">
            <w:pPr>
              <w:pStyle w:val="p"/>
              <w:spacing w:before="0" w:beforeAutospacing="0" w:after="0" w:afterAutospacing="0"/>
              <w:jc w:val="both"/>
              <w:rPr>
                <w:sz w:val="28"/>
                <w:szCs w:val="28"/>
                <w:lang w:val="en-US"/>
              </w:rPr>
            </w:pPr>
            <w:r w:rsidRPr="00A43B9C">
              <w:rPr>
                <w:sz w:val="28"/>
                <w:szCs w:val="28"/>
                <w:lang w:val="en-US"/>
              </w:rPr>
              <w:t>N</w:t>
            </w:r>
            <w:r w:rsidRPr="00A43B9C">
              <w:rPr>
                <w:sz w:val="28"/>
                <w:szCs w:val="28"/>
                <w:vertAlign w:val="subscript"/>
                <w:lang w:val="en-US"/>
              </w:rPr>
              <w:t>x</w:t>
            </w:r>
          </w:p>
        </w:tc>
        <w:tc>
          <w:tcPr>
            <w:tcW w:w="670" w:type="pct"/>
            <w:vAlign w:val="center"/>
          </w:tcPr>
          <w:p w14:paraId="182ACD6F" w14:textId="77777777" w:rsidR="00825215" w:rsidRPr="00A43B9C" w:rsidRDefault="00825215" w:rsidP="007E4204">
            <w:pPr>
              <w:pStyle w:val="p"/>
              <w:spacing w:before="0" w:beforeAutospacing="0" w:after="0" w:afterAutospacing="0"/>
              <w:jc w:val="center"/>
              <w:rPr>
                <w:sz w:val="28"/>
                <w:szCs w:val="28"/>
                <w:lang w:val="en-US"/>
              </w:rPr>
            </w:pPr>
            <w:r w:rsidRPr="00A43B9C">
              <w:rPr>
                <w:sz w:val="28"/>
                <w:szCs w:val="28"/>
                <w:lang w:val="en-US"/>
              </w:rPr>
              <w:t>18 (30,0)</w:t>
            </w:r>
          </w:p>
        </w:tc>
        <w:tc>
          <w:tcPr>
            <w:tcW w:w="372" w:type="pct"/>
            <w:vAlign w:val="center"/>
          </w:tcPr>
          <w:p w14:paraId="3D17E4AE"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76</w:t>
            </w:r>
          </w:p>
        </w:tc>
        <w:tc>
          <w:tcPr>
            <w:tcW w:w="409" w:type="pct"/>
            <w:vAlign w:val="center"/>
          </w:tcPr>
          <w:p w14:paraId="58ACBA61"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0,77</w:t>
            </w:r>
          </w:p>
        </w:tc>
        <w:tc>
          <w:tcPr>
            <w:tcW w:w="401" w:type="pct"/>
            <w:vAlign w:val="center"/>
          </w:tcPr>
          <w:p w14:paraId="75770CE7"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0,86</w:t>
            </w:r>
          </w:p>
        </w:tc>
        <w:tc>
          <w:tcPr>
            <w:tcW w:w="372" w:type="pct"/>
            <w:vAlign w:val="center"/>
          </w:tcPr>
          <w:p w14:paraId="7336E8CF"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0,80</w:t>
            </w:r>
          </w:p>
        </w:tc>
        <w:tc>
          <w:tcPr>
            <w:tcW w:w="393" w:type="pct"/>
            <w:vAlign w:val="center"/>
          </w:tcPr>
          <w:p w14:paraId="1C8E46CF"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95</w:t>
            </w:r>
          </w:p>
        </w:tc>
        <w:tc>
          <w:tcPr>
            <w:tcW w:w="372" w:type="pct"/>
            <w:vAlign w:val="center"/>
          </w:tcPr>
          <w:p w14:paraId="193F458C"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63</w:t>
            </w:r>
          </w:p>
        </w:tc>
        <w:tc>
          <w:tcPr>
            <w:tcW w:w="372" w:type="pct"/>
            <w:vAlign w:val="center"/>
          </w:tcPr>
          <w:p w14:paraId="2B5BD73D"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84</w:t>
            </w:r>
          </w:p>
        </w:tc>
        <w:tc>
          <w:tcPr>
            <w:tcW w:w="372" w:type="pct"/>
            <w:vAlign w:val="center"/>
          </w:tcPr>
          <w:p w14:paraId="7D5D0EA8"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77</w:t>
            </w:r>
          </w:p>
        </w:tc>
        <w:tc>
          <w:tcPr>
            <w:tcW w:w="448" w:type="pct"/>
            <w:vAlign w:val="center"/>
          </w:tcPr>
          <w:p w14:paraId="76083884"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76</w:t>
            </w:r>
          </w:p>
        </w:tc>
      </w:tr>
      <w:tr w:rsidR="00825215" w:rsidRPr="00A43B9C" w14:paraId="7BB37EA5" w14:textId="77777777" w:rsidTr="00290AA2">
        <w:trPr>
          <w:jc w:val="center"/>
        </w:trPr>
        <w:tc>
          <w:tcPr>
            <w:tcW w:w="5000" w:type="pct"/>
            <w:gridSpan w:val="11"/>
            <w:vAlign w:val="center"/>
          </w:tcPr>
          <w:p w14:paraId="58637CB1" w14:textId="77777777" w:rsidR="00825215" w:rsidRPr="00A43B9C" w:rsidRDefault="00825215"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 xml:space="preserve">M </w:t>
            </w:r>
            <w:r w:rsidRPr="00A43B9C">
              <w:rPr>
                <w:rFonts w:ascii="Times New Roman" w:hAnsi="Times New Roman" w:cs="Times New Roman"/>
                <w:sz w:val="28"/>
                <w:szCs w:val="28"/>
              </w:rPr>
              <w:t>стадия</w:t>
            </w:r>
          </w:p>
        </w:tc>
      </w:tr>
      <w:tr w:rsidR="00825215" w:rsidRPr="00A43B9C" w14:paraId="5501C327" w14:textId="77777777" w:rsidTr="00290AA2">
        <w:trPr>
          <w:jc w:val="center"/>
        </w:trPr>
        <w:tc>
          <w:tcPr>
            <w:tcW w:w="820" w:type="pct"/>
            <w:vAlign w:val="center"/>
          </w:tcPr>
          <w:p w14:paraId="300E72CF" w14:textId="77777777" w:rsidR="00825215" w:rsidRPr="00A43B9C" w:rsidRDefault="00825215" w:rsidP="007E4204">
            <w:pPr>
              <w:pStyle w:val="p"/>
              <w:spacing w:before="0" w:beforeAutospacing="0" w:after="0" w:afterAutospacing="0"/>
              <w:jc w:val="both"/>
              <w:rPr>
                <w:sz w:val="28"/>
                <w:szCs w:val="28"/>
                <w:lang w:val="en-US"/>
              </w:rPr>
            </w:pPr>
            <w:r w:rsidRPr="00A43B9C">
              <w:rPr>
                <w:sz w:val="28"/>
                <w:szCs w:val="28"/>
                <w:lang w:val="en-US"/>
              </w:rPr>
              <w:t>M</w:t>
            </w:r>
            <w:r w:rsidRPr="00A43B9C">
              <w:rPr>
                <w:sz w:val="28"/>
                <w:szCs w:val="28"/>
                <w:vertAlign w:val="subscript"/>
                <w:lang w:val="en-US"/>
              </w:rPr>
              <w:t>0</w:t>
            </w:r>
          </w:p>
        </w:tc>
        <w:tc>
          <w:tcPr>
            <w:tcW w:w="670" w:type="pct"/>
            <w:vAlign w:val="center"/>
          </w:tcPr>
          <w:p w14:paraId="35573436" w14:textId="00C163D2" w:rsidR="00825215" w:rsidRPr="00A43B9C" w:rsidRDefault="00825215" w:rsidP="007E4204">
            <w:pPr>
              <w:pStyle w:val="p"/>
              <w:spacing w:before="0" w:beforeAutospacing="0" w:after="0" w:afterAutospacing="0"/>
              <w:jc w:val="center"/>
              <w:rPr>
                <w:sz w:val="28"/>
                <w:szCs w:val="28"/>
                <w:lang w:val="en-US"/>
              </w:rPr>
            </w:pPr>
            <w:r w:rsidRPr="00A43B9C">
              <w:rPr>
                <w:sz w:val="28"/>
                <w:szCs w:val="28"/>
                <w:lang w:val="en-US"/>
              </w:rPr>
              <w:t>60 (100</w:t>
            </w:r>
            <w:r w:rsidR="00290AA2">
              <w:rPr>
                <w:sz w:val="28"/>
                <w:szCs w:val="28"/>
                <w:lang w:val="en-US"/>
              </w:rPr>
              <w:t>)</w:t>
            </w:r>
          </w:p>
        </w:tc>
        <w:tc>
          <w:tcPr>
            <w:tcW w:w="372" w:type="pct"/>
            <w:vAlign w:val="center"/>
          </w:tcPr>
          <w:p w14:paraId="6D7ABA41"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0,77</w:t>
            </w:r>
          </w:p>
        </w:tc>
        <w:tc>
          <w:tcPr>
            <w:tcW w:w="409" w:type="pct"/>
            <w:vAlign w:val="center"/>
          </w:tcPr>
          <w:p w14:paraId="18484A20"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0,71</w:t>
            </w:r>
          </w:p>
        </w:tc>
        <w:tc>
          <w:tcPr>
            <w:tcW w:w="401" w:type="pct"/>
            <w:vAlign w:val="center"/>
          </w:tcPr>
          <w:p w14:paraId="28506081"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0,86</w:t>
            </w:r>
          </w:p>
        </w:tc>
        <w:tc>
          <w:tcPr>
            <w:tcW w:w="372" w:type="pct"/>
            <w:vAlign w:val="center"/>
          </w:tcPr>
          <w:p w14:paraId="2E92F527"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0,79</w:t>
            </w:r>
          </w:p>
        </w:tc>
        <w:tc>
          <w:tcPr>
            <w:tcW w:w="393" w:type="pct"/>
            <w:vAlign w:val="center"/>
          </w:tcPr>
          <w:p w14:paraId="56D3AD29"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0,86</w:t>
            </w:r>
          </w:p>
        </w:tc>
        <w:tc>
          <w:tcPr>
            <w:tcW w:w="372" w:type="pct"/>
            <w:vAlign w:val="center"/>
          </w:tcPr>
          <w:p w14:paraId="11A6EF7D"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0,73</w:t>
            </w:r>
          </w:p>
        </w:tc>
        <w:tc>
          <w:tcPr>
            <w:tcW w:w="372" w:type="pct"/>
            <w:vAlign w:val="center"/>
          </w:tcPr>
          <w:p w14:paraId="4C3E4FF9"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0,89</w:t>
            </w:r>
          </w:p>
        </w:tc>
        <w:tc>
          <w:tcPr>
            <w:tcW w:w="372" w:type="pct"/>
            <w:vAlign w:val="center"/>
          </w:tcPr>
          <w:p w14:paraId="0D8EDAD4"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68</w:t>
            </w:r>
          </w:p>
        </w:tc>
        <w:tc>
          <w:tcPr>
            <w:tcW w:w="448" w:type="pct"/>
            <w:vAlign w:val="center"/>
          </w:tcPr>
          <w:p w14:paraId="3C6DA28D"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0,87</w:t>
            </w:r>
          </w:p>
        </w:tc>
      </w:tr>
      <w:tr w:rsidR="00825215" w:rsidRPr="00A43B9C" w14:paraId="41C4CA91" w14:textId="77777777" w:rsidTr="00290AA2">
        <w:trPr>
          <w:jc w:val="center"/>
        </w:trPr>
        <w:tc>
          <w:tcPr>
            <w:tcW w:w="5000" w:type="pct"/>
            <w:gridSpan w:val="11"/>
            <w:vAlign w:val="center"/>
          </w:tcPr>
          <w:p w14:paraId="3FA89765" w14:textId="77777777" w:rsidR="00825215" w:rsidRPr="00A43B9C" w:rsidDel="00DB112D" w:rsidRDefault="00825215"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 xml:space="preserve">AJCC </w:t>
            </w:r>
            <w:r w:rsidRPr="00A43B9C">
              <w:rPr>
                <w:rFonts w:ascii="Times New Roman" w:hAnsi="Times New Roman" w:cs="Times New Roman"/>
                <w:sz w:val="28"/>
                <w:szCs w:val="28"/>
              </w:rPr>
              <w:t>стадия</w:t>
            </w:r>
          </w:p>
        </w:tc>
      </w:tr>
      <w:tr w:rsidR="00825215" w:rsidRPr="00A43B9C" w14:paraId="06C15599" w14:textId="77777777" w:rsidTr="00290AA2">
        <w:trPr>
          <w:trHeight w:val="204"/>
          <w:jc w:val="center"/>
        </w:trPr>
        <w:tc>
          <w:tcPr>
            <w:tcW w:w="820" w:type="pct"/>
            <w:vAlign w:val="center"/>
          </w:tcPr>
          <w:p w14:paraId="359C0474" w14:textId="77777777" w:rsidR="00825215" w:rsidRPr="00A43B9C" w:rsidRDefault="00825215"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I</w:t>
            </w:r>
          </w:p>
        </w:tc>
        <w:tc>
          <w:tcPr>
            <w:tcW w:w="670" w:type="pct"/>
            <w:vAlign w:val="center"/>
          </w:tcPr>
          <w:p w14:paraId="3D639F92" w14:textId="77777777" w:rsidR="00825215" w:rsidRPr="00A43B9C" w:rsidRDefault="00825215" w:rsidP="007E4204">
            <w:pPr>
              <w:pStyle w:val="p"/>
              <w:spacing w:before="0" w:beforeAutospacing="0" w:after="0" w:afterAutospacing="0"/>
              <w:jc w:val="center"/>
              <w:rPr>
                <w:sz w:val="28"/>
                <w:szCs w:val="28"/>
                <w:lang w:val="en-US"/>
              </w:rPr>
            </w:pPr>
            <w:r w:rsidRPr="00A43B9C">
              <w:rPr>
                <w:sz w:val="28"/>
                <w:szCs w:val="28"/>
                <w:lang w:val="en-US"/>
              </w:rPr>
              <w:t>2 (3,3)</w:t>
            </w:r>
          </w:p>
        </w:tc>
        <w:tc>
          <w:tcPr>
            <w:tcW w:w="372" w:type="pct"/>
            <w:vAlign w:val="center"/>
          </w:tcPr>
          <w:p w14:paraId="31ED7E2E"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0,83</w:t>
            </w:r>
          </w:p>
        </w:tc>
        <w:tc>
          <w:tcPr>
            <w:tcW w:w="409" w:type="pct"/>
            <w:vAlign w:val="center"/>
          </w:tcPr>
          <w:p w14:paraId="7F0E71E4"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0,91</w:t>
            </w:r>
          </w:p>
        </w:tc>
        <w:tc>
          <w:tcPr>
            <w:tcW w:w="401" w:type="pct"/>
            <w:vAlign w:val="center"/>
          </w:tcPr>
          <w:p w14:paraId="68342718"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0,93</w:t>
            </w:r>
          </w:p>
        </w:tc>
        <w:tc>
          <w:tcPr>
            <w:tcW w:w="372" w:type="pct"/>
            <w:vAlign w:val="center"/>
          </w:tcPr>
          <w:p w14:paraId="33CCB9E2"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1,37</w:t>
            </w:r>
          </w:p>
        </w:tc>
        <w:tc>
          <w:tcPr>
            <w:tcW w:w="393" w:type="pct"/>
            <w:vAlign w:val="center"/>
          </w:tcPr>
          <w:p w14:paraId="5003D7BC"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1,10</w:t>
            </w:r>
          </w:p>
        </w:tc>
        <w:tc>
          <w:tcPr>
            <w:tcW w:w="372" w:type="pct"/>
            <w:vAlign w:val="center"/>
          </w:tcPr>
          <w:p w14:paraId="3E782FD2"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0,99</w:t>
            </w:r>
          </w:p>
        </w:tc>
        <w:tc>
          <w:tcPr>
            <w:tcW w:w="372" w:type="pct"/>
            <w:vAlign w:val="center"/>
          </w:tcPr>
          <w:p w14:paraId="23CF740A"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1,29</w:t>
            </w:r>
          </w:p>
        </w:tc>
        <w:tc>
          <w:tcPr>
            <w:tcW w:w="372" w:type="pct"/>
            <w:vAlign w:val="center"/>
          </w:tcPr>
          <w:p w14:paraId="68A37AEC"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1,18</w:t>
            </w:r>
          </w:p>
        </w:tc>
        <w:tc>
          <w:tcPr>
            <w:tcW w:w="448" w:type="pct"/>
            <w:vAlign w:val="center"/>
          </w:tcPr>
          <w:p w14:paraId="62AFA106"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1</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11</w:t>
            </w:r>
          </w:p>
        </w:tc>
      </w:tr>
      <w:tr w:rsidR="00825215" w:rsidRPr="00A43B9C" w14:paraId="36157328" w14:textId="77777777" w:rsidTr="00290AA2">
        <w:trPr>
          <w:trHeight w:val="249"/>
          <w:jc w:val="center"/>
        </w:trPr>
        <w:tc>
          <w:tcPr>
            <w:tcW w:w="820" w:type="pct"/>
            <w:vAlign w:val="center"/>
          </w:tcPr>
          <w:p w14:paraId="41FD9012" w14:textId="77777777" w:rsidR="00825215" w:rsidRPr="00A43B9C" w:rsidRDefault="00825215"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II</w:t>
            </w:r>
          </w:p>
        </w:tc>
        <w:tc>
          <w:tcPr>
            <w:tcW w:w="670" w:type="pct"/>
            <w:vAlign w:val="center"/>
          </w:tcPr>
          <w:p w14:paraId="378CD2F0" w14:textId="77777777" w:rsidR="00825215" w:rsidRPr="00A43B9C" w:rsidRDefault="00825215" w:rsidP="007E4204">
            <w:pPr>
              <w:pStyle w:val="p"/>
              <w:spacing w:before="0" w:beforeAutospacing="0" w:after="0" w:afterAutospacing="0"/>
              <w:jc w:val="center"/>
              <w:rPr>
                <w:sz w:val="28"/>
                <w:szCs w:val="28"/>
                <w:lang w:val="en-US"/>
              </w:rPr>
            </w:pPr>
            <w:r w:rsidRPr="00A43B9C">
              <w:rPr>
                <w:sz w:val="28"/>
                <w:szCs w:val="28"/>
                <w:lang w:val="en-US"/>
              </w:rPr>
              <w:t>31 (51,7)</w:t>
            </w:r>
          </w:p>
        </w:tc>
        <w:tc>
          <w:tcPr>
            <w:tcW w:w="372" w:type="pct"/>
            <w:vAlign w:val="center"/>
          </w:tcPr>
          <w:p w14:paraId="30851735"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0,77</w:t>
            </w:r>
          </w:p>
        </w:tc>
        <w:tc>
          <w:tcPr>
            <w:tcW w:w="409" w:type="pct"/>
            <w:vAlign w:val="center"/>
          </w:tcPr>
          <w:p w14:paraId="7CD813CF"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0,68</w:t>
            </w:r>
          </w:p>
        </w:tc>
        <w:tc>
          <w:tcPr>
            <w:tcW w:w="401" w:type="pct"/>
            <w:vAlign w:val="center"/>
          </w:tcPr>
          <w:p w14:paraId="087CD7F3"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0,82</w:t>
            </w:r>
          </w:p>
        </w:tc>
        <w:tc>
          <w:tcPr>
            <w:tcW w:w="372" w:type="pct"/>
            <w:vAlign w:val="center"/>
          </w:tcPr>
          <w:p w14:paraId="3875408C"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0,70</w:t>
            </w:r>
          </w:p>
        </w:tc>
        <w:tc>
          <w:tcPr>
            <w:tcW w:w="393" w:type="pct"/>
            <w:vAlign w:val="center"/>
          </w:tcPr>
          <w:p w14:paraId="053A0857"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0,86</w:t>
            </w:r>
          </w:p>
        </w:tc>
        <w:tc>
          <w:tcPr>
            <w:tcW w:w="372" w:type="pct"/>
            <w:vAlign w:val="center"/>
          </w:tcPr>
          <w:p w14:paraId="1E5E9E0A"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0,69</w:t>
            </w:r>
          </w:p>
        </w:tc>
        <w:tc>
          <w:tcPr>
            <w:tcW w:w="372" w:type="pct"/>
            <w:vAlign w:val="center"/>
          </w:tcPr>
          <w:p w14:paraId="2EE1B475"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85</w:t>
            </w:r>
          </w:p>
        </w:tc>
        <w:tc>
          <w:tcPr>
            <w:tcW w:w="372" w:type="pct"/>
            <w:vAlign w:val="center"/>
          </w:tcPr>
          <w:p w14:paraId="23D4C9A4"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70</w:t>
            </w:r>
          </w:p>
        </w:tc>
        <w:tc>
          <w:tcPr>
            <w:tcW w:w="448" w:type="pct"/>
            <w:vAlign w:val="center"/>
          </w:tcPr>
          <w:p w14:paraId="354869F4"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76</w:t>
            </w:r>
          </w:p>
        </w:tc>
      </w:tr>
      <w:tr w:rsidR="00825215" w:rsidRPr="00A43B9C" w14:paraId="5E26AB2D" w14:textId="77777777" w:rsidTr="00290AA2">
        <w:trPr>
          <w:trHeight w:val="140"/>
          <w:jc w:val="center"/>
        </w:trPr>
        <w:tc>
          <w:tcPr>
            <w:tcW w:w="820" w:type="pct"/>
            <w:vAlign w:val="center"/>
          </w:tcPr>
          <w:p w14:paraId="6FEFA43D" w14:textId="77777777" w:rsidR="00825215" w:rsidRPr="00A43B9C" w:rsidRDefault="00825215"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III</w:t>
            </w:r>
          </w:p>
        </w:tc>
        <w:tc>
          <w:tcPr>
            <w:tcW w:w="670" w:type="pct"/>
            <w:vAlign w:val="center"/>
          </w:tcPr>
          <w:p w14:paraId="577CA8C7" w14:textId="77777777" w:rsidR="00825215" w:rsidRPr="00A43B9C" w:rsidRDefault="00825215" w:rsidP="007E4204">
            <w:pPr>
              <w:pStyle w:val="p"/>
              <w:spacing w:before="0" w:beforeAutospacing="0" w:after="0" w:afterAutospacing="0"/>
              <w:jc w:val="center"/>
              <w:rPr>
                <w:sz w:val="28"/>
                <w:szCs w:val="28"/>
                <w:lang w:val="en-US"/>
              </w:rPr>
            </w:pPr>
            <w:r w:rsidRPr="00A43B9C">
              <w:rPr>
                <w:sz w:val="28"/>
                <w:szCs w:val="28"/>
                <w:lang w:val="en-US"/>
              </w:rPr>
              <w:t>27 (45,0)</w:t>
            </w:r>
          </w:p>
        </w:tc>
        <w:tc>
          <w:tcPr>
            <w:tcW w:w="372" w:type="pct"/>
            <w:vAlign w:val="center"/>
          </w:tcPr>
          <w:p w14:paraId="6463B46E"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0,76</w:t>
            </w:r>
          </w:p>
        </w:tc>
        <w:tc>
          <w:tcPr>
            <w:tcW w:w="409" w:type="pct"/>
            <w:vAlign w:val="center"/>
          </w:tcPr>
          <w:p w14:paraId="600DCD81"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0,81</w:t>
            </w:r>
          </w:p>
        </w:tc>
        <w:tc>
          <w:tcPr>
            <w:tcW w:w="401" w:type="pct"/>
            <w:vAlign w:val="center"/>
          </w:tcPr>
          <w:p w14:paraId="0C91BD23"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0,89</w:t>
            </w:r>
          </w:p>
        </w:tc>
        <w:tc>
          <w:tcPr>
            <w:tcW w:w="372" w:type="pct"/>
            <w:vAlign w:val="center"/>
          </w:tcPr>
          <w:p w14:paraId="4E119113"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0,80</w:t>
            </w:r>
          </w:p>
        </w:tc>
        <w:tc>
          <w:tcPr>
            <w:tcW w:w="393" w:type="pct"/>
            <w:vAlign w:val="center"/>
          </w:tcPr>
          <w:p w14:paraId="12F769EF"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0,91</w:t>
            </w:r>
          </w:p>
        </w:tc>
        <w:tc>
          <w:tcPr>
            <w:tcW w:w="372" w:type="pct"/>
            <w:vAlign w:val="center"/>
          </w:tcPr>
          <w:p w14:paraId="38A7BC1C"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0,78</w:t>
            </w:r>
          </w:p>
        </w:tc>
        <w:tc>
          <w:tcPr>
            <w:tcW w:w="372" w:type="pct"/>
            <w:vAlign w:val="center"/>
          </w:tcPr>
          <w:p w14:paraId="15E84030"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0,91</w:t>
            </w:r>
          </w:p>
        </w:tc>
        <w:tc>
          <w:tcPr>
            <w:tcW w:w="372" w:type="pct"/>
            <w:vAlign w:val="center"/>
          </w:tcPr>
          <w:p w14:paraId="09F325E4"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66</w:t>
            </w:r>
          </w:p>
        </w:tc>
        <w:tc>
          <w:tcPr>
            <w:tcW w:w="448" w:type="pct"/>
            <w:vAlign w:val="center"/>
          </w:tcPr>
          <w:p w14:paraId="500154FF"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89</w:t>
            </w:r>
          </w:p>
        </w:tc>
      </w:tr>
      <w:tr w:rsidR="00825215" w:rsidRPr="00A43B9C" w14:paraId="6C1A8788" w14:textId="77777777" w:rsidTr="00290AA2">
        <w:trPr>
          <w:jc w:val="center"/>
        </w:trPr>
        <w:tc>
          <w:tcPr>
            <w:tcW w:w="5000" w:type="pct"/>
            <w:gridSpan w:val="11"/>
            <w:vAlign w:val="center"/>
          </w:tcPr>
          <w:p w14:paraId="0C81D6CF" w14:textId="77777777" w:rsidR="00825215" w:rsidRPr="00A43B9C" w:rsidDel="00DB112D" w:rsidRDefault="00825215"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rPr>
              <w:t xml:space="preserve">Гистология </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Аденокарцинома</w:t>
            </w:r>
            <w:r w:rsidRPr="00A43B9C">
              <w:rPr>
                <w:rFonts w:ascii="Times New Roman" w:hAnsi="Times New Roman" w:cs="Times New Roman"/>
                <w:sz w:val="28"/>
                <w:szCs w:val="28"/>
                <w:lang w:val="en-US"/>
              </w:rPr>
              <w:t>)</w:t>
            </w:r>
          </w:p>
        </w:tc>
      </w:tr>
      <w:tr w:rsidR="00825215" w:rsidRPr="00A43B9C" w14:paraId="659E4F5B" w14:textId="77777777" w:rsidTr="00290AA2">
        <w:trPr>
          <w:jc w:val="center"/>
        </w:trPr>
        <w:tc>
          <w:tcPr>
            <w:tcW w:w="820" w:type="pct"/>
            <w:vAlign w:val="center"/>
          </w:tcPr>
          <w:p w14:paraId="50CE5F6C" w14:textId="77777777" w:rsidR="00825215" w:rsidRPr="00A43B9C" w:rsidRDefault="00825215"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I</w:t>
            </w:r>
          </w:p>
        </w:tc>
        <w:tc>
          <w:tcPr>
            <w:tcW w:w="670" w:type="pct"/>
            <w:vAlign w:val="center"/>
          </w:tcPr>
          <w:p w14:paraId="182F852F"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31 (51,7)</w:t>
            </w:r>
          </w:p>
        </w:tc>
        <w:tc>
          <w:tcPr>
            <w:tcW w:w="372" w:type="pct"/>
            <w:vAlign w:val="center"/>
          </w:tcPr>
          <w:p w14:paraId="72151278"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77</w:t>
            </w:r>
          </w:p>
        </w:tc>
        <w:tc>
          <w:tcPr>
            <w:tcW w:w="409" w:type="pct"/>
            <w:vAlign w:val="center"/>
          </w:tcPr>
          <w:p w14:paraId="2D7280DA"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62</w:t>
            </w:r>
          </w:p>
        </w:tc>
        <w:tc>
          <w:tcPr>
            <w:tcW w:w="401" w:type="pct"/>
            <w:vAlign w:val="center"/>
          </w:tcPr>
          <w:p w14:paraId="1CC5FD65"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86</w:t>
            </w:r>
          </w:p>
        </w:tc>
        <w:tc>
          <w:tcPr>
            <w:tcW w:w="372" w:type="pct"/>
            <w:vAlign w:val="center"/>
          </w:tcPr>
          <w:p w14:paraId="7296C921"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70</w:t>
            </w:r>
          </w:p>
        </w:tc>
        <w:tc>
          <w:tcPr>
            <w:tcW w:w="393" w:type="pct"/>
            <w:vAlign w:val="center"/>
          </w:tcPr>
          <w:p w14:paraId="1DAEF518"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81</w:t>
            </w:r>
          </w:p>
        </w:tc>
        <w:tc>
          <w:tcPr>
            <w:tcW w:w="372" w:type="pct"/>
            <w:vAlign w:val="center"/>
          </w:tcPr>
          <w:p w14:paraId="5BFD682B"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73</w:t>
            </w:r>
          </w:p>
        </w:tc>
        <w:tc>
          <w:tcPr>
            <w:tcW w:w="372" w:type="pct"/>
            <w:vAlign w:val="center"/>
          </w:tcPr>
          <w:p w14:paraId="23921A48"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86</w:t>
            </w:r>
          </w:p>
        </w:tc>
        <w:tc>
          <w:tcPr>
            <w:tcW w:w="372" w:type="pct"/>
            <w:vAlign w:val="center"/>
          </w:tcPr>
          <w:p w14:paraId="3706FBC5"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66</w:t>
            </w:r>
          </w:p>
        </w:tc>
        <w:tc>
          <w:tcPr>
            <w:tcW w:w="448" w:type="pct"/>
            <w:vAlign w:val="center"/>
          </w:tcPr>
          <w:p w14:paraId="21F59693"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89</w:t>
            </w:r>
          </w:p>
        </w:tc>
      </w:tr>
      <w:tr w:rsidR="00825215" w:rsidRPr="00A43B9C" w14:paraId="1FA6ADE9" w14:textId="77777777" w:rsidTr="00290AA2">
        <w:trPr>
          <w:jc w:val="center"/>
        </w:trPr>
        <w:tc>
          <w:tcPr>
            <w:tcW w:w="820" w:type="pct"/>
            <w:vAlign w:val="center"/>
          </w:tcPr>
          <w:p w14:paraId="05573A9E" w14:textId="77777777" w:rsidR="00825215" w:rsidRPr="00A43B9C" w:rsidRDefault="00825215"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II</w:t>
            </w:r>
          </w:p>
        </w:tc>
        <w:tc>
          <w:tcPr>
            <w:tcW w:w="670" w:type="pct"/>
            <w:vAlign w:val="center"/>
          </w:tcPr>
          <w:p w14:paraId="7E7069BB"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 (1,7)</w:t>
            </w:r>
          </w:p>
        </w:tc>
        <w:tc>
          <w:tcPr>
            <w:tcW w:w="372" w:type="pct"/>
            <w:vAlign w:val="center"/>
          </w:tcPr>
          <w:p w14:paraId="39951CD3"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74</w:t>
            </w:r>
          </w:p>
        </w:tc>
        <w:tc>
          <w:tcPr>
            <w:tcW w:w="409" w:type="pct"/>
            <w:vAlign w:val="center"/>
          </w:tcPr>
          <w:p w14:paraId="287FA817"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65</w:t>
            </w:r>
          </w:p>
        </w:tc>
        <w:tc>
          <w:tcPr>
            <w:tcW w:w="401" w:type="pct"/>
            <w:vAlign w:val="center"/>
          </w:tcPr>
          <w:p w14:paraId="4460413D"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1</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03</w:t>
            </w:r>
          </w:p>
        </w:tc>
        <w:tc>
          <w:tcPr>
            <w:tcW w:w="372" w:type="pct"/>
            <w:vAlign w:val="center"/>
          </w:tcPr>
          <w:p w14:paraId="3BB3948E"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1</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44</w:t>
            </w:r>
          </w:p>
        </w:tc>
        <w:tc>
          <w:tcPr>
            <w:tcW w:w="393" w:type="pct"/>
            <w:vAlign w:val="center"/>
          </w:tcPr>
          <w:p w14:paraId="7356EBCB"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1</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53</w:t>
            </w:r>
          </w:p>
        </w:tc>
        <w:tc>
          <w:tcPr>
            <w:tcW w:w="372" w:type="pct"/>
            <w:vAlign w:val="center"/>
          </w:tcPr>
          <w:p w14:paraId="68A0AD4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91</w:t>
            </w:r>
          </w:p>
        </w:tc>
        <w:tc>
          <w:tcPr>
            <w:tcW w:w="372" w:type="pct"/>
            <w:vAlign w:val="center"/>
          </w:tcPr>
          <w:p w14:paraId="7724513C"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1</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53</w:t>
            </w:r>
          </w:p>
        </w:tc>
        <w:tc>
          <w:tcPr>
            <w:tcW w:w="372" w:type="pct"/>
            <w:vAlign w:val="center"/>
          </w:tcPr>
          <w:p w14:paraId="474D5FD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61</w:t>
            </w:r>
          </w:p>
        </w:tc>
        <w:tc>
          <w:tcPr>
            <w:tcW w:w="448" w:type="pct"/>
            <w:vAlign w:val="center"/>
          </w:tcPr>
          <w:p w14:paraId="7E626416"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1</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18</w:t>
            </w:r>
          </w:p>
        </w:tc>
      </w:tr>
      <w:tr w:rsidR="00825215" w:rsidRPr="00A43B9C" w14:paraId="01AA7CE9" w14:textId="77777777" w:rsidTr="00290AA2">
        <w:trPr>
          <w:jc w:val="center"/>
        </w:trPr>
        <w:tc>
          <w:tcPr>
            <w:tcW w:w="820" w:type="pct"/>
            <w:vAlign w:val="center"/>
          </w:tcPr>
          <w:p w14:paraId="586A7851" w14:textId="77777777" w:rsidR="00825215" w:rsidRPr="00A43B9C" w:rsidRDefault="00825215"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III</w:t>
            </w:r>
          </w:p>
        </w:tc>
        <w:tc>
          <w:tcPr>
            <w:tcW w:w="670" w:type="pct"/>
            <w:vAlign w:val="center"/>
          </w:tcPr>
          <w:p w14:paraId="0796AFDE"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8 (13,3)</w:t>
            </w:r>
          </w:p>
        </w:tc>
        <w:tc>
          <w:tcPr>
            <w:tcW w:w="372" w:type="pct"/>
            <w:vAlign w:val="center"/>
          </w:tcPr>
          <w:p w14:paraId="3AE59577"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80</w:t>
            </w:r>
          </w:p>
        </w:tc>
        <w:tc>
          <w:tcPr>
            <w:tcW w:w="409" w:type="pct"/>
            <w:vAlign w:val="center"/>
          </w:tcPr>
          <w:p w14:paraId="14A3CA74"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77</w:t>
            </w:r>
          </w:p>
        </w:tc>
        <w:tc>
          <w:tcPr>
            <w:tcW w:w="401" w:type="pct"/>
            <w:vAlign w:val="center"/>
          </w:tcPr>
          <w:p w14:paraId="6A9A7DE8"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78</w:t>
            </w:r>
          </w:p>
        </w:tc>
        <w:tc>
          <w:tcPr>
            <w:tcW w:w="372" w:type="pct"/>
            <w:vAlign w:val="center"/>
          </w:tcPr>
          <w:p w14:paraId="43DD2F35"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92</w:t>
            </w:r>
          </w:p>
        </w:tc>
        <w:tc>
          <w:tcPr>
            <w:tcW w:w="393" w:type="pct"/>
            <w:vAlign w:val="center"/>
          </w:tcPr>
          <w:p w14:paraId="1768DCBF"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92</w:t>
            </w:r>
          </w:p>
        </w:tc>
        <w:tc>
          <w:tcPr>
            <w:tcW w:w="372" w:type="pct"/>
            <w:vAlign w:val="center"/>
          </w:tcPr>
          <w:p w14:paraId="2CE952B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68</w:t>
            </w:r>
          </w:p>
        </w:tc>
        <w:tc>
          <w:tcPr>
            <w:tcW w:w="372" w:type="pct"/>
            <w:vAlign w:val="center"/>
          </w:tcPr>
          <w:p w14:paraId="0E1733B0"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87</w:t>
            </w:r>
          </w:p>
        </w:tc>
        <w:tc>
          <w:tcPr>
            <w:tcW w:w="372" w:type="pct"/>
            <w:vAlign w:val="center"/>
          </w:tcPr>
          <w:p w14:paraId="2B26AE6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61</w:t>
            </w:r>
          </w:p>
        </w:tc>
        <w:tc>
          <w:tcPr>
            <w:tcW w:w="448" w:type="pct"/>
            <w:vAlign w:val="center"/>
          </w:tcPr>
          <w:p w14:paraId="05FE23A7"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78</w:t>
            </w:r>
          </w:p>
        </w:tc>
      </w:tr>
      <w:tr w:rsidR="00825215" w:rsidRPr="00A43B9C" w14:paraId="60E07D72" w14:textId="77777777" w:rsidTr="00290AA2">
        <w:trPr>
          <w:jc w:val="center"/>
        </w:trPr>
        <w:tc>
          <w:tcPr>
            <w:tcW w:w="820" w:type="pct"/>
            <w:vAlign w:val="center"/>
          </w:tcPr>
          <w:p w14:paraId="0486B5D0" w14:textId="77777777" w:rsidR="00825215" w:rsidRPr="00A43B9C" w:rsidRDefault="00825215"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IV</w:t>
            </w:r>
          </w:p>
        </w:tc>
        <w:tc>
          <w:tcPr>
            <w:tcW w:w="670" w:type="pct"/>
            <w:vAlign w:val="center"/>
          </w:tcPr>
          <w:p w14:paraId="3EF9A4C3"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20 (33,3)</w:t>
            </w:r>
          </w:p>
        </w:tc>
        <w:tc>
          <w:tcPr>
            <w:tcW w:w="372" w:type="pct"/>
            <w:vAlign w:val="center"/>
          </w:tcPr>
          <w:p w14:paraId="0A32A028"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80</w:t>
            </w:r>
          </w:p>
        </w:tc>
        <w:tc>
          <w:tcPr>
            <w:tcW w:w="409" w:type="pct"/>
            <w:vAlign w:val="center"/>
          </w:tcPr>
          <w:p w14:paraId="5336C21F"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83</w:t>
            </w:r>
          </w:p>
        </w:tc>
        <w:tc>
          <w:tcPr>
            <w:tcW w:w="401" w:type="pct"/>
            <w:vAlign w:val="center"/>
          </w:tcPr>
          <w:p w14:paraId="76C203D0"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84</w:t>
            </w:r>
          </w:p>
        </w:tc>
        <w:tc>
          <w:tcPr>
            <w:tcW w:w="372" w:type="pct"/>
            <w:vAlign w:val="center"/>
          </w:tcPr>
          <w:p w14:paraId="0C1939A1"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96</w:t>
            </w:r>
          </w:p>
        </w:tc>
        <w:tc>
          <w:tcPr>
            <w:tcW w:w="393" w:type="pct"/>
            <w:vAlign w:val="center"/>
          </w:tcPr>
          <w:p w14:paraId="3EC47ABA"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83</w:t>
            </w:r>
          </w:p>
        </w:tc>
        <w:tc>
          <w:tcPr>
            <w:tcW w:w="372" w:type="pct"/>
            <w:vAlign w:val="center"/>
          </w:tcPr>
          <w:p w14:paraId="12A515F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72</w:t>
            </w:r>
          </w:p>
        </w:tc>
        <w:tc>
          <w:tcPr>
            <w:tcW w:w="372" w:type="pct"/>
            <w:vAlign w:val="center"/>
          </w:tcPr>
          <w:p w14:paraId="6248DA94"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1</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00</w:t>
            </w:r>
          </w:p>
        </w:tc>
        <w:tc>
          <w:tcPr>
            <w:tcW w:w="372" w:type="pct"/>
            <w:vAlign w:val="center"/>
          </w:tcPr>
          <w:p w14:paraId="1FF659E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76</w:t>
            </w:r>
          </w:p>
        </w:tc>
        <w:tc>
          <w:tcPr>
            <w:tcW w:w="448" w:type="pct"/>
            <w:vAlign w:val="center"/>
          </w:tcPr>
          <w:p w14:paraId="48E3A93E"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80</w:t>
            </w:r>
          </w:p>
        </w:tc>
      </w:tr>
      <w:bookmarkEnd w:id="77"/>
    </w:tbl>
    <w:p w14:paraId="1F397B06" w14:textId="77777777" w:rsidR="00825215" w:rsidRPr="00A43B9C" w:rsidRDefault="00825215" w:rsidP="00825215">
      <w:pPr>
        <w:spacing w:after="0" w:line="240" w:lineRule="auto"/>
        <w:rPr>
          <w:rFonts w:ascii="Times New Roman" w:hAnsi="Times New Roman" w:cs="Times New Roman"/>
          <w:sz w:val="28"/>
          <w:szCs w:val="28"/>
          <w:lang w:val="en-US"/>
        </w:rPr>
      </w:pPr>
    </w:p>
    <w:p w14:paraId="7B314B46" w14:textId="0D167434" w:rsidR="00825215" w:rsidRPr="00A43B9C" w:rsidRDefault="00AA52D4" w:rsidP="00825215">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lang w:val="kk-KZ"/>
        </w:rPr>
        <w:t xml:space="preserve">Анализ </w:t>
      </w:r>
      <w:r w:rsidR="00825215" w:rsidRPr="00A43B9C">
        <w:rPr>
          <w:rFonts w:ascii="Times New Roman" w:hAnsi="Times New Roman" w:cs="Times New Roman"/>
          <w:sz w:val="28"/>
          <w:szCs w:val="28"/>
        </w:rPr>
        <w:t>уровня накоплени</w:t>
      </w:r>
      <w:r w:rsidR="00B336CA" w:rsidRPr="00A43B9C">
        <w:rPr>
          <w:rFonts w:ascii="Times New Roman" w:hAnsi="Times New Roman" w:cs="Times New Roman"/>
          <w:sz w:val="28"/>
          <w:szCs w:val="28"/>
        </w:rPr>
        <w:t>я</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SUV</w:t>
      </w:r>
      <w:r w:rsidR="00825215" w:rsidRPr="00A43B9C">
        <w:rPr>
          <w:rFonts w:ascii="Times New Roman" w:hAnsi="Times New Roman" w:cs="Times New Roman"/>
          <w:sz w:val="28"/>
          <w:szCs w:val="28"/>
          <w:vertAlign w:val="subscript"/>
          <w:lang w:val="en-US"/>
        </w:rPr>
        <w:t>max</w:t>
      </w:r>
      <w:r w:rsidR="00825215" w:rsidRPr="00A43B9C">
        <w:rPr>
          <w:rFonts w:ascii="Times New Roman" w:hAnsi="Times New Roman" w:cs="Times New Roman"/>
          <w:sz w:val="28"/>
          <w:szCs w:val="28"/>
          <w:lang w:val="kk-KZ"/>
        </w:rPr>
        <w:t xml:space="preserve"> в зависимости от </w:t>
      </w:r>
      <w:r w:rsidR="00825215" w:rsidRPr="00A43B9C">
        <w:rPr>
          <w:rFonts w:ascii="Times New Roman" w:hAnsi="Times New Roman" w:cs="Times New Roman"/>
          <w:sz w:val="28"/>
          <w:szCs w:val="28"/>
        </w:rPr>
        <w:t xml:space="preserve">пола </w:t>
      </w:r>
      <w:r w:rsidR="003C22F7" w:rsidRPr="00A43B9C">
        <w:rPr>
          <w:rFonts w:ascii="Times New Roman" w:hAnsi="Times New Roman" w:cs="Times New Roman"/>
          <w:sz w:val="28"/>
          <w:szCs w:val="28"/>
        </w:rPr>
        <w:t xml:space="preserve">(таблица 26) </w:t>
      </w:r>
      <w:r w:rsidR="00825215" w:rsidRPr="00A43B9C">
        <w:rPr>
          <w:rFonts w:ascii="Times New Roman" w:hAnsi="Times New Roman" w:cs="Times New Roman"/>
          <w:sz w:val="28"/>
          <w:szCs w:val="28"/>
          <w:lang w:val="kk-KZ"/>
        </w:rPr>
        <w:t>статистически значимых различий не установил для 7-ми локализаций</w:t>
      </w:r>
      <w:r w:rsidR="003C22F7" w:rsidRPr="00A43B9C">
        <w:rPr>
          <w:rFonts w:ascii="Times New Roman" w:hAnsi="Times New Roman" w:cs="Times New Roman"/>
          <w:sz w:val="28"/>
          <w:szCs w:val="28"/>
          <w:lang w:val="kk-KZ"/>
        </w:rPr>
        <w:t>:</w:t>
      </w:r>
      <w:r w:rsidR="00825215" w:rsidRPr="00A43B9C">
        <w:rPr>
          <w:rFonts w:ascii="Times New Roman" w:hAnsi="Times New Roman" w:cs="Times New Roman"/>
          <w:sz w:val="28"/>
          <w:szCs w:val="28"/>
          <w:lang w:val="kk-KZ"/>
        </w:rPr>
        <w:t xml:space="preserve"> </w:t>
      </w:r>
      <w:r w:rsidR="00825215" w:rsidRPr="00A43B9C">
        <w:rPr>
          <w:rFonts w:ascii="Times New Roman" w:hAnsi="Times New Roman" w:cs="Times New Roman"/>
          <w:sz w:val="28"/>
          <w:szCs w:val="28"/>
          <w:lang w:val="en-US"/>
        </w:rPr>
        <w:t>RE</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0,162), </w:t>
      </w:r>
      <w:r w:rsidR="00825215" w:rsidRPr="00A43B9C">
        <w:rPr>
          <w:rFonts w:ascii="Times New Roman" w:hAnsi="Times New Roman" w:cs="Times New Roman"/>
          <w:sz w:val="28"/>
          <w:szCs w:val="28"/>
          <w:lang w:val="en-US"/>
        </w:rPr>
        <w:t>RRL</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0,066), </w:t>
      </w:r>
      <w:r w:rsidR="00825215" w:rsidRPr="00A43B9C">
        <w:rPr>
          <w:rFonts w:ascii="Times New Roman" w:hAnsi="Times New Roman" w:cs="Times New Roman"/>
          <w:sz w:val="28"/>
          <w:szCs w:val="28"/>
          <w:lang w:val="en-US"/>
        </w:rPr>
        <w:t>RU</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0,066), </w:t>
      </w:r>
      <w:r w:rsidR="00825215" w:rsidRPr="00A43B9C">
        <w:rPr>
          <w:rFonts w:ascii="Times New Roman" w:hAnsi="Times New Roman" w:cs="Times New Roman"/>
          <w:sz w:val="28"/>
          <w:szCs w:val="28"/>
          <w:lang w:val="en-US"/>
        </w:rPr>
        <w:t>RRI</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0,050), </w:t>
      </w:r>
      <w:r w:rsidR="00825215" w:rsidRPr="00A43B9C">
        <w:rPr>
          <w:rFonts w:ascii="Times New Roman" w:hAnsi="Times New Roman" w:cs="Times New Roman"/>
          <w:sz w:val="28"/>
          <w:szCs w:val="28"/>
          <w:lang w:val="en-US"/>
        </w:rPr>
        <w:t>RP</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0,050), </w:t>
      </w:r>
      <w:r w:rsidR="00825215" w:rsidRPr="00A43B9C">
        <w:rPr>
          <w:rFonts w:ascii="Times New Roman" w:hAnsi="Times New Roman" w:cs="Times New Roman"/>
          <w:sz w:val="28"/>
          <w:szCs w:val="28"/>
          <w:lang w:val="en-US"/>
        </w:rPr>
        <w:t>RLI</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0,072),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0,090), </w:t>
      </w:r>
      <w:r w:rsidRPr="00A43B9C">
        <w:rPr>
          <w:rFonts w:ascii="Times New Roman" w:hAnsi="Times New Roman" w:cs="Times New Roman"/>
          <w:sz w:val="28"/>
          <w:szCs w:val="28"/>
        </w:rPr>
        <w:t xml:space="preserve">а </w:t>
      </w:r>
      <w:r w:rsidR="00825215" w:rsidRPr="00A43B9C">
        <w:rPr>
          <w:rFonts w:ascii="Times New Roman" w:hAnsi="Times New Roman" w:cs="Times New Roman"/>
          <w:sz w:val="28"/>
          <w:szCs w:val="28"/>
        </w:rPr>
        <w:t xml:space="preserve">для остальных </w:t>
      </w:r>
      <w:r w:rsidRPr="00A43B9C">
        <w:rPr>
          <w:rFonts w:ascii="Times New Roman" w:hAnsi="Times New Roman" w:cs="Times New Roman"/>
          <w:sz w:val="28"/>
          <w:szCs w:val="28"/>
        </w:rPr>
        <w:t>дву</w:t>
      </w:r>
      <w:r w:rsidR="00825215" w:rsidRPr="00A43B9C">
        <w:rPr>
          <w:rFonts w:ascii="Times New Roman" w:hAnsi="Times New Roman" w:cs="Times New Roman"/>
          <w:sz w:val="28"/>
          <w:szCs w:val="28"/>
        </w:rPr>
        <w:t xml:space="preserve">х локализаций установлены </w:t>
      </w:r>
      <w:r w:rsidR="00825215" w:rsidRPr="00A43B9C">
        <w:rPr>
          <w:rFonts w:ascii="Times New Roman" w:hAnsi="Times New Roman" w:cs="Times New Roman"/>
          <w:sz w:val="28"/>
          <w:szCs w:val="28"/>
        </w:rPr>
        <w:lastRenderedPageBreak/>
        <w:t>статистически значимые различия</w:t>
      </w:r>
      <w:r w:rsidR="003C22F7" w:rsidRPr="00A43B9C">
        <w:rPr>
          <w:rFonts w:ascii="Times New Roman" w:hAnsi="Times New Roman" w:cs="Times New Roman"/>
          <w:sz w:val="28"/>
          <w:szCs w:val="28"/>
        </w:rPr>
        <w:t xml:space="preserve"> (рисунок 3</w:t>
      </w:r>
      <w:r w:rsidR="00466453">
        <w:rPr>
          <w:rFonts w:ascii="Times New Roman" w:hAnsi="Times New Roman" w:cs="Times New Roman"/>
          <w:sz w:val="28"/>
          <w:szCs w:val="28"/>
        </w:rPr>
        <w:t>6</w:t>
      </w:r>
      <w:r w:rsidR="003C22F7" w:rsidRPr="00A43B9C">
        <w:rPr>
          <w:rFonts w:ascii="Times New Roman" w:hAnsi="Times New Roman" w:cs="Times New Roman"/>
          <w:sz w:val="28"/>
          <w:szCs w:val="28"/>
        </w:rPr>
        <w:t>)</w:t>
      </w:r>
      <w:r w:rsidRPr="00A43B9C">
        <w:rPr>
          <w:rFonts w:ascii="Times New Roman" w:hAnsi="Times New Roman" w:cs="Times New Roman"/>
          <w:sz w:val="28"/>
          <w:szCs w:val="28"/>
        </w:rPr>
        <w:t>, включая</w:t>
      </w:r>
      <w:r w:rsidR="00825215" w:rsidRPr="00A43B9C">
        <w:rPr>
          <w:rFonts w:ascii="Times New Roman" w:hAnsi="Times New Roman" w:cs="Times New Roman"/>
          <w:sz w:val="28"/>
          <w:szCs w:val="28"/>
        </w:rPr>
        <w:t xml:space="preserve"> RLH (p = 0,043) и RLL (p = 0,048).</w:t>
      </w:r>
    </w:p>
    <w:p w14:paraId="2D21C22E" w14:textId="77777777" w:rsidR="00825215" w:rsidRPr="00A43B9C" w:rsidRDefault="00825215" w:rsidP="00825215">
      <w:pPr>
        <w:spacing w:after="0" w:line="240" w:lineRule="auto"/>
        <w:rPr>
          <w:rFonts w:ascii="Times New Roman" w:hAnsi="Times New Roman" w:cs="Times New Roman"/>
          <w:sz w:val="28"/>
          <w:szCs w:val="28"/>
        </w:rPr>
      </w:pPr>
    </w:p>
    <w:p w14:paraId="03231B08" w14:textId="180D627B" w:rsidR="00825215"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26 -</w:t>
      </w:r>
      <w:r w:rsidR="00825215" w:rsidRPr="00A43B9C">
        <w:rPr>
          <w:rFonts w:ascii="Times New Roman" w:hAnsi="Times New Roman" w:cs="Times New Roman"/>
          <w:sz w:val="28"/>
          <w:szCs w:val="28"/>
        </w:rPr>
        <w:t xml:space="preserve"> Анализ распределений уровня накоплени</w:t>
      </w:r>
      <w:r w:rsidR="00B336CA" w:rsidRPr="00A43B9C">
        <w:rPr>
          <w:rFonts w:ascii="Times New Roman" w:hAnsi="Times New Roman" w:cs="Times New Roman"/>
          <w:sz w:val="28"/>
          <w:szCs w:val="28"/>
        </w:rPr>
        <w:t>я</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SUV</w:t>
      </w:r>
      <w:r w:rsidR="00825215" w:rsidRPr="00A43B9C">
        <w:rPr>
          <w:rFonts w:ascii="Times New Roman" w:hAnsi="Times New Roman" w:cs="Times New Roman"/>
          <w:sz w:val="28"/>
          <w:szCs w:val="28"/>
          <w:vertAlign w:val="subscript"/>
          <w:lang w:val="en-US"/>
        </w:rPr>
        <w:t>max</w:t>
      </w:r>
      <w:r w:rsidR="00825215" w:rsidRPr="00A43B9C">
        <w:rPr>
          <w:rFonts w:ascii="Times New Roman" w:hAnsi="Times New Roman" w:cs="Times New Roman"/>
          <w:sz w:val="28"/>
          <w:szCs w:val="28"/>
        </w:rPr>
        <w:t xml:space="preserve"> в зависимости от пола</w:t>
      </w:r>
    </w:p>
    <w:p w14:paraId="27A924A5"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5000" w:type="pct"/>
        <w:jc w:val="center"/>
        <w:tblLook w:val="04A0" w:firstRow="1" w:lastRow="0" w:firstColumn="1" w:lastColumn="0" w:noHBand="0" w:noVBand="1"/>
      </w:tblPr>
      <w:tblGrid>
        <w:gridCol w:w="2428"/>
        <w:gridCol w:w="1861"/>
        <w:gridCol w:w="974"/>
        <w:gridCol w:w="2037"/>
        <w:gridCol w:w="684"/>
        <w:gridCol w:w="1360"/>
      </w:tblGrid>
      <w:tr w:rsidR="00825215" w:rsidRPr="00A43B9C" w14:paraId="4289768D" w14:textId="77777777" w:rsidTr="003F0A73">
        <w:trPr>
          <w:jc w:val="center"/>
        </w:trPr>
        <w:tc>
          <w:tcPr>
            <w:tcW w:w="1299" w:type="pct"/>
            <w:vAlign w:val="center"/>
          </w:tcPr>
          <w:p w14:paraId="74D0BDD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Локализация</w:t>
            </w:r>
          </w:p>
        </w:tc>
        <w:tc>
          <w:tcPr>
            <w:tcW w:w="996" w:type="pct"/>
            <w:vAlign w:val="center"/>
          </w:tcPr>
          <w:p w14:paraId="071013A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Пол</w:t>
            </w:r>
          </w:p>
        </w:tc>
        <w:tc>
          <w:tcPr>
            <w:tcW w:w="521" w:type="pct"/>
            <w:vAlign w:val="center"/>
          </w:tcPr>
          <w:p w14:paraId="0ECF257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Me</w:t>
            </w:r>
          </w:p>
        </w:tc>
        <w:tc>
          <w:tcPr>
            <w:tcW w:w="1090" w:type="pct"/>
            <w:vAlign w:val="center"/>
          </w:tcPr>
          <w:p w14:paraId="3BDD35B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Q₁ – Q₃</w:t>
            </w:r>
          </w:p>
        </w:tc>
        <w:tc>
          <w:tcPr>
            <w:tcW w:w="366" w:type="pct"/>
            <w:vAlign w:val="center"/>
          </w:tcPr>
          <w:p w14:paraId="3062DED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p>
        </w:tc>
        <w:tc>
          <w:tcPr>
            <w:tcW w:w="728" w:type="pct"/>
            <w:vAlign w:val="center"/>
          </w:tcPr>
          <w:p w14:paraId="5C0B8F6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w:t>
            </w:r>
          </w:p>
        </w:tc>
      </w:tr>
      <w:tr w:rsidR="00825215" w:rsidRPr="00A43B9C" w14:paraId="796E0311" w14:textId="77777777" w:rsidTr="003F0A73">
        <w:trPr>
          <w:jc w:val="center"/>
        </w:trPr>
        <w:tc>
          <w:tcPr>
            <w:tcW w:w="1299" w:type="pct"/>
            <w:vMerge w:val="restart"/>
            <w:vAlign w:val="center"/>
          </w:tcPr>
          <w:p w14:paraId="2E95DD0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RE</w:t>
            </w:r>
          </w:p>
        </w:tc>
        <w:tc>
          <w:tcPr>
            <w:tcW w:w="996" w:type="pct"/>
            <w:vAlign w:val="center"/>
          </w:tcPr>
          <w:p w14:paraId="464D65A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Женский</w:t>
            </w:r>
          </w:p>
        </w:tc>
        <w:tc>
          <w:tcPr>
            <w:tcW w:w="521" w:type="pct"/>
            <w:vAlign w:val="center"/>
          </w:tcPr>
          <w:p w14:paraId="2240B6A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0,83</w:t>
            </w:r>
          </w:p>
        </w:tc>
        <w:tc>
          <w:tcPr>
            <w:tcW w:w="1090" w:type="pct"/>
            <w:vAlign w:val="center"/>
          </w:tcPr>
          <w:p w14:paraId="27AB93A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0,68 – 1,08</w:t>
            </w:r>
          </w:p>
        </w:tc>
        <w:tc>
          <w:tcPr>
            <w:tcW w:w="366" w:type="pct"/>
            <w:vAlign w:val="center"/>
          </w:tcPr>
          <w:p w14:paraId="7C4C8B5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46</w:t>
            </w:r>
          </w:p>
        </w:tc>
        <w:tc>
          <w:tcPr>
            <w:tcW w:w="728" w:type="pct"/>
            <w:vMerge w:val="restart"/>
            <w:vAlign w:val="center"/>
          </w:tcPr>
          <w:p w14:paraId="1F8982D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0,162</w:t>
            </w:r>
          </w:p>
        </w:tc>
      </w:tr>
      <w:tr w:rsidR="00825215" w:rsidRPr="00A43B9C" w14:paraId="6FCA7C22" w14:textId="77777777" w:rsidTr="003F0A73">
        <w:trPr>
          <w:jc w:val="center"/>
        </w:trPr>
        <w:tc>
          <w:tcPr>
            <w:tcW w:w="1299" w:type="pct"/>
            <w:vMerge/>
            <w:vAlign w:val="center"/>
          </w:tcPr>
          <w:p w14:paraId="0C789884"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996" w:type="pct"/>
            <w:vAlign w:val="center"/>
          </w:tcPr>
          <w:p w14:paraId="097FC4D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Мужской</w:t>
            </w:r>
          </w:p>
        </w:tc>
        <w:tc>
          <w:tcPr>
            <w:tcW w:w="521" w:type="pct"/>
            <w:vAlign w:val="center"/>
          </w:tcPr>
          <w:p w14:paraId="05AE36A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0,66</w:t>
            </w:r>
          </w:p>
        </w:tc>
        <w:tc>
          <w:tcPr>
            <w:tcW w:w="1090" w:type="pct"/>
            <w:vAlign w:val="center"/>
          </w:tcPr>
          <w:p w14:paraId="07729AE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0,34 – 1,11</w:t>
            </w:r>
          </w:p>
        </w:tc>
        <w:tc>
          <w:tcPr>
            <w:tcW w:w="366" w:type="pct"/>
            <w:vAlign w:val="center"/>
          </w:tcPr>
          <w:p w14:paraId="52AC5BC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14</w:t>
            </w:r>
          </w:p>
        </w:tc>
        <w:tc>
          <w:tcPr>
            <w:tcW w:w="728" w:type="pct"/>
            <w:vMerge/>
            <w:vAlign w:val="center"/>
          </w:tcPr>
          <w:p w14:paraId="394A3B1C"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1A9A004C" w14:textId="77777777" w:rsidTr="003F0A73">
        <w:trPr>
          <w:jc w:val="center"/>
        </w:trPr>
        <w:tc>
          <w:tcPr>
            <w:tcW w:w="1299" w:type="pct"/>
            <w:vMerge w:val="restart"/>
            <w:vAlign w:val="center"/>
          </w:tcPr>
          <w:p w14:paraId="460911D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RLH</w:t>
            </w:r>
          </w:p>
        </w:tc>
        <w:tc>
          <w:tcPr>
            <w:tcW w:w="996" w:type="pct"/>
            <w:vAlign w:val="center"/>
          </w:tcPr>
          <w:p w14:paraId="64FD8DA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Женский</w:t>
            </w:r>
          </w:p>
        </w:tc>
        <w:tc>
          <w:tcPr>
            <w:tcW w:w="521" w:type="pct"/>
            <w:vAlign w:val="center"/>
          </w:tcPr>
          <w:p w14:paraId="6E308D9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0,81</w:t>
            </w:r>
          </w:p>
        </w:tc>
        <w:tc>
          <w:tcPr>
            <w:tcW w:w="1090" w:type="pct"/>
            <w:vAlign w:val="center"/>
          </w:tcPr>
          <w:p w14:paraId="57B3F99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0,56 – 1,09</w:t>
            </w:r>
          </w:p>
        </w:tc>
        <w:tc>
          <w:tcPr>
            <w:tcW w:w="366" w:type="pct"/>
            <w:vAlign w:val="center"/>
          </w:tcPr>
          <w:p w14:paraId="2E7A46A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46</w:t>
            </w:r>
          </w:p>
        </w:tc>
        <w:tc>
          <w:tcPr>
            <w:tcW w:w="728" w:type="pct"/>
            <w:vMerge w:val="restart"/>
            <w:vAlign w:val="center"/>
          </w:tcPr>
          <w:p w14:paraId="23F5751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0,043*</w:t>
            </w:r>
          </w:p>
        </w:tc>
      </w:tr>
      <w:tr w:rsidR="00825215" w:rsidRPr="00A43B9C" w14:paraId="11A31E24" w14:textId="77777777" w:rsidTr="003F0A73">
        <w:trPr>
          <w:jc w:val="center"/>
        </w:trPr>
        <w:tc>
          <w:tcPr>
            <w:tcW w:w="1299" w:type="pct"/>
            <w:vMerge/>
            <w:vAlign w:val="center"/>
          </w:tcPr>
          <w:p w14:paraId="210A30A3"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996" w:type="pct"/>
            <w:vAlign w:val="center"/>
          </w:tcPr>
          <w:p w14:paraId="1EF8AC9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Мужской</w:t>
            </w:r>
          </w:p>
        </w:tc>
        <w:tc>
          <w:tcPr>
            <w:tcW w:w="521" w:type="pct"/>
            <w:vAlign w:val="center"/>
          </w:tcPr>
          <w:p w14:paraId="4500F7D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0,61</w:t>
            </w:r>
          </w:p>
        </w:tc>
        <w:tc>
          <w:tcPr>
            <w:tcW w:w="1090" w:type="pct"/>
            <w:vAlign w:val="center"/>
          </w:tcPr>
          <w:p w14:paraId="5131B42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0,49 – 0,69</w:t>
            </w:r>
          </w:p>
        </w:tc>
        <w:tc>
          <w:tcPr>
            <w:tcW w:w="366" w:type="pct"/>
            <w:vAlign w:val="center"/>
          </w:tcPr>
          <w:p w14:paraId="7AD9E27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14</w:t>
            </w:r>
          </w:p>
        </w:tc>
        <w:tc>
          <w:tcPr>
            <w:tcW w:w="728" w:type="pct"/>
            <w:vMerge/>
            <w:vAlign w:val="center"/>
          </w:tcPr>
          <w:p w14:paraId="13D29B79"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01EBADFA" w14:textId="77777777" w:rsidTr="003F0A73">
        <w:trPr>
          <w:jc w:val="center"/>
        </w:trPr>
        <w:tc>
          <w:tcPr>
            <w:tcW w:w="1299" w:type="pct"/>
            <w:vMerge w:val="restart"/>
            <w:vAlign w:val="center"/>
          </w:tcPr>
          <w:p w14:paraId="39C812D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RRL</w:t>
            </w:r>
          </w:p>
        </w:tc>
        <w:tc>
          <w:tcPr>
            <w:tcW w:w="996" w:type="pct"/>
            <w:vAlign w:val="center"/>
          </w:tcPr>
          <w:p w14:paraId="4B885C3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Женский</w:t>
            </w:r>
          </w:p>
        </w:tc>
        <w:tc>
          <w:tcPr>
            <w:tcW w:w="521" w:type="pct"/>
            <w:vAlign w:val="center"/>
          </w:tcPr>
          <w:p w14:paraId="494658B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0,88</w:t>
            </w:r>
          </w:p>
        </w:tc>
        <w:tc>
          <w:tcPr>
            <w:tcW w:w="1090" w:type="pct"/>
            <w:vAlign w:val="center"/>
          </w:tcPr>
          <w:p w14:paraId="2AC70B5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0,71 – 1,35</w:t>
            </w:r>
          </w:p>
        </w:tc>
        <w:tc>
          <w:tcPr>
            <w:tcW w:w="366" w:type="pct"/>
            <w:vAlign w:val="center"/>
          </w:tcPr>
          <w:p w14:paraId="310A3FA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46</w:t>
            </w:r>
          </w:p>
        </w:tc>
        <w:tc>
          <w:tcPr>
            <w:tcW w:w="728" w:type="pct"/>
            <w:vMerge w:val="restart"/>
            <w:vAlign w:val="center"/>
          </w:tcPr>
          <w:p w14:paraId="7137BA1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0,066</w:t>
            </w:r>
          </w:p>
        </w:tc>
      </w:tr>
      <w:tr w:rsidR="00825215" w:rsidRPr="00A43B9C" w14:paraId="1B74378F" w14:textId="77777777" w:rsidTr="003F0A73">
        <w:trPr>
          <w:jc w:val="center"/>
        </w:trPr>
        <w:tc>
          <w:tcPr>
            <w:tcW w:w="1299" w:type="pct"/>
            <w:vMerge/>
            <w:vAlign w:val="center"/>
          </w:tcPr>
          <w:p w14:paraId="497DEF37"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996" w:type="pct"/>
            <w:vAlign w:val="center"/>
          </w:tcPr>
          <w:p w14:paraId="7F4EEEF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Мужской</w:t>
            </w:r>
          </w:p>
        </w:tc>
        <w:tc>
          <w:tcPr>
            <w:tcW w:w="521" w:type="pct"/>
            <w:vAlign w:val="center"/>
          </w:tcPr>
          <w:p w14:paraId="12317BD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0,76</w:t>
            </w:r>
          </w:p>
        </w:tc>
        <w:tc>
          <w:tcPr>
            <w:tcW w:w="1090" w:type="pct"/>
            <w:vAlign w:val="center"/>
          </w:tcPr>
          <w:p w14:paraId="0F692E0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0,65 – 0,81</w:t>
            </w:r>
          </w:p>
        </w:tc>
        <w:tc>
          <w:tcPr>
            <w:tcW w:w="366" w:type="pct"/>
            <w:vAlign w:val="center"/>
          </w:tcPr>
          <w:p w14:paraId="5118194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14</w:t>
            </w:r>
          </w:p>
        </w:tc>
        <w:tc>
          <w:tcPr>
            <w:tcW w:w="728" w:type="pct"/>
            <w:vMerge/>
            <w:vAlign w:val="center"/>
          </w:tcPr>
          <w:p w14:paraId="248EF5B0"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22C6AD51" w14:textId="77777777" w:rsidTr="003F0A73">
        <w:trPr>
          <w:jc w:val="center"/>
        </w:trPr>
        <w:tc>
          <w:tcPr>
            <w:tcW w:w="1299" w:type="pct"/>
            <w:vMerge w:val="restart"/>
            <w:vAlign w:val="center"/>
          </w:tcPr>
          <w:p w14:paraId="54841B8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RU</w:t>
            </w:r>
          </w:p>
        </w:tc>
        <w:tc>
          <w:tcPr>
            <w:tcW w:w="996" w:type="pct"/>
            <w:vAlign w:val="center"/>
          </w:tcPr>
          <w:p w14:paraId="6B20D4D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Женский</w:t>
            </w:r>
          </w:p>
        </w:tc>
        <w:tc>
          <w:tcPr>
            <w:tcW w:w="521" w:type="pct"/>
            <w:vAlign w:val="center"/>
          </w:tcPr>
          <w:p w14:paraId="659160C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0,85</w:t>
            </w:r>
          </w:p>
        </w:tc>
        <w:tc>
          <w:tcPr>
            <w:tcW w:w="1090" w:type="pct"/>
            <w:vAlign w:val="center"/>
          </w:tcPr>
          <w:p w14:paraId="153A2F6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0,61 – 1,14</w:t>
            </w:r>
          </w:p>
        </w:tc>
        <w:tc>
          <w:tcPr>
            <w:tcW w:w="366" w:type="pct"/>
            <w:vAlign w:val="center"/>
          </w:tcPr>
          <w:p w14:paraId="7438262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46</w:t>
            </w:r>
          </w:p>
        </w:tc>
        <w:tc>
          <w:tcPr>
            <w:tcW w:w="728" w:type="pct"/>
            <w:vMerge w:val="restart"/>
            <w:vAlign w:val="center"/>
          </w:tcPr>
          <w:p w14:paraId="291B98E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0,066</w:t>
            </w:r>
          </w:p>
        </w:tc>
      </w:tr>
      <w:tr w:rsidR="00825215" w:rsidRPr="00A43B9C" w14:paraId="630CC266" w14:textId="77777777" w:rsidTr="003F0A73">
        <w:trPr>
          <w:jc w:val="center"/>
        </w:trPr>
        <w:tc>
          <w:tcPr>
            <w:tcW w:w="1299" w:type="pct"/>
            <w:vMerge/>
            <w:vAlign w:val="center"/>
          </w:tcPr>
          <w:p w14:paraId="3AF3C183"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996" w:type="pct"/>
            <w:vAlign w:val="center"/>
          </w:tcPr>
          <w:p w14:paraId="3453843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Мужской</w:t>
            </w:r>
          </w:p>
        </w:tc>
        <w:tc>
          <w:tcPr>
            <w:tcW w:w="521" w:type="pct"/>
            <w:vAlign w:val="center"/>
          </w:tcPr>
          <w:p w14:paraId="0303688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0,63</w:t>
            </w:r>
          </w:p>
        </w:tc>
        <w:tc>
          <w:tcPr>
            <w:tcW w:w="1090" w:type="pct"/>
            <w:vAlign w:val="center"/>
          </w:tcPr>
          <w:p w14:paraId="34CEC2C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0,50 – 0,90</w:t>
            </w:r>
          </w:p>
        </w:tc>
        <w:tc>
          <w:tcPr>
            <w:tcW w:w="366" w:type="pct"/>
            <w:vAlign w:val="center"/>
          </w:tcPr>
          <w:p w14:paraId="7B128F0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14</w:t>
            </w:r>
          </w:p>
        </w:tc>
        <w:tc>
          <w:tcPr>
            <w:tcW w:w="728" w:type="pct"/>
            <w:vMerge/>
            <w:vAlign w:val="center"/>
          </w:tcPr>
          <w:p w14:paraId="1204F3E1"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2B5483D4" w14:textId="77777777" w:rsidTr="003F0A73">
        <w:trPr>
          <w:jc w:val="center"/>
        </w:trPr>
        <w:tc>
          <w:tcPr>
            <w:tcW w:w="1299" w:type="pct"/>
            <w:vMerge w:val="restart"/>
            <w:vAlign w:val="center"/>
          </w:tcPr>
          <w:p w14:paraId="7B8A9DB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RLL</w:t>
            </w:r>
          </w:p>
        </w:tc>
        <w:tc>
          <w:tcPr>
            <w:tcW w:w="996" w:type="pct"/>
            <w:vAlign w:val="center"/>
          </w:tcPr>
          <w:p w14:paraId="0FD16D7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Женский</w:t>
            </w:r>
          </w:p>
        </w:tc>
        <w:tc>
          <w:tcPr>
            <w:tcW w:w="521" w:type="pct"/>
            <w:vAlign w:val="center"/>
          </w:tcPr>
          <w:p w14:paraId="70605A8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0,90</w:t>
            </w:r>
          </w:p>
        </w:tc>
        <w:tc>
          <w:tcPr>
            <w:tcW w:w="1090" w:type="pct"/>
            <w:vAlign w:val="center"/>
          </w:tcPr>
          <w:p w14:paraId="3B7E862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0,70 – 1,11</w:t>
            </w:r>
          </w:p>
        </w:tc>
        <w:tc>
          <w:tcPr>
            <w:tcW w:w="366" w:type="pct"/>
            <w:vAlign w:val="center"/>
          </w:tcPr>
          <w:p w14:paraId="7FEE339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46</w:t>
            </w:r>
          </w:p>
        </w:tc>
        <w:tc>
          <w:tcPr>
            <w:tcW w:w="728" w:type="pct"/>
            <w:vMerge w:val="restart"/>
            <w:vAlign w:val="center"/>
          </w:tcPr>
          <w:p w14:paraId="703E912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0,048*</w:t>
            </w:r>
          </w:p>
        </w:tc>
      </w:tr>
      <w:tr w:rsidR="00825215" w:rsidRPr="00A43B9C" w14:paraId="4B791E36" w14:textId="77777777" w:rsidTr="003F0A73">
        <w:trPr>
          <w:jc w:val="center"/>
        </w:trPr>
        <w:tc>
          <w:tcPr>
            <w:tcW w:w="1299" w:type="pct"/>
            <w:vMerge/>
            <w:vAlign w:val="center"/>
          </w:tcPr>
          <w:p w14:paraId="64522811"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996" w:type="pct"/>
            <w:vAlign w:val="center"/>
          </w:tcPr>
          <w:p w14:paraId="3ED7FC0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Мужской</w:t>
            </w:r>
          </w:p>
        </w:tc>
        <w:tc>
          <w:tcPr>
            <w:tcW w:w="521" w:type="pct"/>
            <w:vAlign w:val="center"/>
          </w:tcPr>
          <w:p w14:paraId="7EEC68F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0,70</w:t>
            </w:r>
          </w:p>
        </w:tc>
        <w:tc>
          <w:tcPr>
            <w:tcW w:w="1090" w:type="pct"/>
            <w:vAlign w:val="center"/>
          </w:tcPr>
          <w:p w14:paraId="4E82BB9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0,55 – 0,92</w:t>
            </w:r>
          </w:p>
        </w:tc>
        <w:tc>
          <w:tcPr>
            <w:tcW w:w="366" w:type="pct"/>
            <w:vAlign w:val="center"/>
          </w:tcPr>
          <w:p w14:paraId="0862979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14</w:t>
            </w:r>
          </w:p>
        </w:tc>
        <w:tc>
          <w:tcPr>
            <w:tcW w:w="728" w:type="pct"/>
            <w:vMerge/>
            <w:vAlign w:val="center"/>
          </w:tcPr>
          <w:p w14:paraId="495E8DF7"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3655A2BB" w14:textId="77777777" w:rsidTr="003F0A73">
        <w:trPr>
          <w:jc w:val="center"/>
        </w:trPr>
        <w:tc>
          <w:tcPr>
            <w:tcW w:w="1299" w:type="pct"/>
            <w:vMerge w:val="restart"/>
            <w:vAlign w:val="center"/>
          </w:tcPr>
          <w:p w14:paraId="0088E38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RRI</w:t>
            </w:r>
          </w:p>
        </w:tc>
        <w:tc>
          <w:tcPr>
            <w:tcW w:w="996" w:type="pct"/>
            <w:vAlign w:val="center"/>
          </w:tcPr>
          <w:p w14:paraId="1E8D405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Женский</w:t>
            </w:r>
          </w:p>
        </w:tc>
        <w:tc>
          <w:tcPr>
            <w:tcW w:w="521" w:type="pct"/>
            <w:vAlign w:val="center"/>
          </w:tcPr>
          <w:p w14:paraId="2BEAB12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0,79</w:t>
            </w:r>
          </w:p>
        </w:tc>
        <w:tc>
          <w:tcPr>
            <w:tcW w:w="1090" w:type="pct"/>
            <w:vAlign w:val="center"/>
          </w:tcPr>
          <w:p w14:paraId="659A550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0,58 – 1,05</w:t>
            </w:r>
          </w:p>
        </w:tc>
        <w:tc>
          <w:tcPr>
            <w:tcW w:w="366" w:type="pct"/>
            <w:vAlign w:val="center"/>
          </w:tcPr>
          <w:p w14:paraId="6CBCF6C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46</w:t>
            </w:r>
          </w:p>
        </w:tc>
        <w:tc>
          <w:tcPr>
            <w:tcW w:w="728" w:type="pct"/>
            <w:vMerge w:val="restart"/>
            <w:vAlign w:val="center"/>
          </w:tcPr>
          <w:p w14:paraId="2853EA7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0,050</w:t>
            </w:r>
          </w:p>
        </w:tc>
      </w:tr>
      <w:tr w:rsidR="00825215" w:rsidRPr="00A43B9C" w14:paraId="040A8938" w14:textId="77777777" w:rsidTr="003F0A73">
        <w:trPr>
          <w:jc w:val="center"/>
        </w:trPr>
        <w:tc>
          <w:tcPr>
            <w:tcW w:w="1299" w:type="pct"/>
            <w:vMerge/>
            <w:vAlign w:val="center"/>
          </w:tcPr>
          <w:p w14:paraId="0E50A3D2"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996" w:type="pct"/>
            <w:vAlign w:val="center"/>
          </w:tcPr>
          <w:p w14:paraId="46A9787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Мужской</w:t>
            </w:r>
          </w:p>
        </w:tc>
        <w:tc>
          <w:tcPr>
            <w:tcW w:w="521" w:type="pct"/>
            <w:vAlign w:val="center"/>
          </w:tcPr>
          <w:p w14:paraId="6E80655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0,60</w:t>
            </w:r>
          </w:p>
        </w:tc>
        <w:tc>
          <w:tcPr>
            <w:tcW w:w="1090" w:type="pct"/>
            <w:vAlign w:val="center"/>
          </w:tcPr>
          <w:p w14:paraId="4EBDC10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0,43 – 0,78</w:t>
            </w:r>
          </w:p>
        </w:tc>
        <w:tc>
          <w:tcPr>
            <w:tcW w:w="366" w:type="pct"/>
            <w:vAlign w:val="center"/>
          </w:tcPr>
          <w:p w14:paraId="60A4244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14</w:t>
            </w:r>
          </w:p>
        </w:tc>
        <w:tc>
          <w:tcPr>
            <w:tcW w:w="728" w:type="pct"/>
            <w:vMerge/>
            <w:vAlign w:val="center"/>
          </w:tcPr>
          <w:p w14:paraId="1411A599"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472714B6" w14:textId="77777777" w:rsidTr="003F0A73">
        <w:trPr>
          <w:jc w:val="center"/>
        </w:trPr>
        <w:tc>
          <w:tcPr>
            <w:tcW w:w="1299" w:type="pct"/>
            <w:vMerge w:val="restart"/>
            <w:vAlign w:val="center"/>
          </w:tcPr>
          <w:p w14:paraId="233EEA6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RP</w:t>
            </w:r>
          </w:p>
        </w:tc>
        <w:tc>
          <w:tcPr>
            <w:tcW w:w="996" w:type="pct"/>
            <w:vAlign w:val="center"/>
          </w:tcPr>
          <w:p w14:paraId="3FB27E8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Женский</w:t>
            </w:r>
          </w:p>
        </w:tc>
        <w:tc>
          <w:tcPr>
            <w:tcW w:w="521" w:type="pct"/>
            <w:vAlign w:val="center"/>
          </w:tcPr>
          <w:p w14:paraId="3DADD5F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0,91</w:t>
            </w:r>
          </w:p>
        </w:tc>
        <w:tc>
          <w:tcPr>
            <w:tcW w:w="1090" w:type="pct"/>
            <w:vAlign w:val="center"/>
          </w:tcPr>
          <w:p w14:paraId="50F6506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0,77 – 1,20</w:t>
            </w:r>
          </w:p>
        </w:tc>
        <w:tc>
          <w:tcPr>
            <w:tcW w:w="366" w:type="pct"/>
            <w:vAlign w:val="center"/>
          </w:tcPr>
          <w:p w14:paraId="147759E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46</w:t>
            </w:r>
          </w:p>
        </w:tc>
        <w:tc>
          <w:tcPr>
            <w:tcW w:w="728" w:type="pct"/>
            <w:vMerge w:val="restart"/>
            <w:vAlign w:val="center"/>
          </w:tcPr>
          <w:p w14:paraId="41C1E97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0,050</w:t>
            </w:r>
          </w:p>
        </w:tc>
      </w:tr>
      <w:tr w:rsidR="00825215" w:rsidRPr="00A43B9C" w14:paraId="2203FDD6" w14:textId="77777777" w:rsidTr="003F0A73">
        <w:trPr>
          <w:jc w:val="center"/>
        </w:trPr>
        <w:tc>
          <w:tcPr>
            <w:tcW w:w="1299" w:type="pct"/>
            <w:vMerge/>
            <w:vAlign w:val="center"/>
          </w:tcPr>
          <w:p w14:paraId="41525BB7"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996" w:type="pct"/>
            <w:vAlign w:val="center"/>
          </w:tcPr>
          <w:p w14:paraId="0F954DE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Мужской</w:t>
            </w:r>
          </w:p>
        </w:tc>
        <w:tc>
          <w:tcPr>
            <w:tcW w:w="521" w:type="pct"/>
            <w:vAlign w:val="center"/>
          </w:tcPr>
          <w:p w14:paraId="6DDA694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0,68</w:t>
            </w:r>
          </w:p>
        </w:tc>
        <w:tc>
          <w:tcPr>
            <w:tcW w:w="1090" w:type="pct"/>
            <w:vAlign w:val="center"/>
          </w:tcPr>
          <w:p w14:paraId="6F05211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0,53 – 1,13</w:t>
            </w:r>
          </w:p>
        </w:tc>
        <w:tc>
          <w:tcPr>
            <w:tcW w:w="366" w:type="pct"/>
            <w:vAlign w:val="center"/>
          </w:tcPr>
          <w:p w14:paraId="32D2F24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14</w:t>
            </w:r>
          </w:p>
        </w:tc>
        <w:tc>
          <w:tcPr>
            <w:tcW w:w="728" w:type="pct"/>
            <w:vMerge/>
            <w:vAlign w:val="center"/>
          </w:tcPr>
          <w:p w14:paraId="61A56AED"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1857F432" w14:textId="77777777" w:rsidTr="003F0A73">
        <w:trPr>
          <w:jc w:val="center"/>
        </w:trPr>
        <w:tc>
          <w:tcPr>
            <w:tcW w:w="1299" w:type="pct"/>
            <w:vMerge w:val="restart"/>
            <w:vAlign w:val="center"/>
          </w:tcPr>
          <w:p w14:paraId="0E2DB84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RLI</w:t>
            </w:r>
          </w:p>
        </w:tc>
        <w:tc>
          <w:tcPr>
            <w:tcW w:w="996" w:type="pct"/>
            <w:vAlign w:val="center"/>
          </w:tcPr>
          <w:p w14:paraId="0B029AB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Женский</w:t>
            </w:r>
          </w:p>
        </w:tc>
        <w:tc>
          <w:tcPr>
            <w:tcW w:w="521" w:type="pct"/>
            <w:vAlign w:val="center"/>
          </w:tcPr>
          <w:p w14:paraId="7DF51C3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0,74</w:t>
            </w:r>
          </w:p>
        </w:tc>
        <w:tc>
          <w:tcPr>
            <w:tcW w:w="1090" w:type="pct"/>
            <w:vAlign w:val="center"/>
          </w:tcPr>
          <w:p w14:paraId="3F475DD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0,59 – 0,87</w:t>
            </w:r>
          </w:p>
        </w:tc>
        <w:tc>
          <w:tcPr>
            <w:tcW w:w="366" w:type="pct"/>
            <w:vAlign w:val="center"/>
          </w:tcPr>
          <w:p w14:paraId="2FE8CE0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46</w:t>
            </w:r>
          </w:p>
        </w:tc>
        <w:tc>
          <w:tcPr>
            <w:tcW w:w="728" w:type="pct"/>
            <w:vMerge w:val="restart"/>
            <w:vAlign w:val="center"/>
          </w:tcPr>
          <w:p w14:paraId="1134240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0,072</w:t>
            </w:r>
          </w:p>
        </w:tc>
      </w:tr>
      <w:tr w:rsidR="00825215" w:rsidRPr="00A43B9C" w14:paraId="5BC08A21" w14:textId="77777777" w:rsidTr="003F0A73">
        <w:trPr>
          <w:jc w:val="center"/>
        </w:trPr>
        <w:tc>
          <w:tcPr>
            <w:tcW w:w="1299" w:type="pct"/>
            <w:vMerge/>
            <w:vAlign w:val="center"/>
          </w:tcPr>
          <w:p w14:paraId="013FE41B"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996" w:type="pct"/>
            <w:vAlign w:val="center"/>
          </w:tcPr>
          <w:p w14:paraId="0B1E8D4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Мужской</w:t>
            </w:r>
          </w:p>
        </w:tc>
        <w:tc>
          <w:tcPr>
            <w:tcW w:w="521" w:type="pct"/>
            <w:vAlign w:val="center"/>
          </w:tcPr>
          <w:p w14:paraId="2E1F338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0,54</w:t>
            </w:r>
          </w:p>
        </w:tc>
        <w:tc>
          <w:tcPr>
            <w:tcW w:w="1090" w:type="pct"/>
            <w:vAlign w:val="center"/>
          </w:tcPr>
          <w:p w14:paraId="7E090A6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0,40 – 0,78</w:t>
            </w:r>
          </w:p>
        </w:tc>
        <w:tc>
          <w:tcPr>
            <w:tcW w:w="366" w:type="pct"/>
            <w:vAlign w:val="center"/>
          </w:tcPr>
          <w:p w14:paraId="3BE24FF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14</w:t>
            </w:r>
          </w:p>
        </w:tc>
        <w:tc>
          <w:tcPr>
            <w:tcW w:w="728" w:type="pct"/>
            <w:vMerge/>
            <w:vAlign w:val="center"/>
          </w:tcPr>
          <w:p w14:paraId="74221D07"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52F4BF7E" w14:textId="77777777" w:rsidTr="003F0A73">
        <w:trPr>
          <w:jc w:val="center"/>
        </w:trPr>
        <w:tc>
          <w:tcPr>
            <w:tcW w:w="1299" w:type="pct"/>
            <w:vMerge w:val="restart"/>
            <w:vAlign w:val="center"/>
          </w:tcPr>
          <w:p w14:paraId="0480061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w:t>
            </w:r>
          </w:p>
        </w:tc>
        <w:tc>
          <w:tcPr>
            <w:tcW w:w="996" w:type="pct"/>
            <w:vAlign w:val="center"/>
          </w:tcPr>
          <w:p w14:paraId="3E7705C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Женский</w:t>
            </w:r>
          </w:p>
        </w:tc>
        <w:tc>
          <w:tcPr>
            <w:tcW w:w="521" w:type="pct"/>
            <w:vAlign w:val="center"/>
          </w:tcPr>
          <w:p w14:paraId="7725D0E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0,89</w:t>
            </w:r>
          </w:p>
        </w:tc>
        <w:tc>
          <w:tcPr>
            <w:tcW w:w="1090" w:type="pct"/>
            <w:vAlign w:val="center"/>
          </w:tcPr>
          <w:p w14:paraId="00CC027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0,67 – 1,13</w:t>
            </w:r>
          </w:p>
        </w:tc>
        <w:tc>
          <w:tcPr>
            <w:tcW w:w="366" w:type="pct"/>
            <w:vAlign w:val="center"/>
          </w:tcPr>
          <w:p w14:paraId="2D86585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46</w:t>
            </w:r>
          </w:p>
        </w:tc>
        <w:tc>
          <w:tcPr>
            <w:tcW w:w="728" w:type="pct"/>
            <w:vMerge w:val="restart"/>
            <w:vAlign w:val="center"/>
          </w:tcPr>
          <w:p w14:paraId="15F77FF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0,090</w:t>
            </w:r>
          </w:p>
        </w:tc>
      </w:tr>
      <w:tr w:rsidR="00825215" w:rsidRPr="00A43B9C" w14:paraId="21C5FAA6" w14:textId="77777777" w:rsidTr="003F0A73">
        <w:trPr>
          <w:jc w:val="center"/>
        </w:trPr>
        <w:tc>
          <w:tcPr>
            <w:tcW w:w="1299" w:type="pct"/>
            <w:vMerge/>
            <w:vAlign w:val="center"/>
          </w:tcPr>
          <w:p w14:paraId="12633309"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996" w:type="pct"/>
            <w:vAlign w:val="center"/>
          </w:tcPr>
          <w:p w14:paraId="02A98B6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Мужской</w:t>
            </w:r>
          </w:p>
        </w:tc>
        <w:tc>
          <w:tcPr>
            <w:tcW w:w="521" w:type="pct"/>
            <w:vAlign w:val="center"/>
          </w:tcPr>
          <w:p w14:paraId="3D56C66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0,70</w:t>
            </w:r>
          </w:p>
        </w:tc>
        <w:tc>
          <w:tcPr>
            <w:tcW w:w="1090" w:type="pct"/>
            <w:vAlign w:val="center"/>
          </w:tcPr>
          <w:p w14:paraId="4506A6F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0,62 – 0,90</w:t>
            </w:r>
          </w:p>
        </w:tc>
        <w:tc>
          <w:tcPr>
            <w:tcW w:w="366" w:type="pct"/>
            <w:vAlign w:val="center"/>
          </w:tcPr>
          <w:p w14:paraId="2B40A6D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14</w:t>
            </w:r>
          </w:p>
        </w:tc>
        <w:tc>
          <w:tcPr>
            <w:tcW w:w="728" w:type="pct"/>
            <w:vMerge/>
            <w:vAlign w:val="center"/>
          </w:tcPr>
          <w:p w14:paraId="6A4CDCF8" w14:textId="77777777" w:rsidR="00825215" w:rsidRPr="00A43B9C" w:rsidRDefault="00825215" w:rsidP="007E4204">
            <w:pPr>
              <w:spacing w:after="0" w:line="240" w:lineRule="auto"/>
              <w:jc w:val="center"/>
              <w:rPr>
                <w:rFonts w:ascii="Times New Roman" w:hAnsi="Times New Roman" w:cs="Times New Roman"/>
                <w:sz w:val="28"/>
                <w:szCs w:val="28"/>
              </w:rPr>
            </w:pPr>
          </w:p>
        </w:tc>
      </w:tr>
    </w:tbl>
    <w:p w14:paraId="432D8301" w14:textId="5D46DF66" w:rsidR="00825215" w:rsidRPr="00A43B9C" w:rsidRDefault="00825215" w:rsidP="00825215">
      <w:pPr>
        <w:spacing w:after="0" w:line="240" w:lineRule="auto"/>
        <w:rPr>
          <w:rFonts w:ascii="Times New Roman" w:hAnsi="Times New Roman" w:cs="Times New Roman"/>
          <w:sz w:val="28"/>
          <w:szCs w:val="28"/>
        </w:rPr>
      </w:pPr>
    </w:p>
    <w:tbl>
      <w:tblPr>
        <w:tblStyle w:val="ad"/>
        <w:tblW w:w="10908"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6"/>
        <w:gridCol w:w="3636"/>
        <w:gridCol w:w="3636"/>
      </w:tblGrid>
      <w:tr w:rsidR="00735517" w:rsidRPr="00A43B9C" w14:paraId="6B155F8E" w14:textId="77777777" w:rsidTr="00BE6F17">
        <w:tc>
          <w:tcPr>
            <w:tcW w:w="3636" w:type="dxa"/>
          </w:tcPr>
          <w:p w14:paraId="724599A5" w14:textId="099F6B12" w:rsidR="00735517" w:rsidRPr="00A43B9C" w:rsidRDefault="00BE6F17" w:rsidP="00BE6F1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30256E96" wp14:editId="27104F47">
                      <wp:extent cx="2160000" cy="2160000"/>
                      <wp:effectExtent l="0" t="0" r="12065" b="12065"/>
                      <wp:docPr id="93" name="Диаграмма 93">
                        <a:extLst xmlns:a="http://schemas.openxmlformats.org/drawingml/2006/main">
                          <a:ext uri="{FF2B5EF4-FFF2-40B4-BE49-F238E27FC236}">
                            <a16:creationId xmlns:a16="http://schemas.microsoft.com/office/drawing/2014/main" id="{36839C54-7A96-4FF4-97D1-E664695B94C5}"/>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70"/>
                        </a:graphicData>
                      </a:graphic>
                    </wp:inline>
                  </w:drawing>
                </mc:Choice>
                <mc:Fallback>
                  <w:drawing>
                    <wp:inline distT="0" distB="0" distL="0" distR="0" wp14:anchorId="30256E96" wp14:editId="27104F47">
                      <wp:extent cx="2160000" cy="2160000"/>
                      <wp:effectExtent l="0" t="0" r="12065" b="12065"/>
                      <wp:docPr id="93" name="Диаграмма 93">
                        <a:extLst xmlns:a="http://schemas.openxmlformats.org/drawingml/2006/main">
                          <a:ext uri="{FF2B5EF4-FFF2-40B4-BE49-F238E27FC236}">
                            <a16:creationId xmlns:a16="http://schemas.microsoft.com/office/drawing/2014/main" id="{36839C54-7A96-4FF4-97D1-E664695B94C5}"/>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93" name="Диаграмма 93">
                                <a:extLst>
                                  <a:ext uri="{FF2B5EF4-FFF2-40B4-BE49-F238E27FC236}">
                                    <a16:creationId xmlns:a16="http://schemas.microsoft.com/office/drawing/2014/main" id="{36839C54-7A96-4FF4-97D1-E664695B94C5}"/>
                                  </a:ext>
                                </a:extLst>
                              </pic:cNvPr>
                              <pic:cNvPicPr>
                                <a:picLocks noGrp="1" noRot="1" noChangeAspect="1" noMove="1" noResize="1" noEditPoints="1" noAdjustHandles="1" noChangeArrowheads="1" noChangeShapeType="1"/>
                              </pic:cNvPicPr>
                            </pic:nvPicPr>
                            <pic:blipFill>
                              <a:blip r:embed="rId173"/>
                              <a:stretch>
                                <a:fillRect/>
                              </a:stretch>
                            </pic:blipFill>
                            <pic:spPr>
                              <a:xfrm>
                                <a:off x="0" y="0"/>
                                <a:ext cx="2159635" cy="2159635"/>
                              </a:xfrm>
                              <a:prstGeom prst="rect">
                                <a:avLst/>
                              </a:prstGeom>
                            </pic:spPr>
                          </pic:pic>
                        </a:graphicData>
                      </a:graphic>
                    </wp:inline>
                  </w:drawing>
                </mc:Fallback>
              </mc:AlternateContent>
            </w:r>
          </w:p>
        </w:tc>
        <w:tc>
          <w:tcPr>
            <w:tcW w:w="3636" w:type="dxa"/>
          </w:tcPr>
          <w:p w14:paraId="73244B3F" w14:textId="25078032" w:rsidR="00735517" w:rsidRPr="00A43B9C" w:rsidRDefault="00BE6F17"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2BCDCABE" wp14:editId="10E7A6EE">
                      <wp:extent cx="2160000" cy="2160000"/>
                      <wp:effectExtent l="0" t="0" r="12065" b="12065"/>
                      <wp:docPr id="94" name="Диаграмма 94">
                        <a:extLst xmlns:a="http://schemas.openxmlformats.org/drawingml/2006/main">
                          <a:ext uri="{FF2B5EF4-FFF2-40B4-BE49-F238E27FC236}">
                            <a16:creationId xmlns:a16="http://schemas.microsoft.com/office/drawing/2014/main" id="{57621DA2-5A6D-4F42-B675-58420B50CB01}"/>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74"/>
                        </a:graphicData>
                      </a:graphic>
                    </wp:inline>
                  </w:drawing>
                </mc:Choice>
                <mc:Fallback>
                  <w:drawing>
                    <wp:inline distT="0" distB="0" distL="0" distR="0" wp14:anchorId="2BCDCABE" wp14:editId="10E7A6EE">
                      <wp:extent cx="2160000" cy="2160000"/>
                      <wp:effectExtent l="0" t="0" r="12065" b="12065"/>
                      <wp:docPr id="94" name="Диаграмма 94">
                        <a:extLst xmlns:a="http://schemas.openxmlformats.org/drawingml/2006/main">
                          <a:ext uri="{FF2B5EF4-FFF2-40B4-BE49-F238E27FC236}">
                            <a16:creationId xmlns:a16="http://schemas.microsoft.com/office/drawing/2014/main" id="{57621DA2-5A6D-4F42-B675-58420B50CB01}"/>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94" name="Диаграмма 94">
                                <a:extLst>
                                  <a:ext uri="{FF2B5EF4-FFF2-40B4-BE49-F238E27FC236}">
                                    <a16:creationId xmlns:a16="http://schemas.microsoft.com/office/drawing/2014/main" id="{57621DA2-5A6D-4F42-B675-58420B50CB01}"/>
                                  </a:ext>
                                </a:extLst>
                              </pic:cNvPr>
                              <pic:cNvPicPr>
                                <a:picLocks noGrp="1" noRot="1" noChangeAspect="1" noMove="1" noResize="1" noEditPoints="1" noAdjustHandles="1" noChangeArrowheads="1" noChangeShapeType="1"/>
                              </pic:cNvPicPr>
                            </pic:nvPicPr>
                            <pic:blipFill>
                              <a:blip r:embed="rId175"/>
                              <a:stretch>
                                <a:fillRect/>
                              </a:stretch>
                            </pic:blipFill>
                            <pic:spPr>
                              <a:xfrm>
                                <a:off x="0" y="0"/>
                                <a:ext cx="2159635" cy="2159635"/>
                              </a:xfrm>
                              <a:prstGeom prst="rect">
                                <a:avLst/>
                              </a:prstGeom>
                            </pic:spPr>
                          </pic:pic>
                        </a:graphicData>
                      </a:graphic>
                    </wp:inline>
                  </w:drawing>
                </mc:Fallback>
              </mc:AlternateContent>
            </w:r>
          </w:p>
        </w:tc>
        <w:tc>
          <w:tcPr>
            <w:tcW w:w="3636" w:type="dxa"/>
          </w:tcPr>
          <w:p w14:paraId="526796EA" w14:textId="3B24A519" w:rsidR="00735517" w:rsidRPr="00A43B9C" w:rsidRDefault="00BE6F17"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07DE92D7" wp14:editId="00B40505">
                      <wp:extent cx="2160000" cy="2160000"/>
                      <wp:effectExtent l="0" t="0" r="12065" b="12065"/>
                      <wp:docPr id="95" name="Диаграмма 95">
                        <a:extLst xmlns:a="http://schemas.openxmlformats.org/drawingml/2006/main">
                          <a:ext uri="{FF2B5EF4-FFF2-40B4-BE49-F238E27FC236}">
                            <a16:creationId xmlns:a16="http://schemas.microsoft.com/office/drawing/2014/main" id="{24D31C5E-03D2-496D-A611-8053F10FBB00}"/>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76"/>
                        </a:graphicData>
                      </a:graphic>
                    </wp:inline>
                  </w:drawing>
                </mc:Choice>
                <mc:Fallback>
                  <w:drawing>
                    <wp:inline distT="0" distB="0" distL="0" distR="0" wp14:anchorId="07DE92D7" wp14:editId="00B40505">
                      <wp:extent cx="2160000" cy="2160000"/>
                      <wp:effectExtent l="0" t="0" r="12065" b="12065"/>
                      <wp:docPr id="95" name="Диаграмма 95">
                        <a:extLst xmlns:a="http://schemas.openxmlformats.org/drawingml/2006/main">
                          <a:ext uri="{FF2B5EF4-FFF2-40B4-BE49-F238E27FC236}">
                            <a16:creationId xmlns:a16="http://schemas.microsoft.com/office/drawing/2014/main" id="{24D31C5E-03D2-496D-A611-8053F10FBB00}"/>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95" name="Диаграмма 95">
                                <a:extLst>
                                  <a:ext uri="{FF2B5EF4-FFF2-40B4-BE49-F238E27FC236}">
                                    <a16:creationId xmlns:a16="http://schemas.microsoft.com/office/drawing/2014/main" id="{24D31C5E-03D2-496D-A611-8053F10FBB00}"/>
                                  </a:ext>
                                </a:extLst>
                              </pic:cNvPr>
                              <pic:cNvPicPr>
                                <a:picLocks noGrp="1" noRot="1" noChangeAspect="1" noMove="1" noResize="1" noEditPoints="1" noAdjustHandles="1" noChangeArrowheads="1" noChangeShapeType="1"/>
                              </pic:cNvPicPr>
                            </pic:nvPicPr>
                            <pic:blipFill>
                              <a:blip r:embed="rId177"/>
                              <a:stretch>
                                <a:fillRect/>
                              </a:stretch>
                            </pic:blipFill>
                            <pic:spPr>
                              <a:xfrm>
                                <a:off x="0" y="0"/>
                                <a:ext cx="2159635" cy="2159635"/>
                              </a:xfrm>
                              <a:prstGeom prst="rect">
                                <a:avLst/>
                              </a:prstGeom>
                            </pic:spPr>
                          </pic:pic>
                        </a:graphicData>
                      </a:graphic>
                    </wp:inline>
                  </w:drawing>
                </mc:Fallback>
              </mc:AlternateContent>
            </w:r>
          </w:p>
        </w:tc>
      </w:tr>
      <w:tr w:rsidR="0097135F" w:rsidRPr="00395B35" w14:paraId="3042B8E3" w14:textId="77777777" w:rsidTr="00BE6F17">
        <w:tc>
          <w:tcPr>
            <w:tcW w:w="3636" w:type="dxa"/>
          </w:tcPr>
          <w:p w14:paraId="2DFFAE8B" w14:textId="30C3DA61" w:rsidR="0097135F" w:rsidRPr="00CF7D5F" w:rsidRDefault="0097135F" w:rsidP="0097135F">
            <w:pPr>
              <w:spacing w:after="0" w:line="240" w:lineRule="auto"/>
              <w:jc w:val="center"/>
              <w:rPr>
                <w:rFonts w:ascii="Times New Roman" w:hAnsi="Times New Roman" w:cs="Times New Roman"/>
                <w:sz w:val="24"/>
                <w:szCs w:val="24"/>
                <w:lang w:val="en-US"/>
              </w:rPr>
            </w:pPr>
            <w:r w:rsidRPr="00395B35">
              <w:rPr>
                <w:rFonts w:ascii="Times New Roman" w:hAnsi="Times New Roman" w:cs="Times New Roman"/>
                <w:sz w:val="24"/>
                <w:szCs w:val="24"/>
              </w:rPr>
              <w:t>а)</w:t>
            </w:r>
            <w:r w:rsidR="00CF7D5F">
              <w:rPr>
                <w:rFonts w:ascii="Times New Roman" w:hAnsi="Times New Roman" w:cs="Times New Roman"/>
                <w:sz w:val="24"/>
                <w:szCs w:val="24"/>
              </w:rPr>
              <w:t xml:space="preserve"> Локализация </w:t>
            </w:r>
            <w:r w:rsidR="00CF7D5F">
              <w:rPr>
                <w:rFonts w:ascii="Times New Roman" w:hAnsi="Times New Roman" w:cs="Times New Roman"/>
                <w:sz w:val="24"/>
                <w:szCs w:val="24"/>
                <w:lang w:val="en-US"/>
              </w:rPr>
              <w:t>RE</w:t>
            </w:r>
          </w:p>
        </w:tc>
        <w:tc>
          <w:tcPr>
            <w:tcW w:w="3636" w:type="dxa"/>
          </w:tcPr>
          <w:p w14:paraId="44D7C9F6" w14:textId="699840E1" w:rsidR="0097135F" w:rsidRPr="00CF7D5F" w:rsidRDefault="0097135F" w:rsidP="0097135F">
            <w:pPr>
              <w:spacing w:after="0" w:line="240" w:lineRule="auto"/>
              <w:jc w:val="center"/>
              <w:rPr>
                <w:rFonts w:ascii="Times New Roman" w:hAnsi="Times New Roman" w:cs="Times New Roman"/>
                <w:sz w:val="24"/>
                <w:szCs w:val="24"/>
                <w:lang w:val="en-US"/>
              </w:rPr>
            </w:pPr>
            <w:r w:rsidRPr="00395B35">
              <w:rPr>
                <w:rFonts w:ascii="Times New Roman" w:hAnsi="Times New Roman" w:cs="Times New Roman"/>
                <w:sz w:val="24"/>
                <w:szCs w:val="24"/>
              </w:rPr>
              <w:t>б)</w:t>
            </w:r>
            <w:r w:rsidR="00CF7D5F">
              <w:rPr>
                <w:rFonts w:ascii="Times New Roman" w:hAnsi="Times New Roman" w:cs="Times New Roman"/>
                <w:sz w:val="24"/>
                <w:szCs w:val="24"/>
              </w:rPr>
              <w:t xml:space="preserve"> Локализация</w:t>
            </w:r>
            <w:r w:rsidR="00CF7D5F">
              <w:rPr>
                <w:rFonts w:ascii="Times New Roman" w:hAnsi="Times New Roman" w:cs="Times New Roman"/>
                <w:sz w:val="24"/>
                <w:szCs w:val="24"/>
                <w:lang w:val="en-US"/>
              </w:rPr>
              <w:t xml:space="preserve"> RLH</w:t>
            </w:r>
          </w:p>
        </w:tc>
        <w:tc>
          <w:tcPr>
            <w:tcW w:w="3636" w:type="dxa"/>
          </w:tcPr>
          <w:p w14:paraId="256BB670" w14:textId="1F21FAD0" w:rsidR="0097135F" w:rsidRPr="00CF7D5F" w:rsidRDefault="0097135F" w:rsidP="0097135F">
            <w:pPr>
              <w:spacing w:after="0" w:line="240" w:lineRule="auto"/>
              <w:jc w:val="center"/>
              <w:rPr>
                <w:rFonts w:ascii="Times New Roman" w:hAnsi="Times New Roman" w:cs="Times New Roman"/>
                <w:sz w:val="24"/>
                <w:szCs w:val="24"/>
                <w:lang w:val="en-US"/>
              </w:rPr>
            </w:pPr>
            <w:r w:rsidRPr="00395B35">
              <w:rPr>
                <w:rFonts w:ascii="Times New Roman" w:hAnsi="Times New Roman" w:cs="Times New Roman"/>
                <w:sz w:val="24"/>
                <w:szCs w:val="24"/>
              </w:rPr>
              <w:t>в)</w:t>
            </w:r>
            <w:r w:rsidR="00CF7D5F">
              <w:rPr>
                <w:rFonts w:ascii="Times New Roman" w:hAnsi="Times New Roman" w:cs="Times New Roman"/>
                <w:sz w:val="24"/>
                <w:szCs w:val="24"/>
              </w:rPr>
              <w:t xml:space="preserve"> Локализация</w:t>
            </w:r>
            <w:r w:rsidR="00CF7D5F">
              <w:rPr>
                <w:rFonts w:ascii="Times New Roman" w:hAnsi="Times New Roman" w:cs="Times New Roman"/>
                <w:sz w:val="24"/>
                <w:szCs w:val="24"/>
                <w:lang w:val="en-US"/>
              </w:rPr>
              <w:t xml:space="preserve"> RRL</w:t>
            </w:r>
          </w:p>
        </w:tc>
      </w:tr>
    </w:tbl>
    <w:p w14:paraId="2CC1AAB9" w14:textId="77777777" w:rsidR="003C4A92" w:rsidRDefault="003C4A92" w:rsidP="00E71BAD">
      <w:pPr>
        <w:spacing w:after="0" w:line="240" w:lineRule="auto"/>
        <w:rPr>
          <w:rFonts w:ascii="Times New Roman" w:hAnsi="Times New Roman" w:cs="Times New Roman"/>
          <w:sz w:val="28"/>
          <w:szCs w:val="28"/>
        </w:rPr>
      </w:pPr>
    </w:p>
    <w:p w14:paraId="19D35B62" w14:textId="151BF0DE" w:rsidR="00E71BAD" w:rsidRPr="00E71BAD" w:rsidRDefault="00395B35" w:rsidP="00AB2535">
      <w:pPr>
        <w:spacing w:after="0" w:line="240" w:lineRule="auto"/>
        <w:ind w:firstLine="709"/>
        <w:jc w:val="center"/>
        <w:rPr>
          <w:rFonts w:ascii="Times New Roman" w:hAnsi="Times New Roman" w:cs="Times New Roman"/>
          <w:sz w:val="28"/>
          <w:szCs w:val="28"/>
        </w:rPr>
      </w:pPr>
      <w:r w:rsidRPr="00A43B9C">
        <w:rPr>
          <w:rFonts w:ascii="Times New Roman" w:hAnsi="Times New Roman" w:cs="Times New Roman"/>
          <w:sz w:val="28"/>
          <w:szCs w:val="28"/>
        </w:rPr>
        <w:t>Рисунок 3</w:t>
      </w:r>
      <w:r>
        <w:rPr>
          <w:rFonts w:ascii="Times New Roman" w:hAnsi="Times New Roman" w:cs="Times New Roman"/>
          <w:sz w:val="28"/>
          <w:szCs w:val="28"/>
        </w:rPr>
        <w:t>6</w:t>
      </w:r>
      <w:r w:rsidRPr="00A43B9C">
        <w:rPr>
          <w:rFonts w:ascii="Times New Roman" w:hAnsi="Times New Roman" w:cs="Times New Roman"/>
          <w:sz w:val="28"/>
          <w:szCs w:val="28"/>
        </w:rPr>
        <w:t xml:space="preserve"> - Анализ распределения уровня накопления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зависимости от пола</w:t>
      </w:r>
      <w:r>
        <w:rPr>
          <w:rFonts w:ascii="Times New Roman" w:hAnsi="Times New Roman" w:cs="Times New Roman"/>
          <w:sz w:val="28"/>
          <w:szCs w:val="28"/>
        </w:rPr>
        <w:t>, лист 1</w:t>
      </w:r>
      <w:r w:rsidR="00E71BAD" w:rsidRPr="00E71BAD">
        <w:rPr>
          <w:rFonts w:ascii="Times New Roman" w:hAnsi="Times New Roman" w:cs="Times New Roman"/>
          <w:sz w:val="28"/>
          <w:szCs w:val="28"/>
        </w:rPr>
        <w:br w:type="page"/>
      </w:r>
    </w:p>
    <w:tbl>
      <w:tblPr>
        <w:tblStyle w:val="ad"/>
        <w:tblW w:w="10908"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6"/>
        <w:gridCol w:w="3636"/>
        <w:gridCol w:w="3636"/>
      </w:tblGrid>
      <w:tr w:rsidR="00735517" w:rsidRPr="00A43B9C" w14:paraId="3A93FE47" w14:textId="77777777" w:rsidTr="00BE6F17">
        <w:tc>
          <w:tcPr>
            <w:tcW w:w="3636" w:type="dxa"/>
          </w:tcPr>
          <w:p w14:paraId="0ABB99E9" w14:textId="449E2D98" w:rsidR="00735517" w:rsidRPr="00A43B9C" w:rsidRDefault="00BE6F17" w:rsidP="00BE6F17">
            <w:pPr>
              <w:spacing w:after="0" w:line="240" w:lineRule="auto"/>
              <w:jc w:val="center"/>
              <w:rPr>
                <w:rFonts w:ascii="Times New Roman" w:hAnsi="Times New Roman" w:cs="Times New Roman"/>
                <w:sz w:val="28"/>
                <w:szCs w:val="28"/>
              </w:rPr>
            </w:pPr>
            <w:r w:rsidRPr="00A43B9C">
              <w:rPr>
                <w:noProof/>
                <w:lang w:eastAsia="ru-RU"/>
              </w:rPr>
              <w:lastRenderedPageBreak/>
              <mc:AlternateContent>
                <mc:Choice Requires="cx1">
                  <w:drawing>
                    <wp:inline distT="0" distB="0" distL="0" distR="0" wp14:anchorId="7D69B37A" wp14:editId="055D6B66">
                      <wp:extent cx="2160000" cy="2088000"/>
                      <wp:effectExtent l="0" t="0" r="12065" b="7620"/>
                      <wp:docPr id="96" name="Диаграмма 96">
                        <a:extLst xmlns:a="http://schemas.openxmlformats.org/drawingml/2006/main">
                          <a:ext uri="{FF2B5EF4-FFF2-40B4-BE49-F238E27FC236}">
                            <a16:creationId xmlns:a16="http://schemas.microsoft.com/office/drawing/2014/main" id="{E00C03D1-654B-4263-B258-78532841DA07}"/>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78"/>
                        </a:graphicData>
                      </a:graphic>
                    </wp:inline>
                  </w:drawing>
                </mc:Choice>
                <mc:Fallback>
                  <w:drawing>
                    <wp:inline distT="0" distB="0" distL="0" distR="0" wp14:anchorId="7D69B37A" wp14:editId="055D6B66">
                      <wp:extent cx="2160000" cy="2088000"/>
                      <wp:effectExtent l="0" t="0" r="12065" b="7620"/>
                      <wp:docPr id="96" name="Диаграмма 96">
                        <a:extLst xmlns:a="http://schemas.openxmlformats.org/drawingml/2006/main">
                          <a:ext uri="{FF2B5EF4-FFF2-40B4-BE49-F238E27FC236}">
                            <a16:creationId xmlns:a16="http://schemas.microsoft.com/office/drawing/2014/main" id="{E00C03D1-654B-4263-B258-78532841DA07}"/>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96" name="Диаграмма 96">
                                <a:extLst>
                                  <a:ext uri="{FF2B5EF4-FFF2-40B4-BE49-F238E27FC236}">
                                    <a16:creationId xmlns:a16="http://schemas.microsoft.com/office/drawing/2014/main" id="{E00C03D1-654B-4263-B258-78532841DA07}"/>
                                  </a:ext>
                                </a:extLst>
                              </pic:cNvPr>
                              <pic:cNvPicPr>
                                <a:picLocks noGrp="1" noRot="1" noChangeAspect="1" noMove="1" noResize="1" noEditPoints="1" noAdjustHandles="1" noChangeArrowheads="1" noChangeShapeType="1"/>
                              </pic:cNvPicPr>
                            </pic:nvPicPr>
                            <pic:blipFill>
                              <a:blip r:embed="rId179"/>
                              <a:stretch>
                                <a:fillRect/>
                              </a:stretch>
                            </pic:blipFill>
                            <pic:spPr>
                              <a:xfrm>
                                <a:off x="0" y="0"/>
                                <a:ext cx="2159635" cy="2087880"/>
                              </a:xfrm>
                              <a:prstGeom prst="rect">
                                <a:avLst/>
                              </a:prstGeom>
                            </pic:spPr>
                          </pic:pic>
                        </a:graphicData>
                      </a:graphic>
                    </wp:inline>
                  </w:drawing>
                </mc:Fallback>
              </mc:AlternateContent>
            </w:r>
          </w:p>
        </w:tc>
        <w:tc>
          <w:tcPr>
            <w:tcW w:w="3636" w:type="dxa"/>
          </w:tcPr>
          <w:p w14:paraId="5A0C3105" w14:textId="5D85E76A" w:rsidR="00735517" w:rsidRPr="00A43B9C" w:rsidRDefault="00BE6F17" w:rsidP="00BE6F1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3ED8C9A0" wp14:editId="4C8578A7">
                      <wp:extent cx="2160000" cy="2088000"/>
                      <wp:effectExtent l="0" t="0" r="12065" b="7620"/>
                      <wp:docPr id="319" name="Диаграмма 319">
                        <a:extLst xmlns:a="http://schemas.openxmlformats.org/drawingml/2006/main">
                          <a:ext uri="{FF2B5EF4-FFF2-40B4-BE49-F238E27FC236}">
                            <a16:creationId xmlns:a16="http://schemas.microsoft.com/office/drawing/2014/main" id="{2421B276-FBEA-445C-B01F-3410120470CC}"/>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80"/>
                        </a:graphicData>
                      </a:graphic>
                    </wp:inline>
                  </w:drawing>
                </mc:Choice>
                <mc:Fallback>
                  <w:drawing>
                    <wp:inline distT="0" distB="0" distL="0" distR="0" wp14:anchorId="3ED8C9A0" wp14:editId="4C8578A7">
                      <wp:extent cx="2160000" cy="2088000"/>
                      <wp:effectExtent l="0" t="0" r="12065" b="7620"/>
                      <wp:docPr id="319" name="Диаграмма 319">
                        <a:extLst xmlns:a="http://schemas.openxmlformats.org/drawingml/2006/main">
                          <a:ext uri="{FF2B5EF4-FFF2-40B4-BE49-F238E27FC236}">
                            <a16:creationId xmlns:a16="http://schemas.microsoft.com/office/drawing/2014/main" id="{2421B276-FBEA-445C-B01F-3410120470CC}"/>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19" name="Диаграмма 319">
                                <a:extLst>
                                  <a:ext uri="{FF2B5EF4-FFF2-40B4-BE49-F238E27FC236}">
                                    <a16:creationId xmlns:a16="http://schemas.microsoft.com/office/drawing/2014/main" id="{2421B276-FBEA-445C-B01F-3410120470CC}"/>
                                  </a:ext>
                                </a:extLst>
                              </pic:cNvPr>
                              <pic:cNvPicPr>
                                <a:picLocks noGrp="1" noRot="1" noChangeAspect="1" noMove="1" noResize="1" noEditPoints="1" noAdjustHandles="1" noChangeArrowheads="1" noChangeShapeType="1"/>
                              </pic:cNvPicPr>
                            </pic:nvPicPr>
                            <pic:blipFill>
                              <a:blip r:embed="rId181"/>
                              <a:stretch>
                                <a:fillRect/>
                              </a:stretch>
                            </pic:blipFill>
                            <pic:spPr>
                              <a:xfrm>
                                <a:off x="0" y="0"/>
                                <a:ext cx="2159635" cy="2087880"/>
                              </a:xfrm>
                              <a:prstGeom prst="rect">
                                <a:avLst/>
                              </a:prstGeom>
                            </pic:spPr>
                          </pic:pic>
                        </a:graphicData>
                      </a:graphic>
                    </wp:inline>
                  </w:drawing>
                </mc:Fallback>
              </mc:AlternateContent>
            </w:r>
          </w:p>
        </w:tc>
        <w:tc>
          <w:tcPr>
            <w:tcW w:w="3636" w:type="dxa"/>
          </w:tcPr>
          <w:p w14:paraId="20C1818F" w14:textId="14E85A20" w:rsidR="00735517" w:rsidRPr="00A43B9C" w:rsidRDefault="00BE6F17" w:rsidP="00BE6F1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18EE2DEA" wp14:editId="65127CC5">
                      <wp:extent cx="2160000" cy="2088000"/>
                      <wp:effectExtent l="0" t="0" r="12065" b="7620"/>
                      <wp:docPr id="323" name="Диаграмма 323">
                        <a:extLst xmlns:a="http://schemas.openxmlformats.org/drawingml/2006/main">
                          <a:ext uri="{FF2B5EF4-FFF2-40B4-BE49-F238E27FC236}">
                            <a16:creationId xmlns:a16="http://schemas.microsoft.com/office/drawing/2014/main" id="{E442DCA4-00D7-4927-8613-DDF2E18C371D}"/>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82"/>
                        </a:graphicData>
                      </a:graphic>
                    </wp:inline>
                  </w:drawing>
                </mc:Choice>
                <mc:Fallback>
                  <w:drawing>
                    <wp:inline distT="0" distB="0" distL="0" distR="0" wp14:anchorId="18EE2DEA" wp14:editId="65127CC5">
                      <wp:extent cx="2160000" cy="2088000"/>
                      <wp:effectExtent l="0" t="0" r="12065" b="7620"/>
                      <wp:docPr id="323" name="Диаграмма 323">
                        <a:extLst xmlns:a="http://schemas.openxmlformats.org/drawingml/2006/main">
                          <a:ext uri="{FF2B5EF4-FFF2-40B4-BE49-F238E27FC236}">
                            <a16:creationId xmlns:a16="http://schemas.microsoft.com/office/drawing/2014/main" id="{E442DCA4-00D7-4927-8613-DDF2E18C371D}"/>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23" name="Диаграмма 323">
                                <a:extLst>
                                  <a:ext uri="{FF2B5EF4-FFF2-40B4-BE49-F238E27FC236}">
                                    <a16:creationId xmlns:a16="http://schemas.microsoft.com/office/drawing/2014/main" id="{E442DCA4-00D7-4927-8613-DDF2E18C371D}"/>
                                  </a:ext>
                                </a:extLst>
                              </pic:cNvPr>
                              <pic:cNvPicPr>
                                <a:picLocks noGrp="1" noRot="1" noChangeAspect="1" noMove="1" noResize="1" noEditPoints="1" noAdjustHandles="1" noChangeArrowheads="1" noChangeShapeType="1"/>
                              </pic:cNvPicPr>
                            </pic:nvPicPr>
                            <pic:blipFill>
                              <a:blip r:embed="rId183"/>
                              <a:stretch>
                                <a:fillRect/>
                              </a:stretch>
                            </pic:blipFill>
                            <pic:spPr>
                              <a:xfrm>
                                <a:off x="0" y="0"/>
                                <a:ext cx="2159635" cy="2087880"/>
                              </a:xfrm>
                              <a:prstGeom prst="rect">
                                <a:avLst/>
                              </a:prstGeom>
                            </pic:spPr>
                          </pic:pic>
                        </a:graphicData>
                      </a:graphic>
                    </wp:inline>
                  </w:drawing>
                </mc:Fallback>
              </mc:AlternateContent>
            </w:r>
          </w:p>
        </w:tc>
      </w:tr>
      <w:tr w:rsidR="0097135F" w:rsidRPr="00395B35" w14:paraId="2D6331F3" w14:textId="77777777" w:rsidTr="00BE6F17">
        <w:tc>
          <w:tcPr>
            <w:tcW w:w="3636" w:type="dxa"/>
          </w:tcPr>
          <w:p w14:paraId="5A8EAD87" w14:textId="2B1B118A" w:rsidR="0097135F" w:rsidRPr="00CF7D5F" w:rsidRDefault="0097135F" w:rsidP="0097135F">
            <w:pPr>
              <w:spacing w:after="0" w:line="240" w:lineRule="auto"/>
              <w:jc w:val="center"/>
              <w:rPr>
                <w:rFonts w:ascii="Times New Roman" w:hAnsi="Times New Roman" w:cs="Times New Roman"/>
                <w:sz w:val="24"/>
                <w:szCs w:val="24"/>
                <w:lang w:val="en-US"/>
              </w:rPr>
            </w:pPr>
            <w:r w:rsidRPr="00395B35">
              <w:rPr>
                <w:rFonts w:ascii="Times New Roman" w:hAnsi="Times New Roman" w:cs="Times New Roman"/>
                <w:sz w:val="24"/>
                <w:szCs w:val="24"/>
              </w:rPr>
              <w:t>г)</w:t>
            </w:r>
            <w:r w:rsidR="00CF7D5F">
              <w:rPr>
                <w:rFonts w:ascii="Times New Roman" w:hAnsi="Times New Roman" w:cs="Times New Roman"/>
                <w:sz w:val="24"/>
                <w:szCs w:val="24"/>
              </w:rPr>
              <w:t xml:space="preserve"> Локализация</w:t>
            </w:r>
            <w:r w:rsidR="00CF7D5F">
              <w:rPr>
                <w:rFonts w:ascii="Times New Roman" w:hAnsi="Times New Roman" w:cs="Times New Roman"/>
                <w:sz w:val="24"/>
                <w:szCs w:val="24"/>
                <w:lang w:val="en-US"/>
              </w:rPr>
              <w:t xml:space="preserve"> RU</w:t>
            </w:r>
          </w:p>
        </w:tc>
        <w:tc>
          <w:tcPr>
            <w:tcW w:w="3636" w:type="dxa"/>
          </w:tcPr>
          <w:p w14:paraId="2EA3F5AD" w14:textId="213F8FC4" w:rsidR="0097135F" w:rsidRPr="00CF7D5F" w:rsidRDefault="0097135F" w:rsidP="0097135F">
            <w:pPr>
              <w:spacing w:after="0" w:line="240" w:lineRule="auto"/>
              <w:jc w:val="center"/>
              <w:rPr>
                <w:rFonts w:ascii="Times New Roman" w:hAnsi="Times New Roman" w:cs="Times New Roman"/>
                <w:sz w:val="24"/>
                <w:szCs w:val="24"/>
                <w:lang w:val="en-US"/>
              </w:rPr>
            </w:pPr>
            <w:r w:rsidRPr="00395B35">
              <w:rPr>
                <w:rFonts w:ascii="Times New Roman" w:hAnsi="Times New Roman" w:cs="Times New Roman"/>
                <w:sz w:val="24"/>
                <w:szCs w:val="24"/>
              </w:rPr>
              <w:t>д)</w:t>
            </w:r>
            <w:r w:rsidR="00CF7D5F">
              <w:rPr>
                <w:rFonts w:ascii="Times New Roman" w:hAnsi="Times New Roman" w:cs="Times New Roman"/>
                <w:sz w:val="24"/>
                <w:szCs w:val="24"/>
              </w:rPr>
              <w:t xml:space="preserve"> Локализация</w:t>
            </w:r>
            <w:r w:rsidR="00CF7D5F">
              <w:rPr>
                <w:rFonts w:ascii="Times New Roman" w:hAnsi="Times New Roman" w:cs="Times New Roman"/>
                <w:sz w:val="24"/>
                <w:szCs w:val="24"/>
                <w:lang w:val="en-US"/>
              </w:rPr>
              <w:t xml:space="preserve"> RLL</w:t>
            </w:r>
          </w:p>
        </w:tc>
        <w:tc>
          <w:tcPr>
            <w:tcW w:w="3636" w:type="dxa"/>
          </w:tcPr>
          <w:p w14:paraId="6314BB52" w14:textId="15DCD9FE" w:rsidR="0097135F" w:rsidRPr="00CF7D5F" w:rsidRDefault="0097135F" w:rsidP="0097135F">
            <w:pPr>
              <w:spacing w:after="0" w:line="240" w:lineRule="auto"/>
              <w:jc w:val="center"/>
              <w:rPr>
                <w:rFonts w:ascii="Times New Roman" w:hAnsi="Times New Roman" w:cs="Times New Roman"/>
                <w:sz w:val="24"/>
                <w:szCs w:val="24"/>
                <w:lang w:val="en-US"/>
              </w:rPr>
            </w:pPr>
            <w:r w:rsidRPr="00395B35">
              <w:rPr>
                <w:rFonts w:ascii="Times New Roman" w:hAnsi="Times New Roman" w:cs="Times New Roman"/>
                <w:sz w:val="24"/>
                <w:szCs w:val="24"/>
              </w:rPr>
              <w:t>е)</w:t>
            </w:r>
            <w:r w:rsidR="00CF7D5F">
              <w:rPr>
                <w:rFonts w:ascii="Times New Roman" w:hAnsi="Times New Roman" w:cs="Times New Roman"/>
                <w:sz w:val="24"/>
                <w:szCs w:val="24"/>
              </w:rPr>
              <w:t xml:space="preserve"> Локализация</w:t>
            </w:r>
            <w:r w:rsidR="00CF7D5F">
              <w:rPr>
                <w:rFonts w:ascii="Times New Roman" w:hAnsi="Times New Roman" w:cs="Times New Roman"/>
                <w:sz w:val="24"/>
                <w:szCs w:val="24"/>
                <w:lang w:val="en-US"/>
              </w:rPr>
              <w:t xml:space="preserve"> RRI</w:t>
            </w:r>
          </w:p>
        </w:tc>
      </w:tr>
      <w:tr w:rsidR="00735517" w:rsidRPr="00A43B9C" w14:paraId="19F4F362" w14:textId="77777777" w:rsidTr="00BE6F17">
        <w:tc>
          <w:tcPr>
            <w:tcW w:w="3636" w:type="dxa"/>
          </w:tcPr>
          <w:p w14:paraId="5180061A" w14:textId="4D2CDFB2" w:rsidR="00735517" w:rsidRPr="00A43B9C" w:rsidRDefault="00BE6F17" w:rsidP="00BE6F1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3289D286" wp14:editId="1ADC68B7">
                      <wp:extent cx="2160000" cy="2088000"/>
                      <wp:effectExtent l="0" t="0" r="12065" b="7620"/>
                      <wp:docPr id="99" name="Диаграмма 99">
                        <a:extLst xmlns:a="http://schemas.openxmlformats.org/drawingml/2006/main">
                          <a:ext uri="{FF2B5EF4-FFF2-40B4-BE49-F238E27FC236}">
                            <a16:creationId xmlns:a16="http://schemas.microsoft.com/office/drawing/2014/main" id="{EDAB613C-3F73-4A31-AF8A-C248E2D84B9C}"/>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84"/>
                        </a:graphicData>
                      </a:graphic>
                    </wp:inline>
                  </w:drawing>
                </mc:Choice>
                <mc:Fallback>
                  <w:drawing>
                    <wp:inline distT="0" distB="0" distL="0" distR="0" wp14:anchorId="3289D286" wp14:editId="1ADC68B7">
                      <wp:extent cx="2160000" cy="2088000"/>
                      <wp:effectExtent l="0" t="0" r="12065" b="7620"/>
                      <wp:docPr id="99" name="Диаграмма 99">
                        <a:extLst xmlns:a="http://schemas.openxmlformats.org/drawingml/2006/main">
                          <a:ext uri="{FF2B5EF4-FFF2-40B4-BE49-F238E27FC236}">
                            <a16:creationId xmlns:a16="http://schemas.microsoft.com/office/drawing/2014/main" id="{EDAB613C-3F73-4A31-AF8A-C248E2D84B9C}"/>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99" name="Диаграмма 99">
                                <a:extLst>
                                  <a:ext uri="{FF2B5EF4-FFF2-40B4-BE49-F238E27FC236}">
                                    <a16:creationId xmlns:a16="http://schemas.microsoft.com/office/drawing/2014/main" id="{EDAB613C-3F73-4A31-AF8A-C248E2D84B9C}"/>
                                  </a:ext>
                                </a:extLst>
                              </pic:cNvPr>
                              <pic:cNvPicPr>
                                <a:picLocks noGrp="1" noRot="1" noChangeAspect="1" noMove="1" noResize="1" noEditPoints="1" noAdjustHandles="1" noChangeArrowheads="1" noChangeShapeType="1"/>
                              </pic:cNvPicPr>
                            </pic:nvPicPr>
                            <pic:blipFill>
                              <a:blip r:embed="rId185"/>
                              <a:stretch>
                                <a:fillRect/>
                              </a:stretch>
                            </pic:blipFill>
                            <pic:spPr>
                              <a:xfrm>
                                <a:off x="0" y="0"/>
                                <a:ext cx="2159635" cy="2087880"/>
                              </a:xfrm>
                              <a:prstGeom prst="rect">
                                <a:avLst/>
                              </a:prstGeom>
                            </pic:spPr>
                          </pic:pic>
                        </a:graphicData>
                      </a:graphic>
                    </wp:inline>
                  </w:drawing>
                </mc:Fallback>
              </mc:AlternateContent>
            </w:r>
          </w:p>
        </w:tc>
        <w:tc>
          <w:tcPr>
            <w:tcW w:w="3636" w:type="dxa"/>
          </w:tcPr>
          <w:p w14:paraId="3776F095" w14:textId="379AE364" w:rsidR="00735517" w:rsidRPr="00A43B9C" w:rsidRDefault="00BE6F17" w:rsidP="00BE6F1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5A9231DA" wp14:editId="36E50D0D">
                      <wp:extent cx="2160000" cy="2088000"/>
                      <wp:effectExtent l="0" t="0" r="12065" b="7620"/>
                      <wp:docPr id="325" name="Диаграмма 325">
                        <a:extLst xmlns:a="http://schemas.openxmlformats.org/drawingml/2006/main">
                          <a:ext uri="{FF2B5EF4-FFF2-40B4-BE49-F238E27FC236}">
                            <a16:creationId xmlns:a16="http://schemas.microsoft.com/office/drawing/2014/main" id="{4D6BC044-6A49-4274-BC08-4837BCAF50A5}"/>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86"/>
                        </a:graphicData>
                      </a:graphic>
                    </wp:inline>
                  </w:drawing>
                </mc:Choice>
                <mc:Fallback>
                  <w:drawing>
                    <wp:inline distT="0" distB="0" distL="0" distR="0" wp14:anchorId="5A9231DA" wp14:editId="36E50D0D">
                      <wp:extent cx="2160000" cy="2088000"/>
                      <wp:effectExtent l="0" t="0" r="12065" b="7620"/>
                      <wp:docPr id="325" name="Диаграмма 325">
                        <a:extLst xmlns:a="http://schemas.openxmlformats.org/drawingml/2006/main">
                          <a:ext uri="{FF2B5EF4-FFF2-40B4-BE49-F238E27FC236}">
                            <a16:creationId xmlns:a16="http://schemas.microsoft.com/office/drawing/2014/main" id="{4D6BC044-6A49-4274-BC08-4837BCAF50A5}"/>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25" name="Диаграмма 325">
                                <a:extLst>
                                  <a:ext uri="{FF2B5EF4-FFF2-40B4-BE49-F238E27FC236}">
                                    <a16:creationId xmlns:a16="http://schemas.microsoft.com/office/drawing/2014/main" id="{4D6BC044-6A49-4274-BC08-4837BCAF50A5}"/>
                                  </a:ext>
                                </a:extLst>
                              </pic:cNvPr>
                              <pic:cNvPicPr>
                                <a:picLocks noGrp="1" noRot="1" noChangeAspect="1" noMove="1" noResize="1" noEditPoints="1" noAdjustHandles="1" noChangeArrowheads="1" noChangeShapeType="1"/>
                              </pic:cNvPicPr>
                            </pic:nvPicPr>
                            <pic:blipFill>
                              <a:blip r:embed="rId187"/>
                              <a:stretch>
                                <a:fillRect/>
                              </a:stretch>
                            </pic:blipFill>
                            <pic:spPr>
                              <a:xfrm>
                                <a:off x="0" y="0"/>
                                <a:ext cx="2159635" cy="2087880"/>
                              </a:xfrm>
                              <a:prstGeom prst="rect">
                                <a:avLst/>
                              </a:prstGeom>
                            </pic:spPr>
                          </pic:pic>
                        </a:graphicData>
                      </a:graphic>
                    </wp:inline>
                  </w:drawing>
                </mc:Fallback>
              </mc:AlternateContent>
            </w:r>
          </w:p>
        </w:tc>
        <w:tc>
          <w:tcPr>
            <w:tcW w:w="3636" w:type="dxa"/>
          </w:tcPr>
          <w:p w14:paraId="68F85580" w14:textId="0873CB76" w:rsidR="00735517" w:rsidRPr="00A43B9C" w:rsidRDefault="00BE6F17" w:rsidP="00BE6F1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0269A5F6" wp14:editId="6C9E3335">
                      <wp:extent cx="2160000" cy="2088000"/>
                      <wp:effectExtent l="0" t="0" r="12065" b="7620"/>
                      <wp:docPr id="329" name="Диаграмма 329">
                        <a:extLst xmlns:a="http://schemas.openxmlformats.org/drawingml/2006/main">
                          <a:ext uri="{FF2B5EF4-FFF2-40B4-BE49-F238E27FC236}">
                            <a16:creationId xmlns:a16="http://schemas.microsoft.com/office/drawing/2014/main" id="{CDE7C2ED-34E0-4F20-AB59-82D3842FBE23}"/>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88"/>
                        </a:graphicData>
                      </a:graphic>
                    </wp:inline>
                  </w:drawing>
                </mc:Choice>
                <mc:Fallback>
                  <w:drawing>
                    <wp:inline distT="0" distB="0" distL="0" distR="0" wp14:anchorId="0269A5F6" wp14:editId="6C9E3335">
                      <wp:extent cx="2160000" cy="2088000"/>
                      <wp:effectExtent l="0" t="0" r="12065" b="7620"/>
                      <wp:docPr id="329" name="Диаграмма 329">
                        <a:extLst xmlns:a="http://schemas.openxmlformats.org/drawingml/2006/main">
                          <a:ext uri="{FF2B5EF4-FFF2-40B4-BE49-F238E27FC236}">
                            <a16:creationId xmlns:a16="http://schemas.microsoft.com/office/drawing/2014/main" id="{CDE7C2ED-34E0-4F20-AB59-82D3842FBE23}"/>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29" name="Диаграмма 329">
                                <a:extLst>
                                  <a:ext uri="{FF2B5EF4-FFF2-40B4-BE49-F238E27FC236}">
                                    <a16:creationId xmlns:a16="http://schemas.microsoft.com/office/drawing/2014/main" id="{CDE7C2ED-34E0-4F20-AB59-82D3842FBE23}"/>
                                  </a:ext>
                                </a:extLst>
                              </pic:cNvPr>
                              <pic:cNvPicPr>
                                <a:picLocks noGrp="1" noRot="1" noChangeAspect="1" noMove="1" noResize="1" noEditPoints="1" noAdjustHandles="1" noChangeArrowheads="1" noChangeShapeType="1"/>
                              </pic:cNvPicPr>
                            </pic:nvPicPr>
                            <pic:blipFill>
                              <a:blip r:embed="rId189"/>
                              <a:stretch>
                                <a:fillRect/>
                              </a:stretch>
                            </pic:blipFill>
                            <pic:spPr>
                              <a:xfrm>
                                <a:off x="0" y="0"/>
                                <a:ext cx="2159635" cy="2087880"/>
                              </a:xfrm>
                              <a:prstGeom prst="rect">
                                <a:avLst/>
                              </a:prstGeom>
                            </pic:spPr>
                          </pic:pic>
                        </a:graphicData>
                      </a:graphic>
                    </wp:inline>
                  </w:drawing>
                </mc:Fallback>
              </mc:AlternateContent>
            </w:r>
          </w:p>
        </w:tc>
      </w:tr>
      <w:tr w:rsidR="0097135F" w:rsidRPr="00395B35" w14:paraId="51B98B2B" w14:textId="77777777" w:rsidTr="00BE6F17">
        <w:tc>
          <w:tcPr>
            <w:tcW w:w="3636" w:type="dxa"/>
          </w:tcPr>
          <w:p w14:paraId="6529AEF2" w14:textId="75E584D7" w:rsidR="0097135F" w:rsidRPr="00CF7D5F" w:rsidRDefault="0097135F" w:rsidP="0097135F">
            <w:pPr>
              <w:spacing w:after="0" w:line="240" w:lineRule="auto"/>
              <w:jc w:val="center"/>
              <w:rPr>
                <w:rFonts w:ascii="Times New Roman" w:hAnsi="Times New Roman" w:cs="Times New Roman"/>
                <w:sz w:val="24"/>
                <w:szCs w:val="24"/>
                <w:lang w:val="en-US"/>
              </w:rPr>
            </w:pPr>
            <w:r w:rsidRPr="00395B35">
              <w:rPr>
                <w:rFonts w:ascii="Times New Roman" w:hAnsi="Times New Roman" w:cs="Times New Roman"/>
                <w:sz w:val="24"/>
                <w:szCs w:val="24"/>
              </w:rPr>
              <w:t>ж)</w:t>
            </w:r>
            <w:r w:rsidR="00CF7D5F">
              <w:rPr>
                <w:rFonts w:ascii="Times New Roman" w:hAnsi="Times New Roman" w:cs="Times New Roman"/>
                <w:sz w:val="24"/>
                <w:szCs w:val="24"/>
              </w:rPr>
              <w:t xml:space="preserve"> Локализация</w:t>
            </w:r>
            <w:r w:rsidR="00CF7D5F">
              <w:rPr>
                <w:rFonts w:ascii="Times New Roman" w:hAnsi="Times New Roman" w:cs="Times New Roman"/>
                <w:sz w:val="24"/>
                <w:szCs w:val="24"/>
                <w:lang w:val="en-US"/>
              </w:rPr>
              <w:t xml:space="preserve"> RP</w:t>
            </w:r>
          </w:p>
        </w:tc>
        <w:tc>
          <w:tcPr>
            <w:tcW w:w="3636" w:type="dxa"/>
          </w:tcPr>
          <w:p w14:paraId="0B296A89" w14:textId="7B2B61FF" w:rsidR="0097135F" w:rsidRPr="00CF7D5F" w:rsidRDefault="0097135F" w:rsidP="0097135F">
            <w:pPr>
              <w:spacing w:after="0" w:line="240" w:lineRule="auto"/>
              <w:jc w:val="center"/>
              <w:rPr>
                <w:rFonts w:ascii="Times New Roman" w:hAnsi="Times New Roman" w:cs="Times New Roman"/>
                <w:sz w:val="24"/>
                <w:szCs w:val="24"/>
                <w:lang w:val="en-US"/>
              </w:rPr>
            </w:pPr>
            <w:r w:rsidRPr="00395B35">
              <w:rPr>
                <w:rFonts w:ascii="Times New Roman" w:hAnsi="Times New Roman" w:cs="Times New Roman"/>
                <w:sz w:val="24"/>
                <w:szCs w:val="24"/>
              </w:rPr>
              <w:t>к)</w:t>
            </w:r>
            <w:r w:rsidR="00CF7D5F">
              <w:rPr>
                <w:rFonts w:ascii="Times New Roman" w:hAnsi="Times New Roman" w:cs="Times New Roman"/>
                <w:sz w:val="24"/>
                <w:szCs w:val="24"/>
              </w:rPr>
              <w:t xml:space="preserve"> Локализация</w:t>
            </w:r>
            <w:r w:rsidR="00CF7D5F">
              <w:rPr>
                <w:rFonts w:ascii="Times New Roman" w:hAnsi="Times New Roman" w:cs="Times New Roman"/>
                <w:sz w:val="24"/>
                <w:szCs w:val="24"/>
                <w:lang w:val="en-US"/>
              </w:rPr>
              <w:t xml:space="preserve"> RLI</w:t>
            </w:r>
          </w:p>
        </w:tc>
        <w:tc>
          <w:tcPr>
            <w:tcW w:w="3636" w:type="dxa"/>
          </w:tcPr>
          <w:p w14:paraId="4EE8BD78" w14:textId="31C84D3B" w:rsidR="0097135F" w:rsidRPr="00CF7D5F" w:rsidRDefault="0097135F" w:rsidP="0097135F">
            <w:pPr>
              <w:spacing w:after="0" w:line="240" w:lineRule="auto"/>
              <w:jc w:val="center"/>
              <w:rPr>
                <w:rFonts w:ascii="Times New Roman" w:hAnsi="Times New Roman" w:cs="Times New Roman"/>
                <w:sz w:val="24"/>
                <w:szCs w:val="24"/>
                <w:lang w:val="en-US"/>
              </w:rPr>
            </w:pPr>
            <w:r w:rsidRPr="00395B35">
              <w:rPr>
                <w:rFonts w:ascii="Times New Roman" w:hAnsi="Times New Roman" w:cs="Times New Roman"/>
                <w:sz w:val="24"/>
                <w:szCs w:val="24"/>
              </w:rPr>
              <w:t>л)</w:t>
            </w:r>
            <w:r w:rsidR="00CF7D5F">
              <w:rPr>
                <w:rFonts w:ascii="Times New Roman" w:hAnsi="Times New Roman" w:cs="Times New Roman"/>
                <w:sz w:val="24"/>
                <w:szCs w:val="24"/>
              </w:rPr>
              <w:t xml:space="preserve"> Локализация</w:t>
            </w:r>
            <w:r w:rsidR="00CF7D5F">
              <w:rPr>
                <w:rFonts w:ascii="Times New Roman" w:hAnsi="Times New Roman" w:cs="Times New Roman"/>
                <w:sz w:val="24"/>
                <w:szCs w:val="24"/>
                <w:lang w:val="en-US"/>
              </w:rPr>
              <w:t xml:space="preserve"> P</w:t>
            </w:r>
          </w:p>
        </w:tc>
      </w:tr>
    </w:tbl>
    <w:p w14:paraId="154AA65F" w14:textId="77777777" w:rsidR="00CF7D5F" w:rsidRPr="00452443" w:rsidRDefault="00CF7D5F" w:rsidP="00735517">
      <w:pPr>
        <w:spacing w:after="0" w:line="240" w:lineRule="auto"/>
        <w:ind w:firstLine="709"/>
        <w:jc w:val="center"/>
        <w:rPr>
          <w:rFonts w:ascii="Times New Roman" w:hAnsi="Times New Roman" w:cs="Times New Roman"/>
          <w:sz w:val="24"/>
          <w:szCs w:val="24"/>
        </w:rPr>
      </w:pPr>
    </w:p>
    <w:p w14:paraId="561CE402" w14:textId="2E3B8171" w:rsidR="00735517" w:rsidRPr="00A43B9C" w:rsidRDefault="00735517" w:rsidP="00735517">
      <w:pPr>
        <w:spacing w:after="0" w:line="240" w:lineRule="auto"/>
        <w:ind w:firstLine="709"/>
        <w:jc w:val="center"/>
        <w:rPr>
          <w:rFonts w:ascii="Times New Roman" w:hAnsi="Times New Roman" w:cs="Times New Roman"/>
          <w:sz w:val="28"/>
          <w:szCs w:val="28"/>
        </w:rPr>
      </w:pPr>
      <w:r w:rsidRPr="00A43B9C">
        <w:rPr>
          <w:rFonts w:ascii="Times New Roman" w:hAnsi="Times New Roman" w:cs="Times New Roman"/>
          <w:sz w:val="28"/>
          <w:szCs w:val="28"/>
        </w:rPr>
        <w:t>Рисунок 3</w:t>
      </w:r>
      <w:r w:rsidR="00466453">
        <w:rPr>
          <w:rFonts w:ascii="Times New Roman" w:hAnsi="Times New Roman" w:cs="Times New Roman"/>
          <w:sz w:val="28"/>
          <w:szCs w:val="28"/>
        </w:rPr>
        <w:t>6</w:t>
      </w:r>
      <w:r w:rsidR="001D33E2" w:rsidRPr="00A43B9C">
        <w:rPr>
          <w:rFonts w:ascii="Times New Roman" w:hAnsi="Times New Roman" w:cs="Times New Roman"/>
          <w:sz w:val="28"/>
          <w:szCs w:val="28"/>
        </w:rPr>
        <w:t xml:space="preserve"> </w:t>
      </w:r>
      <w:r w:rsidR="004D5D0F">
        <w:rPr>
          <w:rFonts w:ascii="Times New Roman" w:hAnsi="Times New Roman" w:cs="Times New Roman"/>
          <w:sz w:val="28"/>
          <w:szCs w:val="28"/>
        </w:rPr>
        <w:t>-</w:t>
      </w:r>
      <w:r w:rsidRPr="00A43B9C">
        <w:rPr>
          <w:rFonts w:ascii="Times New Roman" w:hAnsi="Times New Roman" w:cs="Times New Roman"/>
          <w:sz w:val="28"/>
          <w:szCs w:val="28"/>
        </w:rPr>
        <w:t xml:space="preserve"> </w:t>
      </w:r>
      <w:r w:rsidR="00CF7D5F">
        <w:rPr>
          <w:rFonts w:ascii="Times New Roman" w:hAnsi="Times New Roman" w:cs="Times New Roman"/>
          <w:sz w:val="28"/>
          <w:szCs w:val="28"/>
        </w:rPr>
        <w:t>лист 2</w:t>
      </w:r>
    </w:p>
    <w:p w14:paraId="31BEB0AF" w14:textId="77777777" w:rsidR="00825215" w:rsidRPr="00452443" w:rsidRDefault="00825215" w:rsidP="00825215">
      <w:pPr>
        <w:spacing w:after="0" w:line="240" w:lineRule="auto"/>
        <w:rPr>
          <w:rFonts w:ascii="Times New Roman" w:hAnsi="Times New Roman" w:cs="Times New Roman"/>
          <w:sz w:val="24"/>
          <w:szCs w:val="24"/>
        </w:rPr>
      </w:pPr>
    </w:p>
    <w:p w14:paraId="7B8CFDF1" w14:textId="5CD1B13C" w:rsidR="00825215" w:rsidRPr="00A43B9C" w:rsidRDefault="00AA52D4" w:rsidP="00825215">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lang w:val="kk-KZ"/>
        </w:rPr>
        <w:t xml:space="preserve">Сравнение </w:t>
      </w:r>
      <w:r w:rsidR="00825215" w:rsidRPr="00A43B9C">
        <w:rPr>
          <w:rFonts w:ascii="Times New Roman" w:hAnsi="Times New Roman" w:cs="Times New Roman"/>
          <w:sz w:val="28"/>
          <w:szCs w:val="28"/>
        </w:rPr>
        <w:t>уровня накоплени</w:t>
      </w:r>
      <w:r w:rsidR="00B336CA" w:rsidRPr="00A43B9C">
        <w:rPr>
          <w:rFonts w:ascii="Times New Roman" w:hAnsi="Times New Roman" w:cs="Times New Roman"/>
          <w:sz w:val="28"/>
          <w:szCs w:val="28"/>
        </w:rPr>
        <w:t>я</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SUV</w:t>
      </w:r>
      <w:r w:rsidR="00825215" w:rsidRPr="00A43B9C">
        <w:rPr>
          <w:rFonts w:ascii="Times New Roman" w:hAnsi="Times New Roman" w:cs="Times New Roman"/>
          <w:sz w:val="28"/>
          <w:szCs w:val="28"/>
          <w:vertAlign w:val="subscript"/>
          <w:lang w:val="en-US"/>
        </w:rPr>
        <w:t>max</w:t>
      </w:r>
      <w:r w:rsidR="00825215" w:rsidRPr="00A43B9C">
        <w:rPr>
          <w:rFonts w:ascii="Times New Roman" w:hAnsi="Times New Roman" w:cs="Times New Roman"/>
          <w:sz w:val="28"/>
          <w:szCs w:val="28"/>
          <w:lang w:val="kk-KZ"/>
        </w:rPr>
        <w:t xml:space="preserve"> в зависимости от </w:t>
      </w:r>
      <w:r w:rsidR="000874C1" w:rsidRPr="00A43B9C">
        <w:rPr>
          <w:rFonts w:ascii="Times New Roman" w:hAnsi="Times New Roman" w:cs="Times New Roman"/>
          <w:sz w:val="28"/>
          <w:szCs w:val="28"/>
          <w:lang w:val="en-US"/>
        </w:rPr>
        <w:t>PTL</w:t>
      </w:r>
      <w:r w:rsidR="00825215" w:rsidRPr="00A43B9C">
        <w:rPr>
          <w:rFonts w:ascii="Times New Roman" w:hAnsi="Times New Roman" w:cs="Times New Roman"/>
          <w:sz w:val="28"/>
          <w:szCs w:val="28"/>
        </w:rPr>
        <w:t xml:space="preserve"> </w:t>
      </w:r>
      <w:r w:rsidR="003C22F7" w:rsidRPr="00A43B9C">
        <w:rPr>
          <w:rFonts w:ascii="Times New Roman" w:hAnsi="Times New Roman" w:cs="Times New Roman"/>
          <w:sz w:val="28"/>
          <w:szCs w:val="28"/>
        </w:rPr>
        <w:t xml:space="preserve">(таблица 27) </w:t>
      </w:r>
      <w:r w:rsidR="00825215" w:rsidRPr="00A43B9C">
        <w:rPr>
          <w:rFonts w:ascii="Times New Roman" w:hAnsi="Times New Roman" w:cs="Times New Roman"/>
          <w:sz w:val="28"/>
          <w:szCs w:val="28"/>
          <w:lang w:val="kk-KZ"/>
        </w:rPr>
        <w:t>статистически значимых различий не установил</w:t>
      </w:r>
      <w:r w:rsidRPr="00A43B9C">
        <w:rPr>
          <w:rFonts w:ascii="Times New Roman" w:hAnsi="Times New Roman" w:cs="Times New Roman"/>
          <w:sz w:val="28"/>
          <w:szCs w:val="28"/>
          <w:lang w:val="kk-KZ"/>
        </w:rPr>
        <w:t>о</w:t>
      </w:r>
      <w:r w:rsidR="00825215" w:rsidRPr="00A43B9C">
        <w:rPr>
          <w:rFonts w:ascii="Times New Roman" w:hAnsi="Times New Roman" w:cs="Times New Roman"/>
          <w:sz w:val="28"/>
          <w:szCs w:val="28"/>
          <w:lang w:val="kk-KZ"/>
        </w:rPr>
        <w:t xml:space="preserve"> </w:t>
      </w:r>
      <w:r w:rsidRPr="00A43B9C">
        <w:rPr>
          <w:rFonts w:ascii="Times New Roman" w:hAnsi="Times New Roman" w:cs="Times New Roman"/>
          <w:sz w:val="28"/>
          <w:szCs w:val="28"/>
          <w:lang w:val="kk-KZ"/>
        </w:rPr>
        <w:t>в отношении пя</w:t>
      </w:r>
      <w:r w:rsidR="00825215" w:rsidRPr="00A43B9C">
        <w:rPr>
          <w:rFonts w:ascii="Times New Roman" w:hAnsi="Times New Roman" w:cs="Times New Roman"/>
          <w:sz w:val="28"/>
          <w:szCs w:val="28"/>
        </w:rPr>
        <w:t>т</w:t>
      </w:r>
      <w:r w:rsidR="00825215" w:rsidRPr="00A43B9C">
        <w:rPr>
          <w:rFonts w:ascii="Times New Roman" w:hAnsi="Times New Roman" w:cs="Times New Roman"/>
          <w:sz w:val="28"/>
          <w:szCs w:val="28"/>
          <w:lang w:val="kk-KZ"/>
        </w:rPr>
        <w:t>и локализаций</w:t>
      </w:r>
      <w:r w:rsidR="003C22F7" w:rsidRPr="00A43B9C">
        <w:rPr>
          <w:rFonts w:ascii="Times New Roman" w:hAnsi="Times New Roman" w:cs="Times New Roman"/>
          <w:sz w:val="28"/>
          <w:szCs w:val="28"/>
          <w:lang w:val="kk-KZ"/>
        </w:rPr>
        <w:t>:</w:t>
      </w:r>
      <w:r w:rsidR="00825215" w:rsidRPr="00A43B9C">
        <w:rPr>
          <w:rFonts w:ascii="Times New Roman" w:hAnsi="Times New Roman" w:cs="Times New Roman"/>
          <w:sz w:val="28"/>
          <w:szCs w:val="28"/>
          <w:lang w:val="kk-KZ"/>
        </w:rPr>
        <w:t xml:space="preserve"> </w:t>
      </w:r>
      <w:r w:rsidR="00825215" w:rsidRPr="00A43B9C">
        <w:rPr>
          <w:rFonts w:ascii="Times New Roman" w:hAnsi="Times New Roman" w:cs="Times New Roman"/>
          <w:sz w:val="28"/>
          <w:szCs w:val="28"/>
          <w:lang w:val="en-US"/>
        </w:rPr>
        <w:t>RLH</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0,371), </w:t>
      </w:r>
      <w:r w:rsidR="00825215" w:rsidRPr="00A43B9C">
        <w:rPr>
          <w:rFonts w:ascii="Times New Roman" w:hAnsi="Times New Roman" w:cs="Times New Roman"/>
          <w:sz w:val="28"/>
          <w:szCs w:val="28"/>
          <w:lang w:val="en-US"/>
        </w:rPr>
        <w:t>RLL</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0,068), </w:t>
      </w:r>
      <w:r w:rsidR="00825215" w:rsidRPr="00A43B9C">
        <w:rPr>
          <w:rFonts w:ascii="Times New Roman" w:hAnsi="Times New Roman" w:cs="Times New Roman"/>
          <w:sz w:val="28"/>
          <w:szCs w:val="28"/>
          <w:lang w:val="en-US"/>
        </w:rPr>
        <w:t>RRI</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0,109), </w:t>
      </w:r>
      <w:r w:rsidR="00825215" w:rsidRPr="00A43B9C">
        <w:rPr>
          <w:rFonts w:ascii="Times New Roman" w:hAnsi="Times New Roman" w:cs="Times New Roman"/>
          <w:sz w:val="28"/>
          <w:szCs w:val="28"/>
          <w:lang w:val="en-US"/>
        </w:rPr>
        <w:t>RP</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0,050), </w:t>
      </w:r>
      <w:r w:rsidR="00825215" w:rsidRPr="00A43B9C">
        <w:rPr>
          <w:rFonts w:ascii="Times New Roman" w:hAnsi="Times New Roman" w:cs="Times New Roman"/>
          <w:sz w:val="28"/>
          <w:szCs w:val="28"/>
          <w:lang w:val="en-US"/>
        </w:rPr>
        <w:t>RLI</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0,069), </w:t>
      </w:r>
      <w:r w:rsidRPr="00A43B9C">
        <w:rPr>
          <w:rFonts w:ascii="Times New Roman" w:hAnsi="Times New Roman" w:cs="Times New Roman"/>
          <w:sz w:val="28"/>
          <w:szCs w:val="28"/>
        </w:rPr>
        <w:t xml:space="preserve">а </w:t>
      </w:r>
      <w:r w:rsidR="00825215" w:rsidRPr="00A43B9C">
        <w:rPr>
          <w:rFonts w:ascii="Times New Roman" w:hAnsi="Times New Roman" w:cs="Times New Roman"/>
          <w:sz w:val="28"/>
          <w:szCs w:val="28"/>
        </w:rPr>
        <w:t xml:space="preserve">для остальных </w:t>
      </w:r>
      <w:r w:rsidRPr="00A43B9C">
        <w:rPr>
          <w:rFonts w:ascii="Times New Roman" w:hAnsi="Times New Roman" w:cs="Times New Roman"/>
          <w:sz w:val="28"/>
          <w:szCs w:val="28"/>
        </w:rPr>
        <w:t>четырё</w:t>
      </w:r>
      <w:r w:rsidR="00825215" w:rsidRPr="00A43B9C">
        <w:rPr>
          <w:rFonts w:ascii="Times New Roman" w:hAnsi="Times New Roman" w:cs="Times New Roman"/>
          <w:sz w:val="28"/>
          <w:szCs w:val="28"/>
        </w:rPr>
        <w:t>х локализаций установлены статистически значимые различия</w:t>
      </w:r>
      <w:r w:rsidR="003C22F7" w:rsidRPr="00A43B9C">
        <w:rPr>
          <w:rFonts w:ascii="Times New Roman" w:hAnsi="Times New Roman" w:cs="Times New Roman"/>
          <w:sz w:val="28"/>
          <w:szCs w:val="28"/>
        </w:rPr>
        <w:t xml:space="preserve"> (рисунок 3</w:t>
      </w:r>
      <w:r w:rsidR="00EA5E8C">
        <w:rPr>
          <w:rFonts w:ascii="Times New Roman" w:hAnsi="Times New Roman" w:cs="Times New Roman"/>
          <w:sz w:val="28"/>
          <w:szCs w:val="28"/>
        </w:rPr>
        <w:t>7</w:t>
      </w:r>
      <w:r w:rsidR="003C22F7" w:rsidRPr="00A43B9C">
        <w:rPr>
          <w:rFonts w:ascii="Times New Roman" w:hAnsi="Times New Roman" w:cs="Times New Roman"/>
          <w:sz w:val="28"/>
          <w:szCs w:val="28"/>
        </w:rPr>
        <w:t>)</w:t>
      </w:r>
      <w:r w:rsidRPr="00A43B9C">
        <w:rPr>
          <w:rFonts w:ascii="Times New Roman" w:hAnsi="Times New Roman" w:cs="Times New Roman"/>
          <w:sz w:val="28"/>
          <w:szCs w:val="28"/>
        </w:rPr>
        <w:t>, включая</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RE</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0,049), </w:t>
      </w:r>
      <w:r w:rsidR="00825215" w:rsidRPr="00A43B9C">
        <w:rPr>
          <w:rFonts w:ascii="Times New Roman" w:hAnsi="Times New Roman" w:cs="Times New Roman"/>
          <w:sz w:val="28"/>
          <w:szCs w:val="28"/>
          <w:lang w:val="en-US"/>
        </w:rPr>
        <w:t>RRL</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0,023), </w:t>
      </w:r>
      <w:r w:rsidR="00825215" w:rsidRPr="00A43B9C">
        <w:rPr>
          <w:rFonts w:ascii="Times New Roman" w:hAnsi="Times New Roman" w:cs="Times New Roman"/>
          <w:sz w:val="28"/>
          <w:szCs w:val="28"/>
          <w:lang w:val="en-US"/>
        </w:rPr>
        <w:t>RU</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0,016)</w:t>
      </w:r>
      <w:r w:rsidRPr="00A43B9C">
        <w:rPr>
          <w:rFonts w:ascii="Times New Roman" w:hAnsi="Times New Roman" w:cs="Times New Roman"/>
          <w:sz w:val="28"/>
          <w:szCs w:val="28"/>
        </w:rPr>
        <w:t xml:space="preserve"> и</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0,037).</w:t>
      </w:r>
    </w:p>
    <w:p w14:paraId="1A9AAF11" w14:textId="77777777" w:rsidR="00C911FB" w:rsidRPr="00A43B9C" w:rsidRDefault="00C911FB" w:rsidP="000B6935">
      <w:pPr>
        <w:spacing w:after="0" w:line="240" w:lineRule="auto"/>
        <w:ind w:firstLine="709"/>
        <w:jc w:val="both"/>
        <w:rPr>
          <w:rFonts w:ascii="Times New Roman" w:hAnsi="Times New Roman" w:cs="Times New Roman"/>
          <w:sz w:val="28"/>
          <w:szCs w:val="28"/>
        </w:rPr>
      </w:pPr>
    </w:p>
    <w:p w14:paraId="6AF6F49E" w14:textId="583E0FA6" w:rsidR="00825215" w:rsidRPr="00A43B9C" w:rsidRDefault="000A6F86" w:rsidP="006E2E0F">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27 -</w:t>
      </w:r>
      <w:r w:rsidR="00825215" w:rsidRPr="00A43B9C">
        <w:rPr>
          <w:rFonts w:ascii="Times New Roman" w:hAnsi="Times New Roman" w:cs="Times New Roman"/>
          <w:sz w:val="28"/>
          <w:szCs w:val="28"/>
        </w:rPr>
        <w:t xml:space="preserve"> Анализ распределени</w:t>
      </w:r>
      <w:r w:rsidR="00AA52D4" w:rsidRPr="00A43B9C">
        <w:rPr>
          <w:rFonts w:ascii="Times New Roman" w:hAnsi="Times New Roman" w:cs="Times New Roman"/>
          <w:sz w:val="28"/>
          <w:szCs w:val="28"/>
        </w:rPr>
        <w:t>я</w:t>
      </w:r>
      <w:r w:rsidR="00825215" w:rsidRPr="00A43B9C">
        <w:rPr>
          <w:rFonts w:ascii="Times New Roman" w:hAnsi="Times New Roman" w:cs="Times New Roman"/>
          <w:sz w:val="28"/>
          <w:szCs w:val="28"/>
        </w:rPr>
        <w:t xml:space="preserve"> уровня накоплени</w:t>
      </w:r>
      <w:r w:rsidR="00B336CA" w:rsidRPr="00A43B9C">
        <w:rPr>
          <w:rFonts w:ascii="Times New Roman" w:hAnsi="Times New Roman" w:cs="Times New Roman"/>
          <w:sz w:val="28"/>
          <w:szCs w:val="28"/>
        </w:rPr>
        <w:t>я</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SUV</w:t>
      </w:r>
      <w:r w:rsidR="00825215" w:rsidRPr="00A43B9C">
        <w:rPr>
          <w:rFonts w:ascii="Times New Roman" w:hAnsi="Times New Roman" w:cs="Times New Roman"/>
          <w:sz w:val="28"/>
          <w:szCs w:val="28"/>
          <w:vertAlign w:val="subscript"/>
          <w:lang w:val="en-US"/>
        </w:rPr>
        <w:t>max</w:t>
      </w:r>
      <w:r w:rsidR="00825215" w:rsidRPr="00A43B9C">
        <w:rPr>
          <w:rFonts w:ascii="Times New Roman" w:hAnsi="Times New Roman" w:cs="Times New Roman"/>
          <w:sz w:val="28"/>
          <w:szCs w:val="28"/>
        </w:rPr>
        <w:t xml:space="preserve"> в зависимости от </w:t>
      </w:r>
      <w:r w:rsidR="000874C1" w:rsidRPr="00A43B9C">
        <w:rPr>
          <w:rFonts w:ascii="Times New Roman" w:hAnsi="Times New Roman" w:cs="Times New Roman"/>
          <w:sz w:val="28"/>
          <w:szCs w:val="28"/>
          <w:lang w:val="en-US"/>
        </w:rPr>
        <w:t>PTL</w:t>
      </w:r>
    </w:p>
    <w:p w14:paraId="6852945D" w14:textId="4DCB2F4C" w:rsidR="000B6935" w:rsidRDefault="000B6935" w:rsidP="000B6935">
      <w:pPr>
        <w:spacing w:after="0" w:line="240" w:lineRule="auto"/>
        <w:ind w:firstLine="709"/>
        <w:jc w:val="both"/>
        <w:rPr>
          <w:rFonts w:ascii="Times New Roman" w:hAnsi="Times New Roman" w:cs="Times New Roman"/>
          <w:sz w:val="28"/>
          <w:szCs w:val="28"/>
        </w:rPr>
      </w:pPr>
    </w:p>
    <w:tbl>
      <w:tblPr>
        <w:tblStyle w:val="ad"/>
        <w:tblW w:w="5000" w:type="pct"/>
        <w:jc w:val="center"/>
        <w:tblLook w:val="04A0" w:firstRow="1" w:lastRow="0" w:firstColumn="1" w:lastColumn="0" w:noHBand="0" w:noVBand="1"/>
      </w:tblPr>
      <w:tblGrid>
        <w:gridCol w:w="2690"/>
        <w:gridCol w:w="706"/>
        <w:gridCol w:w="1560"/>
        <w:gridCol w:w="566"/>
        <w:gridCol w:w="3822"/>
      </w:tblGrid>
      <w:tr w:rsidR="00825215" w:rsidRPr="00A43B9C" w14:paraId="171DF5FE" w14:textId="77777777" w:rsidTr="00290AA2">
        <w:trPr>
          <w:jc w:val="center"/>
        </w:trPr>
        <w:tc>
          <w:tcPr>
            <w:tcW w:w="1439" w:type="pct"/>
            <w:vAlign w:val="center"/>
          </w:tcPr>
          <w:p w14:paraId="1F134B29" w14:textId="543E0996" w:rsidR="00825215" w:rsidRPr="00A43B9C" w:rsidRDefault="001871C9"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Локализация</w:t>
            </w:r>
          </w:p>
        </w:tc>
        <w:tc>
          <w:tcPr>
            <w:tcW w:w="378" w:type="pct"/>
            <w:vAlign w:val="center"/>
          </w:tcPr>
          <w:p w14:paraId="42371DD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Me</w:t>
            </w:r>
          </w:p>
        </w:tc>
        <w:tc>
          <w:tcPr>
            <w:tcW w:w="835" w:type="pct"/>
            <w:vAlign w:val="center"/>
          </w:tcPr>
          <w:p w14:paraId="577F9E0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Q₁ – Q₃</w:t>
            </w:r>
          </w:p>
        </w:tc>
        <w:tc>
          <w:tcPr>
            <w:tcW w:w="303" w:type="pct"/>
            <w:vAlign w:val="center"/>
          </w:tcPr>
          <w:p w14:paraId="55DF9C0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p>
        </w:tc>
        <w:tc>
          <w:tcPr>
            <w:tcW w:w="2045" w:type="pct"/>
            <w:vAlign w:val="center"/>
          </w:tcPr>
          <w:p w14:paraId="7E72D9E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w:t>
            </w:r>
          </w:p>
        </w:tc>
      </w:tr>
      <w:tr w:rsidR="00452443" w:rsidRPr="00A43B9C" w14:paraId="748940C8" w14:textId="77777777" w:rsidTr="00290AA2">
        <w:trPr>
          <w:jc w:val="center"/>
        </w:trPr>
        <w:tc>
          <w:tcPr>
            <w:tcW w:w="1439" w:type="pct"/>
            <w:vAlign w:val="center"/>
          </w:tcPr>
          <w:p w14:paraId="4524B52C" w14:textId="689CE472"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378" w:type="pct"/>
            <w:vAlign w:val="center"/>
          </w:tcPr>
          <w:p w14:paraId="2C473E5D" w14:textId="65F4C68C"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835" w:type="pct"/>
            <w:vAlign w:val="center"/>
          </w:tcPr>
          <w:p w14:paraId="44304668" w14:textId="7A71E097"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303" w:type="pct"/>
            <w:vAlign w:val="center"/>
          </w:tcPr>
          <w:p w14:paraId="0B09EEB5" w14:textId="7DC20B18"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2045" w:type="pct"/>
            <w:vAlign w:val="center"/>
          </w:tcPr>
          <w:p w14:paraId="171750F3" w14:textId="18309CDE"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r>
      <w:tr w:rsidR="00452443" w:rsidRPr="00A43B9C" w14:paraId="1787EDAE" w14:textId="77777777" w:rsidTr="003F0A73">
        <w:trPr>
          <w:jc w:val="center"/>
        </w:trPr>
        <w:tc>
          <w:tcPr>
            <w:tcW w:w="5000" w:type="pct"/>
            <w:gridSpan w:val="5"/>
            <w:vAlign w:val="center"/>
          </w:tcPr>
          <w:p w14:paraId="7372D5F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RE</w:t>
            </w:r>
          </w:p>
        </w:tc>
      </w:tr>
      <w:tr w:rsidR="00452443" w:rsidRPr="00A43B9C" w14:paraId="4D26ED78" w14:textId="77777777" w:rsidTr="00290AA2">
        <w:trPr>
          <w:jc w:val="center"/>
        </w:trPr>
        <w:tc>
          <w:tcPr>
            <w:tcW w:w="1439" w:type="pct"/>
            <w:vAlign w:val="center"/>
          </w:tcPr>
          <w:p w14:paraId="54B5EA7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Ободочная кишка</w:t>
            </w:r>
          </w:p>
        </w:tc>
        <w:tc>
          <w:tcPr>
            <w:tcW w:w="378" w:type="pct"/>
            <w:vAlign w:val="center"/>
          </w:tcPr>
          <w:p w14:paraId="61F121F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0,93</w:t>
            </w:r>
          </w:p>
        </w:tc>
        <w:tc>
          <w:tcPr>
            <w:tcW w:w="835" w:type="pct"/>
            <w:vAlign w:val="center"/>
          </w:tcPr>
          <w:p w14:paraId="7AB1AE5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0,75 – 1,16</w:t>
            </w:r>
          </w:p>
        </w:tc>
        <w:tc>
          <w:tcPr>
            <w:tcW w:w="303" w:type="pct"/>
            <w:vAlign w:val="center"/>
          </w:tcPr>
          <w:p w14:paraId="0D79373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20</w:t>
            </w:r>
          </w:p>
        </w:tc>
        <w:tc>
          <w:tcPr>
            <w:tcW w:w="2045" w:type="pct"/>
            <w:vMerge w:val="restart"/>
            <w:vAlign w:val="center"/>
          </w:tcPr>
          <w:p w14:paraId="7E48E28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0,049*</w:t>
            </w:r>
            <w:r w:rsidRPr="00A43B9C">
              <w:rPr>
                <w:rFonts w:ascii="Times New Roman" w:hAnsi="Times New Roman" w:cs="Times New Roman"/>
                <w:sz w:val="28"/>
                <w:szCs w:val="28"/>
              </w:rPr>
              <w:br/>
              <w:t>p</w:t>
            </w:r>
            <w:r w:rsidRPr="00A43B9C">
              <w:rPr>
                <w:rFonts w:ascii="Times New Roman" w:hAnsi="Times New Roman" w:cs="Times New Roman"/>
                <w:sz w:val="28"/>
                <w:szCs w:val="28"/>
                <w:vertAlign w:val="subscript"/>
              </w:rPr>
              <w:t>Сигмовидная кишка – Ободочная кишка</w:t>
            </w:r>
            <w:r w:rsidRPr="00A43B9C">
              <w:rPr>
                <w:rFonts w:ascii="Times New Roman" w:hAnsi="Times New Roman" w:cs="Times New Roman"/>
                <w:sz w:val="28"/>
                <w:szCs w:val="28"/>
              </w:rPr>
              <w:t xml:space="preserve"> = 0,044</w:t>
            </w:r>
          </w:p>
        </w:tc>
      </w:tr>
      <w:tr w:rsidR="00452443" w:rsidRPr="00A43B9C" w14:paraId="55317B49" w14:textId="77777777" w:rsidTr="00290AA2">
        <w:trPr>
          <w:jc w:val="center"/>
        </w:trPr>
        <w:tc>
          <w:tcPr>
            <w:tcW w:w="1439" w:type="pct"/>
            <w:vAlign w:val="center"/>
          </w:tcPr>
          <w:p w14:paraId="6970F6D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Прямая кишка</w:t>
            </w:r>
          </w:p>
        </w:tc>
        <w:tc>
          <w:tcPr>
            <w:tcW w:w="378" w:type="pct"/>
            <w:vAlign w:val="center"/>
          </w:tcPr>
          <w:p w14:paraId="2DB9DB8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0,76</w:t>
            </w:r>
          </w:p>
        </w:tc>
        <w:tc>
          <w:tcPr>
            <w:tcW w:w="835" w:type="pct"/>
            <w:vAlign w:val="center"/>
          </w:tcPr>
          <w:p w14:paraId="4E2708C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0,62 – 1,17</w:t>
            </w:r>
          </w:p>
        </w:tc>
        <w:tc>
          <w:tcPr>
            <w:tcW w:w="303" w:type="pct"/>
            <w:vAlign w:val="center"/>
          </w:tcPr>
          <w:p w14:paraId="4A88B27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2045" w:type="pct"/>
            <w:vMerge/>
            <w:vAlign w:val="center"/>
          </w:tcPr>
          <w:p w14:paraId="7933D9A5"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4482AFBE" w14:textId="77777777" w:rsidTr="00290AA2">
        <w:trPr>
          <w:jc w:val="center"/>
        </w:trPr>
        <w:tc>
          <w:tcPr>
            <w:tcW w:w="1439" w:type="pct"/>
            <w:vAlign w:val="center"/>
          </w:tcPr>
          <w:p w14:paraId="6653928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Сигмовидная кишка</w:t>
            </w:r>
          </w:p>
        </w:tc>
        <w:tc>
          <w:tcPr>
            <w:tcW w:w="378" w:type="pct"/>
            <w:vAlign w:val="center"/>
          </w:tcPr>
          <w:p w14:paraId="2F2964A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0,67</w:t>
            </w:r>
          </w:p>
        </w:tc>
        <w:tc>
          <w:tcPr>
            <w:tcW w:w="835" w:type="pct"/>
            <w:vAlign w:val="center"/>
          </w:tcPr>
          <w:p w14:paraId="6206BD5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0,50 – 0,87</w:t>
            </w:r>
          </w:p>
        </w:tc>
        <w:tc>
          <w:tcPr>
            <w:tcW w:w="303" w:type="pct"/>
            <w:vAlign w:val="center"/>
          </w:tcPr>
          <w:p w14:paraId="379BBE8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19</w:t>
            </w:r>
          </w:p>
        </w:tc>
        <w:tc>
          <w:tcPr>
            <w:tcW w:w="2045" w:type="pct"/>
            <w:vMerge/>
            <w:vAlign w:val="center"/>
          </w:tcPr>
          <w:p w14:paraId="6CE912CA"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6FD53BDB" w14:textId="77777777" w:rsidTr="003F0A73">
        <w:trPr>
          <w:jc w:val="center"/>
        </w:trPr>
        <w:tc>
          <w:tcPr>
            <w:tcW w:w="5000" w:type="pct"/>
            <w:gridSpan w:val="5"/>
            <w:vAlign w:val="center"/>
          </w:tcPr>
          <w:p w14:paraId="649CD64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RLH</w:t>
            </w:r>
          </w:p>
        </w:tc>
      </w:tr>
      <w:tr w:rsidR="00452443" w:rsidRPr="00A43B9C" w14:paraId="632292E5" w14:textId="77777777" w:rsidTr="00290AA2">
        <w:trPr>
          <w:jc w:val="center"/>
        </w:trPr>
        <w:tc>
          <w:tcPr>
            <w:tcW w:w="1439" w:type="pct"/>
            <w:vAlign w:val="center"/>
          </w:tcPr>
          <w:p w14:paraId="6266272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Ободочная кишка</w:t>
            </w:r>
          </w:p>
        </w:tc>
        <w:tc>
          <w:tcPr>
            <w:tcW w:w="378" w:type="pct"/>
            <w:vAlign w:val="center"/>
          </w:tcPr>
          <w:p w14:paraId="03F836D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0,79</w:t>
            </w:r>
          </w:p>
        </w:tc>
        <w:tc>
          <w:tcPr>
            <w:tcW w:w="835" w:type="pct"/>
            <w:vAlign w:val="center"/>
          </w:tcPr>
          <w:p w14:paraId="645BC63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0,63 – 1,21</w:t>
            </w:r>
          </w:p>
        </w:tc>
        <w:tc>
          <w:tcPr>
            <w:tcW w:w="303" w:type="pct"/>
            <w:vAlign w:val="center"/>
          </w:tcPr>
          <w:p w14:paraId="2FD11BF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20</w:t>
            </w:r>
          </w:p>
        </w:tc>
        <w:tc>
          <w:tcPr>
            <w:tcW w:w="2045" w:type="pct"/>
            <w:vMerge w:val="restart"/>
            <w:vAlign w:val="center"/>
          </w:tcPr>
          <w:p w14:paraId="042A3AE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0,371</w:t>
            </w:r>
          </w:p>
        </w:tc>
      </w:tr>
      <w:tr w:rsidR="00452443" w:rsidRPr="00A43B9C" w14:paraId="3BD08EE8" w14:textId="77777777" w:rsidTr="00290AA2">
        <w:trPr>
          <w:jc w:val="center"/>
        </w:trPr>
        <w:tc>
          <w:tcPr>
            <w:tcW w:w="1439" w:type="pct"/>
            <w:vAlign w:val="center"/>
          </w:tcPr>
          <w:p w14:paraId="406A595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Прямая кишка</w:t>
            </w:r>
          </w:p>
        </w:tc>
        <w:tc>
          <w:tcPr>
            <w:tcW w:w="378" w:type="pct"/>
            <w:vAlign w:val="center"/>
          </w:tcPr>
          <w:p w14:paraId="4AF366D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0,69</w:t>
            </w:r>
          </w:p>
        </w:tc>
        <w:tc>
          <w:tcPr>
            <w:tcW w:w="835" w:type="pct"/>
            <w:vAlign w:val="center"/>
          </w:tcPr>
          <w:p w14:paraId="76BDB52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0,50 – 1,01</w:t>
            </w:r>
          </w:p>
        </w:tc>
        <w:tc>
          <w:tcPr>
            <w:tcW w:w="303" w:type="pct"/>
            <w:vAlign w:val="center"/>
          </w:tcPr>
          <w:p w14:paraId="66DA771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2045" w:type="pct"/>
            <w:vMerge/>
            <w:vAlign w:val="center"/>
          </w:tcPr>
          <w:p w14:paraId="6617D844"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461DFB32" w14:textId="77777777" w:rsidTr="00B7247C">
        <w:trPr>
          <w:jc w:val="center"/>
        </w:trPr>
        <w:tc>
          <w:tcPr>
            <w:tcW w:w="1439" w:type="pct"/>
            <w:tcBorders>
              <w:bottom w:val="nil"/>
            </w:tcBorders>
            <w:vAlign w:val="center"/>
          </w:tcPr>
          <w:p w14:paraId="4B072AD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Сигмовидная кишка</w:t>
            </w:r>
          </w:p>
        </w:tc>
        <w:tc>
          <w:tcPr>
            <w:tcW w:w="378" w:type="pct"/>
            <w:tcBorders>
              <w:bottom w:val="nil"/>
            </w:tcBorders>
            <w:vAlign w:val="center"/>
          </w:tcPr>
          <w:p w14:paraId="6D02EAF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0,61</w:t>
            </w:r>
          </w:p>
        </w:tc>
        <w:tc>
          <w:tcPr>
            <w:tcW w:w="835" w:type="pct"/>
            <w:tcBorders>
              <w:bottom w:val="nil"/>
            </w:tcBorders>
            <w:vAlign w:val="center"/>
          </w:tcPr>
          <w:p w14:paraId="23FD11C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0,53 – 0,88</w:t>
            </w:r>
          </w:p>
        </w:tc>
        <w:tc>
          <w:tcPr>
            <w:tcW w:w="303" w:type="pct"/>
            <w:tcBorders>
              <w:bottom w:val="nil"/>
            </w:tcBorders>
            <w:vAlign w:val="center"/>
          </w:tcPr>
          <w:p w14:paraId="3E9F9F2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19</w:t>
            </w:r>
          </w:p>
        </w:tc>
        <w:tc>
          <w:tcPr>
            <w:tcW w:w="2045" w:type="pct"/>
            <w:vMerge/>
            <w:tcBorders>
              <w:bottom w:val="nil"/>
            </w:tcBorders>
            <w:vAlign w:val="center"/>
          </w:tcPr>
          <w:p w14:paraId="0CA8E320"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07020791" w14:textId="77777777" w:rsidTr="00B7247C">
        <w:trPr>
          <w:jc w:val="center"/>
        </w:trPr>
        <w:tc>
          <w:tcPr>
            <w:tcW w:w="5000" w:type="pct"/>
            <w:gridSpan w:val="5"/>
            <w:tcBorders>
              <w:top w:val="nil"/>
              <w:left w:val="nil"/>
              <w:bottom w:val="single" w:sz="4" w:space="0" w:color="auto"/>
              <w:right w:val="nil"/>
            </w:tcBorders>
            <w:vAlign w:val="center"/>
          </w:tcPr>
          <w:p w14:paraId="2BB9747D" w14:textId="77777777" w:rsidR="00452443" w:rsidRDefault="00452443" w:rsidP="00452443">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27</w:t>
            </w:r>
          </w:p>
          <w:p w14:paraId="18260E5F" w14:textId="74CAC0D3" w:rsidR="00452443" w:rsidRPr="00B7247C" w:rsidRDefault="00452443" w:rsidP="00452443">
            <w:pPr>
              <w:spacing w:after="0" w:line="240" w:lineRule="auto"/>
              <w:rPr>
                <w:rFonts w:ascii="Times New Roman" w:hAnsi="Times New Roman" w:cs="Times New Roman"/>
                <w:sz w:val="28"/>
                <w:szCs w:val="28"/>
              </w:rPr>
            </w:pPr>
          </w:p>
        </w:tc>
      </w:tr>
      <w:tr w:rsidR="00452443" w:rsidRPr="00A43B9C" w14:paraId="16B60FE1" w14:textId="77777777" w:rsidTr="00B7247C">
        <w:trPr>
          <w:jc w:val="center"/>
        </w:trPr>
        <w:tc>
          <w:tcPr>
            <w:tcW w:w="1439" w:type="pct"/>
            <w:tcBorders>
              <w:top w:val="single" w:sz="4" w:space="0" w:color="auto"/>
            </w:tcBorders>
            <w:vAlign w:val="center"/>
          </w:tcPr>
          <w:p w14:paraId="607AE68B" w14:textId="16DFBD5C"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378" w:type="pct"/>
            <w:tcBorders>
              <w:top w:val="single" w:sz="4" w:space="0" w:color="auto"/>
            </w:tcBorders>
            <w:vAlign w:val="center"/>
          </w:tcPr>
          <w:p w14:paraId="65EB5476" w14:textId="207041C6"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835" w:type="pct"/>
            <w:tcBorders>
              <w:top w:val="single" w:sz="4" w:space="0" w:color="auto"/>
            </w:tcBorders>
            <w:vAlign w:val="center"/>
          </w:tcPr>
          <w:p w14:paraId="10141746" w14:textId="0D980A1F"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303" w:type="pct"/>
            <w:tcBorders>
              <w:top w:val="single" w:sz="4" w:space="0" w:color="auto"/>
            </w:tcBorders>
            <w:vAlign w:val="center"/>
          </w:tcPr>
          <w:p w14:paraId="6DCD9B30" w14:textId="1CC8FBCA"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2045" w:type="pct"/>
            <w:tcBorders>
              <w:top w:val="single" w:sz="4" w:space="0" w:color="auto"/>
            </w:tcBorders>
            <w:vAlign w:val="center"/>
          </w:tcPr>
          <w:p w14:paraId="03C77A93" w14:textId="65703485"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r>
      <w:tr w:rsidR="00452443" w:rsidRPr="00A43B9C" w14:paraId="6C2619DA" w14:textId="77777777" w:rsidTr="003F0A73">
        <w:trPr>
          <w:jc w:val="center"/>
        </w:trPr>
        <w:tc>
          <w:tcPr>
            <w:tcW w:w="5000" w:type="pct"/>
            <w:gridSpan w:val="5"/>
            <w:vAlign w:val="center"/>
          </w:tcPr>
          <w:p w14:paraId="073A8C54" w14:textId="77777777" w:rsidR="00452443" w:rsidRPr="00A43B9C" w:rsidRDefault="00452443" w:rsidP="00452443">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R</w:t>
            </w:r>
            <w:r w:rsidRPr="00A43B9C">
              <w:rPr>
                <w:rFonts w:ascii="Times New Roman" w:hAnsi="Times New Roman" w:cs="Times New Roman"/>
                <w:sz w:val="28"/>
                <w:szCs w:val="28"/>
                <w:lang w:val="en-US"/>
              </w:rPr>
              <w:t>RL</w:t>
            </w:r>
          </w:p>
        </w:tc>
      </w:tr>
      <w:tr w:rsidR="00452443" w:rsidRPr="00A43B9C" w14:paraId="58CC58CF" w14:textId="77777777" w:rsidTr="00290AA2">
        <w:trPr>
          <w:jc w:val="center"/>
        </w:trPr>
        <w:tc>
          <w:tcPr>
            <w:tcW w:w="1439" w:type="pct"/>
            <w:vAlign w:val="center"/>
          </w:tcPr>
          <w:p w14:paraId="0CBAA7E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Ободочная кишка</w:t>
            </w:r>
          </w:p>
        </w:tc>
        <w:tc>
          <w:tcPr>
            <w:tcW w:w="378" w:type="pct"/>
            <w:vAlign w:val="center"/>
          </w:tcPr>
          <w:p w14:paraId="6FC7E50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1,08</w:t>
            </w:r>
          </w:p>
        </w:tc>
        <w:tc>
          <w:tcPr>
            <w:tcW w:w="835" w:type="pct"/>
            <w:vAlign w:val="center"/>
          </w:tcPr>
          <w:p w14:paraId="62A9A8B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0,81 – 1,42</w:t>
            </w:r>
          </w:p>
        </w:tc>
        <w:tc>
          <w:tcPr>
            <w:tcW w:w="303" w:type="pct"/>
            <w:vAlign w:val="center"/>
          </w:tcPr>
          <w:p w14:paraId="21BA3B7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20</w:t>
            </w:r>
          </w:p>
        </w:tc>
        <w:tc>
          <w:tcPr>
            <w:tcW w:w="2045" w:type="pct"/>
            <w:vMerge w:val="restart"/>
            <w:vAlign w:val="center"/>
          </w:tcPr>
          <w:p w14:paraId="0087120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0,023*</w:t>
            </w:r>
            <w:r w:rsidRPr="00A43B9C">
              <w:rPr>
                <w:rFonts w:ascii="Times New Roman" w:hAnsi="Times New Roman" w:cs="Times New Roman"/>
                <w:sz w:val="28"/>
                <w:szCs w:val="28"/>
              </w:rPr>
              <w:br/>
              <w:t>p</w:t>
            </w:r>
            <w:r w:rsidRPr="00A43B9C">
              <w:rPr>
                <w:rFonts w:ascii="Times New Roman" w:hAnsi="Times New Roman" w:cs="Times New Roman"/>
                <w:sz w:val="28"/>
                <w:szCs w:val="28"/>
                <w:vertAlign w:val="subscript"/>
              </w:rPr>
              <w:t>Сигмовидная кишка – Ободочная кишка</w:t>
            </w:r>
            <w:r w:rsidRPr="00A43B9C">
              <w:rPr>
                <w:rFonts w:ascii="Times New Roman" w:hAnsi="Times New Roman" w:cs="Times New Roman"/>
                <w:sz w:val="28"/>
                <w:szCs w:val="28"/>
              </w:rPr>
              <w:t xml:space="preserve"> = 0,022</w:t>
            </w:r>
          </w:p>
        </w:tc>
      </w:tr>
      <w:tr w:rsidR="00452443" w:rsidRPr="00A43B9C" w14:paraId="797BB865" w14:textId="77777777" w:rsidTr="00290AA2">
        <w:trPr>
          <w:jc w:val="center"/>
        </w:trPr>
        <w:tc>
          <w:tcPr>
            <w:tcW w:w="1439" w:type="pct"/>
            <w:vAlign w:val="center"/>
          </w:tcPr>
          <w:p w14:paraId="3277E01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Прямая кишка</w:t>
            </w:r>
          </w:p>
        </w:tc>
        <w:tc>
          <w:tcPr>
            <w:tcW w:w="378" w:type="pct"/>
            <w:vAlign w:val="center"/>
          </w:tcPr>
          <w:p w14:paraId="3BDD481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0,86</w:t>
            </w:r>
          </w:p>
        </w:tc>
        <w:tc>
          <w:tcPr>
            <w:tcW w:w="835" w:type="pct"/>
            <w:vAlign w:val="center"/>
          </w:tcPr>
          <w:p w14:paraId="33249EB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0,75 – 1,35</w:t>
            </w:r>
          </w:p>
        </w:tc>
        <w:tc>
          <w:tcPr>
            <w:tcW w:w="303" w:type="pct"/>
            <w:vAlign w:val="center"/>
          </w:tcPr>
          <w:p w14:paraId="1EE9709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2045" w:type="pct"/>
            <w:vMerge/>
            <w:vAlign w:val="center"/>
          </w:tcPr>
          <w:p w14:paraId="7C919E88"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0C50BE7F" w14:textId="77777777" w:rsidTr="00290AA2">
        <w:trPr>
          <w:jc w:val="center"/>
        </w:trPr>
        <w:tc>
          <w:tcPr>
            <w:tcW w:w="1439" w:type="pct"/>
            <w:vAlign w:val="center"/>
          </w:tcPr>
          <w:p w14:paraId="1A5DF79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Сигмовидная кишка</w:t>
            </w:r>
          </w:p>
        </w:tc>
        <w:tc>
          <w:tcPr>
            <w:tcW w:w="378" w:type="pct"/>
            <w:vAlign w:val="center"/>
          </w:tcPr>
          <w:p w14:paraId="21F07AA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0,74</w:t>
            </w:r>
          </w:p>
        </w:tc>
        <w:tc>
          <w:tcPr>
            <w:tcW w:w="835" w:type="pct"/>
            <w:vAlign w:val="center"/>
          </w:tcPr>
          <w:p w14:paraId="219D485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0,46 – 0,87</w:t>
            </w:r>
          </w:p>
        </w:tc>
        <w:tc>
          <w:tcPr>
            <w:tcW w:w="303" w:type="pct"/>
            <w:vAlign w:val="center"/>
          </w:tcPr>
          <w:p w14:paraId="29EDAB0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19</w:t>
            </w:r>
          </w:p>
        </w:tc>
        <w:tc>
          <w:tcPr>
            <w:tcW w:w="2045" w:type="pct"/>
            <w:vMerge/>
            <w:vAlign w:val="center"/>
          </w:tcPr>
          <w:p w14:paraId="1DC792A0"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37F574BB" w14:textId="77777777" w:rsidTr="003F0A73">
        <w:trPr>
          <w:jc w:val="center"/>
        </w:trPr>
        <w:tc>
          <w:tcPr>
            <w:tcW w:w="5000" w:type="pct"/>
            <w:gridSpan w:val="5"/>
            <w:vAlign w:val="center"/>
          </w:tcPr>
          <w:p w14:paraId="10A8D4B9" w14:textId="77777777" w:rsidR="00452443" w:rsidRPr="00A43B9C" w:rsidRDefault="00452443" w:rsidP="00452443">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R</w:t>
            </w:r>
            <w:r w:rsidRPr="00A43B9C">
              <w:rPr>
                <w:rFonts w:ascii="Times New Roman" w:hAnsi="Times New Roman" w:cs="Times New Roman"/>
                <w:sz w:val="28"/>
                <w:szCs w:val="28"/>
                <w:lang w:val="en-US"/>
              </w:rPr>
              <w:t>U</w:t>
            </w:r>
          </w:p>
        </w:tc>
      </w:tr>
      <w:tr w:rsidR="00452443" w:rsidRPr="00A43B9C" w14:paraId="03A7A18D" w14:textId="77777777" w:rsidTr="00290AA2">
        <w:trPr>
          <w:jc w:val="center"/>
        </w:trPr>
        <w:tc>
          <w:tcPr>
            <w:tcW w:w="1439" w:type="pct"/>
            <w:vAlign w:val="center"/>
          </w:tcPr>
          <w:p w14:paraId="5E8BF44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Ободочная кишка</w:t>
            </w:r>
          </w:p>
        </w:tc>
        <w:tc>
          <w:tcPr>
            <w:tcW w:w="378" w:type="pct"/>
            <w:vAlign w:val="center"/>
          </w:tcPr>
          <w:p w14:paraId="3A268F5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1,07</w:t>
            </w:r>
          </w:p>
        </w:tc>
        <w:tc>
          <w:tcPr>
            <w:tcW w:w="835" w:type="pct"/>
            <w:vAlign w:val="center"/>
          </w:tcPr>
          <w:p w14:paraId="745711F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0,76 – 1,32</w:t>
            </w:r>
          </w:p>
        </w:tc>
        <w:tc>
          <w:tcPr>
            <w:tcW w:w="303" w:type="pct"/>
            <w:vAlign w:val="center"/>
          </w:tcPr>
          <w:p w14:paraId="4B59247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20</w:t>
            </w:r>
          </w:p>
        </w:tc>
        <w:tc>
          <w:tcPr>
            <w:tcW w:w="2045" w:type="pct"/>
            <w:vMerge w:val="restart"/>
            <w:vAlign w:val="center"/>
          </w:tcPr>
          <w:p w14:paraId="35D9E80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0,016*</w:t>
            </w:r>
            <w:r w:rsidRPr="00A43B9C">
              <w:rPr>
                <w:rFonts w:ascii="Times New Roman" w:hAnsi="Times New Roman" w:cs="Times New Roman"/>
                <w:sz w:val="28"/>
                <w:szCs w:val="28"/>
              </w:rPr>
              <w:br/>
              <w:t>p</w:t>
            </w:r>
            <w:r w:rsidRPr="00A43B9C">
              <w:rPr>
                <w:rFonts w:ascii="Times New Roman" w:hAnsi="Times New Roman" w:cs="Times New Roman"/>
                <w:sz w:val="28"/>
                <w:szCs w:val="28"/>
                <w:vertAlign w:val="subscript"/>
              </w:rPr>
              <w:t>Сигмовидная кишка – Ободочная кишка</w:t>
            </w:r>
            <w:r w:rsidRPr="00A43B9C">
              <w:rPr>
                <w:rFonts w:ascii="Times New Roman" w:hAnsi="Times New Roman" w:cs="Times New Roman"/>
                <w:sz w:val="28"/>
                <w:szCs w:val="28"/>
              </w:rPr>
              <w:t xml:space="preserve"> = 0,013</w:t>
            </w:r>
          </w:p>
        </w:tc>
      </w:tr>
      <w:tr w:rsidR="00452443" w:rsidRPr="00A43B9C" w14:paraId="0555DD38" w14:textId="77777777" w:rsidTr="00290AA2">
        <w:trPr>
          <w:jc w:val="center"/>
        </w:trPr>
        <w:tc>
          <w:tcPr>
            <w:tcW w:w="1439" w:type="pct"/>
            <w:vAlign w:val="center"/>
          </w:tcPr>
          <w:p w14:paraId="50ED508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Прямая кишка</w:t>
            </w:r>
          </w:p>
        </w:tc>
        <w:tc>
          <w:tcPr>
            <w:tcW w:w="378" w:type="pct"/>
            <w:vAlign w:val="center"/>
          </w:tcPr>
          <w:p w14:paraId="3B3613C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0,80</w:t>
            </w:r>
          </w:p>
        </w:tc>
        <w:tc>
          <w:tcPr>
            <w:tcW w:w="835" w:type="pct"/>
            <w:vAlign w:val="center"/>
          </w:tcPr>
          <w:p w14:paraId="24A13B2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0,58 – 1,00</w:t>
            </w:r>
          </w:p>
        </w:tc>
        <w:tc>
          <w:tcPr>
            <w:tcW w:w="303" w:type="pct"/>
            <w:vAlign w:val="center"/>
          </w:tcPr>
          <w:p w14:paraId="5867A8D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2045" w:type="pct"/>
            <w:vMerge/>
            <w:vAlign w:val="center"/>
          </w:tcPr>
          <w:p w14:paraId="1BC590EF"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4C59A625" w14:textId="77777777" w:rsidTr="00290AA2">
        <w:trPr>
          <w:jc w:val="center"/>
        </w:trPr>
        <w:tc>
          <w:tcPr>
            <w:tcW w:w="1439" w:type="pct"/>
            <w:vAlign w:val="center"/>
          </w:tcPr>
          <w:p w14:paraId="4A14704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Сигмовидная кишка</w:t>
            </w:r>
          </w:p>
        </w:tc>
        <w:tc>
          <w:tcPr>
            <w:tcW w:w="378" w:type="pct"/>
            <w:vAlign w:val="center"/>
          </w:tcPr>
          <w:p w14:paraId="0D234F5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0,62</w:t>
            </w:r>
          </w:p>
        </w:tc>
        <w:tc>
          <w:tcPr>
            <w:tcW w:w="835" w:type="pct"/>
            <w:vAlign w:val="center"/>
          </w:tcPr>
          <w:p w14:paraId="1EA6D13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0,50 – 0,82</w:t>
            </w:r>
          </w:p>
        </w:tc>
        <w:tc>
          <w:tcPr>
            <w:tcW w:w="303" w:type="pct"/>
            <w:vAlign w:val="center"/>
          </w:tcPr>
          <w:p w14:paraId="00B5B97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19</w:t>
            </w:r>
          </w:p>
        </w:tc>
        <w:tc>
          <w:tcPr>
            <w:tcW w:w="2045" w:type="pct"/>
            <w:vMerge/>
            <w:vAlign w:val="center"/>
          </w:tcPr>
          <w:p w14:paraId="56992628"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2AD1DF02" w14:textId="77777777" w:rsidTr="003F0A73">
        <w:trPr>
          <w:jc w:val="center"/>
        </w:trPr>
        <w:tc>
          <w:tcPr>
            <w:tcW w:w="5000" w:type="pct"/>
            <w:gridSpan w:val="5"/>
            <w:vAlign w:val="center"/>
          </w:tcPr>
          <w:p w14:paraId="2647C80A" w14:textId="77777777" w:rsidR="00452443" w:rsidRPr="00A43B9C" w:rsidRDefault="00452443" w:rsidP="00452443">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R</w:t>
            </w:r>
            <w:r w:rsidRPr="00A43B9C">
              <w:rPr>
                <w:rFonts w:ascii="Times New Roman" w:hAnsi="Times New Roman" w:cs="Times New Roman"/>
                <w:sz w:val="28"/>
                <w:szCs w:val="28"/>
                <w:lang w:val="en-US"/>
              </w:rPr>
              <w:t>LL</w:t>
            </w:r>
          </w:p>
        </w:tc>
      </w:tr>
      <w:tr w:rsidR="00452443" w:rsidRPr="00A43B9C" w14:paraId="021B362A" w14:textId="77777777" w:rsidTr="00290AA2">
        <w:trPr>
          <w:jc w:val="center"/>
        </w:trPr>
        <w:tc>
          <w:tcPr>
            <w:tcW w:w="1439" w:type="pct"/>
            <w:vAlign w:val="center"/>
          </w:tcPr>
          <w:p w14:paraId="50650C1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Ободочная кишка</w:t>
            </w:r>
          </w:p>
        </w:tc>
        <w:tc>
          <w:tcPr>
            <w:tcW w:w="378" w:type="pct"/>
            <w:vAlign w:val="center"/>
          </w:tcPr>
          <w:p w14:paraId="4F8EC42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0,93</w:t>
            </w:r>
          </w:p>
        </w:tc>
        <w:tc>
          <w:tcPr>
            <w:tcW w:w="835" w:type="pct"/>
            <w:vAlign w:val="center"/>
          </w:tcPr>
          <w:p w14:paraId="3308ADB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0,74 – 1,24</w:t>
            </w:r>
          </w:p>
        </w:tc>
        <w:tc>
          <w:tcPr>
            <w:tcW w:w="303" w:type="pct"/>
            <w:vAlign w:val="center"/>
          </w:tcPr>
          <w:p w14:paraId="6EFC33B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20</w:t>
            </w:r>
          </w:p>
        </w:tc>
        <w:tc>
          <w:tcPr>
            <w:tcW w:w="2045" w:type="pct"/>
            <w:vMerge w:val="restart"/>
            <w:vAlign w:val="center"/>
          </w:tcPr>
          <w:p w14:paraId="5C59F50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0,068</w:t>
            </w:r>
          </w:p>
        </w:tc>
      </w:tr>
      <w:tr w:rsidR="00452443" w:rsidRPr="00A43B9C" w14:paraId="54F7E0EB" w14:textId="77777777" w:rsidTr="00290AA2">
        <w:trPr>
          <w:jc w:val="center"/>
        </w:trPr>
        <w:tc>
          <w:tcPr>
            <w:tcW w:w="1439" w:type="pct"/>
            <w:vAlign w:val="center"/>
          </w:tcPr>
          <w:p w14:paraId="68F9AA7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Прямая кишка</w:t>
            </w:r>
          </w:p>
        </w:tc>
        <w:tc>
          <w:tcPr>
            <w:tcW w:w="378" w:type="pct"/>
            <w:vAlign w:val="center"/>
          </w:tcPr>
          <w:p w14:paraId="4D0CB24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0,93</w:t>
            </w:r>
          </w:p>
        </w:tc>
        <w:tc>
          <w:tcPr>
            <w:tcW w:w="835" w:type="pct"/>
            <w:vAlign w:val="center"/>
          </w:tcPr>
          <w:p w14:paraId="7B21317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0,72 – 1,07</w:t>
            </w:r>
          </w:p>
        </w:tc>
        <w:tc>
          <w:tcPr>
            <w:tcW w:w="303" w:type="pct"/>
            <w:vAlign w:val="center"/>
          </w:tcPr>
          <w:p w14:paraId="4373F8A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2045" w:type="pct"/>
            <w:vMerge/>
            <w:vAlign w:val="center"/>
          </w:tcPr>
          <w:p w14:paraId="5317D94A"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627B8945" w14:textId="77777777" w:rsidTr="00290AA2">
        <w:trPr>
          <w:jc w:val="center"/>
        </w:trPr>
        <w:tc>
          <w:tcPr>
            <w:tcW w:w="1439" w:type="pct"/>
            <w:vAlign w:val="center"/>
          </w:tcPr>
          <w:p w14:paraId="447C8CE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Сигмовидная кишка</w:t>
            </w:r>
          </w:p>
        </w:tc>
        <w:tc>
          <w:tcPr>
            <w:tcW w:w="378" w:type="pct"/>
            <w:vAlign w:val="center"/>
          </w:tcPr>
          <w:p w14:paraId="7937866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0,78</w:t>
            </w:r>
          </w:p>
        </w:tc>
        <w:tc>
          <w:tcPr>
            <w:tcW w:w="835" w:type="pct"/>
            <w:vAlign w:val="center"/>
          </w:tcPr>
          <w:p w14:paraId="622D59D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0,48 – 0,93</w:t>
            </w:r>
          </w:p>
        </w:tc>
        <w:tc>
          <w:tcPr>
            <w:tcW w:w="303" w:type="pct"/>
            <w:vAlign w:val="center"/>
          </w:tcPr>
          <w:p w14:paraId="00DB8CC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19</w:t>
            </w:r>
          </w:p>
        </w:tc>
        <w:tc>
          <w:tcPr>
            <w:tcW w:w="2045" w:type="pct"/>
            <w:vMerge/>
            <w:vAlign w:val="center"/>
          </w:tcPr>
          <w:p w14:paraId="01B39C30"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25170AF0" w14:textId="77777777" w:rsidTr="003F0A73">
        <w:trPr>
          <w:jc w:val="center"/>
        </w:trPr>
        <w:tc>
          <w:tcPr>
            <w:tcW w:w="5000" w:type="pct"/>
            <w:gridSpan w:val="5"/>
            <w:vAlign w:val="center"/>
          </w:tcPr>
          <w:p w14:paraId="384E0B5F" w14:textId="77777777" w:rsidR="00452443" w:rsidRPr="00A43B9C" w:rsidRDefault="00452443" w:rsidP="00452443">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R</w:t>
            </w:r>
            <w:r w:rsidRPr="00A43B9C">
              <w:rPr>
                <w:rFonts w:ascii="Times New Roman" w:hAnsi="Times New Roman" w:cs="Times New Roman"/>
                <w:sz w:val="28"/>
                <w:szCs w:val="28"/>
                <w:lang w:val="en-US"/>
              </w:rPr>
              <w:t>RI</w:t>
            </w:r>
          </w:p>
        </w:tc>
      </w:tr>
      <w:tr w:rsidR="00452443" w:rsidRPr="00A43B9C" w14:paraId="6DFA30AA" w14:textId="77777777" w:rsidTr="00290AA2">
        <w:trPr>
          <w:jc w:val="center"/>
        </w:trPr>
        <w:tc>
          <w:tcPr>
            <w:tcW w:w="1439" w:type="pct"/>
            <w:vAlign w:val="center"/>
          </w:tcPr>
          <w:p w14:paraId="000B615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Ободочная кишка</w:t>
            </w:r>
          </w:p>
        </w:tc>
        <w:tc>
          <w:tcPr>
            <w:tcW w:w="378" w:type="pct"/>
            <w:vAlign w:val="center"/>
          </w:tcPr>
          <w:p w14:paraId="4FA243B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0,92</w:t>
            </w:r>
          </w:p>
        </w:tc>
        <w:tc>
          <w:tcPr>
            <w:tcW w:w="835" w:type="pct"/>
            <w:vAlign w:val="center"/>
          </w:tcPr>
          <w:p w14:paraId="1F0D6A2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0,64 – 1,09</w:t>
            </w:r>
          </w:p>
        </w:tc>
        <w:tc>
          <w:tcPr>
            <w:tcW w:w="303" w:type="pct"/>
            <w:vAlign w:val="center"/>
          </w:tcPr>
          <w:p w14:paraId="60AF108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20</w:t>
            </w:r>
          </w:p>
        </w:tc>
        <w:tc>
          <w:tcPr>
            <w:tcW w:w="2045" w:type="pct"/>
            <w:vMerge w:val="restart"/>
            <w:vAlign w:val="center"/>
          </w:tcPr>
          <w:p w14:paraId="3719A5C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0,109</w:t>
            </w:r>
          </w:p>
        </w:tc>
      </w:tr>
      <w:tr w:rsidR="00452443" w:rsidRPr="00A43B9C" w14:paraId="24C6A7EF" w14:textId="77777777" w:rsidTr="00290AA2">
        <w:trPr>
          <w:jc w:val="center"/>
        </w:trPr>
        <w:tc>
          <w:tcPr>
            <w:tcW w:w="1439" w:type="pct"/>
            <w:vAlign w:val="center"/>
          </w:tcPr>
          <w:p w14:paraId="3229D46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Прямая кишка</w:t>
            </w:r>
          </w:p>
        </w:tc>
        <w:tc>
          <w:tcPr>
            <w:tcW w:w="378" w:type="pct"/>
            <w:vAlign w:val="center"/>
          </w:tcPr>
          <w:p w14:paraId="09C5795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0,79</w:t>
            </w:r>
          </w:p>
        </w:tc>
        <w:tc>
          <w:tcPr>
            <w:tcW w:w="835" w:type="pct"/>
            <w:vAlign w:val="center"/>
          </w:tcPr>
          <w:p w14:paraId="77CD9C6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0,69 – 1,02</w:t>
            </w:r>
          </w:p>
        </w:tc>
        <w:tc>
          <w:tcPr>
            <w:tcW w:w="303" w:type="pct"/>
            <w:vAlign w:val="center"/>
          </w:tcPr>
          <w:p w14:paraId="25F52CE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2045" w:type="pct"/>
            <w:vMerge/>
            <w:vAlign w:val="center"/>
          </w:tcPr>
          <w:p w14:paraId="49C8508A"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6DEBB0DD" w14:textId="77777777" w:rsidTr="00290AA2">
        <w:trPr>
          <w:jc w:val="center"/>
        </w:trPr>
        <w:tc>
          <w:tcPr>
            <w:tcW w:w="1439" w:type="pct"/>
            <w:vAlign w:val="center"/>
          </w:tcPr>
          <w:p w14:paraId="7425419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Сигмовидная кишка</w:t>
            </w:r>
          </w:p>
        </w:tc>
        <w:tc>
          <w:tcPr>
            <w:tcW w:w="378" w:type="pct"/>
            <w:vAlign w:val="center"/>
          </w:tcPr>
          <w:p w14:paraId="5451CF1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0,58</w:t>
            </w:r>
          </w:p>
        </w:tc>
        <w:tc>
          <w:tcPr>
            <w:tcW w:w="835" w:type="pct"/>
            <w:vAlign w:val="center"/>
          </w:tcPr>
          <w:p w14:paraId="618276C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0,52 – 0,86</w:t>
            </w:r>
          </w:p>
        </w:tc>
        <w:tc>
          <w:tcPr>
            <w:tcW w:w="303" w:type="pct"/>
            <w:vAlign w:val="center"/>
          </w:tcPr>
          <w:p w14:paraId="6514815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19</w:t>
            </w:r>
          </w:p>
        </w:tc>
        <w:tc>
          <w:tcPr>
            <w:tcW w:w="2045" w:type="pct"/>
            <w:vMerge/>
            <w:vAlign w:val="center"/>
          </w:tcPr>
          <w:p w14:paraId="5EB20160"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71D328D8" w14:textId="77777777" w:rsidTr="003F0A73">
        <w:trPr>
          <w:jc w:val="center"/>
        </w:trPr>
        <w:tc>
          <w:tcPr>
            <w:tcW w:w="5000" w:type="pct"/>
            <w:gridSpan w:val="5"/>
            <w:vAlign w:val="center"/>
          </w:tcPr>
          <w:p w14:paraId="05ED0B32" w14:textId="77777777" w:rsidR="00452443" w:rsidRPr="00A43B9C" w:rsidRDefault="00452443" w:rsidP="00452443">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R</w:t>
            </w:r>
            <w:r w:rsidRPr="00A43B9C">
              <w:rPr>
                <w:rFonts w:ascii="Times New Roman" w:hAnsi="Times New Roman" w:cs="Times New Roman"/>
                <w:sz w:val="28"/>
                <w:szCs w:val="28"/>
                <w:lang w:val="en-US"/>
              </w:rPr>
              <w:t>P</w:t>
            </w:r>
          </w:p>
        </w:tc>
      </w:tr>
      <w:tr w:rsidR="00452443" w:rsidRPr="00A43B9C" w14:paraId="630286E1" w14:textId="77777777" w:rsidTr="00290AA2">
        <w:trPr>
          <w:jc w:val="center"/>
        </w:trPr>
        <w:tc>
          <w:tcPr>
            <w:tcW w:w="1439" w:type="pct"/>
            <w:vAlign w:val="center"/>
          </w:tcPr>
          <w:p w14:paraId="4CD2E2B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Ободочная кишка</w:t>
            </w:r>
          </w:p>
        </w:tc>
        <w:tc>
          <w:tcPr>
            <w:tcW w:w="378" w:type="pct"/>
            <w:vAlign w:val="center"/>
          </w:tcPr>
          <w:p w14:paraId="514FCD2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0,96</w:t>
            </w:r>
          </w:p>
        </w:tc>
        <w:tc>
          <w:tcPr>
            <w:tcW w:w="835" w:type="pct"/>
            <w:vAlign w:val="center"/>
          </w:tcPr>
          <w:p w14:paraId="7D7E797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0,88 – 1,21</w:t>
            </w:r>
          </w:p>
        </w:tc>
        <w:tc>
          <w:tcPr>
            <w:tcW w:w="303" w:type="pct"/>
            <w:vAlign w:val="center"/>
          </w:tcPr>
          <w:p w14:paraId="780655F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20</w:t>
            </w:r>
          </w:p>
        </w:tc>
        <w:tc>
          <w:tcPr>
            <w:tcW w:w="2045" w:type="pct"/>
            <w:vMerge w:val="restart"/>
            <w:vAlign w:val="center"/>
          </w:tcPr>
          <w:p w14:paraId="261DDF0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0,050</w:t>
            </w:r>
            <w:r w:rsidRPr="00A43B9C">
              <w:rPr>
                <w:rFonts w:ascii="Times New Roman" w:hAnsi="Times New Roman" w:cs="Times New Roman"/>
                <w:sz w:val="28"/>
                <w:szCs w:val="28"/>
              </w:rPr>
              <w:br/>
              <w:t>p</w:t>
            </w:r>
            <w:r w:rsidRPr="00A43B9C">
              <w:rPr>
                <w:rFonts w:ascii="Times New Roman" w:hAnsi="Times New Roman" w:cs="Times New Roman"/>
                <w:sz w:val="28"/>
                <w:szCs w:val="28"/>
                <w:vertAlign w:val="subscript"/>
              </w:rPr>
              <w:t>Сигмовидная кишка – Ободочная кишка</w:t>
            </w:r>
            <w:r w:rsidRPr="00A43B9C">
              <w:rPr>
                <w:rFonts w:ascii="Times New Roman" w:hAnsi="Times New Roman" w:cs="Times New Roman"/>
                <w:sz w:val="28"/>
                <w:szCs w:val="28"/>
              </w:rPr>
              <w:t xml:space="preserve"> = 0,050</w:t>
            </w:r>
          </w:p>
        </w:tc>
      </w:tr>
      <w:tr w:rsidR="00452443" w:rsidRPr="00A43B9C" w14:paraId="4A80F194" w14:textId="77777777" w:rsidTr="00290AA2">
        <w:trPr>
          <w:jc w:val="center"/>
        </w:trPr>
        <w:tc>
          <w:tcPr>
            <w:tcW w:w="1439" w:type="pct"/>
            <w:vAlign w:val="center"/>
          </w:tcPr>
          <w:p w14:paraId="72FD566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Прямая кишка</w:t>
            </w:r>
          </w:p>
        </w:tc>
        <w:tc>
          <w:tcPr>
            <w:tcW w:w="378" w:type="pct"/>
            <w:vAlign w:val="center"/>
          </w:tcPr>
          <w:p w14:paraId="7BE99AF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0,86</w:t>
            </w:r>
          </w:p>
        </w:tc>
        <w:tc>
          <w:tcPr>
            <w:tcW w:w="835" w:type="pct"/>
            <w:vAlign w:val="center"/>
          </w:tcPr>
          <w:p w14:paraId="4BEBE4C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0,70 – 1,21</w:t>
            </w:r>
          </w:p>
        </w:tc>
        <w:tc>
          <w:tcPr>
            <w:tcW w:w="303" w:type="pct"/>
            <w:vAlign w:val="center"/>
          </w:tcPr>
          <w:p w14:paraId="33B5874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2045" w:type="pct"/>
            <w:vMerge/>
            <w:vAlign w:val="center"/>
          </w:tcPr>
          <w:p w14:paraId="5613A3D4"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22EE93C9" w14:textId="77777777" w:rsidTr="00290AA2">
        <w:trPr>
          <w:jc w:val="center"/>
        </w:trPr>
        <w:tc>
          <w:tcPr>
            <w:tcW w:w="1439" w:type="pct"/>
            <w:vAlign w:val="center"/>
          </w:tcPr>
          <w:p w14:paraId="4FC0946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Сигмовидная кишка</w:t>
            </w:r>
          </w:p>
        </w:tc>
        <w:tc>
          <w:tcPr>
            <w:tcW w:w="378" w:type="pct"/>
            <w:vAlign w:val="center"/>
          </w:tcPr>
          <w:p w14:paraId="2A09305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0,75</w:t>
            </w:r>
          </w:p>
        </w:tc>
        <w:tc>
          <w:tcPr>
            <w:tcW w:w="835" w:type="pct"/>
            <w:vAlign w:val="center"/>
          </w:tcPr>
          <w:p w14:paraId="3D916BE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0,57 – 0,96</w:t>
            </w:r>
          </w:p>
        </w:tc>
        <w:tc>
          <w:tcPr>
            <w:tcW w:w="303" w:type="pct"/>
            <w:vAlign w:val="center"/>
          </w:tcPr>
          <w:p w14:paraId="0EE54A0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19</w:t>
            </w:r>
          </w:p>
        </w:tc>
        <w:tc>
          <w:tcPr>
            <w:tcW w:w="2045" w:type="pct"/>
            <w:vMerge/>
            <w:vAlign w:val="center"/>
          </w:tcPr>
          <w:p w14:paraId="0D557823"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11E92C5B" w14:textId="77777777" w:rsidTr="003F0A73">
        <w:trPr>
          <w:jc w:val="center"/>
        </w:trPr>
        <w:tc>
          <w:tcPr>
            <w:tcW w:w="5000" w:type="pct"/>
            <w:gridSpan w:val="5"/>
            <w:vAlign w:val="center"/>
          </w:tcPr>
          <w:p w14:paraId="35A83AEB" w14:textId="77777777" w:rsidR="00452443" w:rsidRPr="00A43B9C" w:rsidRDefault="00452443" w:rsidP="00452443">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R</w:t>
            </w:r>
            <w:r w:rsidRPr="00A43B9C">
              <w:rPr>
                <w:rFonts w:ascii="Times New Roman" w:hAnsi="Times New Roman" w:cs="Times New Roman"/>
                <w:sz w:val="28"/>
                <w:szCs w:val="28"/>
                <w:lang w:val="en-US"/>
              </w:rPr>
              <w:t>LI</w:t>
            </w:r>
          </w:p>
        </w:tc>
      </w:tr>
      <w:tr w:rsidR="00452443" w:rsidRPr="00A43B9C" w14:paraId="5327CB3C" w14:textId="77777777" w:rsidTr="00290AA2">
        <w:trPr>
          <w:jc w:val="center"/>
        </w:trPr>
        <w:tc>
          <w:tcPr>
            <w:tcW w:w="1439" w:type="pct"/>
            <w:vAlign w:val="center"/>
          </w:tcPr>
          <w:p w14:paraId="3957508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Ободочная кишка</w:t>
            </w:r>
          </w:p>
        </w:tc>
        <w:tc>
          <w:tcPr>
            <w:tcW w:w="378" w:type="pct"/>
            <w:vAlign w:val="center"/>
          </w:tcPr>
          <w:p w14:paraId="65B886E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0,74</w:t>
            </w:r>
          </w:p>
        </w:tc>
        <w:tc>
          <w:tcPr>
            <w:tcW w:w="835" w:type="pct"/>
            <w:vAlign w:val="center"/>
          </w:tcPr>
          <w:p w14:paraId="731D546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0,60 – 0,90</w:t>
            </w:r>
          </w:p>
        </w:tc>
        <w:tc>
          <w:tcPr>
            <w:tcW w:w="303" w:type="pct"/>
            <w:vAlign w:val="center"/>
          </w:tcPr>
          <w:p w14:paraId="473B6AC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20</w:t>
            </w:r>
          </w:p>
        </w:tc>
        <w:tc>
          <w:tcPr>
            <w:tcW w:w="2045" w:type="pct"/>
            <w:vMerge w:val="restart"/>
            <w:vAlign w:val="center"/>
          </w:tcPr>
          <w:p w14:paraId="4D7D18A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0,069</w:t>
            </w:r>
          </w:p>
        </w:tc>
      </w:tr>
      <w:tr w:rsidR="00452443" w:rsidRPr="00A43B9C" w14:paraId="4804B595" w14:textId="77777777" w:rsidTr="00290AA2">
        <w:trPr>
          <w:jc w:val="center"/>
        </w:trPr>
        <w:tc>
          <w:tcPr>
            <w:tcW w:w="1439" w:type="pct"/>
            <w:vAlign w:val="center"/>
          </w:tcPr>
          <w:p w14:paraId="38AC8D5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Прямая кишка</w:t>
            </w:r>
          </w:p>
        </w:tc>
        <w:tc>
          <w:tcPr>
            <w:tcW w:w="378" w:type="pct"/>
            <w:vAlign w:val="center"/>
          </w:tcPr>
          <w:p w14:paraId="4EB74CE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0,81</w:t>
            </w:r>
          </w:p>
        </w:tc>
        <w:tc>
          <w:tcPr>
            <w:tcW w:w="835" w:type="pct"/>
            <w:vAlign w:val="center"/>
          </w:tcPr>
          <w:p w14:paraId="690EDF6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0,50 – 0,93</w:t>
            </w:r>
          </w:p>
        </w:tc>
        <w:tc>
          <w:tcPr>
            <w:tcW w:w="303" w:type="pct"/>
            <w:vAlign w:val="center"/>
          </w:tcPr>
          <w:p w14:paraId="7A9DABA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2045" w:type="pct"/>
            <w:vMerge/>
            <w:vAlign w:val="center"/>
          </w:tcPr>
          <w:p w14:paraId="0DCE8D05"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68952EEC" w14:textId="77777777" w:rsidTr="00290AA2">
        <w:trPr>
          <w:jc w:val="center"/>
        </w:trPr>
        <w:tc>
          <w:tcPr>
            <w:tcW w:w="1439" w:type="pct"/>
            <w:vAlign w:val="center"/>
          </w:tcPr>
          <w:p w14:paraId="77B6FAE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Сигмовидная кишка</w:t>
            </w:r>
          </w:p>
        </w:tc>
        <w:tc>
          <w:tcPr>
            <w:tcW w:w="378" w:type="pct"/>
            <w:vAlign w:val="center"/>
          </w:tcPr>
          <w:p w14:paraId="41C37D3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0,59</w:t>
            </w:r>
          </w:p>
        </w:tc>
        <w:tc>
          <w:tcPr>
            <w:tcW w:w="835" w:type="pct"/>
            <w:vAlign w:val="center"/>
          </w:tcPr>
          <w:p w14:paraId="03A70A4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0,44 – 0,74</w:t>
            </w:r>
          </w:p>
        </w:tc>
        <w:tc>
          <w:tcPr>
            <w:tcW w:w="303" w:type="pct"/>
            <w:vAlign w:val="center"/>
          </w:tcPr>
          <w:p w14:paraId="3A42568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19</w:t>
            </w:r>
          </w:p>
        </w:tc>
        <w:tc>
          <w:tcPr>
            <w:tcW w:w="2045" w:type="pct"/>
            <w:vMerge/>
            <w:vAlign w:val="center"/>
          </w:tcPr>
          <w:p w14:paraId="1DFF5CBB"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3AD2F96E" w14:textId="77777777" w:rsidTr="003F0A73">
        <w:trPr>
          <w:jc w:val="center"/>
        </w:trPr>
        <w:tc>
          <w:tcPr>
            <w:tcW w:w="5000" w:type="pct"/>
            <w:gridSpan w:val="5"/>
            <w:vAlign w:val="center"/>
          </w:tcPr>
          <w:p w14:paraId="3E360E64" w14:textId="77777777" w:rsidR="00452443" w:rsidRPr="00A43B9C" w:rsidRDefault="00452443" w:rsidP="00452443">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P</w:t>
            </w:r>
          </w:p>
        </w:tc>
      </w:tr>
      <w:tr w:rsidR="00452443" w:rsidRPr="00A43B9C" w14:paraId="59FEE3C8" w14:textId="77777777" w:rsidTr="00290AA2">
        <w:trPr>
          <w:jc w:val="center"/>
        </w:trPr>
        <w:tc>
          <w:tcPr>
            <w:tcW w:w="1439" w:type="pct"/>
            <w:vAlign w:val="center"/>
          </w:tcPr>
          <w:p w14:paraId="4AB7C86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Ободочная кишка</w:t>
            </w:r>
          </w:p>
        </w:tc>
        <w:tc>
          <w:tcPr>
            <w:tcW w:w="378" w:type="pct"/>
            <w:vAlign w:val="center"/>
          </w:tcPr>
          <w:p w14:paraId="078FF04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0,89</w:t>
            </w:r>
          </w:p>
        </w:tc>
        <w:tc>
          <w:tcPr>
            <w:tcW w:w="835" w:type="pct"/>
            <w:vAlign w:val="center"/>
          </w:tcPr>
          <w:p w14:paraId="3801E45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0,71 – 0,96</w:t>
            </w:r>
          </w:p>
        </w:tc>
        <w:tc>
          <w:tcPr>
            <w:tcW w:w="303" w:type="pct"/>
            <w:vAlign w:val="center"/>
          </w:tcPr>
          <w:p w14:paraId="3BA1531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20</w:t>
            </w:r>
          </w:p>
        </w:tc>
        <w:tc>
          <w:tcPr>
            <w:tcW w:w="2045" w:type="pct"/>
            <w:vMerge w:val="restart"/>
            <w:vAlign w:val="center"/>
          </w:tcPr>
          <w:p w14:paraId="36FE6F4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0,037*</w:t>
            </w:r>
            <w:r w:rsidRPr="00A43B9C">
              <w:rPr>
                <w:rFonts w:ascii="Times New Roman" w:hAnsi="Times New Roman" w:cs="Times New Roman"/>
                <w:sz w:val="28"/>
                <w:szCs w:val="28"/>
              </w:rPr>
              <w:br/>
              <w:t>p</w:t>
            </w:r>
            <w:r w:rsidRPr="00A43B9C">
              <w:rPr>
                <w:rFonts w:ascii="Times New Roman" w:hAnsi="Times New Roman" w:cs="Times New Roman"/>
                <w:sz w:val="28"/>
                <w:szCs w:val="28"/>
                <w:vertAlign w:val="subscript"/>
              </w:rPr>
              <w:t>Сигмовидная кишка – Прямая кишка</w:t>
            </w:r>
            <w:r w:rsidRPr="00A43B9C">
              <w:rPr>
                <w:rFonts w:ascii="Times New Roman" w:hAnsi="Times New Roman" w:cs="Times New Roman"/>
                <w:sz w:val="28"/>
                <w:szCs w:val="28"/>
              </w:rPr>
              <w:t xml:space="preserve"> = 0,031</w:t>
            </w:r>
          </w:p>
        </w:tc>
      </w:tr>
      <w:tr w:rsidR="00452443" w:rsidRPr="00A43B9C" w14:paraId="08435FD5" w14:textId="77777777" w:rsidTr="00290AA2">
        <w:trPr>
          <w:jc w:val="center"/>
        </w:trPr>
        <w:tc>
          <w:tcPr>
            <w:tcW w:w="1439" w:type="pct"/>
            <w:vAlign w:val="center"/>
          </w:tcPr>
          <w:p w14:paraId="2275615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Прямая кишка</w:t>
            </w:r>
          </w:p>
        </w:tc>
        <w:tc>
          <w:tcPr>
            <w:tcW w:w="378" w:type="pct"/>
            <w:vAlign w:val="center"/>
          </w:tcPr>
          <w:p w14:paraId="0C2375B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1,02</w:t>
            </w:r>
          </w:p>
        </w:tc>
        <w:tc>
          <w:tcPr>
            <w:tcW w:w="835" w:type="pct"/>
            <w:vAlign w:val="center"/>
          </w:tcPr>
          <w:p w14:paraId="47668DD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0,76 – 1,18</w:t>
            </w:r>
          </w:p>
        </w:tc>
        <w:tc>
          <w:tcPr>
            <w:tcW w:w="303" w:type="pct"/>
            <w:vAlign w:val="center"/>
          </w:tcPr>
          <w:p w14:paraId="445B838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2045" w:type="pct"/>
            <w:vMerge/>
            <w:vAlign w:val="center"/>
          </w:tcPr>
          <w:p w14:paraId="05D2EFBA"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69D37298" w14:textId="77777777" w:rsidTr="00290AA2">
        <w:trPr>
          <w:jc w:val="center"/>
        </w:trPr>
        <w:tc>
          <w:tcPr>
            <w:tcW w:w="1439" w:type="pct"/>
            <w:vAlign w:val="center"/>
          </w:tcPr>
          <w:p w14:paraId="1BC016C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Сигмовидная кишка</w:t>
            </w:r>
          </w:p>
        </w:tc>
        <w:tc>
          <w:tcPr>
            <w:tcW w:w="378" w:type="pct"/>
            <w:vAlign w:val="center"/>
          </w:tcPr>
          <w:p w14:paraId="3336335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0,67</w:t>
            </w:r>
          </w:p>
        </w:tc>
        <w:tc>
          <w:tcPr>
            <w:tcW w:w="835" w:type="pct"/>
            <w:vAlign w:val="center"/>
          </w:tcPr>
          <w:p w14:paraId="415D990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0,57 – 0,91</w:t>
            </w:r>
          </w:p>
        </w:tc>
        <w:tc>
          <w:tcPr>
            <w:tcW w:w="303" w:type="pct"/>
            <w:vAlign w:val="center"/>
          </w:tcPr>
          <w:p w14:paraId="3EC39ED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19</w:t>
            </w:r>
          </w:p>
        </w:tc>
        <w:tc>
          <w:tcPr>
            <w:tcW w:w="2045" w:type="pct"/>
            <w:vMerge/>
            <w:vAlign w:val="center"/>
          </w:tcPr>
          <w:p w14:paraId="71B28CE0" w14:textId="77777777" w:rsidR="00452443" w:rsidRPr="00A43B9C" w:rsidRDefault="00452443" w:rsidP="00452443">
            <w:pPr>
              <w:spacing w:after="0" w:line="240" w:lineRule="auto"/>
              <w:jc w:val="center"/>
              <w:rPr>
                <w:rFonts w:ascii="Times New Roman" w:hAnsi="Times New Roman" w:cs="Times New Roman"/>
                <w:sz w:val="28"/>
                <w:szCs w:val="28"/>
              </w:rPr>
            </w:pPr>
          </w:p>
        </w:tc>
      </w:tr>
    </w:tbl>
    <w:p w14:paraId="6FE02FEB" w14:textId="77777777" w:rsidR="00825215" w:rsidRPr="00E96DD1" w:rsidRDefault="00825215" w:rsidP="00825215">
      <w:pPr>
        <w:spacing w:after="0" w:line="240" w:lineRule="auto"/>
        <w:ind w:firstLine="709"/>
        <w:jc w:val="both"/>
        <w:rPr>
          <w:rFonts w:ascii="Times New Roman" w:hAnsi="Times New Roman" w:cs="Times New Roman"/>
          <w:sz w:val="24"/>
          <w:szCs w:val="24"/>
        </w:rPr>
      </w:pPr>
    </w:p>
    <w:tbl>
      <w:tblPr>
        <w:tblStyle w:val="ad"/>
        <w:tblW w:w="10908"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6"/>
        <w:gridCol w:w="3636"/>
        <w:gridCol w:w="3636"/>
      </w:tblGrid>
      <w:tr w:rsidR="00943765" w:rsidRPr="00A43B9C" w14:paraId="49898196" w14:textId="77777777" w:rsidTr="00422F8C">
        <w:tc>
          <w:tcPr>
            <w:tcW w:w="3636" w:type="dxa"/>
          </w:tcPr>
          <w:p w14:paraId="1A6DB977" w14:textId="2C7B8B8E" w:rsidR="00BE6F17" w:rsidRPr="00A43B9C" w:rsidRDefault="00943765" w:rsidP="00943765">
            <w:pPr>
              <w:spacing w:after="0" w:line="240" w:lineRule="auto"/>
              <w:rPr>
                <w:rFonts w:ascii="Times New Roman" w:hAnsi="Times New Roman" w:cs="Times New Roman"/>
                <w:sz w:val="28"/>
                <w:szCs w:val="28"/>
              </w:rPr>
            </w:pPr>
            <w:r w:rsidRPr="00A43B9C">
              <w:rPr>
                <w:noProof/>
                <w:lang w:eastAsia="ru-RU"/>
              </w:rPr>
              <mc:AlternateContent>
                <mc:Choice Requires="cx1">
                  <w:drawing>
                    <wp:inline distT="0" distB="0" distL="0" distR="0" wp14:anchorId="1984211B" wp14:editId="5AC20E7D">
                      <wp:extent cx="2160000" cy="1800000"/>
                      <wp:effectExtent l="0" t="0" r="12065" b="10160"/>
                      <wp:docPr id="103" name="Диаграмма 103">
                        <a:extLst xmlns:a="http://schemas.openxmlformats.org/drawingml/2006/main">
                          <a:ext uri="{FF2B5EF4-FFF2-40B4-BE49-F238E27FC236}">
                            <a16:creationId xmlns:a16="http://schemas.microsoft.com/office/drawing/2014/main" id="{2966F1F8-CF96-479A-9E24-89B0E4E4CE4A}"/>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90"/>
                        </a:graphicData>
                      </a:graphic>
                    </wp:inline>
                  </w:drawing>
                </mc:Choice>
                <mc:Fallback>
                  <w:drawing>
                    <wp:inline distT="0" distB="0" distL="0" distR="0" wp14:anchorId="1984211B" wp14:editId="5AC20E7D">
                      <wp:extent cx="2160000" cy="1800000"/>
                      <wp:effectExtent l="0" t="0" r="12065" b="10160"/>
                      <wp:docPr id="103" name="Диаграмма 103">
                        <a:extLst xmlns:a="http://schemas.openxmlformats.org/drawingml/2006/main">
                          <a:ext uri="{FF2B5EF4-FFF2-40B4-BE49-F238E27FC236}">
                            <a16:creationId xmlns:a16="http://schemas.microsoft.com/office/drawing/2014/main" id="{2966F1F8-CF96-479A-9E24-89B0E4E4CE4A}"/>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03" name="Диаграмма 103">
                                <a:extLst>
                                  <a:ext uri="{FF2B5EF4-FFF2-40B4-BE49-F238E27FC236}">
                                    <a16:creationId xmlns:a16="http://schemas.microsoft.com/office/drawing/2014/main" id="{2966F1F8-CF96-479A-9E24-89B0E4E4CE4A}"/>
                                  </a:ext>
                                </a:extLst>
                              </pic:cNvPr>
                              <pic:cNvPicPr>
                                <a:picLocks noGrp="1" noRot="1" noChangeAspect="1" noMove="1" noResize="1" noEditPoints="1" noAdjustHandles="1" noChangeArrowheads="1" noChangeShapeType="1"/>
                              </pic:cNvPicPr>
                            </pic:nvPicPr>
                            <pic:blipFill>
                              <a:blip r:embed="rId191"/>
                              <a:stretch>
                                <a:fillRect/>
                              </a:stretch>
                            </pic:blipFill>
                            <pic:spPr>
                              <a:xfrm>
                                <a:off x="0" y="0"/>
                                <a:ext cx="2159635" cy="1799590"/>
                              </a:xfrm>
                              <a:prstGeom prst="rect">
                                <a:avLst/>
                              </a:prstGeom>
                            </pic:spPr>
                          </pic:pic>
                        </a:graphicData>
                      </a:graphic>
                    </wp:inline>
                  </w:drawing>
                </mc:Fallback>
              </mc:AlternateContent>
            </w:r>
          </w:p>
        </w:tc>
        <w:tc>
          <w:tcPr>
            <w:tcW w:w="3636" w:type="dxa"/>
          </w:tcPr>
          <w:p w14:paraId="7E70CF29" w14:textId="66A57AF2" w:rsidR="00BE6F17" w:rsidRPr="00A43B9C" w:rsidRDefault="00943765" w:rsidP="00943765">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62B4ACAD" wp14:editId="04793BC0">
                      <wp:extent cx="2160000" cy="1800000"/>
                      <wp:effectExtent l="0" t="0" r="12065" b="10160"/>
                      <wp:docPr id="340" name="Диаграмма 340">
                        <a:extLst xmlns:a="http://schemas.openxmlformats.org/drawingml/2006/main">
                          <a:ext uri="{FF2B5EF4-FFF2-40B4-BE49-F238E27FC236}">
                            <a16:creationId xmlns:a16="http://schemas.microsoft.com/office/drawing/2014/main" id="{C40073CD-7F09-4839-B159-976919005C2E}"/>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92"/>
                        </a:graphicData>
                      </a:graphic>
                    </wp:inline>
                  </w:drawing>
                </mc:Choice>
                <mc:Fallback>
                  <w:drawing>
                    <wp:inline distT="0" distB="0" distL="0" distR="0" wp14:anchorId="62B4ACAD" wp14:editId="04793BC0">
                      <wp:extent cx="2160000" cy="1800000"/>
                      <wp:effectExtent l="0" t="0" r="12065" b="10160"/>
                      <wp:docPr id="340" name="Диаграмма 340">
                        <a:extLst xmlns:a="http://schemas.openxmlformats.org/drawingml/2006/main">
                          <a:ext uri="{FF2B5EF4-FFF2-40B4-BE49-F238E27FC236}">
                            <a16:creationId xmlns:a16="http://schemas.microsoft.com/office/drawing/2014/main" id="{C40073CD-7F09-4839-B159-976919005C2E}"/>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40" name="Диаграмма 340">
                                <a:extLst>
                                  <a:ext uri="{FF2B5EF4-FFF2-40B4-BE49-F238E27FC236}">
                                    <a16:creationId xmlns:a16="http://schemas.microsoft.com/office/drawing/2014/main" id="{C40073CD-7F09-4839-B159-976919005C2E}"/>
                                  </a:ext>
                                </a:extLst>
                              </pic:cNvPr>
                              <pic:cNvPicPr>
                                <a:picLocks noGrp="1" noRot="1" noChangeAspect="1" noMove="1" noResize="1" noEditPoints="1" noAdjustHandles="1" noChangeArrowheads="1" noChangeShapeType="1"/>
                              </pic:cNvPicPr>
                            </pic:nvPicPr>
                            <pic:blipFill>
                              <a:blip r:embed="rId193"/>
                              <a:stretch>
                                <a:fillRect/>
                              </a:stretch>
                            </pic:blipFill>
                            <pic:spPr>
                              <a:xfrm>
                                <a:off x="0" y="0"/>
                                <a:ext cx="2159635" cy="1799590"/>
                              </a:xfrm>
                              <a:prstGeom prst="rect">
                                <a:avLst/>
                              </a:prstGeom>
                            </pic:spPr>
                          </pic:pic>
                        </a:graphicData>
                      </a:graphic>
                    </wp:inline>
                  </w:drawing>
                </mc:Fallback>
              </mc:AlternateContent>
            </w:r>
          </w:p>
        </w:tc>
        <w:tc>
          <w:tcPr>
            <w:tcW w:w="3636" w:type="dxa"/>
          </w:tcPr>
          <w:p w14:paraId="48C85C4B" w14:textId="0222F5F4" w:rsidR="00BE6F17" w:rsidRPr="00A43B9C" w:rsidRDefault="00943765" w:rsidP="00943765">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3E365DB0" wp14:editId="4C84FF31">
                      <wp:extent cx="2160000" cy="1800000"/>
                      <wp:effectExtent l="0" t="0" r="12065" b="10160"/>
                      <wp:docPr id="350" name="Диаграмма 350">
                        <a:extLst xmlns:a="http://schemas.openxmlformats.org/drawingml/2006/main">
                          <a:ext uri="{FF2B5EF4-FFF2-40B4-BE49-F238E27FC236}">
                            <a16:creationId xmlns:a16="http://schemas.microsoft.com/office/drawing/2014/main" id="{6BEDA75A-418C-424C-88F0-69412243A634}"/>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94"/>
                        </a:graphicData>
                      </a:graphic>
                    </wp:inline>
                  </w:drawing>
                </mc:Choice>
                <mc:Fallback>
                  <w:drawing>
                    <wp:inline distT="0" distB="0" distL="0" distR="0" wp14:anchorId="3E365DB0" wp14:editId="4C84FF31">
                      <wp:extent cx="2160000" cy="1800000"/>
                      <wp:effectExtent l="0" t="0" r="12065" b="10160"/>
                      <wp:docPr id="350" name="Диаграмма 350">
                        <a:extLst xmlns:a="http://schemas.openxmlformats.org/drawingml/2006/main">
                          <a:ext uri="{FF2B5EF4-FFF2-40B4-BE49-F238E27FC236}">
                            <a16:creationId xmlns:a16="http://schemas.microsoft.com/office/drawing/2014/main" id="{6BEDA75A-418C-424C-88F0-69412243A634}"/>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50" name="Диаграмма 350">
                                <a:extLst>
                                  <a:ext uri="{FF2B5EF4-FFF2-40B4-BE49-F238E27FC236}">
                                    <a16:creationId xmlns:a16="http://schemas.microsoft.com/office/drawing/2014/main" id="{6BEDA75A-418C-424C-88F0-69412243A634}"/>
                                  </a:ext>
                                </a:extLst>
                              </pic:cNvPr>
                              <pic:cNvPicPr>
                                <a:picLocks noGrp="1" noRot="1" noChangeAspect="1" noMove="1" noResize="1" noEditPoints="1" noAdjustHandles="1" noChangeArrowheads="1" noChangeShapeType="1"/>
                              </pic:cNvPicPr>
                            </pic:nvPicPr>
                            <pic:blipFill>
                              <a:blip r:embed="rId195"/>
                              <a:stretch>
                                <a:fillRect/>
                              </a:stretch>
                            </pic:blipFill>
                            <pic:spPr>
                              <a:xfrm>
                                <a:off x="0" y="0"/>
                                <a:ext cx="2159635" cy="1799590"/>
                              </a:xfrm>
                              <a:prstGeom prst="rect">
                                <a:avLst/>
                              </a:prstGeom>
                            </pic:spPr>
                          </pic:pic>
                        </a:graphicData>
                      </a:graphic>
                    </wp:inline>
                  </w:drawing>
                </mc:Fallback>
              </mc:AlternateContent>
            </w:r>
          </w:p>
        </w:tc>
      </w:tr>
      <w:tr w:rsidR="0097135F" w:rsidRPr="00B7247C" w14:paraId="76855A47" w14:textId="77777777" w:rsidTr="00422F8C">
        <w:tc>
          <w:tcPr>
            <w:tcW w:w="3636" w:type="dxa"/>
          </w:tcPr>
          <w:p w14:paraId="3B3D3740" w14:textId="53A25A1E" w:rsidR="0097135F" w:rsidRPr="00B7247C" w:rsidRDefault="0097135F" w:rsidP="0097135F">
            <w:pPr>
              <w:spacing w:after="0" w:line="240" w:lineRule="auto"/>
              <w:jc w:val="center"/>
              <w:rPr>
                <w:rFonts w:ascii="Times New Roman" w:hAnsi="Times New Roman" w:cs="Times New Roman"/>
                <w:sz w:val="24"/>
                <w:szCs w:val="24"/>
                <w:lang w:val="en-US"/>
              </w:rPr>
            </w:pPr>
            <w:r w:rsidRPr="00B7247C">
              <w:rPr>
                <w:rFonts w:ascii="Times New Roman" w:hAnsi="Times New Roman" w:cs="Times New Roman"/>
                <w:sz w:val="24"/>
                <w:szCs w:val="24"/>
              </w:rPr>
              <w:t>а)</w:t>
            </w:r>
            <w:r w:rsidR="00B7247C">
              <w:rPr>
                <w:rFonts w:ascii="Times New Roman" w:hAnsi="Times New Roman" w:cs="Times New Roman"/>
                <w:sz w:val="24"/>
                <w:szCs w:val="24"/>
              </w:rPr>
              <w:t xml:space="preserve"> Локализация </w:t>
            </w:r>
            <w:r w:rsidR="00B7247C">
              <w:rPr>
                <w:rFonts w:ascii="Times New Roman" w:hAnsi="Times New Roman" w:cs="Times New Roman"/>
                <w:sz w:val="24"/>
                <w:szCs w:val="24"/>
                <w:lang w:val="en-US"/>
              </w:rPr>
              <w:t>RE</w:t>
            </w:r>
          </w:p>
        </w:tc>
        <w:tc>
          <w:tcPr>
            <w:tcW w:w="3636" w:type="dxa"/>
          </w:tcPr>
          <w:p w14:paraId="367D7156" w14:textId="67B0E249" w:rsidR="0097135F" w:rsidRPr="00B7247C" w:rsidRDefault="0097135F" w:rsidP="0097135F">
            <w:pPr>
              <w:spacing w:after="0" w:line="240" w:lineRule="auto"/>
              <w:jc w:val="center"/>
              <w:rPr>
                <w:rFonts w:ascii="Times New Roman" w:hAnsi="Times New Roman" w:cs="Times New Roman"/>
                <w:sz w:val="24"/>
                <w:szCs w:val="24"/>
                <w:lang w:val="en-US"/>
              </w:rPr>
            </w:pPr>
            <w:r w:rsidRPr="00B7247C">
              <w:rPr>
                <w:rFonts w:ascii="Times New Roman" w:hAnsi="Times New Roman" w:cs="Times New Roman"/>
                <w:sz w:val="24"/>
                <w:szCs w:val="24"/>
              </w:rPr>
              <w:t>б)</w:t>
            </w:r>
            <w:r w:rsidR="00B7247C">
              <w:rPr>
                <w:rFonts w:ascii="Times New Roman" w:hAnsi="Times New Roman" w:cs="Times New Roman"/>
                <w:sz w:val="24"/>
                <w:szCs w:val="24"/>
              </w:rPr>
              <w:t xml:space="preserve"> Локализация</w:t>
            </w:r>
            <w:r w:rsidR="00B7247C">
              <w:rPr>
                <w:rFonts w:ascii="Times New Roman" w:hAnsi="Times New Roman" w:cs="Times New Roman"/>
                <w:sz w:val="24"/>
                <w:szCs w:val="24"/>
                <w:lang w:val="en-US"/>
              </w:rPr>
              <w:t xml:space="preserve"> RLH</w:t>
            </w:r>
          </w:p>
        </w:tc>
        <w:tc>
          <w:tcPr>
            <w:tcW w:w="3636" w:type="dxa"/>
          </w:tcPr>
          <w:p w14:paraId="0571B6FA" w14:textId="7D548E39" w:rsidR="0097135F" w:rsidRPr="00B7247C" w:rsidRDefault="0097135F" w:rsidP="0097135F">
            <w:pPr>
              <w:spacing w:after="0" w:line="240" w:lineRule="auto"/>
              <w:jc w:val="center"/>
              <w:rPr>
                <w:rFonts w:ascii="Times New Roman" w:hAnsi="Times New Roman" w:cs="Times New Roman"/>
                <w:sz w:val="24"/>
                <w:szCs w:val="24"/>
                <w:lang w:val="en-US"/>
              </w:rPr>
            </w:pPr>
            <w:r w:rsidRPr="00B7247C">
              <w:rPr>
                <w:rFonts w:ascii="Times New Roman" w:hAnsi="Times New Roman" w:cs="Times New Roman"/>
                <w:sz w:val="24"/>
                <w:szCs w:val="24"/>
              </w:rPr>
              <w:t>в)</w:t>
            </w:r>
            <w:r w:rsidR="00B7247C">
              <w:rPr>
                <w:rFonts w:ascii="Times New Roman" w:hAnsi="Times New Roman" w:cs="Times New Roman"/>
                <w:sz w:val="24"/>
                <w:szCs w:val="24"/>
              </w:rPr>
              <w:t xml:space="preserve"> Локализация</w:t>
            </w:r>
            <w:r w:rsidR="00B7247C">
              <w:rPr>
                <w:rFonts w:ascii="Times New Roman" w:hAnsi="Times New Roman" w:cs="Times New Roman"/>
                <w:sz w:val="24"/>
                <w:szCs w:val="24"/>
                <w:lang w:val="en-US"/>
              </w:rPr>
              <w:t xml:space="preserve"> RRL</w:t>
            </w:r>
          </w:p>
        </w:tc>
      </w:tr>
    </w:tbl>
    <w:p w14:paraId="39649EE7" w14:textId="77777777" w:rsidR="00B7247C" w:rsidRPr="00E96DD1" w:rsidRDefault="00B7247C" w:rsidP="00B7247C">
      <w:pPr>
        <w:spacing w:after="0" w:line="240" w:lineRule="auto"/>
        <w:rPr>
          <w:rFonts w:ascii="Times New Roman" w:hAnsi="Times New Roman" w:cs="Times New Roman"/>
          <w:sz w:val="20"/>
          <w:szCs w:val="20"/>
        </w:rPr>
      </w:pPr>
    </w:p>
    <w:p w14:paraId="146C7777" w14:textId="746260EA" w:rsidR="00B7247C" w:rsidRPr="00B7247C" w:rsidRDefault="00B7247C" w:rsidP="00B7247C">
      <w:pPr>
        <w:spacing w:after="0" w:line="240" w:lineRule="auto"/>
        <w:ind w:firstLine="709"/>
        <w:jc w:val="center"/>
        <w:rPr>
          <w:rFonts w:ascii="Times New Roman" w:hAnsi="Times New Roman" w:cs="Times New Roman"/>
          <w:sz w:val="28"/>
          <w:szCs w:val="28"/>
        </w:rPr>
      </w:pPr>
      <w:r w:rsidRPr="00A43B9C">
        <w:rPr>
          <w:rFonts w:ascii="Times New Roman" w:hAnsi="Times New Roman" w:cs="Times New Roman"/>
          <w:sz w:val="28"/>
          <w:szCs w:val="28"/>
        </w:rPr>
        <w:t>Рисунок 3</w:t>
      </w:r>
      <w:r>
        <w:rPr>
          <w:rFonts w:ascii="Times New Roman" w:hAnsi="Times New Roman" w:cs="Times New Roman"/>
          <w:sz w:val="28"/>
          <w:szCs w:val="28"/>
        </w:rPr>
        <w:t>7</w:t>
      </w:r>
      <w:r w:rsidRPr="00A43B9C">
        <w:rPr>
          <w:rFonts w:ascii="Times New Roman" w:hAnsi="Times New Roman" w:cs="Times New Roman"/>
          <w:sz w:val="28"/>
          <w:szCs w:val="28"/>
        </w:rPr>
        <w:t xml:space="preserve"> - Анализ распределения уровня накопления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зависимости от </w:t>
      </w:r>
      <w:r w:rsidRPr="00A43B9C">
        <w:rPr>
          <w:rFonts w:ascii="Times New Roman" w:hAnsi="Times New Roman" w:cs="Times New Roman"/>
          <w:sz w:val="28"/>
          <w:szCs w:val="28"/>
          <w:lang w:val="en-US"/>
        </w:rPr>
        <w:t>PTL</w:t>
      </w:r>
      <w:r>
        <w:rPr>
          <w:rFonts w:ascii="Times New Roman" w:hAnsi="Times New Roman" w:cs="Times New Roman"/>
          <w:sz w:val="28"/>
          <w:szCs w:val="28"/>
        </w:rPr>
        <w:t>, лист 1</w:t>
      </w:r>
      <w:r w:rsidRPr="00B7247C">
        <w:rPr>
          <w:rFonts w:ascii="Times New Roman" w:hAnsi="Times New Roman" w:cs="Times New Roman"/>
          <w:sz w:val="28"/>
          <w:szCs w:val="28"/>
        </w:rPr>
        <w:br w:type="page"/>
      </w:r>
    </w:p>
    <w:tbl>
      <w:tblPr>
        <w:tblStyle w:val="ad"/>
        <w:tblW w:w="10908"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6"/>
        <w:gridCol w:w="3636"/>
        <w:gridCol w:w="3636"/>
      </w:tblGrid>
      <w:tr w:rsidR="00943765" w:rsidRPr="00A43B9C" w14:paraId="661484F4" w14:textId="77777777" w:rsidTr="00422F8C">
        <w:tc>
          <w:tcPr>
            <w:tcW w:w="3636" w:type="dxa"/>
          </w:tcPr>
          <w:p w14:paraId="74E53E3D" w14:textId="660C3BB5" w:rsidR="00BE6F17" w:rsidRPr="00A43B9C" w:rsidRDefault="00943765" w:rsidP="00943765">
            <w:pPr>
              <w:spacing w:after="0" w:line="240" w:lineRule="auto"/>
              <w:jc w:val="center"/>
              <w:rPr>
                <w:rFonts w:ascii="Times New Roman" w:hAnsi="Times New Roman" w:cs="Times New Roman"/>
                <w:sz w:val="28"/>
                <w:szCs w:val="28"/>
              </w:rPr>
            </w:pPr>
            <w:r w:rsidRPr="00A43B9C">
              <w:rPr>
                <w:noProof/>
                <w:lang w:eastAsia="ru-RU"/>
              </w:rPr>
              <w:lastRenderedPageBreak/>
              <mc:AlternateContent>
                <mc:Choice Requires="cx1">
                  <w:drawing>
                    <wp:inline distT="0" distB="0" distL="0" distR="0" wp14:anchorId="00BC43A2" wp14:editId="5DD8CBF3">
                      <wp:extent cx="2160000" cy="2124000"/>
                      <wp:effectExtent l="0" t="0" r="12065" b="10160"/>
                      <wp:docPr id="106" name="Диаграмма 106">
                        <a:extLst xmlns:a="http://schemas.openxmlformats.org/drawingml/2006/main">
                          <a:ext uri="{FF2B5EF4-FFF2-40B4-BE49-F238E27FC236}">
                            <a16:creationId xmlns:a16="http://schemas.microsoft.com/office/drawing/2014/main" id="{FACE8FEE-B8B2-43A9-8504-B6758748400A}"/>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96"/>
                        </a:graphicData>
                      </a:graphic>
                    </wp:inline>
                  </w:drawing>
                </mc:Choice>
                <mc:Fallback>
                  <w:drawing>
                    <wp:inline distT="0" distB="0" distL="0" distR="0" wp14:anchorId="00BC43A2" wp14:editId="5DD8CBF3">
                      <wp:extent cx="2160000" cy="2124000"/>
                      <wp:effectExtent l="0" t="0" r="12065" b="10160"/>
                      <wp:docPr id="106" name="Диаграмма 106">
                        <a:extLst xmlns:a="http://schemas.openxmlformats.org/drawingml/2006/main">
                          <a:ext uri="{FF2B5EF4-FFF2-40B4-BE49-F238E27FC236}">
                            <a16:creationId xmlns:a16="http://schemas.microsoft.com/office/drawing/2014/main" id="{FACE8FEE-B8B2-43A9-8504-B6758748400A}"/>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06" name="Диаграмма 106">
                                <a:extLst>
                                  <a:ext uri="{FF2B5EF4-FFF2-40B4-BE49-F238E27FC236}">
                                    <a16:creationId xmlns:a16="http://schemas.microsoft.com/office/drawing/2014/main" id="{FACE8FEE-B8B2-43A9-8504-B6758748400A}"/>
                                  </a:ext>
                                </a:extLst>
                              </pic:cNvPr>
                              <pic:cNvPicPr>
                                <a:picLocks noGrp="1" noRot="1" noChangeAspect="1" noMove="1" noResize="1" noEditPoints="1" noAdjustHandles="1" noChangeArrowheads="1" noChangeShapeType="1"/>
                              </pic:cNvPicPr>
                            </pic:nvPicPr>
                            <pic:blipFill>
                              <a:blip r:embed="rId197"/>
                              <a:stretch>
                                <a:fillRect/>
                              </a:stretch>
                            </pic:blipFill>
                            <pic:spPr>
                              <a:xfrm>
                                <a:off x="0" y="0"/>
                                <a:ext cx="2159635" cy="2123440"/>
                              </a:xfrm>
                              <a:prstGeom prst="rect">
                                <a:avLst/>
                              </a:prstGeom>
                            </pic:spPr>
                          </pic:pic>
                        </a:graphicData>
                      </a:graphic>
                    </wp:inline>
                  </w:drawing>
                </mc:Fallback>
              </mc:AlternateContent>
            </w:r>
          </w:p>
        </w:tc>
        <w:tc>
          <w:tcPr>
            <w:tcW w:w="3636" w:type="dxa"/>
          </w:tcPr>
          <w:p w14:paraId="1991B275" w14:textId="71FC1347" w:rsidR="00BE6F17" w:rsidRPr="00A43B9C" w:rsidRDefault="00943765" w:rsidP="00943765">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221C6CB7" wp14:editId="05475F8A">
                      <wp:extent cx="2160000" cy="2124000"/>
                      <wp:effectExtent l="0" t="0" r="12065" b="10160"/>
                      <wp:docPr id="413" name="Диаграмма 413">
                        <a:extLst xmlns:a="http://schemas.openxmlformats.org/drawingml/2006/main">
                          <a:ext uri="{FF2B5EF4-FFF2-40B4-BE49-F238E27FC236}">
                            <a16:creationId xmlns:a16="http://schemas.microsoft.com/office/drawing/2014/main" id="{DC747B4B-D0EA-4311-A9E2-AD3DB70C3F55}"/>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98"/>
                        </a:graphicData>
                      </a:graphic>
                    </wp:inline>
                  </w:drawing>
                </mc:Choice>
                <mc:Fallback>
                  <w:drawing>
                    <wp:inline distT="0" distB="0" distL="0" distR="0" wp14:anchorId="221C6CB7" wp14:editId="05475F8A">
                      <wp:extent cx="2160000" cy="2124000"/>
                      <wp:effectExtent l="0" t="0" r="12065" b="10160"/>
                      <wp:docPr id="413" name="Диаграмма 413">
                        <a:extLst xmlns:a="http://schemas.openxmlformats.org/drawingml/2006/main">
                          <a:ext uri="{FF2B5EF4-FFF2-40B4-BE49-F238E27FC236}">
                            <a16:creationId xmlns:a16="http://schemas.microsoft.com/office/drawing/2014/main" id="{DC747B4B-D0EA-4311-A9E2-AD3DB70C3F55}"/>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13" name="Диаграмма 413">
                                <a:extLst>
                                  <a:ext uri="{FF2B5EF4-FFF2-40B4-BE49-F238E27FC236}">
                                    <a16:creationId xmlns:a16="http://schemas.microsoft.com/office/drawing/2014/main" id="{DC747B4B-D0EA-4311-A9E2-AD3DB70C3F55}"/>
                                  </a:ext>
                                </a:extLst>
                              </pic:cNvPr>
                              <pic:cNvPicPr>
                                <a:picLocks noGrp="1" noRot="1" noChangeAspect="1" noMove="1" noResize="1" noEditPoints="1" noAdjustHandles="1" noChangeArrowheads="1" noChangeShapeType="1"/>
                              </pic:cNvPicPr>
                            </pic:nvPicPr>
                            <pic:blipFill>
                              <a:blip r:embed="rId199"/>
                              <a:stretch>
                                <a:fillRect/>
                              </a:stretch>
                            </pic:blipFill>
                            <pic:spPr>
                              <a:xfrm>
                                <a:off x="0" y="0"/>
                                <a:ext cx="2159635" cy="2123440"/>
                              </a:xfrm>
                              <a:prstGeom prst="rect">
                                <a:avLst/>
                              </a:prstGeom>
                            </pic:spPr>
                          </pic:pic>
                        </a:graphicData>
                      </a:graphic>
                    </wp:inline>
                  </w:drawing>
                </mc:Fallback>
              </mc:AlternateContent>
            </w:r>
          </w:p>
        </w:tc>
        <w:tc>
          <w:tcPr>
            <w:tcW w:w="3636" w:type="dxa"/>
          </w:tcPr>
          <w:p w14:paraId="0577F592" w14:textId="3079A6A0" w:rsidR="00BE6F17" w:rsidRPr="00A43B9C" w:rsidRDefault="00943765" w:rsidP="00943765">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2788859F" wp14:editId="160BF2EC">
                      <wp:extent cx="2160000" cy="2124000"/>
                      <wp:effectExtent l="0" t="0" r="12065" b="10160"/>
                      <wp:docPr id="417" name="Диаграмма 417">
                        <a:extLst xmlns:a="http://schemas.openxmlformats.org/drawingml/2006/main">
                          <a:ext uri="{FF2B5EF4-FFF2-40B4-BE49-F238E27FC236}">
                            <a16:creationId xmlns:a16="http://schemas.microsoft.com/office/drawing/2014/main" id="{35894E82-173C-47DF-922D-ADDEE5FB73EF}"/>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00"/>
                        </a:graphicData>
                      </a:graphic>
                    </wp:inline>
                  </w:drawing>
                </mc:Choice>
                <mc:Fallback>
                  <w:drawing>
                    <wp:inline distT="0" distB="0" distL="0" distR="0" wp14:anchorId="2788859F" wp14:editId="160BF2EC">
                      <wp:extent cx="2160000" cy="2124000"/>
                      <wp:effectExtent l="0" t="0" r="12065" b="10160"/>
                      <wp:docPr id="417" name="Диаграмма 417">
                        <a:extLst xmlns:a="http://schemas.openxmlformats.org/drawingml/2006/main">
                          <a:ext uri="{FF2B5EF4-FFF2-40B4-BE49-F238E27FC236}">
                            <a16:creationId xmlns:a16="http://schemas.microsoft.com/office/drawing/2014/main" id="{35894E82-173C-47DF-922D-ADDEE5FB73EF}"/>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17" name="Диаграмма 417">
                                <a:extLst>
                                  <a:ext uri="{FF2B5EF4-FFF2-40B4-BE49-F238E27FC236}">
                                    <a16:creationId xmlns:a16="http://schemas.microsoft.com/office/drawing/2014/main" id="{35894E82-173C-47DF-922D-ADDEE5FB73EF}"/>
                                  </a:ext>
                                </a:extLst>
                              </pic:cNvPr>
                              <pic:cNvPicPr>
                                <a:picLocks noGrp="1" noRot="1" noChangeAspect="1" noMove="1" noResize="1" noEditPoints="1" noAdjustHandles="1" noChangeArrowheads="1" noChangeShapeType="1"/>
                              </pic:cNvPicPr>
                            </pic:nvPicPr>
                            <pic:blipFill>
                              <a:blip r:embed="rId201"/>
                              <a:stretch>
                                <a:fillRect/>
                              </a:stretch>
                            </pic:blipFill>
                            <pic:spPr>
                              <a:xfrm>
                                <a:off x="0" y="0"/>
                                <a:ext cx="2159635" cy="2123440"/>
                              </a:xfrm>
                              <a:prstGeom prst="rect">
                                <a:avLst/>
                              </a:prstGeom>
                            </pic:spPr>
                          </pic:pic>
                        </a:graphicData>
                      </a:graphic>
                    </wp:inline>
                  </w:drawing>
                </mc:Fallback>
              </mc:AlternateContent>
            </w:r>
          </w:p>
        </w:tc>
      </w:tr>
      <w:tr w:rsidR="0097135F" w:rsidRPr="00B7247C" w14:paraId="58F08EEA" w14:textId="77777777" w:rsidTr="00422F8C">
        <w:tc>
          <w:tcPr>
            <w:tcW w:w="3636" w:type="dxa"/>
          </w:tcPr>
          <w:p w14:paraId="3C3D7735" w14:textId="3C95FC46" w:rsidR="0097135F" w:rsidRPr="00B7247C" w:rsidRDefault="0097135F" w:rsidP="0097135F">
            <w:pPr>
              <w:spacing w:after="0" w:line="240" w:lineRule="auto"/>
              <w:jc w:val="center"/>
              <w:rPr>
                <w:rFonts w:ascii="Times New Roman" w:hAnsi="Times New Roman" w:cs="Times New Roman"/>
                <w:sz w:val="24"/>
                <w:szCs w:val="24"/>
                <w:lang w:val="en-US"/>
              </w:rPr>
            </w:pPr>
            <w:r w:rsidRPr="00B7247C">
              <w:rPr>
                <w:rFonts w:ascii="Times New Roman" w:hAnsi="Times New Roman" w:cs="Times New Roman"/>
                <w:sz w:val="24"/>
                <w:szCs w:val="24"/>
              </w:rPr>
              <w:t>г)</w:t>
            </w:r>
            <w:r w:rsidR="00B7247C">
              <w:rPr>
                <w:rFonts w:ascii="Times New Roman" w:hAnsi="Times New Roman" w:cs="Times New Roman"/>
                <w:sz w:val="24"/>
                <w:szCs w:val="24"/>
              </w:rPr>
              <w:t xml:space="preserve"> Локализация </w:t>
            </w:r>
            <w:r w:rsidR="00B7247C">
              <w:rPr>
                <w:rFonts w:ascii="Times New Roman" w:hAnsi="Times New Roman" w:cs="Times New Roman"/>
                <w:sz w:val="24"/>
                <w:szCs w:val="24"/>
                <w:lang w:val="en-US"/>
              </w:rPr>
              <w:t>RU</w:t>
            </w:r>
          </w:p>
        </w:tc>
        <w:tc>
          <w:tcPr>
            <w:tcW w:w="3636" w:type="dxa"/>
          </w:tcPr>
          <w:p w14:paraId="1D12FBAE" w14:textId="1FE20D6D" w:rsidR="0097135F" w:rsidRPr="00B7247C" w:rsidRDefault="0097135F" w:rsidP="0097135F">
            <w:pPr>
              <w:spacing w:after="0" w:line="240" w:lineRule="auto"/>
              <w:jc w:val="center"/>
              <w:rPr>
                <w:rFonts w:ascii="Times New Roman" w:hAnsi="Times New Roman" w:cs="Times New Roman"/>
                <w:sz w:val="24"/>
                <w:szCs w:val="24"/>
                <w:lang w:val="en-US"/>
              </w:rPr>
            </w:pPr>
            <w:r w:rsidRPr="00B7247C">
              <w:rPr>
                <w:rFonts w:ascii="Times New Roman" w:hAnsi="Times New Roman" w:cs="Times New Roman"/>
                <w:sz w:val="24"/>
                <w:szCs w:val="24"/>
              </w:rPr>
              <w:t>д)</w:t>
            </w:r>
            <w:r w:rsidR="00B7247C">
              <w:rPr>
                <w:rFonts w:ascii="Times New Roman" w:hAnsi="Times New Roman" w:cs="Times New Roman"/>
                <w:sz w:val="24"/>
                <w:szCs w:val="24"/>
              </w:rPr>
              <w:t xml:space="preserve"> Локализация</w:t>
            </w:r>
            <w:r w:rsidR="00B7247C">
              <w:rPr>
                <w:rFonts w:ascii="Times New Roman" w:hAnsi="Times New Roman" w:cs="Times New Roman"/>
                <w:sz w:val="24"/>
                <w:szCs w:val="24"/>
                <w:lang w:val="en-US"/>
              </w:rPr>
              <w:t xml:space="preserve"> RLL</w:t>
            </w:r>
          </w:p>
        </w:tc>
        <w:tc>
          <w:tcPr>
            <w:tcW w:w="3636" w:type="dxa"/>
          </w:tcPr>
          <w:p w14:paraId="7C4E0A5D" w14:textId="0399C5AE" w:rsidR="0097135F" w:rsidRPr="00B7247C" w:rsidRDefault="0097135F" w:rsidP="0097135F">
            <w:pPr>
              <w:spacing w:after="0" w:line="240" w:lineRule="auto"/>
              <w:jc w:val="center"/>
              <w:rPr>
                <w:rFonts w:ascii="Times New Roman" w:hAnsi="Times New Roman" w:cs="Times New Roman"/>
                <w:sz w:val="24"/>
                <w:szCs w:val="24"/>
                <w:lang w:val="en-US"/>
              </w:rPr>
            </w:pPr>
            <w:r w:rsidRPr="00B7247C">
              <w:rPr>
                <w:rFonts w:ascii="Times New Roman" w:hAnsi="Times New Roman" w:cs="Times New Roman"/>
                <w:sz w:val="24"/>
                <w:szCs w:val="24"/>
              </w:rPr>
              <w:t>е)</w:t>
            </w:r>
            <w:r w:rsidR="00B7247C">
              <w:rPr>
                <w:rFonts w:ascii="Times New Roman" w:hAnsi="Times New Roman" w:cs="Times New Roman"/>
                <w:sz w:val="24"/>
                <w:szCs w:val="24"/>
              </w:rPr>
              <w:t xml:space="preserve"> Локализация</w:t>
            </w:r>
            <w:r w:rsidR="00B7247C">
              <w:rPr>
                <w:rFonts w:ascii="Times New Roman" w:hAnsi="Times New Roman" w:cs="Times New Roman"/>
                <w:sz w:val="24"/>
                <w:szCs w:val="24"/>
                <w:lang w:val="en-US"/>
              </w:rPr>
              <w:t xml:space="preserve"> RRI</w:t>
            </w:r>
          </w:p>
        </w:tc>
      </w:tr>
      <w:tr w:rsidR="00943765" w:rsidRPr="00A43B9C" w14:paraId="746E6B99" w14:textId="77777777" w:rsidTr="00422F8C">
        <w:tc>
          <w:tcPr>
            <w:tcW w:w="3636" w:type="dxa"/>
          </w:tcPr>
          <w:p w14:paraId="1FA78E09" w14:textId="5FB00852" w:rsidR="00BE6F17" w:rsidRPr="00A43B9C" w:rsidRDefault="00943765" w:rsidP="00943765">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7BDE9962" wp14:editId="25AF34EC">
                      <wp:extent cx="2160000" cy="2160000"/>
                      <wp:effectExtent l="0" t="0" r="12065" b="12065"/>
                      <wp:docPr id="109" name="Диаграмма 109">
                        <a:extLst xmlns:a="http://schemas.openxmlformats.org/drawingml/2006/main">
                          <a:ext uri="{FF2B5EF4-FFF2-40B4-BE49-F238E27FC236}">
                            <a16:creationId xmlns:a16="http://schemas.microsoft.com/office/drawing/2014/main" id="{2A94E973-11ED-4F39-91D1-EB09C52B3A7B}"/>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02"/>
                        </a:graphicData>
                      </a:graphic>
                    </wp:inline>
                  </w:drawing>
                </mc:Choice>
                <mc:Fallback>
                  <w:drawing>
                    <wp:inline distT="0" distB="0" distL="0" distR="0" wp14:anchorId="7BDE9962" wp14:editId="25AF34EC">
                      <wp:extent cx="2160000" cy="2160000"/>
                      <wp:effectExtent l="0" t="0" r="12065" b="12065"/>
                      <wp:docPr id="109" name="Диаграмма 109">
                        <a:extLst xmlns:a="http://schemas.openxmlformats.org/drawingml/2006/main">
                          <a:ext uri="{FF2B5EF4-FFF2-40B4-BE49-F238E27FC236}">
                            <a16:creationId xmlns:a16="http://schemas.microsoft.com/office/drawing/2014/main" id="{2A94E973-11ED-4F39-91D1-EB09C52B3A7B}"/>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09" name="Диаграмма 109">
                                <a:extLst>
                                  <a:ext uri="{FF2B5EF4-FFF2-40B4-BE49-F238E27FC236}">
                                    <a16:creationId xmlns:a16="http://schemas.microsoft.com/office/drawing/2014/main" id="{2A94E973-11ED-4F39-91D1-EB09C52B3A7B}"/>
                                  </a:ext>
                                </a:extLst>
                              </pic:cNvPr>
                              <pic:cNvPicPr>
                                <a:picLocks noGrp="1" noRot="1" noChangeAspect="1" noMove="1" noResize="1" noEditPoints="1" noAdjustHandles="1" noChangeArrowheads="1" noChangeShapeType="1"/>
                              </pic:cNvPicPr>
                            </pic:nvPicPr>
                            <pic:blipFill>
                              <a:blip r:embed="rId203"/>
                              <a:stretch>
                                <a:fillRect/>
                              </a:stretch>
                            </pic:blipFill>
                            <pic:spPr>
                              <a:xfrm>
                                <a:off x="0" y="0"/>
                                <a:ext cx="2159635" cy="2159635"/>
                              </a:xfrm>
                              <a:prstGeom prst="rect">
                                <a:avLst/>
                              </a:prstGeom>
                            </pic:spPr>
                          </pic:pic>
                        </a:graphicData>
                      </a:graphic>
                    </wp:inline>
                  </w:drawing>
                </mc:Fallback>
              </mc:AlternateContent>
            </w:r>
          </w:p>
        </w:tc>
        <w:tc>
          <w:tcPr>
            <w:tcW w:w="3636" w:type="dxa"/>
          </w:tcPr>
          <w:p w14:paraId="7A00BFBD" w14:textId="629E4EFE" w:rsidR="00BE6F17" w:rsidRPr="00A43B9C" w:rsidRDefault="00943765" w:rsidP="00943765">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78BD2A51" wp14:editId="0C0D6050">
                      <wp:extent cx="2160000" cy="2160000"/>
                      <wp:effectExtent l="0" t="0" r="12065" b="12065"/>
                      <wp:docPr id="419" name="Диаграмма 419">
                        <a:extLst xmlns:a="http://schemas.openxmlformats.org/drawingml/2006/main">
                          <a:ext uri="{FF2B5EF4-FFF2-40B4-BE49-F238E27FC236}">
                            <a16:creationId xmlns:a16="http://schemas.microsoft.com/office/drawing/2014/main" id="{5596D909-B08A-4A04-86C5-0D0AB3C350F5}"/>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04"/>
                        </a:graphicData>
                      </a:graphic>
                    </wp:inline>
                  </w:drawing>
                </mc:Choice>
                <mc:Fallback>
                  <w:drawing>
                    <wp:inline distT="0" distB="0" distL="0" distR="0" wp14:anchorId="78BD2A51" wp14:editId="0C0D6050">
                      <wp:extent cx="2160000" cy="2160000"/>
                      <wp:effectExtent l="0" t="0" r="12065" b="12065"/>
                      <wp:docPr id="419" name="Диаграмма 419">
                        <a:extLst xmlns:a="http://schemas.openxmlformats.org/drawingml/2006/main">
                          <a:ext uri="{FF2B5EF4-FFF2-40B4-BE49-F238E27FC236}">
                            <a16:creationId xmlns:a16="http://schemas.microsoft.com/office/drawing/2014/main" id="{5596D909-B08A-4A04-86C5-0D0AB3C350F5}"/>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19" name="Диаграмма 419">
                                <a:extLst>
                                  <a:ext uri="{FF2B5EF4-FFF2-40B4-BE49-F238E27FC236}">
                                    <a16:creationId xmlns:a16="http://schemas.microsoft.com/office/drawing/2014/main" id="{5596D909-B08A-4A04-86C5-0D0AB3C350F5}"/>
                                  </a:ext>
                                </a:extLst>
                              </pic:cNvPr>
                              <pic:cNvPicPr>
                                <a:picLocks noGrp="1" noRot="1" noChangeAspect="1" noMove="1" noResize="1" noEditPoints="1" noAdjustHandles="1" noChangeArrowheads="1" noChangeShapeType="1"/>
                              </pic:cNvPicPr>
                            </pic:nvPicPr>
                            <pic:blipFill>
                              <a:blip r:embed="rId205"/>
                              <a:stretch>
                                <a:fillRect/>
                              </a:stretch>
                            </pic:blipFill>
                            <pic:spPr>
                              <a:xfrm>
                                <a:off x="0" y="0"/>
                                <a:ext cx="2159635" cy="2159635"/>
                              </a:xfrm>
                              <a:prstGeom prst="rect">
                                <a:avLst/>
                              </a:prstGeom>
                            </pic:spPr>
                          </pic:pic>
                        </a:graphicData>
                      </a:graphic>
                    </wp:inline>
                  </w:drawing>
                </mc:Fallback>
              </mc:AlternateContent>
            </w:r>
          </w:p>
        </w:tc>
        <w:tc>
          <w:tcPr>
            <w:tcW w:w="3636" w:type="dxa"/>
          </w:tcPr>
          <w:p w14:paraId="09C8B903" w14:textId="3BCA0D5C" w:rsidR="00BE6F17" w:rsidRPr="00A43B9C" w:rsidRDefault="00943765" w:rsidP="00943765">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1DB50E50" wp14:editId="45F2DAEB">
                      <wp:extent cx="2160000" cy="2160000"/>
                      <wp:effectExtent l="0" t="0" r="12065" b="12065"/>
                      <wp:docPr id="423" name="Диаграмма 423">
                        <a:extLst xmlns:a="http://schemas.openxmlformats.org/drawingml/2006/main">
                          <a:ext uri="{FF2B5EF4-FFF2-40B4-BE49-F238E27FC236}">
                            <a16:creationId xmlns:a16="http://schemas.microsoft.com/office/drawing/2014/main" id="{41C75E3E-676B-4E10-91D5-9DFF7DA5D126}"/>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06"/>
                        </a:graphicData>
                      </a:graphic>
                    </wp:inline>
                  </w:drawing>
                </mc:Choice>
                <mc:Fallback>
                  <w:drawing>
                    <wp:inline distT="0" distB="0" distL="0" distR="0" wp14:anchorId="1DB50E50" wp14:editId="45F2DAEB">
                      <wp:extent cx="2160000" cy="2160000"/>
                      <wp:effectExtent l="0" t="0" r="12065" b="12065"/>
                      <wp:docPr id="423" name="Диаграмма 423">
                        <a:extLst xmlns:a="http://schemas.openxmlformats.org/drawingml/2006/main">
                          <a:ext uri="{FF2B5EF4-FFF2-40B4-BE49-F238E27FC236}">
                            <a16:creationId xmlns:a16="http://schemas.microsoft.com/office/drawing/2014/main" id="{41C75E3E-676B-4E10-91D5-9DFF7DA5D126}"/>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23" name="Диаграмма 423">
                                <a:extLst>
                                  <a:ext uri="{FF2B5EF4-FFF2-40B4-BE49-F238E27FC236}">
                                    <a16:creationId xmlns:a16="http://schemas.microsoft.com/office/drawing/2014/main" id="{41C75E3E-676B-4E10-91D5-9DFF7DA5D126}"/>
                                  </a:ext>
                                </a:extLst>
                              </pic:cNvPr>
                              <pic:cNvPicPr>
                                <a:picLocks noGrp="1" noRot="1" noChangeAspect="1" noMove="1" noResize="1" noEditPoints="1" noAdjustHandles="1" noChangeArrowheads="1" noChangeShapeType="1"/>
                              </pic:cNvPicPr>
                            </pic:nvPicPr>
                            <pic:blipFill>
                              <a:blip r:embed="rId207"/>
                              <a:stretch>
                                <a:fillRect/>
                              </a:stretch>
                            </pic:blipFill>
                            <pic:spPr>
                              <a:xfrm>
                                <a:off x="0" y="0"/>
                                <a:ext cx="2159635" cy="2159635"/>
                              </a:xfrm>
                              <a:prstGeom prst="rect">
                                <a:avLst/>
                              </a:prstGeom>
                            </pic:spPr>
                          </pic:pic>
                        </a:graphicData>
                      </a:graphic>
                    </wp:inline>
                  </w:drawing>
                </mc:Fallback>
              </mc:AlternateContent>
            </w:r>
          </w:p>
        </w:tc>
      </w:tr>
      <w:tr w:rsidR="0097135F" w:rsidRPr="00B7247C" w14:paraId="7258700A" w14:textId="77777777" w:rsidTr="00422F8C">
        <w:tc>
          <w:tcPr>
            <w:tcW w:w="3636" w:type="dxa"/>
          </w:tcPr>
          <w:p w14:paraId="4B22BFAC" w14:textId="6BFC0E41" w:rsidR="0097135F" w:rsidRPr="00B7247C" w:rsidRDefault="0097135F" w:rsidP="0097135F">
            <w:pPr>
              <w:spacing w:after="0" w:line="240" w:lineRule="auto"/>
              <w:jc w:val="center"/>
              <w:rPr>
                <w:rFonts w:ascii="Times New Roman" w:hAnsi="Times New Roman" w:cs="Times New Roman"/>
                <w:sz w:val="24"/>
                <w:szCs w:val="24"/>
                <w:lang w:val="en-US"/>
              </w:rPr>
            </w:pPr>
            <w:r w:rsidRPr="00B7247C">
              <w:rPr>
                <w:rFonts w:ascii="Times New Roman" w:hAnsi="Times New Roman" w:cs="Times New Roman"/>
                <w:sz w:val="24"/>
                <w:szCs w:val="24"/>
              </w:rPr>
              <w:t>ж)</w:t>
            </w:r>
            <w:r w:rsidR="00B7247C">
              <w:rPr>
                <w:rFonts w:ascii="Times New Roman" w:hAnsi="Times New Roman" w:cs="Times New Roman"/>
                <w:sz w:val="24"/>
                <w:szCs w:val="24"/>
              </w:rPr>
              <w:t xml:space="preserve"> Локализация</w:t>
            </w:r>
            <w:r w:rsidR="00B7247C">
              <w:rPr>
                <w:rFonts w:ascii="Times New Roman" w:hAnsi="Times New Roman" w:cs="Times New Roman"/>
                <w:sz w:val="24"/>
                <w:szCs w:val="24"/>
                <w:lang w:val="en-US"/>
              </w:rPr>
              <w:t xml:space="preserve"> RP</w:t>
            </w:r>
          </w:p>
        </w:tc>
        <w:tc>
          <w:tcPr>
            <w:tcW w:w="3636" w:type="dxa"/>
          </w:tcPr>
          <w:p w14:paraId="0F200354" w14:textId="1642B0E8" w:rsidR="0097135F" w:rsidRPr="00B7247C" w:rsidRDefault="0097135F" w:rsidP="0097135F">
            <w:pPr>
              <w:spacing w:after="0" w:line="240" w:lineRule="auto"/>
              <w:jc w:val="center"/>
              <w:rPr>
                <w:rFonts w:ascii="Times New Roman" w:hAnsi="Times New Roman" w:cs="Times New Roman"/>
                <w:sz w:val="24"/>
                <w:szCs w:val="24"/>
                <w:lang w:val="en-US"/>
              </w:rPr>
            </w:pPr>
            <w:r w:rsidRPr="00B7247C">
              <w:rPr>
                <w:rFonts w:ascii="Times New Roman" w:hAnsi="Times New Roman" w:cs="Times New Roman"/>
                <w:sz w:val="24"/>
                <w:szCs w:val="24"/>
              </w:rPr>
              <w:t>к)</w:t>
            </w:r>
            <w:r w:rsidR="00B7247C">
              <w:rPr>
                <w:rFonts w:ascii="Times New Roman" w:hAnsi="Times New Roman" w:cs="Times New Roman"/>
                <w:sz w:val="24"/>
                <w:szCs w:val="24"/>
              </w:rPr>
              <w:t xml:space="preserve"> Локализация</w:t>
            </w:r>
            <w:r w:rsidR="00B7247C">
              <w:rPr>
                <w:rFonts w:ascii="Times New Roman" w:hAnsi="Times New Roman" w:cs="Times New Roman"/>
                <w:sz w:val="24"/>
                <w:szCs w:val="24"/>
                <w:lang w:val="en-US"/>
              </w:rPr>
              <w:t xml:space="preserve"> RLI</w:t>
            </w:r>
          </w:p>
        </w:tc>
        <w:tc>
          <w:tcPr>
            <w:tcW w:w="3636" w:type="dxa"/>
          </w:tcPr>
          <w:p w14:paraId="5A2C58D3" w14:textId="100D503E" w:rsidR="0097135F" w:rsidRPr="00B7247C" w:rsidRDefault="0097135F" w:rsidP="0097135F">
            <w:pPr>
              <w:spacing w:after="0" w:line="240" w:lineRule="auto"/>
              <w:jc w:val="center"/>
              <w:rPr>
                <w:rFonts w:ascii="Times New Roman" w:hAnsi="Times New Roman" w:cs="Times New Roman"/>
                <w:sz w:val="24"/>
                <w:szCs w:val="24"/>
                <w:lang w:val="en-US"/>
              </w:rPr>
            </w:pPr>
            <w:r w:rsidRPr="00B7247C">
              <w:rPr>
                <w:rFonts w:ascii="Times New Roman" w:hAnsi="Times New Roman" w:cs="Times New Roman"/>
                <w:sz w:val="24"/>
                <w:szCs w:val="24"/>
              </w:rPr>
              <w:t>л)</w:t>
            </w:r>
            <w:r w:rsidR="00B7247C">
              <w:rPr>
                <w:rFonts w:ascii="Times New Roman" w:hAnsi="Times New Roman" w:cs="Times New Roman"/>
                <w:sz w:val="24"/>
                <w:szCs w:val="24"/>
              </w:rPr>
              <w:t xml:space="preserve"> Локализация</w:t>
            </w:r>
            <w:r w:rsidR="00B7247C">
              <w:rPr>
                <w:rFonts w:ascii="Times New Roman" w:hAnsi="Times New Roman" w:cs="Times New Roman"/>
                <w:sz w:val="24"/>
                <w:szCs w:val="24"/>
                <w:lang w:val="en-US"/>
              </w:rPr>
              <w:t xml:space="preserve"> P</w:t>
            </w:r>
          </w:p>
        </w:tc>
      </w:tr>
    </w:tbl>
    <w:p w14:paraId="5610B2D9" w14:textId="77777777" w:rsidR="00B7247C" w:rsidRDefault="00B7247C" w:rsidP="00BE6F17">
      <w:pPr>
        <w:spacing w:after="0" w:line="240" w:lineRule="auto"/>
        <w:ind w:firstLine="709"/>
        <w:jc w:val="center"/>
        <w:rPr>
          <w:rFonts w:ascii="Times New Roman" w:hAnsi="Times New Roman" w:cs="Times New Roman"/>
          <w:sz w:val="28"/>
          <w:szCs w:val="28"/>
        </w:rPr>
      </w:pPr>
    </w:p>
    <w:p w14:paraId="45CF2439" w14:textId="2B9E01A1" w:rsidR="00BE6F17" w:rsidRPr="00A43B9C" w:rsidRDefault="00BE6F17" w:rsidP="00BE6F17">
      <w:pPr>
        <w:spacing w:after="0" w:line="240" w:lineRule="auto"/>
        <w:ind w:firstLine="709"/>
        <w:jc w:val="center"/>
        <w:rPr>
          <w:rFonts w:ascii="Times New Roman" w:hAnsi="Times New Roman" w:cs="Times New Roman"/>
          <w:sz w:val="28"/>
          <w:szCs w:val="28"/>
        </w:rPr>
      </w:pPr>
      <w:r w:rsidRPr="00A43B9C">
        <w:rPr>
          <w:rFonts w:ascii="Times New Roman" w:hAnsi="Times New Roman" w:cs="Times New Roman"/>
          <w:sz w:val="28"/>
          <w:szCs w:val="28"/>
        </w:rPr>
        <w:t>Рисунок 3</w:t>
      </w:r>
      <w:r w:rsidR="001A1D98">
        <w:rPr>
          <w:rFonts w:ascii="Times New Roman" w:hAnsi="Times New Roman" w:cs="Times New Roman"/>
          <w:sz w:val="28"/>
          <w:szCs w:val="28"/>
        </w:rPr>
        <w:t>7</w:t>
      </w:r>
      <w:r w:rsidR="001D33E2" w:rsidRPr="00A43B9C">
        <w:rPr>
          <w:rFonts w:ascii="Times New Roman" w:hAnsi="Times New Roman" w:cs="Times New Roman"/>
          <w:sz w:val="28"/>
          <w:szCs w:val="28"/>
        </w:rPr>
        <w:t xml:space="preserve"> </w:t>
      </w:r>
      <w:r w:rsidR="004D5D0F">
        <w:rPr>
          <w:rFonts w:ascii="Times New Roman" w:hAnsi="Times New Roman" w:cs="Times New Roman"/>
          <w:sz w:val="28"/>
          <w:szCs w:val="28"/>
        </w:rPr>
        <w:t>-</w:t>
      </w:r>
      <w:r w:rsidRPr="00A43B9C">
        <w:rPr>
          <w:rFonts w:ascii="Times New Roman" w:hAnsi="Times New Roman" w:cs="Times New Roman"/>
          <w:sz w:val="28"/>
          <w:szCs w:val="28"/>
        </w:rPr>
        <w:t xml:space="preserve"> </w:t>
      </w:r>
      <w:r w:rsidR="00B7247C">
        <w:rPr>
          <w:rFonts w:ascii="Times New Roman" w:hAnsi="Times New Roman" w:cs="Times New Roman"/>
          <w:sz w:val="28"/>
          <w:szCs w:val="28"/>
        </w:rPr>
        <w:t>лист 2</w:t>
      </w:r>
    </w:p>
    <w:p w14:paraId="2E3F0CC1" w14:textId="43D92639" w:rsidR="00BE6F17" w:rsidRPr="00A43B9C" w:rsidRDefault="00BE6F17" w:rsidP="00825215">
      <w:pPr>
        <w:spacing w:after="0" w:line="240" w:lineRule="auto"/>
        <w:ind w:firstLine="709"/>
        <w:jc w:val="center"/>
        <w:rPr>
          <w:rFonts w:ascii="Times New Roman" w:hAnsi="Times New Roman" w:cs="Times New Roman"/>
          <w:sz w:val="28"/>
          <w:szCs w:val="28"/>
        </w:rPr>
      </w:pPr>
    </w:p>
    <w:p w14:paraId="0870FBD7" w14:textId="704687C3" w:rsidR="00825215" w:rsidRPr="00A43B9C" w:rsidRDefault="00AA52D4" w:rsidP="00825215">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lang w:val="kk-KZ"/>
        </w:rPr>
        <w:t xml:space="preserve">Сравнительный анализ </w:t>
      </w:r>
      <w:r w:rsidR="00825215" w:rsidRPr="00A43B9C">
        <w:rPr>
          <w:rFonts w:ascii="Times New Roman" w:hAnsi="Times New Roman" w:cs="Times New Roman"/>
          <w:sz w:val="28"/>
          <w:szCs w:val="28"/>
        </w:rPr>
        <w:t>уровня накоплени</w:t>
      </w:r>
      <w:r w:rsidR="00B336CA" w:rsidRPr="00A43B9C">
        <w:rPr>
          <w:rFonts w:ascii="Times New Roman" w:hAnsi="Times New Roman" w:cs="Times New Roman"/>
          <w:sz w:val="28"/>
          <w:szCs w:val="28"/>
        </w:rPr>
        <w:t>я</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SUV</w:t>
      </w:r>
      <w:r w:rsidR="00825215" w:rsidRPr="00A43B9C">
        <w:rPr>
          <w:rFonts w:ascii="Times New Roman" w:hAnsi="Times New Roman" w:cs="Times New Roman"/>
          <w:sz w:val="28"/>
          <w:szCs w:val="28"/>
          <w:vertAlign w:val="subscript"/>
          <w:lang w:val="en-US"/>
        </w:rPr>
        <w:t>max</w:t>
      </w:r>
      <w:r w:rsidR="00825215" w:rsidRPr="00A43B9C">
        <w:rPr>
          <w:rFonts w:ascii="Times New Roman" w:hAnsi="Times New Roman" w:cs="Times New Roman"/>
          <w:sz w:val="28"/>
          <w:szCs w:val="28"/>
          <w:lang w:val="kk-KZ"/>
        </w:rPr>
        <w:t xml:space="preserve"> в зависимости от стадии </w:t>
      </w:r>
      <w:r w:rsidR="000874C1" w:rsidRPr="00A43B9C">
        <w:rPr>
          <w:rFonts w:ascii="Times New Roman" w:hAnsi="Times New Roman" w:cs="Times New Roman"/>
          <w:sz w:val="28"/>
          <w:szCs w:val="28"/>
          <w:lang w:val="en-US"/>
        </w:rPr>
        <w:t>T</w:t>
      </w:r>
      <w:r w:rsidR="00825215" w:rsidRPr="00A43B9C">
        <w:rPr>
          <w:rFonts w:ascii="Times New Roman" w:hAnsi="Times New Roman" w:cs="Times New Roman"/>
          <w:sz w:val="28"/>
          <w:szCs w:val="28"/>
        </w:rPr>
        <w:t xml:space="preserve"> </w:t>
      </w:r>
      <w:r w:rsidR="003C22F7" w:rsidRPr="00A43B9C">
        <w:rPr>
          <w:rFonts w:ascii="Times New Roman" w:hAnsi="Times New Roman" w:cs="Times New Roman"/>
          <w:sz w:val="28"/>
          <w:szCs w:val="28"/>
        </w:rPr>
        <w:t xml:space="preserve">(таблица 28) </w:t>
      </w:r>
      <w:r w:rsidR="00825215" w:rsidRPr="00A43B9C">
        <w:rPr>
          <w:rFonts w:ascii="Times New Roman" w:hAnsi="Times New Roman" w:cs="Times New Roman"/>
          <w:sz w:val="28"/>
          <w:szCs w:val="28"/>
          <w:lang w:val="kk-KZ"/>
        </w:rPr>
        <w:t xml:space="preserve">статистически значимых различий не установил для </w:t>
      </w:r>
      <w:r w:rsidR="00825215" w:rsidRPr="00A43B9C">
        <w:rPr>
          <w:rFonts w:ascii="Times New Roman" w:hAnsi="Times New Roman" w:cs="Times New Roman"/>
          <w:sz w:val="28"/>
          <w:szCs w:val="28"/>
        </w:rPr>
        <w:t xml:space="preserve">всех </w:t>
      </w:r>
      <w:r w:rsidR="00825215" w:rsidRPr="00A43B9C">
        <w:rPr>
          <w:rFonts w:ascii="Times New Roman" w:hAnsi="Times New Roman" w:cs="Times New Roman"/>
          <w:sz w:val="28"/>
          <w:szCs w:val="28"/>
          <w:lang w:val="kk-KZ"/>
        </w:rPr>
        <w:t>локализаций</w:t>
      </w:r>
      <w:r w:rsidR="006E1ADA" w:rsidRPr="00A43B9C">
        <w:rPr>
          <w:rFonts w:ascii="Times New Roman" w:hAnsi="Times New Roman" w:cs="Times New Roman"/>
          <w:sz w:val="28"/>
          <w:szCs w:val="28"/>
          <w:lang w:val="kk-KZ"/>
        </w:rPr>
        <w:t xml:space="preserve"> (рисунок 3</w:t>
      </w:r>
      <w:r w:rsidR="00EA5E8C">
        <w:rPr>
          <w:rFonts w:ascii="Times New Roman" w:hAnsi="Times New Roman" w:cs="Times New Roman"/>
          <w:sz w:val="28"/>
          <w:szCs w:val="28"/>
          <w:lang w:val="kk-KZ"/>
        </w:rPr>
        <w:t>8</w:t>
      </w:r>
      <w:r w:rsidR="006E1ADA" w:rsidRPr="00A43B9C">
        <w:rPr>
          <w:rFonts w:ascii="Times New Roman" w:hAnsi="Times New Roman" w:cs="Times New Roman"/>
          <w:sz w:val="28"/>
          <w:szCs w:val="28"/>
          <w:lang w:val="kk-KZ"/>
        </w:rPr>
        <w:t>)</w:t>
      </w:r>
      <w:r w:rsidR="00825215" w:rsidRPr="00A43B9C">
        <w:rPr>
          <w:rFonts w:ascii="Times New Roman" w:hAnsi="Times New Roman" w:cs="Times New Roman"/>
          <w:sz w:val="28"/>
          <w:szCs w:val="28"/>
          <w:lang w:val="kk-KZ"/>
        </w:rPr>
        <w:t xml:space="preserve"> </w:t>
      </w:r>
      <w:r w:rsidRPr="00A43B9C">
        <w:rPr>
          <w:rFonts w:ascii="Times New Roman" w:hAnsi="Times New Roman" w:cs="Times New Roman"/>
          <w:sz w:val="28"/>
          <w:szCs w:val="28"/>
          <w:lang w:val="kk-KZ"/>
        </w:rPr>
        <w:t>(</w:t>
      </w:r>
      <w:r w:rsidR="00825215" w:rsidRPr="00A43B9C">
        <w:rPr>
          <w:rFonts w:ascii="Times New Roman" w:hAnsi="Times New Roman" w:cs="Times New Roman"/>
          <w:sz w:val="28"/>
          <w:szCs w:val="28"/>
          <w:lang w:val="en-US"/>
        </w:rPr>
        <w:t>RE</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0,785), </w:t>
      </w:r>
      <w:r w:rsidR="00825215" w:rsidRPr="00A43B9C">
        <w:rPr>
          <w:rFonts w:ascii="Times New Roman" w:hAnsi="Times New Roman" w:cs="Times New Roman"/>
          <w:sz w:val="28"/>
          <w:szCs w:val="28"/>
          <w:lang w:val="en-US"/>
        </w:rPr>
        <w:t>RLH</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0,372), </w:t>
      </w:r>
      <w:r w:rsidR="00825215" w:rsidRPr="00A43B9C">
        <w:rPr>
          <w:rFonts w:ascii="Times New Roman" w:hAnsi="Times New Roman" w:cs="Times New Roman"/>
          <w:sz w:val="28"/>
          <w:szCs w:val="28"/>
          <w:lang w:val="en-US"/>
        </w:rPr>
        <w:t>RRL</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0,841), </w:t>
      </w:r>
      <w:r w:rsidR="00825215" w:rsidRPr="00A43B9C">
        <w:rPr>
          <w:rFonts w:ascii="Times New Roman" w:hAnsi="Times New Roman" w:cs="Times New Roman"/>
          <w:sz w:val="28"/>
          <w:szCs w:val="28"/>
          <w:lang w:val="en-US"/>
        </w:rPr>
        <w:t>RU</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0,142), </w:t>
      </w:r>
      <w:r w:rsidR="00825215" w:rsidRPr="00A43B9C">
        <w:rPr>
          <w:rFonts w:ascii="Times New Roman" w:hAnsi="Times New Roman" w:cs="Times New Roman"/>
          <w:sz w:val="28"/>
          <w:szCs w:val="28"/>
          <w:lang w:val="en-US"/>
        </w:rPr>
        <w:t>RLL</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0,390), </w:t>
      </w:r>
      <w:r w:rsidR="00825215" w:rsidRPr="00A43B9C">
        <w:rPr>
          <w:rFonts w:ascii="Times New Roman" w:hAnsi="Times New Roman" w:cs="Times New Roman"/>
          <w:sz w:val="28"/>
          <w:szCs w:val="28"/>
          <w:lang w:val="en-US"/>
        </w:rPr>
        <w:t>RRI</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0,214), </w:t>
      </w:r>
      <w:r w:rsidR="00825215" w:rsidRPr="00A43B9C">
        <w:rPr>
          <w:rFonts w:ascii="Times New Roman" w:hAnsi="Times New Roman" w:cs="Times New Roman"/>
          <w:sz w:val="28"/>
          <w:szCs w:val="28"/>
          <w:lang w:val="en-US"/>
        </w:rPr>
        <w:t>RP</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0,715), RLI (p = 0,392), P (p = 0,126)</w:t>
      </w:r>
      <w:r w:rsidRPr="00A43B9C">
        <w:rPr>
          <w:rFonts w:ascii="Times New Roman" w:hAnsi="Times New Roman" w:cs="Times New Roman"/>
          <w:sz w:val="28"/>
          <w:szCs w:val="28"/>
        </w:rPr>
        <w:t>)</w:t>
      </w:r>
      <w:r w:rsidR="00825215" w:rsidRPr="00A43B9C">
        <w:rPr>
          <w:rFonts w:ascii="Times New Roman" w:hAnsi="Times New Roman" w:cs="Times New Roman"/>
          <w:sz w:val="28"/>
          <w:szCs w:val="28"/>
        </w:rPr>
        <w:t>.</w:t>
      </w:r>
    </w:p>
    <w:p w14:paraId="717A0F30" w14:textId="77777777" w:rsidR="00825215" w:rsidRPr="00A43B9C" w:rsidRDefault="00825215" w:rsidP="00825215">
      <w:pPr>
        <w:spacing w:after="0" w:line="240" w:lineRule="auto"/>
        <w:ind w:firstLine="709"/>
        <w:jc w:val="both"/>
        <w:rPr>
          <w:rFonts w:ascii="Times New Roman" w:hAnsi="Times New Roman" w:cs="Times New Roman"/>
          <w:sz w:val="28"/>
          <w:szCs w:val="28"/>
        </w:rPr>
      </w:pPr>
    </w:p>
    <w:p w14:paraId="72A5AB75" w14:textId="7E1EC58A" w:rsidR="00825215"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28 -</w:t>
      </w:r>
      <w:r w:rsidR="00825215" w:rsidRPr="00A43B9C">
        <w:rPr>
          <w:rFonts w:ascii="Times New Roman" w:hAnsi="Times New Roman" w:cs="Times New Roman"/>
          <w:sz w:val="28"/>
          <w:szCs w:val="28"/>
        </w:rPr>
        <w:t xml:space="preserve"> Анализ распределени</w:t>
      </w:r>
      <w:r w:rsidR="00AA52D4" w:rsidRPr="00A43B9C">
        <w:rPr>
          <w:rFonts w:ascii="Times New Roman" w:hAnsi="Times New Roman" w:cs="Times New Roman"/>
          <w:sz w:val="28"/>
          <w:szCs w:val="28"/>
        </w:rPr>
        <w:t>я</w:t>
      </w:r>
      <w:r w:rsidR="00825215" w:rsidRPr="00A43B9C">
        <w:rPr>
          <w:rFonts w:ascii="Times New Roman" w:hAnsi="Times New Roman" w:cs="Times New Roman"/>
          <w:sz w:val="28"/>
          <w:szCs w:val="28"/>
        </w:rPr>
        <w:t xml:space="preserve"> уровня накоплени</w:t>
      </w:r>
      <w:r w:rsidR="00B336CA" w:rsidRPr="00A43B9C">
        <w:rPr>
          <w:rFonts w:ascii="Times New Roman" w:hAnsi="Times New Roman" w:cs="Times New Roman"/>
          <w:sz w:val="28"/>
          <w:szCs w:val="28"/>
        </w:rPr>
        <w:t>я</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SUV</w:t>
      </w:r>
      <w:r w:rsidR="00825215" w:rsidRPr="00A43B9C">
        <w:rPr>
          <w:rFonts w:ascii="Times New Roman" w:hAnsi="Times New Roman" w:cs="Times New Roman"/>
          <w:sz w:val="28"/>
          <w:szCs w:val="28"/>
          <w:vertAlign w:val="subscript"/>
          <w:lang w:val="en-US"/>
        </w:rPr>
        <w:t>max</w:t>
      </w:r>
      <w:r w:rsidR="00825215" w:rsidRPr="00A43B9C">
        <w:rPr>
          <w:rFonts w:ascii="Times New Roman" w:hAnsi="Times New Roman" w:cs="Times New Roman"/>
          <w:sz w:val="28"/>
          <w:szCs w:val="28"/>
        </w:rPr>
        <w:t xml:space="preserve"> в зависимости от </w:t>
      </w:r>
      <w:r w:rsidR="005E6113" w:rsidRPr="00A43B9C">
        <w:rPr>
          <w:rFonts w:ascii="Times New Roman" w:hAnsi="Times New Roman" w:cs="Times New Roman"/>
          <w:sz w:val="28"/>
          <w:szCs w:val="28"/>
        </w:rPr>
        <w:t xml:space="preserve">стадии </w:t>
      </w:r>
      <w:r w:rsidR="000874C1" w:rsidRPr="00A43B9C">
        <w:rPr>
          <w:rFonts w:ascii="Times New Roman" w:hAnsi="Times New Roman" w:cs="Times New Roman"/>
          <w:sz w:val="28"/>
          <w:szCs w:val="28"/>
          <w:lang w:val="en-US"/>
        </w:rPr>
        <w:t>T</w:t>
      </w:r>
    </w:p>
    <w:p w14:paraId="3E3C91D8"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5000" w:type="pct"/>
        <w:jc w:val="center"/>
        <w:tblLook w:val="04A0" w:firstRow="1" w:lastRow="0" w:firstColumn="1" w:lastColumn="0" w:noHBand="0" w:noVBand="1"/>
      </w:tblPr>
      <w:tblGrid>
        <w:gridCol w:w="1761"/>
        <w:gridCol w:w="1553"/>
        <w:gridCol w:w="1506"/>
        <w:gridCol w:w="1508"/>
        <w:gridCol w:w="1508"/>
        <w:gridCol w:w="1508"/>
      </w:tblGrid>
      <w:tr w:rsidR="00825215" w:rsidRPr="00A43B9C" w14:paraId="62778626" w14:textId="77777777" w:rsidTr="003F0A73">
        <w:trPr>
          <w:jc w:val="center"/>
        </w:trPr>
        <w:tc>
          <w:tcPr>
            <w:tcW w:w="942" w:type="pct"/>
            <w:vAlign w:val="center"/>
          </w:tcPr>
          <w:p w14:paraId="58AF8DA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Локализация</w:t>
            </w:r>
          </w:p>
        </w:tc>
        <w:tc>
          <w:tcPr>
            <w:tcW w:w="831" w:type="pct"/>
            <w:vAlign w:val="center"/>
          </w:tcPr>
          <w:p w14:paraId="61D9498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Категория</w:t>
            </w:r>
          </w:p>
        </w:tc>
        <w:tc>
          <w:tcPr>
            <w:tcW w:w="806" w:type="pct"/>
            <w:vAlign w:val="center"/>
          </w:tcPr>
          <w:p w14:paraId="67E5C8E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Me</w:t>
            </w:r>
          </w:p>
        </w:tc>
        <w:tc>
          <w:tcPr>
            <w:tcW w:w="807" w:type="pct"/>
            <w:vAlign w:val="center"/>
          </w:tcPr>
          <w:p w14:paraId="75594D7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Q₁ – Q₃</w:t>
            </w:r>
          </w:p>
        </w:tc>
        <w:tc>
          <w:tcPr>
            <w:tcW w:w="807" w:type="pct"/>
            <w:vAlign w:val="center"/>
          </w:tcPr>
          <w:p w14:paraId="7DFD984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p>
        </w:tc>
        <w:tc>
          <w:tcPr>
            <w:tcW w:w="807" w:type="pct"/>
            <w:vAlign w:val="center"/>
          </w:tcPr>
          <w:p w14:paraId="04C7078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w:t>
            </w:r>
          </w:p>
        </w:tc>
      </w:tr>
      <w:tr w:rsidR="00452443" w:rsidRPr="00A43B9C" w14:paraId="35E3AD1D" w14:textId="77777777" w:rsidTr="00993B4F">
        <w:trPr>
          <w:jc w:val="center"/>
        </w:trPr>
        <w:tc>
          <w:tcPr>
            <w:tcW w:w="942" w:type="pct"/>
            <w:vAlign w:val="center"/>
          </w:tcPr>
          <w:p w14:paraId="67E70B6C" w14:textId="0758FDCF"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831" w:type="pct"/>
            <w:vAlign w:val="center"/>
          </w:tcPr>
          <w:p w14:paraId="25AE27B2" w14:textId="7C0D916A"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806" w:type="pct"/>
            <w:vAlign w:val="center"/>
          </w:tcPr>
          <w:p w14:paraId="25359C00" w14:textId="2F907796"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807" w:type="pct"/>
            <w:vAlign w:val="center"/>
          </w:tcPr>
          <w:p w14:paraId="14AE78A8" w14:textId="54487482"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807" w:type="pct"/>
            <w:vAlign w:val="center"/>
          </w:tcPr>
          <w:p w14:paraId="0457718B" w14:textId="7AAA6FD9"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807" w:type="pct"/>
          </w:tcPr>
          <w:p w14:paraId="29AB90ED" w14:textId="7791C2C0"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r>
      <w:tr w:rsidR="00452443" w:rsidRPr="00A43B9C" w14:paraId="4236A3F8" w14:textId="77777777" w:rsidTr="003F0A73">
        <w:trPr>
          <w:jc w:val="center"/>
        </w:trPr>
        <w:tc>
          <w:tcPr>
            <w:tcW w:w="942" w:type="pct"/>
            <w:vMerge w:val="restart"/>
            <w:vAlign w:val="center"/>
          </w:tcPr>
          <w:p w14:paraId="1E62590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RE</w:t>
            </w:r>
          </w:p>
        </w:tc>
        <w:tc>
          <w:tcPr>
            <w:tcW w:w="831" w:type="pct"/>
            <w:vAlign w:val="center"/>
          </w:tcPr>
          <w:p w14:paraId="3DFEAA6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1</w:t>
            </w:r>
          </w:p>
        </w:tc>
        <w:tc>
          <w:tcPr>
            <w:tcW w:w="806" w:type="pct"/>
            <w:vAlign w:val="center"/>
          </w:tcPr>
          <w:p w14:paraId="6DDCF09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0,92</w:t>
            </w:r>
          </w:p>
        </w:tc>
        <w:tc>
          <w:tcPr>
            <w:tcW w:w="807" w:type="pct"/>
            <w:vAlign w:val="center"/>
          </w:tcPr>
          <w:p w14:paraId="500788C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0,92 – 0,92</w:t>
            </w:r>
          </w:p>
        </w:tc>
        <w:tc>
          <w:tcPr>
            <w:tcW w:w="807" w:type="pct"/>
            <w:vAlign w:val="center"/>
          </w:tcPr>
          <w:p w14:paraId="4C17411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p>
        </w:tc>
        <w:tc>
          <w:tcPr>
            <w:tcW w:w="807" w:type="pct"/>
            <w:vMerge w:val="restart"/>
            <w:vAlign w:val="center"/>
          </w:tcPr>
          <w:p w14:paraId="3328E06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0,785</w:t>
            </w:r>
          </w:p>
        </w:tc>
      </w:tr>
      <w:tr w:rsidR="00452443" w:rsidRPr="00A43B9C" w14:paraId="1D749687" w14:textId="77777777" w:rsidTr="003F0A73">
        <w:trPr>
          <w:jc w:val="center"/>
        </w:trPr>
        <w:tc>
          <w:tcPr>
            <w:tcW w:w="942" w:type="pct"/>
            <w:vMerge/>
            <w:vAlign w:val="center"/>
          </w:tcPr>
          <w:p w14:paraId="453D29ED" w14:textId="77777777" w:rsidR="00452443" w:rsidRPr="00A43B9C" w:rsidRDefault="00452443" w:rsidP="00452443">
            <w:pPr>
              <w:spacing w:after="0" w:line="240" w:lineRule="auto"/>
              <w:rPr>
                <w:rFonts w:ascii="Times New Roman" w:hAnsi="Times New Roman" w:cs="Times New Roman"/>
                <w:sz w:val="28"/>
                <w:szCs w:val="28"/>
              </w:rPr>
            </w:pPr>
          </w:p>
        </w:tc>
        <w:tc>
          <w:tcPr>
            <w:tcW w:w="831" w:type="pct"/>
            <w:vAlign w:val="center"/>
          </w:tcPr>
          <w:p w14:paraId="567E31D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2</w:t>
            </w:r>
          </w:p>
        </w:tc>
        <w:tc>
          <w:tcPr>
            <w:tcW w:w="806" w:type="pct"/>
            <w:vAlign w:val="center"/>
          </w:tcPr>
          <w:p w14:paraId="424B605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0,77</w:t>
            </w:r>
          </w:p>
        </w:tc>
        <w:tc>
          <w:tcPr>
            <w:tcW w:w="807" w:type="pct"/>
            <w:vAlign w:val="center"/>
          </w:tcPr>
          <w:p w14:paraId="60BBFC3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0,74 – 0,92</w:t>
            </w:r>
          </w:p>
        </w:tc>
        <w:tc>
          <w:tcPr>
            <w:tcW w:w="807" w:type="pct"/>
            <w:vAlign w:val="center"/>
          </w:tcPr>
          <w:p w14:paraId="26C89C0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w:t>
            </w:r>
          </w:p>
        </w:tc>
        <w:tc>
          <w:tcPr>
            <w:tcW w:w="807" w:type="pct"/>
            <w:vMerge/>
          </w:tcPr>
          <w:p w14:paraId="7917B480"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595B05C3" w14:textId="77777777" w:rsidTr="003F0A73">
        <w:trPr>
          <w:jc w:val="center"/>
        </w:trPr>
        <w:tc>
          <w:tcPr>
            <w:tcW w:w="942" w:type="pct"/>
            <w:vMerge/>
            <w:vAlign w:val="center"/>
          </w:tcPr>
          <w:p w14:paraId="1CBF6E9F" w14:textId="77777777" w:rsidR="00452443" w:rsidRPr="00A43B9C" w:rsidRDefault="00452443" w:rsidP="00452443">
            <w:pPr>
              <w:spacing w:after="0" w:line="240" w:lineRule="auto"/>
              <w:rPr>
                <w:rFonts w:ascii="Times New Roman" w:hAnsi="Times New Roman" w:cs="Times New Roman"/>
                <w:sz w:val="28"/>
                <w:szCs w:val="28"/>
              </w:rPr>
            </w:pPr>
          </w:p>
        </w:tc>
        <w:tc>
          <w:tcPr>
            <w:tcW w:w="831" w:type="pct"/>
            <w:vAlign w:val="center"/>
          </w:tcPr>
          <w:p w14:paraId="7703785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3</w:t>
            </w:r>
          </w:p>
        </w:tc>
        <w:tc>
          <w:tcPr>
            <w:tcW w:w="806" w:type="pct"/>
            <w:vAlign w:val="center"/>
          </w:tcPr>
          <w:p w14:paraId="5B2D873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0,75</w:t>
            </w:r>
          </w:p>
        </w:tc>
        <w:tc>
          <w:tcPr>
            <w:tcW w:w="807" w:type="pct"/>
            <w:vAlign w:val="center"/>
          </w:tcPr>
          <w:p w14:paraId="7CAA07F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0,54 – 0,95</w:t>
            </w:r>
          </w:p>
        </w:tc>
        <w:tc>
          <w:tcPr>
            <w:tcW w:w="807" w:type="pct"/>
            <w:vAlign w:val="center"/>
          </w:tcPr>
          <w:p w14:paraId="21FFD87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28</w:t>
            </w:r>
          </w:p>
        </w:tc>
        <w:tc>
          <w:tcPr>
            <w:tcW w:w="807" w:type="pct"/>
            <w:vMerge/>
          </w:tcPr>
          <w:p w14:paraId="6F20D367"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0E497DEF" w14:textId="77777777" w:rsidTr="003F0A73">
        <w:trPr>
          <w:jc w:val="center"/>
        </w:trPr>
        <w:tc>
          <w:tcPr>
            <w:tcW w:w="942" w:type="pct"/>
            <w:vMerge/>
            <w:vAlign w:val="center"/>
          </w:tcPr>
          <w:p w14:paraId="13F8E0AF" w14:textId="77777777" w:rsidR="00452443" w:rsidRPr="00A43B9C" w:rsidRDefault="00452443" w:rsidP="00452443">
            <w:pPr>
              <w:spacing w:after="0" w:line="240" w:lineRule="auto"/>
              <w:rPr>
                <w:rFonts w:ascii="Times New Roman" w:hAnsi="Times New Roman" w:cs="Times New Roman"/>
                <w:sz w:val="28"/>
                <w:szCs w:val="28"/>
              </w:rPr>
            </w:pPr>
          </w:p>
        </w:tc>
        <w:tc>
          <w:tcPr>
            <w:tcW w:w="831" w:type="pct"/>
            <w:vAlign w:val="center"/>
          </w:tcPr>
          <w:p w14:paraId="4DD0610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4</w:t>
            </w:r>
          </w:p>
        </w:tc>
        <w:tc>
          <w:tcPr>
            <w:tcW w:w="806" w:type="pct"/>
            <w:vAlign w:val="center"/>
          </w:tcPr>
          <w:p w14:paraId="4E283AD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0,88</w:t>
            </w:r>
          </w:p>
        </w:tc>
        <w:tc>
          <w:tcPr>
            <w:tcW w:w="807" w:type="pct"/>
            <w:vAlign w:val="center"/>
          </w:tcPr>
          <w:p w14:paraId="786715E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0,67 – 1,13</w:t>
            </w:r>
          </w:p>
        </w:tc>
        <w:tc>
          <w:tcPr>
            <w:tcW w:w="807" w:type="pct"/>
            <w:vAlign w:val="center"/>
          </w:tcPr>
          <w:p w14:paraId="25BF8AF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22</w:t>
            </w:r>
          </w:p>
        </w:tc>
        <w:tc>
          <w:tcPr>
            <w:tcW w:w="807" w:type="pct"/>
            <w:vMerge/>
          </w:tcPr>
          <w:p w14:paraId="404410E8"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04F007D2" w14:textId="77777777" w:rsidTr="003F0A73">
        <w:trPr>
          <w:jc w:val="center"/>
        </w:trPr>
        <w:tc>
          <w:tcPr>
            <w:tcW w:w="942" w:type="pct"/>
            <w:vMerge w:val="restart"/>
            <w:vAlign w:val="center"/>
          </w:tcPr>
          <w:p w14:paraId="3470F1A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RLH</w:t>
            </w:r>
          </w:p>
        </w:tc>
        <w:tc>
          <w:tcPr>
            <w:tcW w:w="831" w:type="pct"/>
            <w:vAlign w:val="center"/>
          </w:tcPr>
          <w:p w14:paraId="6BF32D2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1</w:t>
            </w:r>
          </w:p>
        </w:tc>
        <w:tc>
          <w:tcPr>
            <w:tcW w:w="806" w:type="pct"/>
            <w:vAlign w:val="center"/>
          </w:tcPr>
          <w:p w14:paraId="6B17B4F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1,18</w:t>
            </w:r>
          </w:p>
        </w:tc>
        <w:tc>
          <w:tcPr>
            <w:tcW w:w="807" w:type="pct"/>
            <w:vAlign w:val="center"/>
          </w:tcPr>
          <w:p w14:paraId="078731F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1,18 – 1,18</w:t>
            </w:r>
          </w:p>
        </w:tc>
        <w:tc>
          <w:tcPr>
            <w:tcW w:w="807" w:type="pct"/>
            <w:vAlign w:val="center"/>
          </w:tcPr>
          <w:p w14:paraId="6893B0E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p>
        </w:tc>
        <w:tc>
          <w:tcPr>
            <w:tcW w:w="807" w:type="pct"/>
            <w:vMerge w:val="restart"/>
            <w:vAlign w:val="center"/>
          </w:tcPr>
          <w:p w14:paraId="04F6A3A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0,372</w:t>
            </w:r>
          </w:p>
        </w:tc>
      </w:tr>
      <w:tr w:rsidR="00452443" w:rsidRPr="00A43B9C" w14:paraId="0EF0EDE7" w14:textId="77777777" w:rsidTr="003F0A73">
        <w:trPr>
          <w:jc w:val="center"/>
        </w:trPr>
        <w:tc>
          <w:tcPr>
            <w:tcW w:w="942" w:type="pct"/>
            <w:vMerge/>
            <w:vAlign w:val="center"/>
          </w:tcPr>
          <w:p w14:paraId="0768BCD6" w14:textId="77777777" w:rsidR="00452443" w:rsidRPr="00A43B9C" w:rsidRDefault="00452443" w:rsidP="00452443">
            <w:pPr>
              <w:spacing w:after="0" w:line="240" w:lineRule="auto"/>
              <w:rPr>
                <w:rFonts w:ascii="Times New Roman" w:hAnsi="Times New Roman" w:cs="Times New Roman"/>
                <w:sz w:val="28"/>
                <w:szCs w:val="28"/>
              </w:rPr>
            </w:pPr>
          </w:p>
        </w:tc>
        <w:tc>
          <w:tcPr>
            <w:tcW w:w="831" w:type="pct"/>
            <w:vAlign w:val="center"/>
          </w:tcPr>
          <w:p w14:paraId="5821246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2</w:t>
            </w:r>
          </w:p>
        </w:tc>
        <w:tc>
          <w:tcPr>
            <w:tcW w:w="806" w:type="pct"/>
            <w:vAlign w:val="center"/>
          </w:tcPr>
          <w:p w14:paraId="0A7E41E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0,93</w:t>
            </w:r>
          </w:p>
        </w:tc>
        <w:tc>
          <w:tcPr>
            <w:tcW w:w="807" w:type="pct"/>
            <w:vAlign w:val="center"/>
          </w:tcPr>
          <w:p w14:paraId="28B34DD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0,65 – 1,08</w:t>
            </w:r>
          </w:p>
        </w:tc>
        <w:tc>
          <w:tcPr>
            <w:tcW w:w="807" w:type="pct"/>
            <w:vAlign w:val="center"/>
          </w:tcPr>
          <w:p w14:paraId="01BE859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w:t>
            </w:r>
          </w:p>
        </w:tc>
        <w:tc>
          <w:tcPr>
            <w:tcW w:w="807" w:type="pct"/>
            <w:vMerge/>
          </w:tcPr>
          <w:p w14:paraId="051843E2"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2B0E172B" w14:textId="77777777" w:rsidTr="003F0A73">
        <w:trPr>
          <w:jc w:val="center"/>
        </w:trPr>
        <w:tc>
          <w:tcPr>
            <w:tcW w:w="942" w:type="pct"/>
            <w:vMerge/>
            <w:vAlign w:val="center"/>
          </w:tcPr>
          <w:p w14:paraId="4BE37540" w14:textId="77777777" w:rsidR="00452443" w:rsidRPr="00A43B9C" w:rsidRDefault="00452443" w:rsidP="00452443">
            <w:pPr>
              <w:spacing w:after="0" w:line="240" w:lineRule="auto"/>
              <w:rPr>
                <w:rFonts w:ascii="Times New Roman" w:hAnsi="Times New Roman" w:cs="Times New Roman"/>
                <w:sz w:val="28"/>
                <w:szCs w:val="28"/>
              </w:rPr>
            </w:pPr>
          </w:p>
        </w:tc>
        <w:tc>
          <w:tcPr>
            <w:tcW w:w="831" w:type="pct"/>
            <w:vAlign w:val="center"/>
          </w:tcPr>
          <w:p w14:paraId="7015E7A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3</w:t>
            </w:r>
          </w:p>
        </w:tc>
        <w:tc>
          <w:tcPr>
            <w:tcW w:w="806" w:type="pct"/>
            <w:vAlign w:val="center"/>
          </w:tcPr>
          <w:p w14:paraId="1364300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0,63</w:t>
            </w:r>
          </w:p>
        </w:tc>
        <w:tc>
          <w:tcPr>
            <w:tcW w:w="807" w:type="pct"/>
            <w:vAlign w:val="center"/>
          </w:tcPr>
          <w:p w14:paraId="0593784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0,50 – 0,90</w:t>
            </w:r>
          </w:p>
        </w:tc>
        <w:tc>
          <w:tcPr>
            <w:tcW w:w="807" w:type="pct"/>
            <w:vAlign w:val="center"/>
          </w:tcPr>
          <w:p w14:paraId="057904D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28</w:t>
            </w:r>
          </w:p>
        </w:tc>
        <w:tc>
          <w:tcPr>
            <w:tcW w:w="807" w:type="pct"/>
            <w:vMerge/>
          </w:tcPr>
          <w:p w14:paraId="0EBAB067"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0FE9E5D0" w14:textId="77777777" w:rsidTr="00F63246">
        <w:trPr>
          <w:jc w:val="center"/>
        </w:trPr>
        <w:tc>
          <w:tcPr>
            <w:tcW w:w="942" w:type="pct"/>
            <w:vMerge/>
            <w:tcBorders>
              <w:bottom w:val="nil"/>
            </w:tcBorders>
            <w:vAlign w:val="center"/>
          </w:tcPr>
          <w:p w14:paraId="569B857E" w14:textId="77777777" w:rsidR="00452443" w:rsidRPr="00A43B9C" w:rsidRDefault="00452443" w:rsidP="00452443">
            <w:pPr>
              <w:spacing w:after="0" w:line="240" w:lineRule="auto"/>
              <w:rPr>
                <w:rFonts w:ascii="Times New Roman" w:hAnsi="Times New Roman" w:cs="Times New Roman"/>
                <w:sz w:val="28"/>
                <w:szCs w:val="28"/>
              </w:rPr>
            </w:pPr>
          </w:p>
        </w:tc>
        <w:tc>
          <w:tcPr>
            <w:tcW w:w="831" w:type="pct"/>
            <w:tcBorders>
              <w:bottom w:val="nil"/>
            </w:tcBorders>
            <w:vAlign w:val="center"/>
          </w:tcPr>
          <w:p w14:paraId="275D077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4</w:t>
            </w:r>
          </w:p>
        </w:tc>
        <w:tc>
          <w:tcPr>
            <w:tcW w:w="806" w:type="pct"/>
            <w:tcBorders>
              <w:bottom w:val="nil"/>
            </w:tcBorders>
            <w:vAlign w:val="center"/>
          </w:tcPr>
          <w:p w14:paraId="36F35DA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0,72</w:t>
            </w:r>
          </w:p>
        </w:tc>
        <w:tc>
          <w:tcPr>
            <w:tcW w:w="807" w:type="pct"/>
            <w:tcBorders>
              <w:bottom w:val="nil"/>
            </w:tcBorders>
            <w:vAlign w:val="center"/>
          </w:tcPr>
          <w:p w14:paraId="315BD2B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0,54 – 1,04</w:t>
            </w:r>
          </w:p>
        </w:tc>
        <w:tc>
          <w:tcPr>
            <w:tcW w:w="807" w:type="pct"/>
            <w:tcBorders>
              <w:bottom w:val="nil"/>
            </w:tcBorders>
            <w:vAlign w:val="center"/>
          </w:tcPr>
          <w:p w14:paraId="2AAE84A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22</w:t>
            </w:r>
          </w:p>
        </w:tc>
        <w:tc>
          <w:tcPr>
            <w:tcW w:w="807" w:type="pct"/>
            <w:vMerge/>
            <w:tcBorders>
              <w:bottom w:val="nil"/>
            </w:tcBorders>
          </w:tcPr>
          <w:p w14:paraId="0424B96B"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4F9DB19C" w14:textId="77777777" w:rsidTr="00F63246">
        <w:trPr>
          <w:jc w:val="center"/>
        </w:trPr>
        <w:tc>
          <w:tcPr>
            <w:tcW w:w="5000" w:type="pct"/>
            <w:gridSpan w:val="6"/>
            <w:tcBorders>
              <w:top w:val="nil"/>
              <w:left w:val="nil"/>
              <w:bottom w:val="single" w:sz="4" w:space="0" w:color="auto"/>
              <w:right w:val="nil"/>
            </w:tcBorders>
            <w:vAlign w:val="center"/>
          </w:tcPr>
          <w:p w14:paraId="09C74816" w14:textId="77777777" w:rsidR="00452443" w:rsidRDefault="00452443" w:rsidP="00452443">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28</w:t>
            </w:r>
          </w:p>
          <w:p w14:paraId="0FBC8DEF" w14:textId="0123AB12" w:rsidR="00452443" w:rsidRPr="00E96DD1" w:rsidRDefault="00452443" w:rsidP="00452443">
            <w:pPr>
              <w:spacing w:after="0" w:line="240" w:lineRule="auto"/>
              <w:rPr>
                <w:rFonts w:ascii="Times New Roman" w:hAnsi="Times New Roman" w:cs="Times New Roman"/>
                <w:sz w:val="24"/>
                <w:szCs w:val="24"/>
              </w:rPr>
            </w:pPr>
          </w:p>
        </w:tc>
      </w:tr>
      <w:tr w:rsidR="00452443" w:rsidRPr="00A43B9C" w14:paraId="46F1D44B" w14:textId="77777777" w:rsidTr="00F63246">
        <w:trPr>
          <w:jc w:val="center"/>
        </w:trPr>
        <w:tc>
          <w:tcPr>
            <w:tcW w:w="942" w:type="pct"/>
            <w:tcBorders>
              <w:top w:val="single" w:sz="4" w:space="0" w:color="auto"/>
            </w:tcBorders>
            <w:vAlign w:val="center"/>
          </w:tcPr>
          <w:p w14:paraId="2B263C68" w14:textId="5A46BE62"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831" w:type="pct"/>
            <w:tcBorders>
              <w:top w:val="single" w:sz="4" w:space="0" w:color="auto"/>
            </w:tcBorders>
            <w:vAlign w:val="center"/>
          </w:tcPr>
          <w:p w14:paraId="74E82C2F" w14:textId="6702AB89"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806" w:type="pct"/>
            <w:tcBorders>
              <w:top w:val="single" w:sz="4" w:space="0" w:color="auto"/>
            </w:tcBorders>
            <w:vAlign w:val="center"/>
          </w:tcPr>
          <w:p w14:paraId="09F3EF14" w14:textId="6C7BA339"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807" w:type="pct"/>
            <w:tcBorders>
              <w:top w:val="single" w:sz="4" w:space="0" w:color="auto"/>
            </w:tcBorders>
            <w:vAlign w:val="center"/>
          </w:tcPr>
          <w:p w14:paraId="6E278A3C" w14:textId="5E31B698"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807" w:type="pct"/>
            <w:tcBorders>
              <w:top w:val="single" w:sz="4" w:space="0" w:color="auto"/>
            </w:tcBorders>
            <w:vAlign w:val="center"/>
          </w:tcPr>
          <w:p w14:paraId="7DEF13EF" w14:textId="3436CCD8"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807" w:type="pct"/>
            <w:tcBorders>
              <w:top w:val="single" w:sz="4" w:space="0" w:color="auto"/>
            </w:tcBorders>
          </w:tcPr>
          <w:p w14:paraId="57DCA6A4" w14:textId="355D5C53"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r>
      <w:tr w:rsidR="00452443" w:rsidRPr="00A43B9C" w14:paraId="1FAD6AA0" w14:textId="77777777" w:rsidTr="003F0A73">
        <w:trPr>
          <w:jc w:val="center"/>
        </w:trPr>
        <w:tc>
          <w:tcPr>
            <w:tcW w:w="942" w:type="pct"/>
            <w:vMerge w:val="restart"/>
            <w:vAlign w:val="center"/>
          </w:tcPr>
          <w:p w14:paraId="1B2208E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RRL</w:t>
            </w:r>
          </w:p>
        </w:tc>
        <w:tc>
          <w:tcPr>
            <w:tcW w:w="831" w:type="pct"/>
            <w:vAlign w:val="center"/>
          </w:tcPr>
          <w:p w14:paraId="03BD0D9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1</w:t>
            </w:r>
          </w:p>
        </w:tc>
        <w:tc>
          <w:tcPr>
            <w:tcW w:w="806" w:type="pct"/>
            <w:vAlign w:val="center"/>
          </w:tcPr>
          <w:p w14:paraId="06BF3B1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0,82</w:t>
            </w:r>
          </w:p>
        </w:tc>
        <w:tc>
          <w:tcPr>
            <w:tcW w:w="807" w:type="pct"/>
            <w:vAlign w:val="center"/>
          </w:tcPr>
          <w:p w14:paraId="714B988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0,82 – 0,82</w:t>
            </w:r>
          </w:p>
        </w:tc>
        <w:tc>
          <w:tcPr>
            <w:tcW w:w="807" w:type="pct"/>
            <w:vAlign w:val="center"/>
          </w:tcPr>
          <w:p w14:paraId="7C2780C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p>
        </w:tc>
        <w:tc>
          <w:tcPr>
            <w:tcW w:w="807" w:type="pct"/>
            <w:vMerge w:val="restart"/>
            <w:vAlign w:val="center"/>
          </w:tcPr>
          <w:p w14:paraId="1285522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0,841</w:t>
            </w:r>
          </w:p>
        </w:tc>
      </w:tr>
      <w:tr w:rsidR="00452443" w:rsidRPr="00A43B9C" w14:paraId="49410127" w14:textId="77777777" w:rsidTr="003F0A73">
        <w:trPr>
          <w:jc w:val="center"/>
        </w:trPr>
        <w:tc>
          <w:tcPr>
            <w:tcW w:w="942" w:type="pct"/>
            <w:vMerge/>
            <w:vAlign w:val="center"/>
          </w:tcPr>
          <w:p w14:paraId="5AE04867" w14:textId="77777777" w:rsidR="00452443" w:rsidRPr="00A43B9C" w:rsidRDefault="00452443" w:rsidP="00452443">
            <w:pPr>
              <w:spacing w:after="0" w:line="240" w:lineRule="auto"/>
              <w:rPr>
                <w:rFonts w:ascii="Times New Roman" w:hAnsi="Times New Roman" w:cs="Times New Roman"/>
                <w:sz w:val="28"/>
                <w:szCs w:val="28"/>
              </w:rPr>
            </w:pPr>
          </w:p>
        </w:tc>
        <w:tc>
          <w:tcPr>
            <w:tcW w:w="831" w:type="pct"/>
            <w:vAlign w:val="center"/>
          </w:tcPr>
          <w:p w14:paraId="69466DC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2</w:t>
            </w:r>
          </w:p>
        </w:tc>
        <w:tc>
          <w:tcPr>
            <w:tcW w:w="806" w:type="pct"/>
            <w:vAlign w:val="center"/>
          </w:tcPr>
          <w:p w14:paraId="4DEF889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0,86</w:t>
            </w:r>
          </w:p>
        </w:tc>
        <w:tc>
          <w:tcPr>
            <w:tcW w:w="807" w:type="pct"/>
            <w:vAlign w:val="center"/>
          </w:tcPr>
          <w:p w14:paraId="79582CB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0,75 – 1,38</w:t>
            </w:r>
          </w:p>
        </w:tc>
        <w:tc>
          <w:tcPr>
            <w:tcW w:w="807" w:type="pct"/>
            <w:vAlign w:val="center"/>
          </w:tcPr>
          <w:p w14:paraId="46B8989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w:t>
            </w:r>
          </w:p>
        </w:tc>
        <w:tc>
          <w:tcPr>
            <w:tcW w:w="807" w:type="pct"/>
            <w:vMerge/>
          </w:tcPr>
          <w:p w14:paraId="32C1A0C2"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63BFD9B5" w14:textId="77777777" w:rsidTr="003F0A73">
        <w:trPr>
          <w:jc w:val="center"/>
        </w:trPr>
        <w:tc>
          <w:tcPr>
            <w:tcW w:w="942" w:type="pct"/>
            <w:vMerge/>
            <w:vAlign w:val="center"/>
          </w:tcPr>
          <w:p w14:paraId="5DD6045E" w14:textId="77777777" w:rsidR="00452443" w:rsidRPr="00A43B9C" w:rsidRDefault="00452443" w:rsidP="00452443">
            <w:pPr>
              <w:spacing w:after="0" w:line="240" w:lineRule="auto"/>
              <w:rPr>
                <w:rFonts w:ascii="Times New Roman" w:hAnsi="Times New Roman" w:cs="Times New Roman"/>
                <w:sz w:val="28"/>
                <w:szCs w:val="28"/>
              </w:rPr>
            </w:pPr>
          </w:p>
        </w:tc>
        <w:tc>
          <w:tcPr>
            <w:tcW w:w="831" w:type="pct"/>
            <w:vAlign w:val="center"/>
          </w:tcPr>
          <w:p w14:paraId="767263C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3</w:t>
            </w:r>
          </w:p>
        </w:tc>
        <w:tc>
          <w:tcPr>
            <w:tcW w:w="806" w:type="pct"/>
            <w:vAlign w:val="center"/>
          </w:tcPr>
          <w:p w14:paraId="1D6A12F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0,82</w:t>
            </w:r>
          </w:p>
        </w:tc>
        <w:tc>
          <w:tcPr>
            <w:tcW w:w="807" w:type="pct"/>
            <w:vAlign w:val="center"/>
          </w:tcPr>
          <w:p w14:paraId="096699E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0,67 – 1,18</w:t>
            </w:r>
          </w:p>
        </w:tc>
        <w:tc>
          <w:tcPr>
            <w:tcW w:w="807" w:type="pct"/>
            <w:vAlign w:val="center"/>
          </w:tcPr>
          <w:p w14:paraId="402BC6C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28</w:t>
            </w:r>
          </w:p>
        </w:tc>
        <w:tc>
          <w:tcPr>
            <w:tcW w:w="807" w:type="pct"/>
            <w:vMerge/>
          </w:tcPr>
          <w:p w14:paraId="6A769F08"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2F6FDFB8" w14:textId="77777777" w:rsidTr="003F0A73">
        <w:trPr>
          <w:jc w:val="center"/>
        </w:trPr>
        <w:tc>
          <w:tcPr>
            <w:tcW w:w="942" w:type="pct"/>
            <w:vMerge/>
            <w:vAlign w:val="center"/>
          </w:tcPr>
          <w:p w14:paraId="520FF2DC" w14:textId="77777777" w:rsidR="00452443" w:rsidRPr="00A43B9C" w:rsidRDefault="00452443" w:rsidP="00452443">
            <w:pPr>
              <w:spacing w:after="0" w:line="240" w:lineRule="auto"/>
              <w:rPr>
                <w:rFonts w:ascii="Times New Roman" w:hAnsi="Times New Roman" w:cs="Times New Roman"/>
                <w:sz w:val="28"/>
                <w:szCs w:val="28"/>
              </w:rPr>
            </w:pPr>
          </w:p>
        </w:tc>
        <w:tc>
          <w:tcPr>
            <w:tcW w:w="831" w:type="pct"/>
            <w:vAlign w:val="center"/>
          </w:tcPr>
          <w:p w14:paraId="48E4B04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4</w:t>
            </w:r>
          </w:p>
        </w:tc>
        <w:tc>
          <w:tcPr>
            <w:tcW w:w="806" w:type="pct"/>
            <w:vAlign w:val="center"/>
          </w:tcPr>
          <w:p w14:paraId="084C2D4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0,89</w:t>
            </w:r>
          </w:p>
        </w:tc>
        <w:tc>
          <w:tcPr>
            <w:tcW w:w="807" w:type="pct"/>
            <w:vAlign w:val="center"/>
          </w:tcPr>
          <w:p w14:paraId="6D72A6B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0,71 – 1,38</w:t>
            </w:r>
          </w:p>
        </w:tc>
        <w:tc>
          <w:tcPr>
            <w:tcW w:w="807" w:type="pct"/>
            <w:vAlign w:val="center"/>
          </w:tcPr>
          <w:p w14:paraId="62724F6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22</w:t>
            </w:r>
          </w:p>
        </w:tc>
        <w:tc>
          <w:tcPr>
            <w:tcW w:w="807" w:type="pct"/>
            <w:vMerge/>
          </w:tcPr>
          <w:p w14:paraId="565C5684"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619D8122" w14:textId="77777777" w:rsidTr="003F0A73">
        <w:trPr>
          <w:jc w:val="center"/>
        </w:trPr>
        <w:tc>
          <w:tcPr>
            <w:tcW w:w="942" w:type="pct"/>
            <w:vMerge w:val="restart"/>
            <w:vAlign w:val="center"/>
          </w:tcPr>
          <w:p w14:paraId="71E6608B" w14:textId="77777777" w:rsidR="00452443" w:rsidRPr="00A43B9C" w:rsidRDefault="00452443" w:rsidP="00452443">
            <w:pPr>
              <w:pStyle w:val="aa"/>
              <w:spacing w:after="0" w:line="240" w:lineRule="auto"/>
              <w:ind w:left="709"/>
              <w:jc w:val="both"/>
              <w:rPr>
                <w:rFonts w:ascii="Times New Roman" w:hAnsi="Times New Roman" w:cs="Times New Roman"/>
                <w:sz w:val="28"/>
                <w:szCs w:val="28"/>
              </w:rPr>
            </w:pPr>
            <w:r w:rsidRPr="00A43B9C">
              <w:rPr>
                <w:rFonts w:ascii="Times New Roman" w:hAnsi="Times New Roman" w:cs="Times New Roman"/>
                <w:sz w:val="28"/>
                <w:szCs w:val="28"/>
              </w:rPr>
              <w:t>RU</w:t>
            </w:r>
          </w:p>
        </w:tc>
        <w:tc>
          <w:tcPr>
            <w:tcW w:w="831" w:type="pct"/>
            <w:vAlign w:val="center"/>
          </w:tcPr>
          <w:p w14:paraId="2E12B85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1</w:t>
            </w:r>
          </w:p>
        </w:tc>
        <w:tc>
          <w:tcPr>
            <w:tcW w:w="806" w:type="pct"/>
            <w:vAlign w:val="center"/>
          </w:tcPr>
          <w:p w14:paraId="1F37E25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1,31</w:t>
            </w:r>
          </w:p>
        </w:tc>
        <w:tc>
          <w:tcPr>
            <w:tcW w:w="807" w:type="pct"/>
            <w:vAlign w:val="center"/>
          </w:tcPr>
          <w:p w14:paraId="3DF3D90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1,31 – 1,31</w:t>
            </w:r>
          </w:p>
        </w:tc>
        <w:tc>
          <w:tcPr>
            <w:tcW w:w="807" w:type="pct"/>
            <w:vAlign w:val="center"/>
          </w:tcPr>
          <w:p w14:paraId="4EDAF50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p>
        </w:tc>
        <w:tc>
          <w:tcPr>
            <w:tcW w:w="807" w:type="pct"/>
            <w:vMerge w:val="restart"/>
            <w:vAlign w:val="center"/>
          </w:tcPr>
          <w:p w14:paraId="40F712E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0,142</w:t>
            </w:r>
          </w:p>
        </w:tc>
      </w:tr>
      <w:tr w:rsidR="00452443" w:rsidRPr="00A43B9C" w14:paraId="3D1558F7" w14:textId="77777777" w:rsidTr="003F0A73">
        <w:trPr>
          <w:jc w:val="center"/>
        </w:trPr>
        <w:tc>
          <w:tcPr>
            <w:tcW w:w="942" w:type="pct"/>
            <w:vMerge/>
            <w:vAlign w:val="center"/>
          </w:tcPr>
          <w:p w14:paraId="726FE54B" w14:textId="77777777" w:rsidR="00452443" w:rsidRPr="00A43B9C" w:rsidRDefault="00452443" w:rsidP="00452443">
            <w:pPr>
              <w:spacing w:after="0" w:line="240" w:lineRule="auto"/>
              <w:rPr>
                <w:rFonts w:ascii="Times New Roman" w:hAnsi="Times New Roman" w:cs="Times New Roman"/>
                <w:sz w:val="28"/>
                <w:szCs w:val="28"/>
              </w:rPr>
            </w:pPr>
          </w:p>
        </w:tc>
        <w:tc>
          <w:tcPr>
            <w:tcW w:w="831" w:type="pct"/>
            <w:vAlign w:val="center"/>
          </w:tcPr>
          <w:p w14:paraId="49BC565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2</w:t>
            </w:r>
          </w:p>
        </w:tc>
        <w:tc>
          <w:tcPr>
            <w:tcW w:w="806" w:type="pct"/>
            <w:vAlign w:val="center"/>
          </w:tcPr>
          <w:p w14:paraId="59486D2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1,07</w:t>
            </w:r>
          </w:p>
        </w:tc>
        <w:tc>
          <w:tcPr>
            <w:tcW w:w="807" w:type="pct"/>
            <w:vAlign w:val="center"/>
          </w:tcPr>
          <w:p w14:paraId="4A90DB3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0,92 – 1,14</w:t>
            </w:r>
          </w:p>
        </w:tc>
        <w:tc>
          <w:tcPr>
            <w:tcW w:w="807" w:type="pct"/>
            <w:vAlign w:val="center"/>
          </w:tcPr>
          <w:p w14:paraId="3237C47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w:t>
            </w:r>
          </w:p>
        </w:tc>
        <w:tc>
          <w:tcPr>
            <w:tcW w:w="807" w:type="pct"/>
            <w:vMerge/>
          </w:tcPr>
          <w:p w14:paraId="20782AF9"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2BF214DA" w14:textId="77777777" w:rsidTr="003F0A73">
        <w:trPr>
          <w:jc w:val="center"/>
        </w:trPr>
        <w:tc>
          <w:tcPr>
            <w:tcW w:w="942" w:type="pct"/>
            <w:vMerge/>
            <w:vAlign w:val="center"/>
          </w:tcPr>
          <w:p w14:paraId="7702D2A5" w14:textId="77777777" w:rsidR="00452443" w:rsidRPr="00A43B9C" w:rsidRDefault="00452443" w:rsidP="00452443">
            <w:pPr>
              <w:spacing w:after="0" w:line="240" w:lineRule="auto"/>
              <w:rPr>
                <w:rFonts w:ascii="Times New Roman" w:hAnsi="Times New Roman" w:cs="Times New Roman"/>
                <w:sz w:val="28"/>
                <w:szCs w:val="28"/>
              </w:rPr>
            </w:pPr>
          </w:p>
        </w:tc>
        <w:tc>
          <w:tcPr>
            <w:tcW w:w="831" w:type="pct"/>
            <w:vAlign w:val="center"/>
          </w:tcPr>
          <w:p w14:paraId="4257F8C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3</w:t>
            </w:r>
          </w:p>
        </w:tc>
        <w:tc>
          <w:tcPr>
            <w:tcW w:w="806" w:type="pct"/>
            <w:vAlign w:val="center"/>
          </w:tcPr>
          <w:p w14:paraId="43EEE4D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0,62</w:t>
            </w:r>
          </w:p>
        </w:tc>
        <w:tc>
          <w:tcPr>
            <w:tcW w:w="807" w:type="pct"/>
            <w:vAlign w:val="center"/>
          </w:tcPr>
          <w:p w14:paraId="3ECE1F6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0,55 – 0,87</w:t>
            </w:r>
          </w:p>
        </w:tc>
        <w:tc>
          <w:tcPr>
            <w:tcW w:w="807" w:type="pct"/>
            <w:vAlign w:val="center"/>
          </w:tcPr>
          <w:p w14:paraId="0498036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28</w:t>
            </w:r>
          </w:p>
        </w:tc>
        <w:tc>
          <w:tcPr>
            <w:tcW w:w="807" w:type="pct"/>
            <w:vMerge/>
          </w:tcPr>
          <w:p w14:paraId="56C70405"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017EEBD5" w14:textId="77777777" w:rsidTr="003F0A73">
        <w:trPr>
          <w:jc w:val="center"/>
        </w:trPr>
        <w:tc>
          <w:tcPr>
            <w:tcW w:w="942" w:type="pct"/>
            <w:vMerge/>
            <w:vAlign w:val="center"/>
          </w:tcPr>
          <w:p w14:paraId="0116AB4B" w14:textId="77777777" w:rsidR="00452443" w:rsidRPr="00A43B9C" w:rsidRDefault="00452443" w:rsidP="00452443">
            <w:pPr>
              <w:spacing w:after="0" w:line="240" w:lineRule="auto"/>
              <w:rPr>
                <w:rFonts w:ascii="Times New Roman" w:hAnsi="Times New Roman" w:cs="Times New Roman"/>
                <w:sz w:val="28"/>
                <w:szCs w:val="28"/>
              </w:rPr>
            </w:pPr>
          </w:p>
        </w:tc>
        <w:tc>
          <w:tcPr>
            <w:tcW w:w="831" w:type="pct"/>
            <w:vAlign w:val="center"/>
          </w:tcPr>
          <w:p w14:paraId="5DB6034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4</w:t>
            </w:r>
          </w:p>
        </w:tc>
        <w:tc>
          <w:tcPr>
            <w:tcW w:w="806" w:type="pct"/>
            <w:vAlign w:val="center"/>
          </w:tcPr>
          <w:p w14:paraId="2AA8D35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0,89</w:t>
            </w:r>
          </w:p>
        </w:tc>
        <w:tc>
          <w:tcPr>
            <w:tcW w:w="807" w:type="pct"/>
            <w:vAlign w:val="center"/>
          </w:tcPr>
          <w:p w14:paraId="29C0DBB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0,64 – 1,16</w:t>
            </w:r>
          </w:p>
        </w:tc>
        <w:tc>
          <w:tcPr>
            <w:tcW w:w="807" w:type="pct"/>
            <w:vAlign w:val="center"/>
          </w:tcPr>
          <w:p w14:paraId="66BADCC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22</w:t>
            </w:r>
          </w:p>
        </w:tc>
        <w:tc>
          <w:tcPr>
            <w:tcW w:w="807" w:type="pct"/>
            <w:vMerge/>
          </w:tcPr>
          <w:p w14:paraId="29B435C1"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19B8EB74" w14:textId="77777777" w:rsidTr="003F0A73">
        <w:trPr>
          <w:jc w:val="center"/>
        </w:trPr>
        <w:tc>
          <w:tcPr>
            <w:tcW w:w="942" w:type="pct"/>
            <w:vMerge w:val="restart"/>
            <w:vAlign w:val="center"/>
          </w:tcPr>
          <w:p w14:paraId="7D29FF20" w14:textId="77777777" w:rsidR="00452443" w:rsidRPr="00A43B9C" w:rsidRDefault="00452443" w:rsidP="00452443">
            <w:pPr>
              <w:pStyle w:val="aa"/>
              <w:spacing w:after="0" w:line="240" w:lineRule="auto"/>
              <w:ind w:left="709"/>
              <w:jc w:val="both"/>
              <w:rPr>
                <w:rFonts w:ascii="Times New Roman" w:hAnsi="Times New Roman" w:cs="Times New Roman"/>
                <w:sz w:val="28"/>
                <w:szCs w:val="28"/>
              </w:rPr>
            </w:pPr>
            <w:r w:rsidRPr="00A43B9C">
              <w:rPr>
                <w:rFonts w:ascii="Times New Roman" w:hAnsi="Times New Roman" w:cs="Times New Roman"/>
                <w:sz w:val="28"/>
                <w:szCs w:val="28"/>
              </w:rPr>
              <w:t>RLL</w:t>
            </w:r>
          </w:p>
        </w:tc>
        <w:tc>
          <w:tcPr>
            <w:tcW w:w="831" w:type="pct"/>
            <w:vAlign w:val="center"/>
          </w:tcPr>
          <w:p w14:paraId="4F2D6A0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1</w:t>
            </w:r>
          </w:p>
        </w:tc>
        <w:tc>
          <w:tcPr>
            <w:tcW w:w="806" w:type="pct"/>
            <w:vAlign w:val="center"/>
          </w:tcPr>
          <w:p w14:paraId="1C49A09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0,67</w:t>
            </w:r>
          </w:p>
        </w:tc>
        <w:tc>
          <w:tcPr>
            <w:tcW w:w="807" w:type="pct"/>
            <w:vAlign w:val="center"/>
          </w:tcPr>
          <w:p w14:paraId="4FA2284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0,67 – 0,67</w:t>
            </w:r>
          </w:p>
        </w:tc>
        <w:tc>
          <w:tcPr>
            <w:tcW w:w="807" w:type="pct"/>
            <w:vAlign w:val="center"/>
          </w:tcPr>
          <w:p w14:paraId="1AF015D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p>
        </w:tc>
        <w:tc>
          <w:tcPr>
            <w:tcW w:w="807" w:type="pct"/>
            <w:vMerge w:val="restart"/>
            <w:vAlign w:val="center"/>
          </w:tcPr>
          <w:p w14:paraId="0781CD9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0,390</w:t>
            </w:r>
          </w:p>
        </w:tc>
      </w:tr>
      <w:tr w:rsidR="00452443" w:rsidRPr="00A43B9C" w14:paraId="2A2C6BE0" w14:textId="77777777" w:rsidTr="003F0A73">
        <w:trPr>
          <w:jc w:val="center"/>
        </w:trPr>
        <w:tc>
          <w:tcPr>
            <w:tcW w:w="942" w:type="pct"/>
            <w:vMerge/>
            <w:vAlign w:val="center"/>
          </w:tcPr>
          <w:p w14:paraId="662D938F" w14:textId="77777777" w:rsidR="00452443" w:rsidRPr="00A43B9C" w:rsidRDefault="00452443" w:rsidP="00452443">
            <w:pPr>
              <w:spacing w:after="0" w:line="240" w:lineRule="auto"/>
              <w:rPr>
                <w:rFonts w:ascii="Times New Roman" w:hAnsi="Times New Roman" w:cs="Times New Roman"/>
                <w:sz w:val="28"/>
                <w:szCs w:val="28"/>
              </w:rPr>
            </w:pPr>
          </w:p>
        </w:tc>
        <w:tc>
          <w:tcPr>
            <w:tcW w:w="831" w:type="pct"/>
            <w:vAlign w:val="center"/>
          </w:tcPr>
          <w:p w14:paraId="7D82CDA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2</w:t>
            </w:r>
          </w:p>
        </w:tc>
        <w:tc>
          <w:tcPr>
            <w:tcW w:w="806" w:type="pct"/>
            <w:vAlign w:val="center"/>
          </w:tcPr>
          <w:p w14:paraId="1E1897C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0,96</w:t>
            </w:r>
          </w:p>
        </w:tc>
        <w:tc>
          <w:tcPr>
            <w:tcW w:w="807" w:type="pct"/>
            <w:vAlign w:val="center"/>
          </w:tcPr>
          <w:p w14:paraId="3083569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0,87 – 1,19</w:t>
            </w:r>
          </w:p>
        </w:tc>
        <w:tc>
          <w:tcPr>
            <w:tcW w:w="807" w:type="pct"/>
            <w:vAlign w:val="center"/>
          </w:tcPr>
          <w:p w14:paraId="399D48D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w:t>
            </w:r>
          </w:p>
        </w:tc>
        <w:tc>
          <w:tcPr>
            <w:tcW w:w="807" w:type="pct"/>
            <w:vMerge/>
          </w:tcPr>
          <w:p w14:paraId="61FFB76B"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6C1491AC" w14:textId="77777777" w:rsidTr="003F0A73">
        <w:trPr>
          <w:jc w:val="center"/>
        </w:trPr>
        <w:tc>
          <w:tcPr>
            <w:tcW w:w="942" w:type="pct"/>
            <w:vMerge/>
            <w:vAlign w:val="center"/>
          </w:tcPr>
          <w:p w14:paraId="0533285A" w14:textId="77777777" w:rsidR="00452443" w:rsidRPr="00A43B9C" w:rsidRDefault="00452443" w:rsidP="00452443">
            <w:pPr>
              <w:spacing w:after="0" w:line="240" w:lineRule="auto"/>
              <w:rPr>
                <w:rFonts w:ascii="Times New Roman" w:hAnsi="Times New Roman" w:cs="Times New Roman"/>
                <w:sz w:val="28"/>
                <w:szCs w:val="28"/>
              </w:rPr>
            </w:pPr>
          </w:p>
        </w:tc>
        <w:tc>
          <w:tcPr>
            <w:tcW w:w="831" w:type="pct"/>
            <w:vAlign w:val="center"/>
          </w:tcPr>
          <w:p w14:paraId="169FAC1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3</w:t>
            </w:r>
          </w:p>
        </w:tc>
        <w:tc>
          <w:tcPr>
            <w:tcW w:w="806" w:type="pct"/>
            <w:vAlign w:val="center"/>
          </w:tcPr>
          <w:p w14:paraId="069A767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0,79</w:t>
            </w:r>
          </w:p>
        </w:tc>
        <w:tc>
          <w:tcPr>
            <w:tcW w:w="807" w:type="pct"/>
            <w:vAlign w:val="center"/>
          </w:tcPr>
          <w:p w14:paraId="6EC00B0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0,60 – 1,07</w:t>
            </w:r>
          </w:p>
        </w:tc>
        <w:tc>
          <w:tcPr>
            <w:tcW w:w="807" w:type="pct"/>
            <w:vAlign w:val="center"/>
          </w:tcPr>
          <w:p w14:paraId="5873C3D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28</w:t>
            </w:r>
          </w:p>
        </w:tc>
        <w:tc>
          <w:tcPr>
            <w:tcW w:w="807" w:type="pct"/>
            <w:vMerge/>
          </w:tcPr>
          <w:p w14:paraId="6C2BEC49"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05D18122" w14:textId="77777777" w:rsidTr="003F0A73">
        <w:trPr>
          <w:jc w:val="center"/>
        </w:trPr>
        <w:tc>
          <w:tcPr>
            <w:tcW w:w="942" w:type="pct"/>
            <w:vMerge/>
            <w:vAlign w:val="center"/>
          </w:tcPr>
          <w:p w14:paraId="6C2555B7" w14:textId="77777777" w:rsidR="00452443" w:rsidRPr="00A43B9C" w:rsidRDefault="00452443" w:rsidP="00452443">
            <w:pPr>
              <w:spacing w:after="0" w:line="240" w:lineRule="auto"/>
              <w:rPr>
                <w:rFonts w:ascii="Times New Roman" w:hAnsi="Times New Roman" w:cs="Times New Roman"/>
                <w:sz w:val="28"/>
                <w:szCs w:val="28"/>
              </w:rPr>
            </w:pPr>
          </w:p>
        </w:tc>
        <w:tc>
          <w:tcPr>
            <w:tcW w:w="831" w:type="pct"/>
            <w:vAlign w:val="center"/>
          </w:tcPr>
          <w:p w14:paraId="6F562C6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4</w:t>
            </w:r>
          </w:p>
        </w:tc>
        <w:tc>
          <w:tcPr>
            <w:tcW w:w="806" w:type="pct"/>
            <w:vAlign w:val="center"/>
          </w:tcPr>
          <w:p w14:paraId="57F2BDB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0,87</w:t>
            </w:r>
          </w:p>
        </w:tc>
        <w:tc>
          <w:tcPr>
            <w:tcW w:w="807" w:type="pct"/>
            <w:vAlign w:val="center"/>
          </w:tcPr>
          <w:p w14:paraId="1665F6C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0,63 – 1,08</w:t>
            </w:r>
          </w:p>
        </w:tc>
        <w:tc>
          <w:tcPr>
            <w:tcW w:w="807" w:type="pct"/>
            <w:vAlign w:val="center"/>
          </w:tcPr>
          <w:p w14:paraId="60B8A7C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22</w:t>
            </w:r>
          </w:p>
        </w:tc>
        <w:tc>
          <w:tcPr>
            <w:tcW w:w="807" w:type="pct"/>
            <w:vMerge/>
          </w:tcPr>
          <w:p w14:paraId="270855D5"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771EBB36" w14:textId="77777777" w:rsidTr="003F0A73">
        <w:trPr>
          <w:jc w:val="center"/>
        </w:trPr>
        <w:tc>
          <w:tcPr>
            <w:tcW w:w="942" w:type="pct"/>
            <w:vMerge w:val="restart"/>
            <w:vAlign w:val="center"/>
          </w:tcPr>
          <w:p w14:paraId="5153A408" w14:textId="77777777" w:rsidR="00452443" w:rsidRPr="00A43B9C" w:rsidRDefault="00452443" w:rsidP="00452443">
            <w:pPr>
              <w:pStyle w:val="aa"/>
              <w:spacing w:after="0" w:line="240" w:lineRule="auto"/>
              <w:ind w:left="709"/>
              <w:jc w:val="both"/>
              <w:rPr>
                <w:rFonts w:ascii="Times New Roman" w:hAnsi="Times New Roman" w:cs="Times New Roman"/>
                <w:sz w:val="28"/>
                <w:szCs w:val="28"/>
              </w:rPr>
            </w:pPr>
            <w:r w:rsidRPr="00A43B9C">
              <w:rPr>
                <w:rFonts w:ascii="Times New Roman" w:hAnsi="Times New Roman" w:cs="Times New Roman"/>
                <w:sz w:val="28"/>
                <w:szCs w:val="28"/>
              </w:rPr>
              <w:t>RRI</w:t>
            </w:r>
          </w:p>
        </w:tc>
        <w:tc>
          <w:tcPr>
            <w:tcW w:w="831" w:type="pct"/>
            <w:vAlign w:val="center"/>
          </w:tcPr>
          <w:p w14:paraId="10C8A6F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1</w:t>
            </w:r>
          </w:p>
        </w:tc>
        <w:tc>
          <w:tcPr>
            <w:tcW w:w="806" w:type="pct"/>
            <w:vAlign w:val="center"/>
          </w:tcPr>
          <w:p w14:paraId="7CBA265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1,07</w:t>
            </w:r>
          </w:p>
        </w:tc>
        <w:tc>
          <w:tcPr>
            <w:tcW w:w="807" w:type="pct"/>
            <w:vAlign w:val="center"/>
          </w:tcPr>
          <w:p w14:paraId="0C5D1AC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1,07 – 1,07</w:t>
            </w:r>
          </w:p>
        </w:tc>
        <w:tc>
          <w:tcPr>
            <w:tcW w:w="807" w:type="pct"/>
            <w:vAlign w:val="center"/>
          </w:tcPr>
          <w:p w14:paraId="6AD8982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p>
        </w:tc>
        <w:tc>
          <w:tcPr>
            <w:tcW w:w="807" w:type="pct"/>
            <w:vMerge w:val="restart"/>
            <w:vAlign w:val="center"/>
          </w:tcPr>
          <w:p w14:paraId="1252374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0,214</w:t>
            </w:r>
          </w:p>
        </w:tc>
      </w:tr>
      <w:tr w:rsidR="00452443" w:rsidRPr="00A43B9C" w14:paraId="7560D045" w14:textId="77777777" w:rsidTr="003F0A73">
        <w:trPr>
          <w:jc w:val="center"/>
        </w:trPr>
        <w:tc>
          <w:tcPr>
            <w:tcW w:w="942" w:type="pct"/>
            <w:vMerge/>
            <w:vAlign w:val="center"/>
          </w:tcPr>
          <w:p w14:paraId="7100F775" w14:textId="77777777" w:rsidR="00452443" w:rsidRPr="00A43B9C" w:rsidRDefault="00452443" w:rsidP="00452443">
            <w:pPr>
              <w:spacing w:after="0" w:line="240" w:lineRule="auto"/>
              <w:rPr>
                <w:rFonts w:ascii="Times New Roman" w:hAnsi="Times New Roman" w:cs="Times New Roman"/>
                <w:sz w:val="28"/>
                <w:szCs w:val="28"/>
              </w:rPr>
            </w:pPr>
          </w:p>
        </w:tc>
        <w:tc>
          <w:tcPr>
            <w:tcW w:w="831" w:type="pct"/>
            <w:vAlign w:val="center"/>
          </w:tcPr>
          <w:p w14:paraId="4D22329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2</w:t>
            </w:r>
          </w:p>
        </w:tc>
        <w:tc>
          <w:tcPr>
            <w:tcW w:w="806" w:type="pct"/>
            <w:vAlign w:val="center"/>
          </w:tcPr>
          <w:p w14:paraId="33FCE5F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0,91</w:t>
            </w:r>
          </w:p>
        </w:tc>
        <w:tc>
          <w:tcPr>
            <w:tcW w:w="807" w:type="pct"/>
            <w:vAlign w:val="center"/>
          </w:tcPr>
          <w:p w14:paraId="080FE7C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0,77 – 1,02</w:t>
            </w:r>
          </w:p>
        </w:tc>
        <w:tc>
          <w:tcPr>
            <w:tcW w:w="807" w:type="pct"/>
            <w:vAlign w:val="center"/>
          </w:tcPr>
          <w:p w14:paraId="653BF1C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w:t>
            </w:r>
          </w:p>
        </w:tc>
        <w:tc>
          <w:tcPr>
            <w:tcW w:w="807" w:type="pct"/>
            <w:vMerge/>
          </w:tcPr>
          <w:p w14:paraId="47B7E88A"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759A4D55" w14:textId="77777777" w:rsidTr="003F0A73">
        <w:trPr>
          <w:jc w:val="center"/>
        </w:trPr>
        <w:tc>
          <w:tcPr>
            <w:tcW w:w="942" w:type="pct"/>
            <w:vMerge/>
            <w:vAlign w:val="center"/>
          </w:tcPr>
          <w:p w14:paraId="1E22D49D" w14:textId="77777777" w:rsidR="00452443" w:rsidRPr="00A43B9C" w:rsidRDefault="00452443" w:rsidP="00452443">
            <w:pPr>
              <w:spacing w:after="0" w:line="240" w:lineRule="auto"/>
              <w:rPr>
                <w:rFonts w:ascii="Times New Roman" w:hAnsi="Times New Roman" w:cs="Times New Roman"/>
                <w:sz w:val="28"/>
                <w:szCs w:val="28"/>
              </w:rPr>
            </w:pPr>
          </w:p>
        </w:tc>
        <w:tc>
          <w:tcPr>
            <w:tcW w:w="831" w:type="pct"/>
            <w:vAlign w:val="center"/>
          </w:tcPr>
          <w:p w14:paraId="3943541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3</w:t>
            </w:r>
          </w:p>
        </w:tc>
        <w:tc>
          <w:tcPr>
            <w:tcW w:w="806" w:type="pct"/>
            <w:vAlign w:val="center"/>
          </w:tcPr>
          <w:p w14:paraId="66FDD40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0,67</w:t>
            </w:r>
          </w:p>
        </w:tc>
        <w:tc>
          <w:tcPr>
            <w:tcW w:w="807" w:type="pct"/>
            <w:vAlign w:val="center"/>
          </w:tcPr>
          <w:p w14:paraId="32BB793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0,53 – 1,02</w:t>
            </w:r>
          </w:p>
        </w:tc>
        <w:tc>
          <w:tcPr>
            <w:tcW w:w="807" w:type="pct"/>
            <w:vAlign w:val="center"/>
          </w:tcPr>
          <w:p w14:paraId="5D27068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28</w:t>
            </w:r>
          </w:p>
        </w:tc>
        <w:tc>
          <w:tcPr>
            <w:tcW w:w="807" w:type="pct"/>
            <w:vMerge/>
          </w:tcPr>
          <w:p w14:paraId="3D3356EB"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52E8B6AA" w14:textId="77777777" w:rsidTr="003F0A73">
        <w:trPr>
          <w:jc w:val="center"/>
        </w:trPr>
        <w:tc>
          <w:tcPr>
            <w:tcW w:w="942" w:type="pct"/>
            <w:vMerge/>
            <w:vAlign w:val="center"/>
          </w:tcPr>
          <w:p w14:paraId="3B95BF86" w14:textId="77777777" w:rsidR="00452443" w:rsidRPr="00A43B9C" w:rsidRDefault="00452443" w:rsidP="00452443">
            <w:pPr>
              <w:spacing w:after="0" w:line="240" w:lineRule="auto"/>
              <w:rPr>
                <w:rFonts w:ascii="Times New Roman" w:hAnsi="Times New Roman" w:cs="Times New Roman"/>
                <w:sz w:val="28"/>
                <w:szCs w:val="28"/>
              </w:rPr>
            </w:pPr>
          </w:p>
        </w:tc>
        <w:tc>
          <w:tcPr>
            <w:tcW w:w="831" w:type="pct"/>
            <w:vAlign w:val="center"/>
          </w:tcPr>
          <w:p w14:paraId="7AE1451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4</w:t>
            </w:r>
          </w:p>
        </w:tc>
        <w:tc>
          <w:tcPr>
            <w:tcW w:w="806" w:type="pct"/>
            <w:vAlign w:val="center"/>
          </w:tcPr>
          <w:p w14:paraId="2F24027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0,72</w:t>
            </w:r>
          </w:p>
        </w:tc>
        <w:tc>
          <w:tcPr>
            <w:tcW w:w="807" w:type="pct"/>
            <w:vAlign w:val="center"/>
          </w:tcPr>
          <w:p w14:paraId="137F157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0,55 – 1,03</w:t>
            </w:r>
          </w:p>
        </w:tc>
        <w:tc>
          <w:tcPr>
            <w:tcW w:w="807" w:type="pct"/>
            <w:vAlign w:val="center"/>
          </w:tcPr>
          <w:p w14:paraId="0D66B98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22</w:t>
            </w:r>
          </w:p>
        </w:tc>
        <w:tc>
          <w:tcPr>
            <w:tcW w:w="807" w:type="pct"/>
            <w:vMerge/>
          </w:tcPr>
          <w:p w14:paraId="38E8B807"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297C563D" w14:textId="77777777" w:rsidTr="003F0A73">
        <w:trPr>
          <w:jc w:val="center"/>
        </w:trPr>
        <w:tc>
          <w:tcPr>
            <w:tcW w:w="942" w:type="pct"/>
            <w:vMerge w:val="restart"/>
            <w:vAlign w:val="center"/>
          </w:tcPr>
          <w:p w14:paraId="44B47498" w14:textId="77777777" w:rsidR="00452443" w:rsidRPr="00A43B9C" w:rsidRDefault="00452443" w:rsidP="00452443">
            <w:pPr>
              <w:pStyle w:val="aa"/>
              <w:spacing w:after="0" w:line="240" w:lineRule="auto"/>
              <w:ind w:left="709"/>
              <w:jc w:val="both"/>
              <w:rPr>
                <w:rFonts w:ascii="Times New Roman" w:hAnsi="Times New Roman" w:cs="Times New Roman"/>
                <w:sz w:val="28"/>
                <w:szCs w:val="28"/>
              </w:rPr>
            </w:pPr>
            <w:r w:rsidRPr="00A43B9C">
              <w:rPr>
                <w:rFonts w:ascii="Times New Roman" w:hAnsi="Times New Roman" w:cs="Times New Roman"/>
                <w:sz w:val="28"/>
                <w:szCs w:val="28"/>
              </w:rPr>
              <w:t>RP</w:t>
            </w:r>
          </w:p>
        </w:tc>
        <w:tc>
          <w:tcPr>
            <w:tcW w:w="831" w:type="pct"/>
            <w:vAlign w:val="center"/>
          </w:tcPr>
          <w:p w14:paraId="59E9C71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1</w:t>
            </w:r>
          </w:p>
        </w:tc>
        <w:tc>
          <w:tcPr>
            <w:tcW w:w="806" w:type="pct"/>
            <w:vAlign w:val="center"/>
          </w:tcPr>
          <w:p w14:paraId="78873EA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1,05</w:t>
            </w:r>
          </w:p>
        </w:tc>
        <w:tc>
          <w:tcPr>
            <w:tcW w:w="807" w:type="pct"/>
            <w:vAlign w:val="center"/>
          </w:tcPr>
          <w:p w14:paraId="777A83B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1,05 – 1,05</w:t>
            </w:r>
          </w:p>
        </w:tc>
        <w:tc>
          <w:tcPr>
            <w:tcW w:w="807" w:type="pct"/>
            <w:vAlign w:val="center"/>
          </w:tcPr>
          <w:p w14:paraId="321B425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p>
        </w:tc>
        <w:tc>
          <w:tcPr>
            <w:tcW w:w="807" w:type="pct"/>
            <w:vMerge w:val="restart"/>
            <w:vAlign w:val="center"/>
          </w:tcPr>
          <w:p w14:paraId="5ACDEFF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0,715</w:t>
            </w:r>
          </w:p>
        </w:tc>
      </w:tr>
      <w:tr w:rsidR="00452443" w:rsidRPr="00A43B9C" w14:paraId="5FF5345D" w14:textId="77777777" w:rsidTr="003F0A73">
        <w:trPr>
          <w:jc w:val="center"/>
        </w:trPr>
        <w:tc>
          <w:tcPr>
            <w:tcW w:w="942" w:type="pct"/>
            <w:vMerge/>
            <w:vAlign w:val="center"/>
          </w:tcPr>
          <w:p w14:paraId="220524C6" w14:textId="77777777" w:rsidR="00452443" w:rsidRPr="00A43B9C" w:rsidRDefault="00452443" w:rsidP="00452443">
            <w:pPr>
              <w:spacing w:after="0" w:line="240" w:lineRule="auto"/>
              <w:rPr>
                <w:rFonts w:ascii="Times New Roman" w:hAnsi="Times New Roman" w:cs="Times New Roman"/>
                <w:sz w:val="28"/>
                <w:szCs w:val="28"/>
              </w:rPr>
            </w:pPr>
          </w:p>
        </w:tc>
        <w:tc>
          <w:tcPr>
            <w:tcW w:w="831" w:type="pct"/>
            <w:vAlign w:val="center"/>
          </w:tcPr>
          <w:p w14:paraId="3A6085C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2</w:t>
            </w:r>
          </w:p>
        </w:tc>
        <w:tc>
          <w:tcPr>
            <w:tcW w:w="806" w:type="pct"/>
            <w:vAlign w:val="center"/>
          </w:tcPr>
          <w:p w14:paraId="23F86EC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0,92</w:t>
            </w:r>
          </w:p>
        </w:tc>
        <w:tc>
          <w:tcPr>
            <w:tcW w:w="807" w:type="pct"/>
            <w:vAlign w:val="center"/>
          </w:tcPr>
          <w:p w14:paraId="0CBE48B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0,85 – 1,19</w:t>
            </w:r>
          </w:p>
        </w:tc>
        <w:tc>
          <w:tcPr>
            <w:tcW w:w="807" w:type="pct"/>
            <w:vAlign w:val="center"/>
          </w:tcPr>
          <w:p w14:paraId="7AF97E4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w:t>
            </w:r>
          </w:p>
        </w:tc>
        <w:tc>
          <w:tcPr>
            <w:tcW w:w="807" w:type="pct"/>
            <w:vMerge/>
          </w:tcPr>
          <w:p w14:paraId="506F7C02"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6EA60832" w14:textId="77777777" w:rsidTr="003F0A73">
        <w:trPr>
          <w:jc w:val="center"/>
        </w:trPr>
        <w:tc>
          <w:tcPr>
            <w:tcW w:w="942" w:type="pct"/>
            <w:vMerge/>
            <w:vAlign w:val="center"/>
          </w:tcPr>
          <w:p w14:paraId="5CE6B33E" w14:textId="77777777" w:rsidR="00452443" w:rsidRPr="00A43B9C" w:rsidRDefault="00452443" w:rsidP="00452443">
            <w:pPr>
              <w:spacing w:after="0" w:line="240" w:lineRule="auto"/>
              <w:rPr>
                <w:rFonts w:ascii="Times New Roman" w:hAnsi="Times New Roman" w:cs="Times New Roman"/>
                <w:sz w:val="28"/>
                <w:szCs w:val="28"/>
              </w:rPr>
            </w:pPr>
          </w:p>
        </w:tc>
        <w:tc>
          <w:tcPr>
            <w:tcW w:w="831" w:type="pct"/>
            <w:vAlign w:val="center"/>
          </w:tcPr>
          <w:p w14:paraId="19773B1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3</w:t>
            </w:r>
          </w:p>
        </w:tc>
        <w:tc>
          <w:tcPr>
            <w:tcW w:w="806" w:type="pct"/>
            <w:vAlign w:val="center"/>
          </w:tcPr>
          <w:p w14:paraId="0E23054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0,83</w:t>
            </w:r>
          </w:p>
        </w:tc>
        <w:tc>
          <w:tcPr>
            <w:tcW w:w="807" w:type="pct"/>
            <w:vAlign w:val="center"/>
          </w:tcPr>
          <w:p w14:paraId="708F1EE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0,63 – 1,19</w:t>
            </w:r>
          </w:p>
        </w:tc>
        <w:tc>
          <w:tcPr>
            <w:tcW w:w="807" w:type="pct"/>
            <w:vAlign w:val="center"/>
          </w:tcPr>
          <w:p w14:paraId="3DA286F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28</w:t>
            </w:r>
          </w:p>
        </w:tc>
        <w:tc>
          <w:tcPr>
            <w:tcW w:w="807" w:type="pct"/>
            <w:vMerge/>
          </w:tcPr>
          <w:p w14:paraId="1F21CC44"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4B30C43A" w14:textId="77777777" w:rsidTr="003F0A73">
        <w:trPr>
          <w:jc w:val="center"/>
        </w:trPr>
        <w:tc>
          <w:tcPr>
            <w:tcW w:w="942" w:type="pct"/>
            <w:vMerge/>
            <w:vAlign w:val="center"/>
          </w:tcPr>
          <w:p w14:paraId="7295488B" w14:textId="77777777" w:rsidR="00452443" w:rsidRPr="00A43B9C" w:rsidRDefault="00452443" w:rsidP="00452443">
            <w:pPr>
              <w:spacing w:after="0" w:line="240" w:lineRule="auto"/>
              <w:rPr>
                <w:rFonts w:ascii="Times New Roman" w:hAnsi="Times New Roman" w:cs="Times New Roman"/>
                <w:sz w:val="28"/>
                <w:szCs w:val="28"/>
              </w:rPr>
            </w:pPr>
          </w:p>
        </w:tc>
        <w:tc>
          <w:tcPr>
            <w:tcW w:w="831" w:type="pct"/>
            <w:vAlign w:val="center"/>
          </w:tcPr>
          <w:p w14:paraId="640CE95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4</w:t>
            </w:r>
          </w:p>
        </w:tc>
        <w:tc>
          <w:tcPr>
            <w:tcW w:w="806" w:type="pct"/>
            <w:vAlign w:val="center"/>
          </w:tcPr>
          <w:p w14:paraId="5E61922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0,91</w:t>
            </w:r>
          </w:p>
        </w:tc>
        <w:tc>
          <w:tcPr>
            <w:tcW w:w="807" w:type="pct"/>
            <w:vAlign w:val="center"/>
          </w:tcPr>
          <w:p w14:paraId="6030447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0,74 – 1,19</w:t>
            </w:r>
          </w:p>
        </w:tc>
        <w:tc>
          <w:tcPr>
            <w:tcW w:w="807" w:type="pct"/>
            <w:vAlign w:val="center"/>
          </w:tcPr>
          <w:p w14:paraId="36C098A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22</w:t>
            </w:r>
          </w:p>
        </w:tc>
        <w:tc>
          <w:tcPr>
            <w:tcW w:w="807" w:type="pct"/>
            <w:vMerge/>
          </w:tcPr>
          <w:p w14:paraId="15ADE4D7"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655AC0DC" w14:textId="77777777" w:rsidTr="003F0A73">
        <w:trPr>
          <w:jc w:val="center"/>
        </w:trPr>
        <w:tc>
          <w:tcPr>
            <w:tcW w:w="942" w:type="pct"/>
            <w:vMerge w:val="restart"/>
            <w:vAlign w:val="center"/>
          </w:tcPr>
          <w:p w14:paraId="28E4C0C9" w14:textId="77777777" w:rsidR="00452443" w:rsidRPr="00A43B9C" w:rsidRDefault="00452443" w:rsidP="00452443">
            <w:pPr>
              <w:pStyle w:val="aa"/>
              <w:spacing w:after="0" w:line="240" w:lineRule="auto"/>
              <w:ind w:left="709"/>
              <w:jc w:val="both"/>
              <w:rPr>
                <w:rFonts w:ascii="Times New Roman" w:hAnsi="Times New Roman" w:cs="Times New Roman"/>
                <w:sz w:val="28"/>
                <w:szCs w:val="28"/>
              </w:rPr>
            </w:pPr>
            <w:r w:rsidRPr="00A43B9C">
              <w:rPr>
                <w:rFonts w:ascii="Times New Roman" w:hAnsi="Times New Roman" w:cs="Times New Roman"/>
                <w:sz w:val="28"/>
                <w:szCs w:val="28"/>
              </w:rPr>
              <w:t>RLI</w:t>
            </w:r>
          </w:p>
        </w:tc>
        <w:tc>
          <w:tcPr>
            <w:tcW w:w="831" w:type="pct"/>
            <w:vAlign w:val="center"/>
          </w:tcPr>
          <w:p w14:paraId="6AC49F1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1</w:t>
            </w:r>
          </w:p>
        </w:tc>
        <w:tc>
          <w:tcPr>
            <w:tcW w:w="806" w:type="pct"/>
            <w:vAlign w:val="center"/>
          </w:tcPr>
          <w:p w14:paraId="1417CE1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0,75</w:t>
            </w:r>
          </w:p>
        </w:tc>
        <w:tc>
          <w:tcPr>
            <w:tcW w:w="807" w:type="pct"/>
            <w:vAlign w:val="center"/>
          </w:tcPr>
          <w:p w14:paraId="7049D33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0,75 – 0,75</w:t>
            </w:r>
          </w:p>
        </w:tc>
        <w:tc>
          <w:tcPr>
            <w:tcW w:w="807" w:type="pct"/>
            <w:vAlign w:val="center"/>
          </w:tcPr>
          <w:p w14:paraId="5B38F22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p>
        </w:tc>
        <w:tc>
          <w:tcPr>
            <w:tcW w:w="807" w:type="pct"/>
            <w:vMerge w:val="restart"/>
            <w:vAlign w:val="center"/>
          </w:tcPr>
          <w:p w14:paraId="32AE576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0,392</w:t>
            </w:r>
          </w:p>
        </w:tc>
      </w:tr>
      <w:tr w:rsidR="00452443" w:rsidRPr="00A43B9C" w14:paraId="6FC85E55" w14:textId="77777777" w:rsidTr="003F0A73">
        <w:trPr>
          <w:jc w:val="center"/>
        </w:trPr>
        <w:tc>
          <w:tcPr>
            <w:tcW w:w="942" w:type="pct"/>
            <w:vMerge/>
            <w:vAlign w:val="center"/>
          </w:tcPr>
          <w:p w14:paraId="65A5A098" w14:textId="77777777" w:rsidR="00452443" w:rsidRPr="00A43B9C" w:rsidRDefault="00452443" w:rsidP="00452443">
            <w:pPr>
              <w:spacing w:after="0" w:line="240" w:lineRule="auto"/>
              <w:rPr>
                <w:rFonts w:ascii="Times New Roman" w:hAnsi="Times New Roman" w:cs="Times New Roman"/>
                <w:sz w:val="28"/>
                <w:szCs w:val="28"/>
              </w:rPr>
            </w:pPr>
          </w:p>
        </w:tc>
        <w:tc>
          <w:tcPr>
            <w:tcW w:w="831" w:type="pct"/>
            <w:vAlign w:val="center"/>
          </w:tcPr>
          <w:p w14:paraId="1E0EDDE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2</w:t>
            </w:r>
          </w:p>
        </w:tc>
        <w:tc>
          <w:tcPr>
            <w:tcW w:w="806" w:type="pct"/>
            <w:vAlign w:val="center"/>
          </w:tcPr>
          <w:p w14:paraId="3B63DC5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0,90</w:t>
            </w:r>
          </w:p>
        </w:tc>
        <w:tc>
          <w:tcPr>
            <w:tcW w:w="807" w:type="pct"/>
            <w:vAlign w:val="center"/>
          </w:tcPr>
          <w:p w14:paraId="0108749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0,51 – 1,06</w:t>
            </w:r>
          </w:p>
        </w:tc>
        <w:tc>
          <w:tcPr>
            <w:tcW w:w="807" w:type="pct"/>
            <w:vAlign w:val="center"/>
          </w:tcPr>
          <w:p w14:paraId="3C6C56F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w:t>
            </w:r>
          </w:p>
        </w:tc>
        <w:tc>
          <w:tcPr>
            <w:tcW w:w="807" w:type="pct"/>
            <w:vMerge/>
          </w:tcPr>
          <w:p w14:paraId="2350DA03"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3CF24DA8" w14:textId="77777777" w:rsidTr="003F0A73">
        <w:trPr>
          <w:jc w:val="center"/>
        </w:trPr>
        <w:tc>
          <w:tcPr>
            <w:tcW w:w="942" w:type="pct"/>
            <w:vMerge/>
            <w:vAlign w:val="center"/>
          </w:tcPr>
          <w:p w14:paraId="74D7DA63" w14:textId="77777777" w:rsidR="00452443" w:rsidRPr="00A43B9C" w:rsidRDefault="00452443" w:rsidP="00452443">
            <w:pPr>
              <w:spacing w:after="0" w:line="240" w:lineRule="auto"/>
              <w:rPr>
                <w:rFonts w:ascii="Times New Roman" w:hAnsi="Times New Roman" w:cs="Times New Roman"/>
                <w:sz w:val="28"/>
                <w:szCs w:val="28"/>
              </w:rPr>
            </w:pPr>
          </w:p>
        </w:tc>
        <w:tc>
          <w:tcPr>
            <w:tcW w:w="831" w:type="pct"/>
            <w:vAlign w:val="center"/>
          </w:tcPr>
          <w:p w14:paraId="17E1FD6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3</w:t>
            </w:r>
          </w:p>
        </w:tc>
        <w:tc>
          <w:tcPr>
            <w:tcW w:w="806" w:type="pct"/>
            <w:vAlign w:val="center"/>
          </w:tcPr>
          <w:p w14:paraId="53C23DF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0,65</w:t>
            </w:r>
          </w:p>
        </w:tc>
        <w:tc>
          <w:tcPr>
            <w:tcW w:w="807" w:type="pct"/>
            <w:vAlign w:val="center"/>
          </w:tcPr>
          <w:p w14:paraId="5DD1054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0,48 – 0,82</w:t>
            </w:r>
          </w:p>
        </w:tc>
        <w:tc>
          <w:tcPr>
            <w:tcW w:w="807" w:type="pct"/>
            <w:vAlign w:val="center"/>
          </w:tcPr>
          <w:p w14:paraId="36C3492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28</w:t>
            </w:r>
          </w:p>
        </w:tc>
        <w:tc>
          <w:tcPr>
            <w:tcW w:w="807" w:type="pct"/>
            <w:vMerge/>
          </w:tcPr>
          <w:p w14:paraId="7CD971DE"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07BA16C1" w14:textId="77777777" w:rsidTr="003F0A73">
        <w:trPr>
          <w:jc w:val="center"/>
        </w:trPr>
        <w:tc>
          <w:tcPr>
            <w:tcW w:w="942" w:type="pct"/>
            <w:vMerge/>
            <w:vAlign w:val="center"/>
          </w:tcPr>
          <w:p w14:paraId="3699F12F" w14:textId="77777777" w:rsidR="00452443" w:rsidRPr="00A43B9C" w:rsidRDefault="00452443" w:rsidP="00452443">
            <w:pPr>
              <w:spacing w:after="0" w:line="240" w:lineRule="auto"/>
              <w:rPr>
                <w:rFonts w:ascii="Times New Roman" w:hAnsi="Times New Roman" w:cs="Times New Roman"/>
                <w:sz w:val="28"/>
                <w:szCs w:val="28"/>
              </w:rPr>
            </w:pPr>
          </w:p>
        </w:tc>
        <w:tc>
          <w:tcPr>
            <w:tcW w:w="831" w:type="pct"/>
            <w:vAlign w:val="center"/>
          </w:tcPr>
          <w:p w14:paraId="4AC6790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4</w:t>
            </w:r>
          </w:p>
        </w:tc>
        <w:tc>
          <w:tcPr>
            <w:tcW w:w="806" w:type="pct"/>
            <w:vAlign w:val="center"/>
          </w:tcPr>
          <w:p w14:paraId="3B1E036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0,71</w:t>
            </w:r>
          </w:p>
        </w:tc>
        <w:tc>
          <w:tcPr>
            <w:tcW w:w="807" w:type="pct"/>
            <w:vAlign w:val="center"/>
          </w:tcPr>
          <w:p w14:paraId="09750B3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0,59 – 0,87</w:t>
            </w:r>
          </w:p>
        </w:tc>
        <w:tc>
          <w:tcPr>
            <w:tcW w:w="807" w:type="pct"/>
            <w:vAlign w:val="center"/>
          </w:tcPr>
          <w:p w14:paraId="6A3C086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22</w:t>
            </w:r>
          </w:p>
        </w:tc>
        <w:tc>
          <w:tcPr>
            <w:tcW w:w="807" w:type="pct"/>
            <w:vMerge/>
          </w:tcPr>
          <w:p w14:paraId="1C1C60CB"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6F1FCA5E" w14:textId="77777777" w:rsidTr="003F0A73">
        <w:trPr>
          <w:jc w:val="center"/>
        </w:trPr>
        <w:tc>
          <w:tcPr>
            <w:tcW w:w="942" w:type="pct"/>
            <w:vMerge w:val="restart"/>
            <w:vAlign w:val="center"/>
          </w:tcPr>
          <w:p w14:paraId="090796C6" w14:textId="77777777" w:rsidR="00452443" w:rsidRPr="00A43B9C" w:rsidRDefault="00452443" w:rsidP="00452443">
            <w:pPr>
              <w:pStyle w:val="aa"/>
              <w:spacing w:after="0" w:line="240" w:lineRule="auto"/>
              <w:ind w:left="709"/>
              <w:jc w:val="both"/>
              <w:rPr>
                <w:rFonts w:ascii="Times New Roman" w:hAnsi="Times New Roman" w:cs="Times New Roman"/>
                <w:sz w:val="28"/>
                <w:szCs w:val="28"/>
              </w:rPr>
            </w:pPr>
            <w:r w:rsidRPr="00A43B9C">
              <w:rPr>
                <w:rFonts w:ascii="Times New Roman" w:hAnsi="Times New Roman" w:cs="Times New Roman"/>
                <w:sz w:val="28"/>
                <w:szCs w:val="28"/>
              </w:rPr>
              <w:t>P</w:t>
            </w:r>
          </w:p>
        </w:tc>
        <w:tc>
          <w:tcPr>
            <w:tcW w:w="831" w:type="pct"/>
            <w:vAlign w:val="center"/>
          </w:tcPr>
          <w:p w14:paraId="032FE74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1</w:t>
            </w:r>
          </w:p>
        </w:tc>
        <w:tc>
          <w:tcPr>
            <w:tcW w:w="806" w:type="pct"/>
            <w:vAlign w:val="center"/>
          </w:tcPr>
          <w:p w14:paraId="5FC91F6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1,03</w:t>
            </w:r>
          </w:p>
        </w:tc>
        <w:tc>
          <w:tcPr>
            <w:tcW w:w="807" w:type="pct"/>
            <w:vAlign w:val="center"/>
          </w:tcPr>
          <w:p w14:paraId="41C5C51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1,03 – 1,03</w:t>
            </w:r>
          </w:p>
        </w:tc>
        <w:tc>
          <w:tcPr>
            <w:tcW w:w="807" w:type="pct"/>
            <w:vAlign w:val="center"/>
          </w:tcPr>
          <w:p w14:paraId="5B27406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p>
        </w:tc>
        <w:tc>
          <w:tcPr>
            <w:tcW w:w="807" w:type="pct"/>
            <w:vMerge w:val="restart"/>
            <w:vAlign w:val="center"/>
          </w:tcPr>
          <w:p w14:paraId="0BDE6D9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0,126</w:t>
            </w:r>
          </w:p>
        </w:tc>
      </w:tr>
      <w:tr w:rsidR="00452443" w:rsidRPr="00A43B9C" w14:paraId="40D98B89" w14:textId="77777777" w:rsidTr="003F0A73">
        <w:trPr>
          <w:jc w:val="center"/>
        </w:trPr>
        <w:tc>
          <w:tcPr>
            <w:tcW w:w="942" w:type="pct"/>
            <w:vMerge/>
            <w:vAlign w:val="center"/>
          </w:tcPr>
          <w:p w14:paraId="31A36A0A" w14:textId="77777777" w:rsidR="00452443" w:rsidRPr="00A43B9C" w:rsidRDefault="00452443" w:rsidP="00452443">
            <w:pPr>
              <w:spacing w:after="0" w:line="240" w:lineRule="auto"/>
              <w:rPr>
                <w:rFonts w:ascii="Times New Roman" w:hAnsi="Times New Roman" w:cs="Times New Roman"/>
                <w:sz w:val="28"/>
                <w:szCs w:val="28"/>
              </w:rPr>
            </w:pPr>
          </w:p>
        </w:tc>
        <w:tc>
          <w:tcPr>
            <w:tcW w:w="831" w:type="pct"/>
            <w:vAlign w:val="center"/>
          </w:tcPr>
          <w:p w14:paraId="6527DF1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2</w:t>
            </w:r>
          </w:p>
        </w:tc>
        <w:tc>
          <w:tcPr>
            <w:tcW w:w="806" w:type="pct"/>
            <w:vAlign w:val="center"/>
          </w:tcPr>
          <w:p w14:paraId="45A57C6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1,11</w:t>
            </w:r>
          </w:p>
        </w:tc>
        <w:tc>
          <w:tcPr>
            <w:tcW w:w="807" w:type="pct"/>
            <w:vAlign w:val="center"/>
          </w:tcPr>
          <w:p w14:paraId="78A30EA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0,96 – 1,18</w:t>
            </w:r>
          </w:p>
        </w:tc>
        <w:tc>
          <w:tcPr>
            <w:tcW w:w="807" w:type="pct"/>
            <w:vAlign w:val="center"/>
          </w:tcPr>
          <w:p w14:paraId="227516B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w:t>
            </w:r>
          </w:p>
        </w:tc>
        <w:tc>
          <w:tcPr>
            <w:tcW w:w="807" w:type="pct"/>
            <w:vMerge/>
          </w:tcPr>
          <w:p w14:paraId="00F48D33"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5D4EE627" w14:textId="77777777" w:rsidTr="003F0A73">
        <w:trPr>
          <w:jc w:val="center"/>
        </w:trPr>
        <w:tc>
          <w:tcPr>
            <w:tcW w:w="942" w:type="pct"/>
            <w:vMerge/>
            <w:vAlign w:val="center"/>
          </w:tcPr>
          <w:p w14:paraId="74CACE79" w14:textId="77777777" w:rsidR="00452443" w:rsidRPr="00A43B9C" w:rsidRDefault="00452443" w:rsidP="00452443">
            <w:pPr>
              <w:spacing w:after="0" w:line="240" w:lineRule="auto"/>
              <w:rPr>
                <w:rFonts w:ascii="Times New Roman" w:hAnsi="Times New Roman" w:cs="Times New Roman"/>
                <w:sz w:val="28"/>
                <w:szCs w:val="28"/>
              </w:rPr>
            </w:pPr>
          </w:p>
        </w:tc>
        <w:tc>
          <w:tcPr>
            <w:tcW w:w="831" w:type="pct"/>
            <w:vAlign w:val="center"/>
          </w:tcPr>
          <w:p w14:paraId="235FFD1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3</w:t>
            </w:r>
          </w:p>
        </w:tc>
        <w:tc>
          <w:tcPr>
            <w:tcW w:w="806" w:type="pct"/>
            <w:vAlign w:val="center"/>
          </w:tcPr>
          <w:p w14:paraId="347DC61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0,73</w:t>
            </w:r>
          </w:p>
        </w:tc>
        <w:tc>
          <w:tcPr>
            <w:tcW w:w="807" w:type="pct"/>
            <w:vAlign w:val="center"/>
          </w:tcPr>
          <w:p w14:paraId="5825D6B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0,58 – 1,11</w:t>
            </w:r>
          </w:p>
        </w:tc>
        <w:tc>
          <w:tcPr>
            <w:tcW w:w="807" w:type="pct"/>
            <w:vAlign w:val="center"/>
          </w:tcPr>
          <w:p w14:paraId="3EAB33A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28</w:t>
            </w:r>
          </w:p>
        </w:tc>
        <w:tc>
          <w:tcPr>
            <w:tcW w:w="807" w:type="pct"/>
            <w:vMerge/>
          </w:tcPr>
          <w:p w14:paraId="48EA3DBA"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761D5710" w14:textId="77777777" w:rsidTr="003F0A73">
        <w:trPr>
          <w:jc w:val="center"/>
        </w:trPr>
        <w:tc>
          <w:tcPr>
            <w:tcW w:w="942" w:type="pct"/>
            <w:vMerge/>
            <w:vAlign w:val="center"/>
          </w:tcPr>
          <w:p w14:paraId="36E0615A" w14:textId="77777777" w:rsidR="00452443" w:rsidRPr="00A43B9C" w:rsidRDefault="00452443" w:rsidP="00452443">
            <w:pPr>
              <w:spacing w:after="0" w:line="240" w:lineRule="auto"/>
              <w:rPr>
                <w:rFonts w:ascii="Times New Roman" w:hAnsi="Times New Roman" w:cs="Times New Roman"/>
                <w:sz w:val="28"/>
                <w:szCs w:val="28"/>
              </w:rPr>
            </w:pPr>
          </w:p>
        </w:tc>
        <w:tc>
          <w:tcPr>
            <w:tcW w:w="831" w:type="pct"/>
            <w:vAlign w:val="center"/>
          </w:tcPr>
          <w:p w14:paraId="590384D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4</w:t>
            </w:r>
          </w:p>
        </w:tc>
        <w:tc>
          <w:tcPr>
            <w:tcW w:w="806" w:type="pct"/>
            <w:vAlign w:val="center"/>
          </w:tcPr>
          <w:p w14:paraId="770C59C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0,84</w:t>
            </w:r>
          </w:p>
        </w:tc>
        <w:tc>
          <w:tcPr>
            <w:tcW w:w="807" w:type="pct"/>
            <w:vAlign w:val="center"/>
          </w:tcPr>
          <w:p w14:paraId="2FDD75D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0,64 – 0,95</w:t>
            </w:r>
          </w:p>
        </w:tc>
        <w:tc>
          <w:tcPr>
            <w:tcW w:w="807" w:type="pct"/>
            <w:vAlign w:val="center"/>
          </w:tcPr>
          <w:p w14:paraId="5DFFBD9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22</w:t>
            </w:r>
          </w:p>
        </w:tc>
        <w:tc>
          <w:tcPr>
            <w:tcW w:w="807" w:type="pct"/>
            <w:vMerge/>
          </w:tcPr>
          <w:p w14:paraId="3719DC18" w14:textId="77777777" w:rsidR="00452443" w:rsidRPr="00A43B9C" w:rsidRDefault="00452443" w:rsidP="00452443">
            <w:pPr>
              <w:spacing w:after="0" w:line="240" w:lineRule="auto"/>
              <w:jc w:val="center"/>
              <w:rPr>
                <w:rFonts w:ascii="Times New Roman" w:hAnsi="Times New Roman" w:cs="Times New Roman"/>
                <w:sz w:val="28"/>
                <w:szCs w:val="28"/>
              </w:rPr>
            </w:pPr>
          </w:p>
        </w:tc>
      </w:tr>
    </w:tbl>
    <w:p w14:paraId="5EA1F28D" w14:textId="218BFF36" w:rsidR="00825215" w:rsidRPr="00E96DD1" w:rsidRDefault="00825215" w:rsidP="00825215">
      <w:pPr>
        <w:spacing w:after="0" w:line="240" w:lineRule="auto"/>
        <w:ind w:firstLine="709"/>
        <w:jc w:val="center"/>
        <w:rPr>
          <w:rFonts w:ascii="Times New Roman" w:hAnsi="Times New Roman" w:cs="Times New Roman"/>
          <w:sz w:val="24"/>
          <w:szCs w:val="24"/>
        </w:rPr>
      </w:pPr>
    </w:p>
    <w:tbl>
      <w:tblPr>
        <w:tblStyle w:val="ad"/>
        <w:tblW w:w="10908"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6"/>
        <w:gridCol w:w="3636"/>
        <w:gridCol w:w="3636"/>
      </w:tblGrid>
      <w:tr w:rsidR="00422F8C" w:rsidRPr="00A43B9C" w14:paraId="3593D64F" w14:textId="77777777" w:rsidTr="00422F8C">
        <w:tc>
          <w:tcPr>
            <w:tcW w:w="3636" w:type="dxa"/>
          </w:tcPr>
          <w:p w14:paraId="7FCDE842" w14:textId="45CDC1B4" w:rsidR="00422F8C" w:rsidRPr="00A43B9C" w:rsidRDefault="00422F8C" w:rsidP="00422F8C">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018CFD59" wp14:editId="02AE2599">
                      <wp:extent cx="2160000" cy="1800000"/>
                      <wp:effectExtent l="0" t="0" r="12065" b="10160"/>
                      <wp:docPr id="112" name="Диаграмма 112">
                        <a:extLst xmlns:a="http://schemas.openxmlformats.org/drawingml/2006/main">
                          <a:ext uri="{FF2B5EF4-FFF2-40B4-BE49-F238E27FC236}">
                            <a16:creationId xmlns:a16="http://schemas.microsoft.com/office/drawing/2014/main" id="{2FCCD1ED-1B0C-4F84-BF54-DAFE34229494}"/>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08"/>
                        </a:graphicData>
                      </a:graphic>
                    </wp:inline>
                  </w:drawing>
                </mc:Choice>
                <mc:Fallback>
                  <w:drawing>
                    <wp:inline distT="0" distB="0" distL="0" distR="0" wp14:anchorId="018CFD59" wp14:editId="02AE2599">
                      <wp:extent cx="2160000" cy="1800000"/>
                      <wp:effectExtent l="0" t="0" r="12065" b="10160"/>
                      <wp:docPr id="112" name="Диаграмма 112">
                        <a:extLst xmlns:a="http://schemas.openxmlformats.org/drawingml/2006/main">
                          <a:ext uri="{FF2B5EF4-FFF2-40B4-BE49-F238E27FC236}">
                            <a16:creationId xmlns:a16="http://schemas.microsoft.com/office/drawing/2014/main" id="{2FCCD1ED-1B0C-4F84-BF54-DAFE34229494}"/>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12" name="Диаграмма 112">
                                <a:extLst>
                                  <a:ext uri="{FF2B5EF4-FFF2-40B4-BE49-F238E27FC236}">
                                    <a16:creationId xmlns:a16="http://schemas.microsoft.com/office/drawing/2014/main" id="{2FCCD1ED-1B0C-4F84-BF54-DAFE34229494}"/>
                                  </a:ext>
                                </a:extLst>
                              </pic:cNvPr>
                              <pic:cNvPicPr>
                                <a:picLocks noGrp="1" noRot="1" noChangeAspect="1" noMove="1" noResize="1" noEditPoints="1" noAdjustHandles="1" noChangeArrowheads="1" noChangeShapeType="1"/>
                              </pic:cNvPicPr>
                            </pic:nvPicPr>
                            <pic:blipFill>
                              <a:blip r:embed="rId209"/>
                              <a:stretch>
                                <a:fillRect/>
                              </a:stretch>
                            </pic:blipFill>
                            <pic:spPr>
                              <a:xfrm>
                                <a:off x="0" y="0"/>
                                <a:ext cx="2159635" cy="1799590"/>
                              </a:xfrm>
                              <a:prstGeom prst="rect">
                                <a:avLst/>
                              </a:prstGeom>
                            </pic:spPr>
                          </pic:pic>
                        </a:graphicData>
                      </a:graphic>
                    </wp:inline>
                  </w:drawing>
                </mc:Fallback>
              </mc:AlternateContent>
            </w:r>
          </w:p>
        </w:tc>
        <w:tc>
          <w:tcPr>
            <w:tcW w:w="3636" w:type="dxa"/>
          </w:tcPr>
          <w:p w14:paraId="19543A45" w14:textId="169DE262" w:rsidR="00422F8C" w:rsidRPr="00A43B9C" w:rsidRDefault="00422F8C" w:rsidP="00422F8C">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42027895" wp14:editId="39F7ED00">
                      <wp:extent cx="2160000" cy="1800000"/>
                      <wp:effectExtent l="0" t="0" r="12065" b="10160"/>
                      <wp:docPr id="114" name="Диаграмма 114">
                        <a:extLst xmlns:a="http://schemas.openxmlformats.org/drawingml/2006/main">
                          <a:ext uri="{FF2B5EF4-FFF2-40B4-BE49-F238E27FC236}">
                            <a16:creationId xmlns:a16="http://schemas.microsoft.com/office/drawing/2014/main" id="{AC674835-FB54-4034-84C0-A07BA5BC5F66}"/>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10"/>
                        </a:graphicData>
                      </a:graphic>
                    </wp:inline>
                  </w:drawing>
                </mc:Choice>
                <mc:Fallback>
                  <w:drawing>
                    <wp:inline distT="0" distB="0" distL="0" distR="0" wp14:anchorId="42027895" wp14:editId="39F7ED00">
                      <wp:extent cx="2160000" cy="1800000"/>
                      <wp:effectExtent l="0" t="0" r="12065" b="10160"/>
                      <wp:docPr id="114" name="Диаграмма 114">
                        <a:extLst xmlns:a="http://schemas.openxmlformats.org/drawingml/2006/main">
                          <a:ext uri="{FF2B5EF4-FFF2-40B4-BE49-F238E27FC236}">
                            <a16:creationId xmlns:a16="http://schemas.microsoft.com/office/drawing/2014/main" id="{AC674835-FB54-4034-84C0-A07BA5BC5F66}"/>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14" name="Диаграмма 114">
                                <a:extLst>
                                  <a:ext uri="{FF2B5EF4-FFF2-40B4-BE49-F238E27FC236}">
                                    <a16:creationId xmlns:a16="http://schemas.microsoft.com/office/drawing/2014/main" id="{AC674835-FB54-4034-84C0-A07BA5BC5F66}"/>
                                  </a:ext>
                                </a:extLst>
                              </pic:cNvPr>
                              <pic:cNvPicPr>
                                <a:picLocks noGrp="1" noRot="1" noChangeAspect="1" noMove="1" noResize="1" noEditPoints="1" noAdjustHandles="1" noChangeArrowheads="1" noChangeShapeType="1"/>
                              </pic:cNvPicPr>
                            </pic:nvPicPr>
                            <pic:blipFill>
                              <a:blip r:embed="rId211"/>
                              <a:stretch>
                                <a:fillRect/>
                              </a:stretch>
                            </pic:blipFill>
                            <pic:spPr>
                              <a:xfrm>
                                <a:off x="0" y="0"/>
                                <a:ext cx="2159635" cy="1799590"/>
                              </a:xfrm>
                              <a:prstGeom prst="rect">
                                <a:avLst/>
                              </a:prstGeom>
                            </pic:spPr>
                          </pic:pic>
                        </a:graphicData>
                      </a:graphic>
                    </wp:inline>
                  </w:drawing>
                </mc:Fallback>
              </mc:AlternateContent>
            </w:r>
          </w:p>
        </w:tc>
        <w:tc>
          <w:tcPr>
            <w:tcW w:w="3636" w:type="dxa"/>
          </w:tcPr>
          <w:p w14:paraId="4F4C1A25" w14:textId="05B8B50B" w:rsidR="00422F8C" w:rsidRPr="00A43B9C" w:rsidRDefault="00422F8C" w:rsidP="00422F8C">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1A061B13" wp14:editId="19BC92E1">
                      <wp:extent cx="2160000" cy="1800000"/>
                      <wp:effectExtent l="0" t="0" r="12065" b="10160"/>
                      <wp:docPr id="115" name="Диаграмма 115">
                        <a:extLst xmlns:a="http://schemas.openxmlformats.org/drawingml/2006/main">
                          <a:ext uri="{FF2B5EF4-FFF2-40B4-BE49-F238E27FC236}">
                            <a16:creationId xmlns:a16="http://schemas.microsoft.com/office/drawing/2014/main" id="{B14DE9AA-5E17-46A6-A659-A60C8FB84E44}"/>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12"/>
                        </a:graphicData>
                      </a:graphic>
                    </wp:inline>
                  </w:drawing>
                </mc:Choice>
                <mc:Fallback>
                  <w:drawing>
                    <wp:inline distT="0" distB="0" distL="0" distR="0" wp14:anchorId="1A061B13" wp14:editId="19BC92E1">
                      <wp:extent cx="2160000" cy="1800000"/>
                      <wp:effectExtent l="0" t="0" r="12065" b="10160"/>
                      <wp:docPr id="115" name="Диаграмма 115">
                        <a:extLst xmlns:a="http://schemas.openxmlformats.org/drawingml/2006/main">
                          <a:ext uri="{FF2B5EF4-FFF2-40B4-BE49-F238E27FC236}">
                            <a16:creationId xmlns:a16="http://schemas.microsoft.com/office/drawing/2014/main" id="{B14DE9AA-5E17-46A6-A659-A60C8FB84E44}"/>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15" name="Диаграмма 115">
                                <a:extLst>
                                  <a:ext uri="{FF2B5EF4-FFF2-40B4-BE49-F238E27FC236}">
                                    <a16:creationId xmlns:a16="http://schemas.microsoft.com/office/drawing/2014/main" id="{B14DE9AA-5E17-46A6-A659-A60C8FB84E44}"/>
                                  </a:ext>
                                </a:extLst>
                              </pic:cNvPr>
                              <pic:cNvPicPr>
                                <a:picLocks noGrp="1" noRot="1" noChangeAspect="1" noMove="1" noResize="1" noEditPoints="1" noAdjustHandles="1" noChangeArrowheads="1" noChangeShapeType="1"/>
                              </pic:cNvPicPr>
                            </pic:nvPicPr>
                            <pic:blipFill>
                              <a:blip r:embed="rId213"/>
                              <a:stretch>
                                <a:fillRect/>
                              </a:stretch>
                            </pic:blipFill>
                            <pic:spPr>
                              <a:xfrm>
                                <a:off x="0" y="0"/>
                                <a:ext cx="2159635" cy="1799590"/>
                              </a:xfrm>
                              <a:prstGeom prst="rect">
                                <a:avLst/>
                              </a:prstGeom>
                            </pic:spPr>
                          </pic:pic>
                        </a:graphicData>
                      </a:graphic>
                    </wp:inline>
                  </w:drawing>
                </mc:Fallback>
              </mc:AlternateContent>
            </w:r>
          </w:p>
        </w:tc>
      </w:tr>
      <w:tr w:rsidR="0097135F" w:rsidRPr="00A43B9C" w14:paraId="507A18C2" w14:textId="77777777" w:rsidTr="00422F8C">
        <w:tc>
          <w:tcPr>
            <w:tcW w:w="3636" w:type="dxa"/>
          </w:tcPr>
          <w:p w14:paraId="03915883" w14:textId="74475CE9" w:rsidR="0097135F" w:rsidRPr="00E96DD1" w:rsidRDefault="0097135F" w:rsidP="0097135F">
            <w:pPr>
              <w:spacing w:after="0" w:line="240" w:lineRule="auto"/>
              <w:jc w:val="center"/>
              <w:rPr>
                <w:rFonts w:ascii="Times New Roman" w:hAnsi="Times New Roman" w:cs="Times New Roman"/>
                <w:sz w:val="24"/>
                <w:szCs w:val="24"/>
                <w:lang w:val="en-US"/>
              </w:rPr>
            </w:pPr>
            <w:r w:rsidRPr="00E96DD1">
              <w:rPr>
                <w:rFonts w:ascii="Times New Roman" w:hAnsi="Times New Roman" w:cs="Times New Roman"/>
                <w:sz w:val="24"/>
                <w:szCs w:val="24"/>
              </w:rPr>
              <w:t>а)</w:t>
            </w:r>
            <w:r w:rsidR="00E96DD1">
              <w:rPr>
                <w:rFonts w:ascii="Times New Roman" w:hAnsi="Times New Roman" w:cs="Times New Roman"/>
                <w:sz w:val="24"/>
                <w:szCs w:val="24"/>
              </w:rPr>
              <w:t xml:space="preserve"> Локализация </w:t>
            </w:r>
            <w:r w:rsidR="00E96DD1">
              <w:rPr>
                <w:rFonts w:ascii="Times New Roman" w:hAnsi="Times New Roman" w:cs="Times New Roman"/>
                <w:sz w:val="24"/>
                <w:szCs w:val="24"/>
                <w:lang w:val="en-US"/>
              </w:rPr>
              <w:t>RE</w:t>
            </w:r>
          </w:p>
        </w:tc>
        <w:tc>
          <w:tcPr>
            <w:tcW w:w="3636" w:type="dxa"/>
          </w:tcPr>
          <w:p w14:paraId="79FD5BD3" w14:textId="155B083C" w:rsidR="0097135F" w:rsidRPr="00E96DD1" w:rsidRDefault="0097135F" w:rsidP="0097135F">
            <w:pPr>
              <w:spacing w:after="0" w:line="240" w:lineRule="auto"/>
              <w:jc w:val="center"/>
              <w:rPr>
                <w:rFonts w:ascii="Times New Roman" w:hAnsi="Times New Roman" w:cs="Times New Roman"/>
                <w:sz w:val="24"/>
                <w:szCs w:val="24"/>
                <w:lang w:val="en-US"/>
              </w:rPr>
            </w:pPr>
            <w:r w:rsidRPr="00E96DD1">
              <w:rPr>
                <w:rFonts w:ascii="Times New Roman" w:hAnsi="Times New Roman" w:cs="Times New Roman"/>
                <w:sz w:val="24"/>
                <w:szCs w:val="24"/>
              </w:rPr>
              <w:t>б)</w:t>
            </w:r>
            <w:r w:rsidR="00E96DD1">
              <w:rPr>
                <w:rFonts w:ascii="Times New Roman" w:hAnsi="Times New Roman" w:cs="Times New Roman"/>
                <w:sz w:val="24"/>
                <w:szCs w:val="24"/>
              </w:rPr>
              <w:t xml:space="preserve"> Локализация</w:t>
            </w:r>
            <w:r w:rsidR="00E96DD1">
              <w:rPr>
                <w:rFonts w:ascii="Times New Roman" w:hAnsi="Times New Roman" w:cs="Times New Roman"/>
                <w:sz w:val="24"/>
                <w:szCs w:val="24"/>
                <w:lang w:val="en-US"/>
              </w:rPr>
              <w:t xml:space="preserve"> RLH</w:t>
            </w:r>
          </w:p>
        </w:tc>
        <w:tc>
          <w:tcPr>
            <w:tcW w:w="3636" w:type="dxa"/>
          </w:tcPr>
          <w:p w14:paraId="07B89D60" w14:textId="641C8266" w:rsidR="0097135F" w:rsidRPr="00E96DD1" w:rsidRDefault="0097135F" w:rsidP="0097135F">
            <w:pPr>
              <w:spacing w:after="0" w:line="240" w:lineRule="auto"/>
              <w:jc w:val="center"/>
              <w:rPr>
                <w:rFonts w:ascii="Times New Roman" w:hAnsi="Times New Roman" w:cs="Times New Roman"/>
                <w:sz w:val="24"/>
                <w:szCs w:val="24"/>
                <w:lang w:val="en-US"/>
              </w:rPr>
            </w:pPr>
            <w:r w:rsidRPr="00E96DD1">
              <w:rPr>
                <w:rFonts w:ascii="Times New Roman" w:hAnsi="Times New Roman" w:cs="Times New Roman"/>
                <w:sz w:val="24"/>
                <w:szCs w:val="24"/>
              </w:rPr>
              <w:t>в)</w:t>
            </w:r>
            <w:r w:rsidR="00E96DD1">
              <w:rPr>
                <w:rFonts w:ascii="Times New Roman" w:hAnsi="Times New Roman" w:cs="Times New Roman"/>
                <w:sz w:val="24"/>
                <w:szCs w:val="24"/>
              </w:rPr>
              <w:t xml:space="preserve"> Локализация</w:t>
            </w:r>
            <w:r w:rsidR="00E96DD1">
              <w:rPr>
                <w:rFonts w:ascii="Times New Roman" w:hAnsi="Times New Roman" w:cs="Times New Roman"/>
                <w:sz w:val="24"/>
                <w:szCs w:val="24"/>
                <w:lang w:val="en-US"/>
              </w:rPr>
              <w:t xml:space="preserve"> RRL</w:t>
            </w:r>
          </w:p>
        </w:tc>
      </w:tr>
    </w:tbl>
    <w:p w14:paraId="49DA604E" w14:textId="77777777" w:rsidR="00E96DD1" w:rsidRPr="00E96DD1" w:rsidRDefault="00E96DD1" w:rsidP="00E96DD1">
      <w:pPr>
        <w:spacing w:after="0" w:line="240" w:lineRule="auto"/>
        <w:jc w:val="center"/>
        <w:rPr>
          <w:rFonts w:ascii="Times New Roman" w:hAnsi="Times New Roman" w:cs="Times New Roman"/>
          <w:sz w:val="24"/>
          <w:szCs w:val="24"/>
        </w:rPr>
      </w:pPr>
    </w:p>
    <w:p w14:paraId="270CEE61" w14:textId="34C377DE" w:rsidR="00E96DD1" w:rsidRPr="00E96DD1" w:rsidRDefault="00E96DD1" w:rsidP="00E96DD1">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3</w:t>
      </w:r>
      <w:r>
        <w:rPr>
          <w:rFonts w:ascii="Times New Roman" w:hAnsi="Times New Roman" w:cs="Times New Roman"/>
          <w:sz w:val="28"/>
          <w:szCs w:val="28"/>
        </w:rPr>
        <w:t>8</w:t>
      </w:r>
      <w:r w:rsidRPr="00A43B9C">
        <w:rPr>
          <w:rFonts w:ascii="Times New Roman" w:hAnsi="Times New Roman" w:cs="Times New Roman"/>
          <w:sz w:val="28"/>
          <w:szCs w:val="28"/>
        </w:rPr>
        <w:t xml:space="preserve"> - Анализ распределения уровня накопления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зависимости от стадии </w:t>
      </w:r>
      <w:r w:rsidRPr="00A43B9C">
        <w:rPr>
          <w:rFonts w:ascii="Times New Roman" w:hAnsi="Times New Roman" w:cs="Times New Roman"/>
          <w:sz w:val="28"/>
          <w:szCs w:val="28"/>
          <w:lang w:val="en-US"/>
        </w:rPr>
        <w:t>T</w:t>
      </w:r>
      <w:r w:rsidRPr="00A43B9C">
        <w:rPr>
          <w:rFonts w:ascii="Times New Roman" w:hAnsi="Times New Roman" w:cs="Times New Roman"/>
          <w:sz w:val="28"/>
          <w:szCs w:val="28"/>
        </w:rPr>
        <w:t xml:space="preserve"> по локализациям</w:t>
      </w:r>
      <w:r>
        <w:rPr>
          <w:rFonts w:ascii="Times New Roman" w:hAnsi="Times New Roman" w:cs="Times New Roman"/>
          <w:sz w:val="28"/>
          <w:szCs w:val="28"/>
        </w:rPr>
        <w:t>, лист 1</w:t>
      </w:r>
      <w:r w:rsidRPr="00E96DD1">
        <w:rPr>
          <w:rFonts w:ascii="Times New Roman" w:hAnsi="Times New Roman" w:cs="Times New Roman"/>
          <w:sz w:val="28"/>
          <w:szCs w:val="28"/>
        </w:rPr>
        <w:t xml:space="preserve"> </w:t>
      </w:r>
      <w:r w:rsidRPr="00E96DD1">
        <w:rPr>
          <w:rFonts w:ascii="Times New Roman" w:hAnsi="Times New Roman" w:cs="Times New Roman"/>
          <w:sz w:val="28"/>
          <w:szCs w:val="28"/>
        </w:rPr>
        <w:br w:type="page"/>
      </w:r>
    </w:p>
    <w:tbl>
      <w:tblPr>
        <w:tblStyle w:val="ad"/>
        <w:tblW w:w="10908"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6"/>
        <w:gridCol w:w="3636"/>
        <w:gridCol w:w="3636"/>
      </w:tblGrid>
      <w:tr w:rsidR="00422F8C" w:rsidRPr="00A43B9C" w14:paraId="379DF4A6" w14:textId="77777777" w:rsidTr="00422F8C">
        <w:tc>
          <w:tcPr>
            <w:tcW w:w="3636" w:type="dxa"/>
          </w:tcPr>
          <w:p w14:paraId="77149CBF" w14:textId="46DC5DB4" w:rsidR="00422F8C" w:rsidRPr="00A43B9C" w:rsidRDefault="00422F8C" w:rsidP="00422F8C">
            <w:pPr>
              <w:spacing w:after="0" w:line="240" w:lineRule="auto"/>
              <w:jc w:val="center"/>
              <w:rPr>
                <w:rFonts w:ascii="Times New Roman" w:hAnsi="Times New Roman" w:cs="Times New Roman"/>
                <w:sz w:val="28"/>
                <w:szCs w:val="28"/>
              </w:rPr>
            </w:pPr>
            <w:r w:rsidRPr="00A43B9C">
              <w:rPr>
                <w:noProof/>
                <w:lang w:eastAsia="ru-RU"/>
              </w:rPr>
              <w:lastRenderedPageBreak/>
              <mc:AlternateContent>
                <mc:Choice Requires="cx1">
                  <w:drawing>
                    <wp:inline distT="0" distB="0" distL="0" distR="0" wp14:anchorId="0F038DEC" wp14:editId="52B78C36">
                      <wp:extent cx="2160000" cy="2124000"/>
                      <wp:effectExtent l="0" t="0" r="12065" b="10160"/>
                      <wp:docPr id="116" name="Диаграмма 116">
                        <a:extLst xmlns:a="http://schemas.openxmlformats.org/drawingml/2006/main">
                          <a:ext uri="{FF2B5EF4-FFF2-40B4-BE49-F238E27FC236}">
                            <a16:creationId xmlns:a16="http://schemas.microsoft.com/office/drawing/2014/main" id="{EED572FC-3D96-4556-AB1C-EC4FC11906F1}"/>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14"/>
                        </a:graphicData>
                      </a:graphic>
                    </wp:inline>
                  </w:drawing>
                </mc:Choice>
                <mc:Fallback>
                  <w:drawing>
                    <wp:inline distT="0" distB="0" distL="0" distR="0" wp14:anchorId="0F038DEC" wp14:editId="52B78C36">
                      <wp:extent cx="2160000" cy="2124000"/>
                      <wp:effectExtent l="0" t="0" r="12065" b="10160"/>
                      <wp:docPr id="116" name="Диаграмма 116">
                        <a:extLst xmlns:a="http://schemas.openxmlformats.org/drawingml/2006/main">
                          <a:ext uri="{FF2B5EF4-FFF2-40B4-BE49-F238E27FC236}">
                            <a16:creationId xmlns:a16="http://schemas.microsoft.com/office/drawing/2014/main" id="{EED572FC-3D96-4556-AB1C-EC4FC11906F1}"/>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16" name="Диаграмма 116">
                                <a:extLst>
                                  <a:ext uri="{FF2B5EF4-FFF2-40B4-BE49-F238E27FC236}">
                                    <a16:creationId xmlns:a16="http://schemas.microsoft.com/office/drawing/2014/main" id="{EED572FC-3D96-4556-AB1C-EC4FC11906F1}"/>
                                  </a:ext>
                                </a:extLst>
                              </pic:cNvPr>
                              <pic:cNvPicPr>
                                <a:picLocks noGrp="1" noRot="1" noChangeAspect="1" noMove="1" noResize="1" noEditPoints="1" noAdjustHandles="1" noChangeArrowheads="1" noChangeShapeType="1"/>
                              </pic:cNvPicPr>
                            </pic:nvPicPr>
                            <pic:blipFill>
                              <a:blip r:embed="rId215"/>
                              <a:stretch>
                                <a:fillRect/>
                              </a:stretch>
                            </pic:blipFill>
                            <pic:spPr>
                              <a:xfrm>
                                <a:off x="0" y="0"/>
                                <a:ext cx="2159635" cy="2123440"/>
                              </a:xfrm>
                              <a:prstGeom prst="rect">
                                <a:avLst/>
                              </a:prstGeom>
                            </pic:spPr>
                          </pic:pic>
                        </a:graphicData>
                      </a:graphic>
                    </wp:inline>
                  </w:drawing>
                </mc:Fallback>
              </mc:AlternateContent>
            </w:r>
          </w:p>
        </w:tc>
        <w:tc>
          <w:tcPr>
            <w:tcW w:w="3636" w:type="dxa"/>
          </w:tcPr>
          <w:p w14:paraId="6CCE3628" w14:textId="33555A38" w:rsidR="00422F8C" w:rsidRPr="00A43B9C" w:rsidRDefault="00422F8C" w:rsidP="00422F8C">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6C72F68D" wp14:editId="0182BD99">
                      <wp:extent cx="2160000" cy="2124000"/>
                      <wp:effectExtent l="0" t="0" r="12065" b="10160"/>
                      <wp:docPr id="117" name="Диаграмма 117">
                        <a:extLst xmlns:a="http://schemas.openxmlformats.org/drawingml/2006/main">
                          <a:ext uri="{FF2B5EF4-FFF2-40B4-BE49-F238E27FC236}">
                            <a16:creationId xmlns:a16="http://schemas.microsoft.com/office/drawing/2014/main" id="{8A6EA5A0-0CA5-4551-8AB2-222FDAC433BD}"/>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16"/>
                        </a:graphicData>
                      </a:graphic>
                    </wp:inline>
                  </w:drawing>
                </mc:Choice>
                <mc:Fallback>
                  <w:drawing>
                    <wp:inline distT="0" distB="0" distL="0" distR="0" wp14:anchorId="6C72F68D" wp14:editId="0182BD99">
                      <wp:extent cx="2160000" cy="2124000"/>
                      <wp:effectExtent l="0" t="0" r="12065" b="10160"/>
                      <wp:docPr id="117" name="Диаграмма 117">
                        <a:extLst xmlns:a="http://schemas.openxmlformats.org/drawingml/2006/main">
                          <a:ext uri="{FF2B5EF4-FFF2-40B4-BE49-F238E27FC236}">
                            <a16:creationId xmlns:a16="http://schemas.microsoft.com/office/drawing/2014/main" id="{8A6EA5A0-0CA5-4551-8AB2-222FDAC433BD}"/>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17" name="Диаграмма 117">
                                <a:extLst>
                                  <a:ext uri="{FF2B5EF4-FFF2-40B4-BE49-F238E27FC236}">
                                    <a16:creationId xmlns:a16="http://schemas.microsoft.com/office/drawing/2014/main" id="{8A6EA5A0-0CA5-4551-8AB2-222FDAC433BD}"/>
                                  </a:ext>
                                </a:extLst>
                              </pic:cNvPr>
                              <pic:cNvPicPr>
                                <a:picLocks noGrp="1" noRot="1" noChangeAspect="1" noMove="1" noResize="1" noEditPoints="1" noAdjustHandles="1" noChangeArrowheads="1" noChangeShapeType="1"/>
                              </pic:cNvPicPr>
                            </pic:nvPicPr>
                            <pic:blipFill>
                              <a:blip r:embed="rId217"/>
                              <a:stretch>
                                <a:fillRect/>
                              </a:stretch>
                            </pic:blipFill>
                            <pic:spPr>
                              <a:xfrm>
                                <a:off x="0" y="0"/>
                                <a:ext cx="2159635" cy="2123440"/>
                              </a:xfrm>
                              <a:prstGeom prst="rect">
                                <a:avLst/>
                              </a:prstGeom>
                            </pic:spPr>
                          </pic:pic>
                        </a:graphicData>
                      </a:graphic>
                    </wp:inline>
                  </w:drawing>
                </mc:Fallback>
              </mc:AlternateContent>
            </w:r>
          </w:p>
        </w:tc>
        <w:tc>
          <w:tcPr>
            <w:tcW w:w="3636" w:type="dxa"/>
          </w:tcPr>
          <w:p w14:paraId="3E009697" w14:textId="1EB08364" w:rsidR="00422F8C" w:rsidRPr="00A43B9C" w:rsidRDefault="00422F8C" w:rsidP="00422F8C">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74AD4334" wp14:editId="2CE8F667">
                      <wp:extent cx="2160000" cy="2124000"/>
                      <wp:effectExtent l="0" t="0" r="12065" b="10160"/>
                      <wp:docPr id="118" name="Диаграмма 118">
                        <a:extLst xmlns:a="http://schemas.openxmlformats.org/drawingml/2006/main">
                          <a:ext uri="{FF2B5EF4-FFF2-40B4-BE49-F238E27FC236}">
                            <a16:creationId xmlns:a16="http://schemas.microsoft.com/office/drawing/2014/main" id="{0AEA333C-0F1C-41FE-A0EB-4E53224FF988}"/>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18"/>
                        </a:graphicData>
                      </a:graphic>
                    </wp:inline>
                  </w:drawing>
                </mc:Choice>
                <mc:Fallback>
                  <w:drawing>
                    <wp:inline distT="0" distB="0" distL="0" distR="0" wp14:anchorId="74AD4334" wp14:editId="2CE8F667">
                      <wp:extent cx="2160000" cy="2124000"/>
                      <wp:effectExtent l="0" t="0" r="12065" b="10160"/>
                      <wp:docPr id="118" name="Диаграмма 118">
                        <a:extLst xmlns:a="http://schemas.openxmlformats.org/drawingml/2006/main">
                          <a:ext uri="{FF2B5EF4-FFF2-40B4-BE49-F238E27FC236}">
                            <a16:creationId xmlns:a16="http://schemas.microsoft.com/office/drawing/2014/main" id="{0AEA333C-0F1C-41FE-A0EB-4E53224FF988}"/>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18" name="Диаграмма 118">
                                <a:extLst>
                                  <a:ext uri="{FF2B5EF4-FFF2-40B4-BE49-F238E27FC236}">
                                    <a16:creationId xmlns:a16="http://schemas.microsoft.com/office/drawing/2014/main" id="{0AEA333C-0F1C-41FE-A0EB-4E53224FF988}"/>
                                  </a:ext>
                                </a:extLst>
                              </pic:cNvPr>
                              <pic:cNvPicPr>
                                <a:picLocks noGrp="1" noRot="1" noChangeAspect="1" noMove="1" noResize="1" noEditPoints="1" noAdjustHandles="1" noChangeArrowheads="1" noChangeShapeType="1"/>
                              </pic:cNvPicPr>
                            </pic:nvPicPr>
                            <pic:blipFill>
                              <a:blip r:embed="rId219"/>
                              <a:stretch>
                                <a:fillRect/>
                              </a:stretch>
                            </pic:blipFill>
                            <pic:spPr>
                              <a:xfrm>
                                <a:off x="0" y="0"/>
                                <a:ext cx="2159635" cy="2123440"/>
                              </a:xfrm>
                              <a:prstGeom prst="rect">
                                <a:avLst/>
                              </a:prstGeom>
                            </pic:spPr>
                          </pic:pic>
                        </a:graphicData>
                      </a:graphic>
                    </wp:inline>
                  </w:drawing>
                </mc:Fallback>
              </mc:AlternateContent>
            </w:r>
          </w:p>
        </w:tc>
      </w:tr>
      <w:tr w:rsidR="0097135F" w:rsidRPr="00E96DD1" w14:paraId="50AE8817" w14:textId="77777777" w:rsidTr="00422F8C">
        <w:tc>
          <w:tcPr>
            <w:tcW w:w="3636" w:type="dxa"/>
          </w:tcPr>
          <w:p w14:paraId="41BF5D52" w14:textId="3F765B6A" w:rsidR="0097135F" w:rsidRPr="00E96DD1" w:rsidRDefault="0097135F" w:rsidP="0097135F">
            <w:pPr>
              <w:spacing w:after="0" w:line="240" w:lineRule="auto"/>
              <w:jc w:val="center"/>
              <w:rPr>
                <w:rFonts w:ascii="Times New Roman" w:hAnsi="Times New Roman" w:cs="Times New Roman"/>
                <w:sz w:val="24"/>
                <w:szCs w:val="24"/>
                <w:lang w:val="en-US"/>
              </w:rPr>
            </w:pPr>
            <w:r w:rsidRPr="00E96DD1">
              <w:rPr>
                <w:rFonts w:ascii="Times New Roman" w:hAnsi="Times New Roman" w:cs="Times New Roman"/>
                <w:sz w:val="24"/>
                <w:szCs w:val="24"/>
              </w:rPr>
              <w:t>г)</w:t>
            </w:r>
            <w:r w:rsidR="00E96DD1" w:rsidRPr="00E96DD1">
              <w:rPr>
                <w:rFonts w:ascii="Times New Roman" w:hAnsi="Times New Roman" w:cs="Times New Roman"/>
                <w:sz w:val="24"/>
                <w:szCs w:val="24"/>
                <w:lang w:val="en-US"/>
              </w:rPr>
              <w:t xml:space="preserve"> </w:t>
            </w:r>
            <w:r w:rsidR="00E96DD1" w:rsidRPr="00E96DD1">
              <w:rPr>
                <w:rFonts w:ascii="Times New Roman" w:hAnsi="Times New Roman" w:cs="Times New Roman"/>
                <w:sz w:val="24"/>
                <w:szCs w:val="24"/>
              </w:rPr>
              <w:t>Локализация</w:t>
            </w:r>
            <w:r w:rsidR="00E96DD1" w:rsidRPr="00E96DD1">
              <w:rPr>
                <w:rFonts w:ascii="Times New Roman" w:hAnsi="Times New Roman" w:cs="Times New Roman"/>
                <w:sz w:val="24"/>
                <w:szCs w:val="24"/>
                <w:lang w:val="en-US"/>
              </w:rPr>
              <w:t xml:space="preserve"> RU</w:t>
            </w:r>
          </w:p>
        </w:tc>
        <w:tc>
          <w:tcPr>
            <w:tcW w:w="3636" w:type="dxa"/>
          </w:tcPr>
          <w:p w14:paraId="656BE489" w14:textId="66A120E7" w:rsidR="0097135F" w:rsidRPr="00E96DD1" w:rsidRDefault="0097135F" w:rsidP="0097135F">
            <w:pPr>
              <w:spacing w:after="0" w:line="240" w:lineRule="auto"/>
              <w:jc w:val="center"/>
              <w:rPr>
                <w:rFonts w:ascii="Times New Roman" w:hAnsi="Times New Roman" w:cs="Times New Roman"/>
                <w:sz w:val="24"/>
                <w:szCs w:val="24"/>
                <w:lang w:val="en-US"/>
              </w:rPr>
            </w:pPr>
            <w:r w:rsidRPr="00E96DD1">
              <w:rPr>
                <w:rFonts w:ascii="Times New Roman" w:hAnsi="Times New Roman" w:cs="Times New Roman"/>
                <w:sz w:val="24"/>
                <w:szCs w:val="24"/>
              </w:rPr>
              <w:t>д)</w:t>
            </w:r>
            <w:r w:rsidR="00E96DD1" w:rsidRPr="00E96DD1">
              <w:rPr>
                <w:rFonts w:ascii="Times New Roman" w:hAnsi="Times New Roman" w:cs="Times New Roman"/>
                <w:sz w:val="24"/>
                <w:szCs w:val="24"/>
              </w:rPr>
              <w:t xml:space="preserve"> Локализация</w:t>
            </w:r>
            <w:r w:rsidR="00E96DD1" w:rsidRPr="00E96DD1">
              <w:rPr>
                <w:rFonts w:ascii="Times New Roman" w:hAnsi="Times New Roman" w:cs="Times New Roman"/>
                <w:sz w:val="24"/>
                <w:szCs w:val="24"/>
                <w:lang w:val="en-US"/>
              </w:rPr>
              <w:t xml:space="preserve"> RLL</w:t>
            </w:r>
          </w:p>
        </w:tc>
        <w:tc>
          <w:tcPr>
            <w:tcW w:w="3636" w:type="dxa"/>
          </w:tcPr>
          <w:p w14:paraId="772B3C20" w14:textId="632A100C" w:rsidR="0097135F" w:rsidRPr="00E96DD1" w:rsidRDefault="0097135F" w:rsidP="0097135F">
            <w:pPr>
              <w:spacing w:after="0" w:line="240" w:lineRule="auto"/>
              <w:jc w:val="center"/>
              <w:rPr>
                <w:rFonts w:ascii="Times New Roman" w:hAnsi="Times New Roman" w:cs="Times New Roman"/>
                <w:sz w:val="24"/>
                <w:szCs w:val="24"/>
                <w:lang w:val="en-US"/>
              </w:rPr>
            </w:pPr>
            <w:r w:rsidRPr="00E96DD1">
              <w:rPr>
                <w:rFonts w:ascii="Times New Roman" w:hAnsi="Times New Roman" w:cs="Times New Roman"/>
                <w:sz w:val="24"/>
                <w:szCs w:val="24"/>
              </w:rPr>
              <w:t>е)</w:t>
            </w:r>
            <w:r w:rsidR="00E96DD1" w:rsidRPr="00E96DD1">
              <w:rPr>
                <w:rFonts w:ascii="Times New Roman" w:hAnsi="Times New Roman" w:cs="Times New Roman"/>
                <w:sz w:val="24"/>
                <w:szCs w:val="24"/>
              </w:rPr>
              <w:t xml:space="preserve"> Локализация</w:t>
            </w:r>
            <w:r w:rsidR="00E96DD1" w:rsidRPr="00E96DD1">
              <w:rPr>
                <w:rFonts w:ascii="Times New Roman" w:hAnsi="Times New Roman" w:cs="Times New Roman"/>
                <w:sz w:val="24"/>
                <w:szCs w:val="24"/>
                <w:lang w:val="en-US"/>
              </w:rPr>
              <w:t xml:space="preserve"> RRI</w:t>
            </w:r>
          </w:p>
        </w:tc>
      </w:tr>
      <w:tr w:rsidR="00422F8C" w:rsidRPr="00A43B9C" w14:paraId="15D0337E" w14:textId="77777777" w:rsidTr="00422F8C">
        <w:tc>
          <w:tcPr>
            <w:tcW w:w="3636" w:type="dxa"/>
          </w:tcPr>
          <w:p w14:paraId="52A7CCEC" w14:textId="771E9CFE" w:rsidR="00422F8C" w:rsidRPr="00A43B9C" w:rsidRDefault="00422F8C" w:rsidP="00422F8C">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6C79B295" wp14:editId="13C4F724">
                      <wp:extent cx="2160000" cy="2160000"/>
                      <wp:effectExtent l="0" t="0" r="12065" b="12065"/>
                      <wp:docPr id="119" name="Диаграмма 119">
                        <a:extLst xmlns:a="http://schemas.openxmlformats.org/drawingml/2006/main">
                          <a:ext uri="{FF2B5EF4-FFF2-40B4-BE49-F238E27FC236}">
                            <a16:creationId xmlns:a16="http://schemas.microsoft.com/office/drawing/2014/main" id="{76131EE2-0384-4ECC-B14B-FCBAE387F95A}"/>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20"/>
                        </a:graphicData>
                      </a:graphic>
                    </wp:inline>
                  </w:drawing>
                </mc:Choice>
                <mc:Fallback>
                  <w:drawing>
                    <wp:inline distT="0" distB="0" distL="0" distR="0" wp14:anchorId="6C79B295" wp14:editId="13C4F724">
                      <wp:extent cx="2160000" cy="2160000"/>
                      <wp:effectExtent l="0" t="0" r="12065" b="12065"/>
                      <wp:docPr id="119" name="Диаграмма 119">
                        <a:extLst xmlns:a="http://schemas.openxmlformats.org/drawingml/2006/main">
                          <a:ext uri="{FF2B5EF4-FFF2-40B4-BE49-F238E27FC236}">
                            <a16:creationId xmlns:a16="http://schemas.microsoft.com/office/drawing/2014/main" id="{76131EE2-0384-4ECC-B14B-FCBAE387F95A}"/>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19" name="Диаграмма 119">
                                <a:extLst>
                                  <a:ext uri="{FF2B5EF4-FFF2-40B4-BE49-F238E27FC236}">
                                    <a16:creationId xmlns:a16="http://schemas.microsoft.com/office/drawing/2014/main" id="{76131EE2-0384-4ECC-B14B-FCBAE387F95A}"/>
                                  </a:ext>
                                </a:extLst>
                              </pic:cNvPr>
                              <pic:cNvPicPr>
                                <a:picLocks noGrp="1" noRot="1" noChangeAspect="1" noMove="1" noResize="1" noEditPoints="1" noAdjustHandles="1" noChangeArrowheads="1" noChangeShapeType="1"/>
                              </pic:cNvPicPr>
                            </pic:nvPicPr>
                            <pic:blipFill>
                              <a:blip r:embed="rId221"/>
                              <a:stretch>
                                <a:fillRect/>
                              </a:stretch>
                            </pic:blipFill>
                            <pic:spPr>
                              <a:xfrm>
                                <a:off x="0" y="0"/>
                                <a:ext cx="2159635" cy="2159635"/>
                              </a:xfrm>
                              <a:prstGeom prst="rect">
                                <a:avLst/>
                              </a:prstGeom>
                            </pic:spPr>
                          </pic:pic>
                        </a:graphicData>
                      </a:graphic>
                    </wp:inline>
                  </w:drawing>
                </mc:Fallback>
              </mc:AlternateContent>
            </w:r>
          </w:p>
        </w:tc>
        <w:tc>
          <w:tcPr>
            <w:tcW w:w="3636" w:type="dxa"/>
          </w:tcPr>
          <w:p w14:paraId="0A6D4929" w14:textId="604C0CC9" w:rsidR="00422F8C" w:rsidRPr="00A43B9C" w:rsidRDefault="00422F8C" w:rsidP="00422F8C">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60935A1A" wp14:editId="0FF4848B">
                      <wp:extent cx="2160000" cy="2160000"/>
                      <wp:effectExtent l="0" t="0" r="12065" b="12065"/>
                      <wp:docPr id="120" name="Диаграмма 120">
                        <a:extLst xmlns:a="http://schemas.openxmlformats.org/drawingml/2006/main">
                          <a:ext uri="{FF2B5EF4-FFF2-40B4-BE49-F238E27FC236}">
                            <a16:creationId xmlns:a16="http://schemas.microsoft.com/office/drawing/2014/main" id="{8A2C92FD-5B03-4D71-9972-DDE43BE6BF61}"/>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22"/>
                        </a:graphicData>
                      </a:graphic>
                    </wp:inline>
                  </w:drawing>
                </mc:Choice>
                <mc:Fallback>
                  <w:drawing>
                    <wp:inline distT="0" distB="0" distL="0" distR="0" wp14:anchorId="60935A1A" wp14:editId="0FF4848B">
                      <wp:extent cx="2160000" cy="2160000"/>
                      <wp:effectExtent l="0" t="0" r="12065" b="12065"/>
                      <wp:docPr id="120" name="Диаграмма 120">
                        <a:extLst xmlns:a="http://schemas.openxmlformats.org/drawingml/2006/main">
                          <a:ext uri="{FF2B5EF4-FFF2-40B4-BE49-F238E27FC236}">
                            <a16:creationId xmlns:a16="http://schemas.microsoft.com/office/drawing/2014/main" id="{8A2C92FD-5B03-4D71-9972-DDE43BE6BF61}"/>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20" name="Диаграмма 120">
                                <a:extLst>
                                  <a:ext uri="{FF2B5EF4-FFF2-40B4-BE49-F238E27FC236}">
                                    <a16:creationId xmlns:a16="http://schemas.microsoft.com/office/drawing/2014/main" id="{8A2C92FD-5B03-4D71-9972-DDE43BE6BF61}"/>
                                  </a:ext>
                                </a:extLst>
                              </pic:cNvPr>
                              <pic:cNvPicPr>
                                <a:picLocks noGrp="1" noRot="1" noChangeAspect="1" noMove="1" noResize="1" noEditPoints="1" noAdjustHandles="1" noChangeArrowheads="1" noChangeShapeType="1"/>
                              </pic:cNvPicPr>
                            </pic:nvPicPr>
                            <pic:blipFill>
                              <a:blip r:embed="rId223"/>
                              <a:stretch>
                                <a:fillRect/>
                              </a:stretch>
                            </pic:blipFill>
                            <pic:spPr>
                              <a:xfrm>
                                <a:off x="0" y="0"/>
                                <a:ext cx="2159635" cy="2159635"/>
                              </a:xfrm>
                              <a:prstGeom prst="rect">
                                <a:avLst/>
                              </a:prstGeom>
                            </pic:spPr>
                          </pic:pic>
                        </a:graphicData>
                      </a:graphic>
                    </wp:inline>
                  </w:drawing>
                </mc:Fallback>
              </mc:AlternateContent>
            </w:r>
          </w:p>
        </w:tc>
        <w:tc>
          <w:tcPr>
            <w:tcW w:w="3636" w:type="dxa"/>
          </w:tcPr>
          <w:p w14:paraId="1D9C720E" w14:textId="4B7BE8D6" w:rsidR="00422F8C" w:rsidRPr="00A43B9C" w:rsidRDefault="00422F8C" w:rsidP="00422F8C">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6BA024BE" wp14:editId="79AE8667">
                      <wp:extent cx="2160000" cy="2160000"/>
                      <wp:effectExtent l="0" t="0" r="12065" b="12065"/>
                      <wp:docPr id="121" name="Диаграмма 121">
                        <a:extLst xmlns:a="http://schemas.openxmlformats.org/drawingml/2006/main">
                          <a:ext uri="{FF2B5EF4-FFF2-40B4-BE49-F238E27FC236}">
                            <a16:creationId xmlns:a16="http://schemas.microsoft.com/office/drawing/2014/main" id="{FE3DC122-5C29-4696-AECE-8CE5B57908E6}"/>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24"/>
                        </a:graphicData>
                      </a:graphic>
                    </wp:inline>
                  </w:drawing>
                </mc:Choice>
                <mc:Fallback>
                  <w:drawing>
                    <wp:inline distT="0" distB="0" distL="0" distR="0" wp14:anchorId="6BA024BE" wp14:editId="79AE8667">
                      <wp:extent cx="2160000" cy="2160000"/>
                      <wp:effectExtent l="0" t="0" r="12065" b="12065"/>
                      <wp:docPr id="121" name="Диаграмма 121">
                        <a:extLst xmlns:a="http://schemas.openxmlformats.org/drawingml/2006/main">
                          <a:ext uri="{FF2B5EF4-FFF2-40B4-BE49-F238E27FC236}">
                            <a16:creationId xmlns:a16="http://schemas.microsoft.com/office/drawing/2014/main" id="{FE3DC122-5C29-4696-AECE-8CE5B57908E6}"/>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21" name="Диаграмма 121">
                                <a:extLst>
                                  <a:ext uri="{FF2B5EF4-FFF2-40B4-BE49-F238E27FC236}">
                                    <a16:creationId xmlns:a16="http://schemas.microsoft.com/office/drawing/2014/main" id="{FE3DC122-5C29-4696-AECE-8CE5B57908E6}"/>
                                  </a:ext>
                                </a:extLst>
                              </pic:cNvPr>
                              <pic:cNvPicPr>
                                <a:picLocks noGrp="1" noRot="1" noChangeAspect="1" noMove="1" noResize="1" noEditPoints="1" noAdjustHandles="1" noChangeArrowheads="1" noChangeShapeType="1"/>
                              </pic:cNvPicPr>
                            </pic:nvPicPr>
                            <pic:blipFill>
                              <a:blip r:embed="rId225"/>
                              <a:stretch>
                                <a:fillRect/>
                              </a:stretch>
                            </pic:blipFill>
                            <pic:spPr>
                              <a:xfrm>
                                <a:off x="0" y="0"/>
                                <a:ext cx="2159635" cy="2159635"/>
                              </a:xfrm>
                              <a:prstGeom prst="rect">
                                <a:avLst/>
                              </a:prstGeom>
                            </pic:spPr>
                          </pic:pic>
                        </a:graphicData>
                      </a:graphic>
                    </wp:inline>
                  </w:drawing>
                </mc:Fallback>
              </mc:AlternateContent>
            </w:r>
          </w:p>
        </w:tc>
      </w:tr>
      <w:tr w:rsidR="0097135F" w:rsidRPr="00B25E66" w14:paraId="3F824C22" w14:textId="77777777" w:rsidTr="00422F8C">
        <w:tc>
          <w:tcPr>
            <w:tcW w:w="3636" w:type="dxa"/>
          </w:tcPr>
          <w:p w14:paraId="6F542949" w14:textId="535F58D5" w:rsidR="0097135F" w:rsidRPr="00B25E66" w:rsidRDefault="0097135F" w:rsidP="0097135F">
            <w:pPr>
              <w:spacing w:after="0" w:line="240" w:lineRule="auto"/>
              <w:jc w:val="center"/>
              <w:rPr>
                <w:rFonts w:ascii="Times New Roman" w:hAnsi="Times New Roman" w:cs="Times New Roman"/>
                <w:sz w:val="24"/>
                <w:szCs w:val="24"/>
                <w:lang w:val="en-US"/>
              </w:rPr>
            </w:pPr>
            <w:r w:rsidRPr="00B25E66">
              <w:rPr>
                <w:rFonts w:ascii="Times New Roman" w:hAnsi="Times New Roman" w:cs="Times New Roman"/>
                <w:sz w:val="24"/>
                <w:szCs w:val="24"/>
              </w:rPr>
              <w:t>ж)</w:t>
            </w:r>
            <w:r w:rsidR="00E96DD1" w:rsidRPr="00B25E66">
              <w:rPr>
                <w:rFonts w:ascii="Times New Roman" w:hAnsi="Times New Roman" w:cs="Times New Roman"/>
                <w:sz w:val="24"/>
                <w:szCs w:val="24"/>
              </w:rPr>
              <w:t xml:space="preserve"> Локализация</w:t>
            </w:r>
            <w:r w:rsidR="00E96DD1" w:rsidRPr="00B25E66">
              <w:rPr>
                <w:rFonts w:ascii="Times New Roman" w:hAnsi="Times New Roman" w:cs="Times New Roman"/>
                <w:sz w:val="24"/>
                <w:szCs w:val="24"/>
                <w:lang w:val="en-US"/>
              </w:rPr>
              <w:t xml:space="preserve"> RP</w:t>
            </w:r>
          </w:p>
        </w:tc>
        <w:tc>
          <w:tcPr>
            <w:tcW w:w="3636" w:type="dxa"/>
          </w:tcPr>
          <w:p w14:paraId="0AC0BE6C" w14:textId="19DEC365" w:rsidR="0097135F" w:rsidRPr="00B25E66" w:rsidRDefault="0097135F" w:rsidP="0097135F">
            <w:pPr>
              <w:spacing w:after="0" w:line="240" w:lineRule="auto"/>
              <w:jc w:val="center"/>
              <w:rPr>
                <w:rFonts w:ascii="Times New Roman" w:hAnsi="Times New Roman" w:cs="Times New Roman"/>
                <w:sz w:val="24"/>
                <w:szCs w:val="24"/>
                <w:lang w:val="en-US"/>
              </w:rPr>
            </w:pPr>
            <w:r w:rsidRPr="00B25E66">
              <w:rPr>
                <w:rFonts w:ascii="Times New Roman" w:hAnsi="Times New Roman" w:cs="Times New Roman"/>
                <w:sz w:val="24"/>
                <w:szCs w:val="24"/>
              </w:rPr>
              <w:t>к)</w:t>
            </w:r>
            <w:r w:rsidR="00E96DD1" w:rsidRPr="00B25E66">
              <w:rPr>
                <w:rFonts w:ascii="Times New Roman" w:hAnsi="Times New Roman" w:cs="Times New Roman"/>
                <w:sz w:val="24"/>
                <w:szCs w:val="24"/>
              </w:rPr>
              <w:t xml:space="preserve"> Локализация</w:t>
            </w:r>
            <w:r w:rsidR="00E96DD1" w:rsidRPr="00B25E66">
              <w:rPr>
                <w:rFonts w:ascii="Times New Roman" w:hAnsi="Times New Roman" w:cs="Times New Roman"/>
                <w:sz w:val="24"/>
                <w:szCs w:val="24"/>
                <w:lang w:val="en-US"/>
              </w:rPr>
              <w:t xml:space="preserve"> RLI</w:t>
            </w:r>
          </w:p>
        </w:tc>
        <w:tc>
          <w:tcPr>
            <w:tcW w:w="3636" w:type="dxa"/>
          </w:tcPr>
          <w:p w14:paraId="1F55F41A" w14:textId="2A2A4401" w:rsidR="0097135F" w:rsidRPr="00B25E66" w:rsidRDefault="0097135F" w:rsidP="0097135F">
            <w:pPr>
              <w:spacing w:after="0" w:line="240" w:lineRule="auto"/>
              <w:jc w:val="center"/>
              <w:rPr>
                <w:rFonts w:ascii="Times New Roman" w:hAnsi="Times New Roman" w:cs="Times New Roman"/>
                <w:sz w:val="24"/>
                <w:szCs w:val="24"/>
                <w:lang w:val="en-US"/>
              </w:rPr>
            </w:pPr>
            <w:r w:rsidRPr="00B25E66">
              <w:rPr>
                <w:rFonts w:ascii="Times New Roman" w:hAnsi="Times New Roman" w:cs="Times New Roman"/>
                <w:sz w:val="24"/>
                <w:szCs w:val="24"/>
              </w:rPr>
              <w:t>л)</w:t>
            </w:r>
            <w:r w:rsidR="00E96DD1" w:rsidRPr="00B25E66">
              <w:rPr>
                <w:rFonts w:ascii="Times New Roman" w:hAnsi="Times New Roman" w:cs="Times New Roman"/>
                <w:sz w:val="24"/>
                <w:szCs w:val="24"/>
              </w:rPr>
              <w:t xml:space="preserve"> Локализация</w:t>
            </w:r>
            <w:r w:rsidR="00E96DD1" w:rsidRPr="00B25E66">
              <w:rPr>
                <w:rFonts w:ascii="Times New Roman" w:hAnsi="Times New Roman" w:cs="Times New Roman"/>
                <w:sz w:val="24"/>
                <w:szCs w:val="24"/>
                <w:lang w:val="en-US"/>
              </w:rPr>
              <w:t xml:space="preserve"> P</w:t>
            </w:r>
          </w:p>
        </w:tc>
      </w:tr>
    </w:tbl>
    <w:p w14:paraId="3D3C7378" w14:textId="77777777" w:rsidR="00B25E66" w:rsidRDefault="00B25E66" w:rsidP="00422F8C">
      <w:pPr>
        <w:spacing w:after="0" w:line="240" w:lineRule="auto"/>
        <w:ind w:firstLine="709"/>
        <w:jc w:val="center"/>
        <w:rPr>
          <w:rFonts w:ascii="Times New Roman" w:hAnsi="Times New Roman" w:cs="Times New Roman"/>
          <w:sz w:val="28"/>
          <w:szCs w:val="28"/>
        </w:rPr>
      </w:pPr>
    </w:p>
    <w:p w14:paraId="04AF8128" w14:textId="0449A433" w:rsidR="00422F8C" w:rsidRPr="00A43B9C" w:rsidRDefault="00422F8C" w:rsidP="00422F8C">
      <w:pPr>
        <w:spacing w:after="0" w:line="240" w:lineRule="auto"/>
        <w:ind w:firstLine="709"/>
        <w:jc w:val="center"/>
        <w:rPr>
          <w:rFonts w:ascii="Times New Roman" w:hAnsi="Times New Roman" w:cs="Times New Roman"/>
          <w:sz w:val="28"/>
          <w:szCs w:val="28"/>
        </w:rPr>
      </w:pPr>
      <w:r w:rsidRPr="00A43B9C">
        <w:rPr>
          <w:rFonts w:ascii="Times New Roman" w:hAnsi="Times New Roman" w:cs="Times New Roman"/>
          <w:sz w:val="28"/>
          <w:szCs w:val="28"/>
        </w:rPr>
        <w:t>Рисунок 3</w:t>
      </w:r>
      <w:r w:rsidR="001A1D98">
        <w:rPr>
          <w:rFonts w:ascii="Times New Roman" w:hAnsi="Times New Roman" w:cs="Times New Roman"/>
          <w:sz w:val="28"/>
          <w:szCs w:val="28"/>
        </w:rPr>
        <w:t>8</w:t>
      </w:r>
      <w:r w:rsidR="001D33E2" w:rsidRPr="00A43B9C">
        <w:rPr>
          <w:rFonts w:ascii="Times New Roman" w:hAnsi="Times New Roman" w:cs="Times New Roman"/>
          <w:sz w:val="28"/>
          <w:szCs w:val="28"/>
        </w:rPr>
        <w:t xml:space="preserve"> </w:t>
      </w:r>
      <w:r w:rsidR="004D5D0F">
        <w:rPr>
          <w:rFonts w:ascii="Times New Roman" w:hAnsi="Times New Roman" w:cs="Times New Roman"/>
          <w:sz w:val="28"/>
          <w:szCs w:val="28"/>
        </w:rPr>
        <w:t>-</w:t>
      </w:r>
      <w:r w:rsidRPr="00A43B9C">
        <w:rPr>
          <w:rFonts w:ascii="Times New Roman" w:hAnsi="Times New Roman" w:cs="Times New Roman"/>
          <w:sz w:val="28"/>
          <w:szCs w:val="28"/>
        </w:rPr>
        <w:t xml:space="preserve"> </w:t>
      </w:r>
      <w:r w:rsidR="00B25E66">
        <w:rPr>
          <w:rFonts w:ascii="Times New Roman" w:hAnsi="Times New Roman" w:cs="Times New Roman"/>
          <w:sz w:val="28"/>
          <w:szCs w:val="28"/>
        </w:rPr>
        <w:t>лист 2</w:t>
      </w:r>
    </w:p>
    <w:p w14:paraId="12CA8E9D" w14:textId="77777777" w:rsidR="00422F8C" w:rsidRPr="00A43B9C" w:rsidRDefault="00422F8C" w:rsidP="00825215">
      <w:pPr>
        <w:spacing w:after="0" w:line="240" w:lineRule="auto"/>
        <w:ind w:firstLine="709"/>
        <w:jc w:val="center"/>
        <w:rPr>
          <w:rFonts w:ascii="Times New Roman" w:hAnsi="Times New Roman" w:cs="Times New Roman"/>
          <w:sz w:val="28"/>
          <w:szCs w:val="28"/>
        </w:rPr>
      </w:pPr>
    </w:p>
    <w:p w14:paraId="3F112A4B" w14:textId="2E763C4C" w:rsidR="00825215" w:rsidRPr="00A43B9C" w:rsidRDefault="00AA52D4" w:rsidP="00825215">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lang w:val="kk-KZ"/>
        </w:rPr>
        <w:t xml:space="preserve">Анализ </w:t>
      </w:r>
      <w:r w:rsidR="00825215" w:rsidRPr="00A43B9C">
        <w:rPr>
          <w:rFonts w:ascii="Times New Roman" w:hAnsi="Times New Roman" w:cs="Times New Roman"/>
          <w:sz w:val="28"/>
          <w:szCs w:val="28"/>
        </w:rPr>
        <w:t>уровня накоплени</w:t>
      </w:r>
      <w:r w:rsidR="00B336CA" w:rsidRPr="00A43B9C">
        <w:rPr>
          <w:rFonts w:ascii="Times New Roman" w:hAnsi="Times New Roman" w:cs="Times New Roman"/>
          <w:sz w:val="28"/>
          <w:szCs w:val="28"/>
        </w:rPr>
        <w:t>я</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SUV</w:t>
      </w:r>
      <w:r w:rsidR="00825215" w:rsidRPr="00A43B9C">
        <w:rPr>
          <w:rFonts w:ascii="Times New Roman" w:hAnsi="Times New Roman" w:cs="Times New Roman"/>
          <w:sz w:val="28"/>
          <w:szCs w:val="28"/>
          <w:vertAlign w:val="subscript"/>
          <w:lang w:val="en-US"/>
        </w:rPr>
        <w:t>max</w:t>
      </w:r>
      <w:r w:rsidR="00825215" w:rsidRPr="00A43B9C">
        <w:rPr>
          <w:rFonts w:ascii="Times New Roman" w:hAnsi="Times New Roman" w:cs="Times New Roman"/>
          <w:sz w:val="28"/>
          <w:szCs w:val="28"/>
          <w:lang w:val="kk-KZ"/>
        </w:rPr>
        <w:t xml:space="preserve"> в зависимости от </w:t>
      </w:r>
      <w:r w:rsidR="00CE4114" w:rsidRPr="00A43B9C">
        <w:rPr>
          <w:rFonts w:ascii="Times New Roman" w:hAnsi="Times New Roman" w:cs="Times New Roman"/>
          <w:sz w:val="28"/>
          <w:szCs w:val="28"/>
          <w:lang w:val="kk-KZ"/>
        </w:rPr>
        <w:t xml:space="preserve">стадии </w:t>
      </w:r>
      <w:r w:rsidR="000874C1" w:rsidRPr="00A43B9C">
        <w:rPr>
          <w:rFonts w:ascii="Times New Roman" w:eastAsia="NewtonC" w:hAnsi="Times New Roman" w:cs="Times New Roman"/>
          <w:sz w:val="28"/>
          <w:szCs w:val="28"/>
          <w:lang w:val="en-US"/>
        </w:rPr>
        <w:t>N</w:t>
      </w:r>
      <w:r w:rsidR="00CE4114" w:rsidRPr="00A43B9C">
        <w:rPr>
          <w:rFonts w:ascii="Times New Roman" w:hAnsi="Times New Roman" w:cs="Times New Roman"/>
          <w:sz w:val="28"/>
          <w:szCs w:val="28"/>
          <w:lang w:val="kk-KZ"/>
        </w:rPr>
        <w:t xml:space="preserve"> </w:t>
      </w:r>
      <w:r w:rsidR="006E1ADA" w:rsidRPr="00A43B9C">
        <w:rPr>
          <w:rFonts w:ascii="Times New Roman" w:hAnsi="Times New Roman" w:cs="Times New Roman"/>
          <w:sz w:val="28"/>
          <w:szCs w:val="28"/>
          <w:lang w:val="kk-KZ"/>
        </w:rPr>
        <w:t xml:space="preserve">(таблица 29) </w:t>
      </w:r>
      <w:r w:rsidR="00825215" w:rsidRPr="00A43B9C">
        <w:rPr>
          <w:rFonts w:ascii="Times New Roman" w:hAnsi="Times New Roman" w:cs="Times New Roman"/>
          <w:sz w:val="28"/>
          <w:szCs w:val="28"/>
          <w:lang w:val="kk-KZ"/>
        </w:rPr>
        <w:t xml:space="preserve">статистически значимых различий </w:t>
      </w:r>
      <w:r w:rsidRPr="00A43B9C">
        <w:rPr>
          <w:rFonts w:ascii="Times New Roman" w:hAnsi="Times New Roman" w:cs="Times New Roman"/>
          <w:sz w:val="28"/>
          <w:szCs w:val="28"/>
          <w:lang w:val="kk-KZ"/>
        </w:rPr>
        <w:t xml:space="preserve">также </w:t>
      </w:r>
      <w:r w:rsidR="00825215" w:rsidRPr="00A43B9C">
        <w:rPr>
          <w:rFonts w:ascii="Times New Roman" w:hAnsi="Times New Roman" w:cs="Times New Roman"/>
          <w:sz w:val="28"/>
          <w:szCs w:val="28"/>
          <w:lang w:val="kk-KZ"/>
        </w:rPr>
        <w:t xml:space="preserve">не установил </w:t>
      </w:r>
      <w:r w:rsidRPr="00A43B9C">
        <w:rPr>
          <w:rFonts w:ascii="Times New Roman" w:hAnsi="Times New Roman" w:cs="Times New Roman"/>
          <w:sz w:val="28"/>
          <w:szCs w:val="28"/>
          <w:lang w:val="kk-KZ"/>
        </w:rPr>
        <w:t>ни для одной из локализаций</w:t>
      </w:r>
      <w:r w:rsidR="006E1ADA" w:rsidRPr="00A43B9C">
        <w:rPr>
          <w:rFonts w:ascii="Times New Roman" w:hAnsi="Times New Roman" w:cs="Times New Roman"/>
          <w:sz w:val="28"/>
          <w:szCs w:val="28"/>
          <w:lang w:val="kk-KZ"/>
        </w:rPr>
        <w:t xml:space="preserve"> (рисунок 3</w:t>
      </w:r>
      <w:r w:rsidR="00EA5E8C">
        <w:rPr>
          <w:rFonts w:ascii="Times New Roman" w:hAnsi="Times New Roman" w:cs="Times New Roman"/>
          <w:sz w:val="28"/>
          <w:szCs w:val="28"/>
          <w:lang w:val="kk-KZ"/>
        </w:rPr>
        <w:t>9</w:t>
      </w:r>
      <w:r w:rsidR="006E1ADA" w:rsidRPr="00A43B9C">
        <w:rPr>
          <w:rFonts w:ascii="Times New Roman" w:hAnsi="Times New Roman" w:cs="Times New Roman"/>
          <w:sz w:val="28"/>
          <w:szCs w:val="28"/>
          <w:lang w:val="kk-KZ"/>
        </w:rPr>
        <w:t>)</w:t>
      </w:r>
      <w:r w:rsidR="00E2205E" w:rsidRPr="00A43B9C">
        <w:rPr>
          <w:rFonts w:ascii="Times New Roman" w:hAnsi="Times New Roman" w:cs="Times New Roman"/>
          <w:sz w:val="28"/>
          <w:szCs w:val="28"/>
          <w:lang w:val="kk-KZ"/>
        </w:rPr>
        <w:t xml:space="preserve"> </w:t>
      </w:r>
      <w:r w:rsidRPr="00A43B9C">
        <w:rPr>
          <w:rFonts w:ascii="Times New Roman" w:hAnsi="Times New Roman" w:cs="Times New Roman"/>
          <w:sz w:val="28"/>
          <w:szCs w:val="28"/>
          <w:lang w:val="kk-KZ"/>
        </w:rPr>
        <w:t>(</w:t>
      </w:r>
      <w:r w:rsidR="00825215" w:rsidRPr="00A43B9C">
        <w:rPr>
          <w:rFonts w:ascii="Times New Roman" w:hAnsi="Times New Roman" w:cs="Times New Roman"/>
          <w:sz w:val="28"/>
          <w:szCs w:val="28"/>
          <w:lang w:val="en-US"/>
        </w:rPr>
        <w:t>RE</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0,586), </w:t>
      </w:r>
      <w:r w:rsidR="00825215" w:rsidRPr="00A43B9C">
        <w:rPr>
          <w:rFonts w:ascii="Times New Roman" w:hAnsi="Times New Roman" w:cs="Times New Roman"/>
          <w:sz w:val="28"/>
          <w:szCs w:val="28"/>
          <w:lang w:val="en-US"/>
        </w:rPr>
        <w:t>RLH</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0,919), </w:t>
      </w:r>
      <w:r w:rsidR="00825215" w:rsidRPr="00A43B9C">
        <w:rPr>
          <w:rFonts w:ascii="Times New Roman" w:hAnsi="Times New Roman" w:cs="Times New Roman"/>
          <w:sz w:val="28"/>
          <w:szCs w:val="28"/>
          <w:lang w:val="en-US"/>
        </w:rPr>
        <w:t>RRL</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0,819), </w:t>
      </w:r>
      <w:r w:rsidR="00825215" w:rsidRPr="00A43B9C">
        <w:rPr>
          <w:rFonts w:ascii="Times New Roman" w:hAnsi="Times New Roman" w:cs="Times New Roman"/>
          <w:sz w:val="28"/>
          <w:szCs w:val="28"/>
          <w:lang w:val="en-US"/>
        </w:rPr>
        <w:t>RU</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0,706), </w:t>
      </w:r>
      <w:r w:rsidR="00825215" w:rsidRPr="00A43B9C">
        <w:rPr>
          <w:rFonts w:ascii="Times New Roman" w:hAnsi="Times New Roman" w:cs="Times New Roman"/>
          <w:sz w:val="28"/>
          <w:szCs w:val="28"/>
          <w:lang w:val="en-US"/>
        </w:rPr>
        <w:t>RLL</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0,750), </w:t>
      </w:r>
      <w:r w:rsidR="00825215" w:rsidRPr="00A43B9C">
        <w:rPr>
          <w:rFonts w:ascii="Times New Roman" w:hAnsi="Times New Roman" w:cs="Times New Roman"/>
          <w:sz w:val="28"/>
          <w:szCs w:val="28"/>
          <w:lang w:val="en-US"/>
        </w:rPr>
        <w:t>RRI</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0,700), </w:t>
      </w:r>
      <w:r w:rsidR="00825215" w:rsidRPr="00A43B9C">
        <w:rPr>
          <w:rFonts w:ascii="Times New Roman" w:hAnsi="Times New Roman" w:cs="Times New Roman"/>
          <w:sz w:val="28"/>
          <w:szCs w:val="28"/>
          <w:lang w:val="en-US"/>
        </w:rPr>
        <w:t>RP</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0,911), RLI (p = 0,271), P (p = 0,932)</w:t>
      </w:r>
      <w:r w:rsidRPr="00A43B9C">
        <w:rPr>
          <w:rFonts w:ascii="Times New Roman" w:hAnsi="Times New Roman" w:cs="Times New Roman"/>
          <w:sz w:val="28"/>
          <w:szCs w:val="28"/>
        </w:rPr>
        <w:t>)</w:t>
      </w:r>
      <w:r w:rsidR="00825215" w:rsidRPr="00A43B9C">
        <w:rPr>
          <w:rFonts w:ascii="Times New Roman" w:hAnsi="Times New Roman" w:cs="Times New Roman"/>
          <w:sz w:val="28"/>
          <w:szCs w:val="28"/>
        </w:rPr>
        <w:t>.</w:t>
      </w:r>
    </w:p>
    <w:p w14:paraId="109067D9" w14:textId="77777777" w:rsidR="00825215" w:rsidRPr="00A43B9C" w:rsidRDefault="00825215" w:rsidP="00825215">
      <w:pPr>
        <w:spacing w:after="0" w:line="240" w:lineRule="auto"/>
        <w:ind w:firstLine="709"/>
        <w:jc w:val="both"/>
        <w:rPr>
          <w:rFonts w:ascii="Times New Roman" w:hAnsi="Times New Roman" w:cs="Times New Roman"/>
          <w:sz w:val="28"/>
          <w:szCs w:val="28"/>
        </w:rPr>
      </w:pPr>
    </w:p>
    <w:p w14:paraId="0EECB931" w14:textId="09B5C06A" w:rsidR="00825215" w:rsidRPr="00A43B9C" w:rsidRDefault="000A6F86" w:rsidP="000B6935">
      <w:pPr>
        <w:spacing w:after="0" w:line="240" w:lineRule="auto"/>
        <w:jc w:val="both"/>
        <w:rPr>
          <w:rFonts w:ascii="Times New Roman" w:eastAsia="NewtonC" w:hAnsi="Times New Roman" w:cs="Times New Roman"/>
          <w:sz w:val="28"/>
          <w:szCs w:val="28"/>
        </w:rPr>
      </w:pPr>
      <w:r w:rsidRPr="00A43B9C">
        <w:rPr>
          <w:rFonts w:ascii="Times New Roman" w:hAnsi="Times New Roman" w:cs="Times New Roman"/>
          <w:sz w:val="28"/>
          <w:szCs w:val="28"/>
        </w:rPr>
        <w:t>Таблица 29 -</w:t>
      </w:r>
      <w:r w:rsidR="00825215" w:rsidRPr="00A43B9C">
        <w:rPr>
          <w:rFonts w:ascii="Times New Roman" w:hAnsi="Times New Roman" w:cs="Times New Roman"/>
          <w:sz w:val="28"/>
          <w:szCs w:val="28"/>
        </w:rPr>
        <w:t xml:space="preserve"> Анализ распределений уровня накоплени</w:t>
      </w:r>
      <w:r w:rsidR="00B336CA" w:rsidRPr="00A43B9C">
        <w:rPr>
          <w:rFonts w:ascii="Times New Roman" w:hAnsi="Times New Roman" w:cs="Times New Roman"/>
          <w:sz w:val="28"/>
          <w:szCs w:val="28"/>
        </w:rPr>
        <w:t>я</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SUV</w:t>
      </w:r>
      <w:r w:rsidR="00825215" w:rsidRPr="00A43B9C">
        <w:rPr>
          <w:rFonts w:ascii="Times New Roman" w:hAnsi="Times New Roman" w:cs="Times New Roman"/>
          <w:sz w:val="28"/>
          <w:szCs w:val="28"/>
          <w:vertAlign w:val="subscript"/>
          <w:lang w:val="en-US"/>
        </w:rPr>
        <w:t>max</w:t>
      </w:r>
      <w:r w:rsidR="00825215" w:rsidRPr="00A43B9C">
        <w:rPr>
          <w:rFonts w:ascii="Times New Roman" w:hAnsi="Times New Roman" w:cs="Times New Roman"/>
          <w:sz w:val="28"/>
          <w:szCs w:val="28"/>
        </w:rPr>
        <w:t xml:space="preserve"> в зависимости от </w:t>
      </w:r>
      <w:r w:rsidR="00CE4114" w:rsidRPr="00A43B9C">
        <w:rPr>
          <w:rFonts w:ascii="Times New Roman" w:hAnsi="Times New Roman" w:cs="Times New Roman"/>
          <w:sz w:val="28"/>
          <w:szCs w:val="28"/>
          <w:lang w:val="kk-KZ"/>
        </w:rPr>
        <w:t xml:space="preserve">стадии </w:t>
      </w:r>
      <w:r w:rsidR="000874C1" w:rsidRPr="00A43B9C">
        <w:rPr>
          <w:rFonts w:ascii="Times New Roman" w:eastAsia="NewtonC" w:hAnsi="Times New Roman" w:cs="Times New Roman"/>
          <w:sz w:val="28"/>
          <w:szCs w:val="28"/>
          <w:lang w:val="en-US"/>
        </w:rPr>
        <w:t>N</w:t>
      </w:r>
    </w:p>
    <w:p w14:paraId="72826F9D"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5000" w:type="pct"/>
        <w:jc w:val="center"/>
        <w:tblLook w:val="04A0" w:firstRow="1" w:lastRow="0" w:firstColumn="1" w:lastColumn="0" w:noHBand="0" w:noVBand="1"/>
      </w:tblPr>
      <w:tblGrid>
        <w:gridCol w:w="1761"/>
        <w:gridCol w:w="1553"/>
        <w:gridCol w:w="1506"/>
        <w:gridCol w:w="1508"/>
        <w:gridCol w:w="1508"/>
        <w:gridCol w:w="1508"/>
      </w:tblGrid>
      <w:tr w:rsidR="00825215" w:rsidRPr="00A43B9C" w14:paraId="06203170" w14:textId="77777777" w:rsidTr="003F0A73">
        <w:trPr>
          <w:jc w:val="center"/>
        </w:trPr>
        <w:tc>
          <w:tcPr>
            <w:tcW w:w="942" w:type="pct"/>
            <w:vAlign w:val="center"/>
          </w:tcPr>
          <w:p w14:paraId="2A89399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Локализация</w:t>
            </w:r>
          </w:p>
        </w:tc>
        <w:tc>
          <w:tcPr>
            <w:tcW w:w="831" w:type="pct"/>
            <w:vAlign w:val="center"/>
          </w:tcPr>
          <w:p w14:paraId="6D73E0F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Категория</w:t>
            </w:r>
          </w:p>
        </w:tc>
        <w:tc>
          <w:tcPr>
            <w:tcW w:w="806" w:type="pct"/>
            <w:vAlign w:val="center"/>
          </w:tcPr>
          <w:p w14:paraId="118A9F5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Me</w:t>
            </w:r>
          </w:p>
        </w:tc>
        <w:tc>
          <w:tcPr>
            <w:tcW w:w="807" w:type="pct"/>
            <w:vAlign w:val="center"/>
          </w:tcPr>
          <w:p w14:paraId="0E1012F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Q₁ – Q₃</w:t>
            </w:r>
          </w:p>
        </w:tc>
        <w:tc>
          <w:tcPr>
            <w:tcW w:w="807" w:type="pct"/>
            <w:vAlign w:val="center"/>
          </w:tcPr>
          <w:p w14:paraId="19B379D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p>
        </w:tc>
        <w:tc>
          <w:tcPr>
            <w:tcW w:w="807" w:type="pct"/>
            <w:vAlign w:val="center"/>
          </w:tcPr>
          <w:p w14:paraId="1555581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w:t>
            </w:r>
          </w:p>
        </w:tc>
      </w:tr>
      <w:tr w:rsidR="00452443" w:rsidRPr="00A43B9C" w14:paraId="0C7A9743" w14:textId="77777777" w:rsidTr="00491590">
        <w:trPr>
          <w:jc w:val="center"/>
        </w:trPr>
        <w:tc>
          <w:tcPr>
            <w:tcW w:w="942" w:type="pct"/>
            <w:vAlign w:val="center"/>
          </w:tcPr>
          <w:p w14:paraId="7287FF33" w14:textId="632F32F7"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831" w:type="pct"/>
            <w:vAlign w:val="center"/>
          </w:tcPr>
          <w:p w14:paraId="66563ED0" w14:textId="24C32C83"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806" w:type="pct"/>
            <w:vAlign w:val="center"/>
          </w:tcPr>
          <w:p w14:paraId="15B49200" w14:textId="6E8F5DF3"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807" w:type="pct"/>
            <w:vAlign w:val="center"/>
          </w:tcPr>
          <w:p w14:paraId="4B51B4B5" w14:textId="0D14349B"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807" w:type="pct"/>
            <w:vAlign w:val="center"/>
          </w:tcPr>
          <w:p w14:paraId="188E7220" w14:textId="5B32E590"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807" w:type="pct"/>
          </w:tcPr>
          <w:p w14:paraId="2BBCFE75" w14:textId="4A9DBB8D" w:rsidR="00452443" w:rsidRPr="00A43B9C"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r>
      <w:tr w:rsidR="00452443" w:rsidRPr="00A43B9C" w14:paraId="0B7886C5" w14:textId="77777777" w:rsidTr="003F0A73">
        <w:trPr>
          <w:jc w:val="center"/>
        </w:trPr>
        <w:tc>
          <w:tcPr>
            <w:tcW w:w="942" w:type="pct"/>
            <w:vMerge w:val="restart"/>
            <w:vAlign w:val="center"/>
          </w:tcPr>
          <w:p w14:paraId="1C153E1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RE</w:t>
            </w:r>
          </w:p>
        </w:tc>
        <w:tc>
          <w:tcPr>
            <w:tcW w:w="831" w:type="pct"/>
            <w:vAlign w:val="center"/>
          </w:tcPr>
          <w:p w14:paraId="75FB351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0</w:t>
            </w:r>
          </w:p>
        </w:tc>
        <w:tc>
          <w:tcPr>
            <w:tcW w:w="806" w:type="pct"/>
            <w:vAlign w:val="center"/>
          </w:tcPr>
          <w:p w14:paraId="412FC90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0,84</w:t>
            </w:r>
          </w:p>
        </w:tc>
        <w:tc>
          <w:tcPr>
            <w:tcW w:w="807" w:type="pct"/>
            <w:vAlign w:val="center"/>
          </w:tcPr>
          <w:p w14:paraId="61401B7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0,74 – 1,09</w:t>
            </w:r>
          </w:p>
        </w:tc>
        <w:tc>
          <w:tcPr>
            <w:tcW w:w="807" w:type="pct"/>
            <w:vAlign w:val="center"/>
          </w:tcPr>
          <w:p w14:paraId="736B4D3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807" w:type="pct"/>
            <w:vMerge w:val="restart"/>
            <w:vAlign w:val="center"/>
          </w:tcPr>
          <w:p w14:paraId="767F449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0,586</w:t>
            </w:r>
          </w:p>
        </w:tc>
      </w:tr>
      <w:tr w:rsidR="00452443" w:rsidRPr="00A43B9C" w14:paraId="51627F0D" w14:textId="77777777" w:rsidTr="003F0A73">
        <w:trPr>
          <w:jc w:val="center"/>
        </w:trPr>
        <w:tc>
          <w:tcPr>
            <w:tcW w:w="942" w:type="pct"/>
            <w:vMerge/>
            <w:vAlign w:val="center"/>
          </w:tcPr>
          <w:p w14:paraId="29D6E28C"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vAlign w:val="center"/>
          </w:tcPr>
          <w:p w14:paraId="33BDEA6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1</w:t>
            </w:r>
          </w:p>
        </w:tc>
        <w:tc>
          <w:tcPr>
            <w:tcW w:w="806" w:type="pct"/>
            <w:vAlign w:val="center"/>
          </w:tcPr>
          <w:p w14:paraId="17D7421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0,75</w:t>
            </w:r>
          </w:p>
        </w:tc>
        <w:tc>
          <w:tcPr>
            <w:tcW w:w="807" w:type="pct"/>
            <w:vAlign w:val="center"/>
          </w:tcPr>
          <w:p w14:paraId="380E8AA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0,58 – 0,92</w:t>
            </w:r>
          </w:p>
        </w:tc>
        <w:tc>
          <w:tcPr>
            <w:tcW w:w="807" w:type="pct"/>
            <w:vAlign w:val="center"/>
          </w:tcPr>
          <w:p w14:paraId="20E9E18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807" w:type="pct"/>
            <w:vMerge/>
          </w:tcPr>
          <w:p w14:paraId="477E3FCD"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3D9E4968" w14:textId="77777777" w:rsidTr="003F0A73">
        <w:trPr>
          <w:trHeight w:val="103"/>
          <w:jc w:val="center"/>
        </w:trPr>
        <w:tc>
          <w:tcPr>
            <w:tcW w:w="942" w:type="pct"/>
            <w:vMerge/>
            <w:vAlign w:val="center"/>
          </w:tcPr>
          <w:p w14:paraId="4AB0FEEC"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vAlign w:val="center"/>
          </w:tcPr>
          <w:p w14:paraId="03307E7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x</w:t>
            </w:r>
          </w:p>
        </w:tc>
        <w:tc>
          <w:tcPr>
            <w:tcW w:w="806" w:type="pct"/>
            <w:vAlign w:val="center"/>
          </w:tcPr>
          <w:p w14:paraId="7670C08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0,76</w:t>
            </w:r>
          </w:p>
        </w:tc>
        <w:tc>
          <w:tcPr>
            <w:tcW w:w="807" w:type="pct"/>
            <w:vAlign w:val="center"/>
          </w:tcPr>
          <w:p w14:paraId="5E96A2F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0,52 – 1,15</w:t>
            </w:r>
          </w:p>
        </w:tc>
        <w:tc>
          <w:tcPr>
            <w:tcW w:w="807" w:type="pct"/>
            <w:vAlign w:val="center"/>
          </w:tcPr>
          <w:p w14:paraId="53F760E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18</w:t>
            </w:r>
          </w:p>
        </w:tc>
        <w:tc>
          <w:tcPr>
            <w:tcW w:w="807" w:type="pct"/>
            <w:vMerge/>
          </w:tcPr>
          <w:p w14:paraId="544D896F"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5464A0C3" w14:textId="77777777" w:rsidTr="003F0A73">
        <w:trPr>
          <w:jc w:val="center"/>
        </w:trPr>
        <w:tc>
          <w:tcPr>
            <w:tcW w:w="942" w:type="pct"/>
            <w:vMerge w:val="restart"/>
            <w:vAlign w:val="center"/>
          </w:tcPr>
          <w:p w14:paraId="7C72EBB3" w14:textId="77777777" w:rsidR="00452443" w:rsidRPr="00A43B9C" w:rsidRDefault="00452443" w:rsidP="00452443">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RLH</w:t>
            </w:r>
          </w:p>
        </w:tc>
        <w:tc>
          <w:tcPr>
            <w:tcW w:w="831" w:type="pct"/>
            <w:vAlign w:val="center"/>
          </w:tcPr>
          <w:p w14:paraId="5FC938D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0</w:t>
            </w:r>
          </w:p>
        </w:tc>
        <w:tc>
          <w:tcPr>
            <w:tcW w:w="806" w:type="pct"/>
            <w:vAlign w:val="center"/>
          </w:tcPr>
          <w:p w14:paraId="4595C7C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0,76</w:t>
            </w:r>
          </w:p>
        </w:tc>
        <w:tc>
          <w:tcPr>
            <w:tcW w:w="807" w:type="pct"/>
            <w:vAlign w:val="center"/>
          </w:tcPr>
          <w:p w14:paraId="1E1ED27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0,54 – 1,08</w:t>
            </w:r>
          </w:p>
        </w:tc>
        <w:tc>
          <w:tcPr>
            <w:tcW w:w="807" w:type="pct"/>
            <w:vAlign w:val="center"/>
          </w:tcPr>
          <w:p w14:paraId="1F7C4A7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807" w:type="pct"/>
            <w:vMerge w:val="restart"/>
            <w:vAlign w:val="center"/>
          </w:tcPr>
          <w:p w14:paraId="7E42668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0,919</w:t>
            </w:r>
          </w:p>
        </w:tc>
      </w:tr>
      <w:tr w:rsidR="00452443" w:rsidRPr="00A43B9C" w14:paraId="61DE56E9" w14:textId="77777777" w:rsidTr="003F0A73">
        <w:trPr>
          <w:jc w:val="center"/>
        </w:trPr>
        <w:tc>
          <w:tcPr>
            <w:tcW w:w="942" w:type="pct"/>
            <w:vMerge/>
            <w:vAlign w:val="center"/>
          </w:tcPr>
          <w:p w14:paraId="33783095"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vAlign w:val="center"/>
          </w:tcPr>
          <w:p w14:paraId="24EC928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1</w:t>
            </w:r>
          </w:p>
        </w:tc>
        <w:tc>
          <w:tcPr>
            <w:tcW w:w="806" w:type="pct"/>
            <w:vAlign w:val="center"/>
          </w:tcPr>
          <w:p w14:paraId="22BD388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0,66</w:t>
            </w:r>
          </w:p>
        </w:tc>
        <w:tc>
          <w:tcPr>
            <w:tcW w:w="807" w:type="pct"/>
            <w:vAlign w:val="center"/>
          </w:tcPr>
          <w:p w14:paraId="502F635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0,54 – 0,94</w:t>
            </w:r>
          </w:p>
        </w:tc>
        <w:tc>
          <w:tcPr>
            <w:tcW w:w="807" w:type="pct"/>
            <w:vAlign w:val="center"/>
          </w:tcPr>
          <w:p w14:paraId="4502226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807" w:type="pct"/>
            <w:vMerge/>
          </w:tcPr>
          <w:p w14:paraId="7DEF56B5"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22FFBEE3" w14:textId="77777777" w:rsidTr="003F0A73">
        <w:trPr>
          <w:trHeight w:val="103"/>
          <w:jc w:val="center"/>
        </w:trPr>
        <w:tc>
          <w:tcPr>
            <w:tcW w:w="942" w:type="pct"/>
            <w:vMerge/>
            <w:vAlign w:val="center"/>
          </w:tcPr>
          <w:p w14:paraId="29B91DE9"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vAlign w:val="center"/>
          </w:tcPr>
          <w:p w14:paraId="3DBD316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x</w:t>
            </w:r>
          </w:p>
        </w:tc>
        <w:tc>
          <w:tcPr>
            <w:tcW w:w="806" w:type="pct"/>
            <w:vAlign w:val="center"/>
          </w:tcPr>
          <w:p w14:paraId="1E1C703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0,77</w:t>
            </w:r>
          </w:p>
        </w:tc>
        <w:tc>
          <w:tcPr>
            <w:tcW w:w="807" w:type="pct"/>
            <w:vAlign w:val="center"/>
          </w:tcPr>
          <w:p w14:paraId="4409D23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0,49 – 1,05</w:t>
            </w:r>
          </w:p>
        </w:tc>
        <w:tc>
          <w:tcPr>
            <w:tcW w:w="807" w:type="pct"/>
            <w:vAlign w:val="center"/>
          </w:tcPr>
          <w:p w14:paraId="47D322F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18</w:t>
            </w:r>
          </w:p>
        </w:tc>
        <w:tc>
          <w:tcPr>
            <w:tcW w:w="807" w:type="pct"/>
            <w:vMerge/>
          </w:tcPr>
          <w:p w14:paraId="09F1F990"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18E3E9D3" w14:textId="77777777" w:rsidTr="003F0A73">
        <w:trPr>
          <w:jc w:val="center"/>
        </w:trPr>
        <w:tc>
          <w:tcPr>
            <w:tcW w:w="942" w:type="pct"/>
            <w:vMerge w:val="restart"/>
            <w:vAlign w:val="center"/>
          </w:tcPr>
          <w:p w14:paraId="484ADF6F" w14:textId="77777777" w:rsidR="00452443" w:rsidRPr="00A43B9C" w:rsidRDefault="00452443" w:rsidP="00452443">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RRL</w:t>
            </w:r>
          </w:p>
        </w:tc>
        <w:tc>
          <w:tcPr>
            <w:tcW w:w="831" w:type="pct"/>
            <w:vAlign w:val="center"/>
          </w:tcPr>
          <w:p w14:paraId="7B6A7E6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0</w:t>
            </w:r>
          </w:p>
        </w:tc>
        <w:tc>
          <w:tcPr>
            <w:tcW w:w="806" w:type="pct"/>
            <w:vAlign w:val="center"/>
          </w:tcPr>
          <w:p w14:paraId="3F80813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0,82</w:t>
            </w:r>
          </w:p>
        </w:tc>
        <w:tc>
          <w:tcPr>
            <w:tcW w:w="807" w:type="pct"/>
            <w:vAlign w:val="center"/>
          </w:tcPr>
          <w:p w14:paraId="3FEA43F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0,74 – 1,05</w:t>
            </w:r>
          </w:p>
        </w:tc>
        <w:tc>
          <w:tcPr>
            <w:tcW w:w="807" w:type="pct"/>
            <w:vAlign w:val="center"/>
          </w:tcPr>
          <w:p w14:paraId="193D656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807" w:type="pct"/>
            <w:vMerge w:val="restart"/>
            <w:vAlign w:val="center"/>
          </w:tcPr>
          <w:p w14:paraId="63679C4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0,819</w:t>
            </w:r>
          </w:p>
        </w:tc>
      </w:tr>
      <w:tr w:rsidR="00452443" w:rsidRPr="00A43B9C" w14:paraId="62BFC023" w14:textId="77777777" w:rsidTr="00B25E66">
        <w:trPr>
          <w:jc w:val="center"/>
        </w:trPr>
        <w:tc>
          <w:tcPr>
            <w:tcW w:w="942" w:type="pct"/>
            <w:vMerge/>
            <w:tcBorders>
              <w:bottom w:val="nil"/>
            </w:tcBorders>
            <w:vAlign w:val="center"/>
          </w:tcPr>
          <w:p w14:paraId="7A8E11CD"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tcBorders>
              <w:bottom w:val="nil"/>
            </w:tcBorders>
            <w:vAlign w:val="center"/>
          </w:tcPr>
          <w:p w14:paraId="374DD09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1</w:t>
            </w:r>
          </w:p>
        </w:tc>
        <w:tc>
          <w:tcPr>
            <w:tcW w:w="806" w:type="pct"/>
            <w:tcBorders>
              <w:bottom w:val="nil"/>
            </w:tcBorders>
            <w:vAlign w:val="center"/>
          </w:tcPr>
          <w:p w14:paraId="3F49340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0,89</w:t>
            </w:r>
          </w:p>
        </w:tc>
        <w:tc>
          <w:tcPr>
            <w:tcW w:w="807" w:type="pct"/>
            <w:tcBorders>
              <w:bottom w:val="nil"/>
            </w:tcBorders>
            <w:vAlign w:val="center"/>
          </w:tcPr>
          <w:p w14:paraId="765D1F2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0,65 – 1,35</w:t>
            </w:r>
          </w:p>
        </w:tc>
        <w:tc>
          <w:tcPr>
            <w:tcW w:w="807" w:type="pct"/>
            <w:tcBorders>
              <w:bottom w:val="nil"/>
            </w:tcBorders>
            <w:vAlign w:val="center"/>
          </w:tcPr>
          <w:p w14:paraId="6D81AAC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807" w:type="pct"/>
            <w:vMerge/>
            <w:tcBorders>
              <w:bottom w:val="nil"/>
            </w:tcBorders>
          </w:tcPr>
          <w:p w14:paraId="2281A5BB"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717B476F" w14:textId="77777777" w:rsidTr="00B25E66">
        <w:trPr>
          <w:trHeight w:val="103"/>
          <w:jc w:val="center"/>
        </w:trPr>
        <w:tc>
          <w:tcPr>
            <w:tcW w:w="5000" w:type="pct"/>
            <w:gridSpan w:val="6"/>
            <w:tcBorders>
              <w:top w:val="nil"/>
              <w:left w:val="nil"/>
              <w:bottom w:val="single" w:sz="4" w:space="0" w:color="auto"/>
              <w:right w:val="nil"/>
            </w:tcBorders>
            <w:vAlign w:val="center"/>
          </w:tcPr>
          <w:p w14:paraId="3971E853" w14:textId="77777777" w:rsidR="00452443" w:rsidRDefault="00452443" w:rsidP="00452443">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29</w:t>
            </w:r>
          </w:p>
          <w:p w14:paraId="34B727B6" w14:textId="2215B224" w:rsidR="00452443" w:rsidRDefault="00452443" w:rsidP="00452443">
            <w:pPr>
              <w:spacing w:after="0" w:line="240" w:lineRule="auto"/>
              <w:rPr>
                <w:rFonts w:ascii="Times New Roman" w:hAnsi="Times New Roman" w:cs="Times New Roman"/>
                <w:sz w:val="28"/>
                <w:szCs w:val="28"/>
              </w:rPr>
            </w:pPr>
          </w:p>
        </w:tc>
      </w:tr>
      <w:tr w:rsidR="00452443" w:rsidRPr="00A43B9C" w14:paraId="386C13FF" w14:textId="77777777" w:rsidTr="00B25E66">
        <w:trPr>
          <w:trHeight w:val="103"/>
          <w:jc w:val="center"/>
        </w:trPr>
        <w:tc>
          <w:tcPr>
            <w:tcW w:w="942" w:type="pct"/>
            <w:tcBorders>
              <w:top w:val="single" w:sz="4" w:space="0" w:color="auto"/>
            </w:tcBorders>
            <w:vAlign w:val="center"/>
          </w:tcPr>
          <w:p w14:paraId="209A3BED" w14:textId="4681A31C" w:rsidR="00452443"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831" w:type="pct"/>
            <w:tcBorders>
              <w:top w:val="single" w:sz="4" w:space="0" w:color="auto"/>
            </w:tcBorders>
            <w:vAlign w:val="center"/>
          </w:tcPr>
          <w:p w14:paraId="57F9A47A" w14:textId="765B4B7A" w:rsidR="00452443"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806" w:type="pct"/>
            <w:tcBorders>
              <w:top w:val="single" w:sz="4" w:space="0" w:color="auto"/>
            </w:tcBorders>
            <w:vAlign w:val="center"/>
          </w:tcPr>
          <w:p w14:paraId="1F27C1B3" w14:textId="276B6D26" w:rsidR="00452443"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807" w:type="pct"/>
            <w:tcBorders>
              <w:top w:val="single" w:sz="4" w:space="0" w:color="auto"/>
            </w:tcBorders>
            <w:vAlign w:val="center"/>
          </w:tcPr>
          <w:p w14:paraId="533EC0A6" w14:textId="5F471EF3" w:rsidR="00452443"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807" w:type="pct"/>
            <w:tcBorders>
              <w:top w:val="single" w:sz="4" w:space="0" w:color="auto"/>
            </w:tcBorders>
            <w:vAlign w:val="center"/>
          </w:tcPr>
          <w:p w14:paraId="29718B3B" w14:textId="467B2971" w:rsidR="00452443"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807" w:type="pct"/>
            <w:tcBorders>
              <w:top w:val="single" w:sz="4" w:space="0" w:color="auto"/>
            </w:tcBorders>
          </w:tcPr>
          <w:p w14:paraId="03F711A2" w14:textId="7DF1B3BB" w:rsidR="00452443" w:rsidRDefault="00452443"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r>
      <w:tr w:rsidR="00452443" w:rsidRPr="00A43B9C" w14:paraId="05BB008E" w14:textId="77777777" w:rsidTr="003F0A73">
        <w:trPr>
          <w:trHeight w:val="103"/>
          <w:jc w:val="center"/>
        </w:trPr>
        <w:tc>
          <w:tcPr>
            <w:tcW w:w="942" w:type="pct"/>
            <w:vAlign w:val="center"/>
          </w:tcPr>
          <w:p w14:paraId="690954FF"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vAlign w:val="center"/>
          </w:tcPr>
          <w:p w14:paraId="260EBC0A" w14:textId="0997F649"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x</w:t>
            </w:r>
          </w:p>
        </w:tc>
        <w:tc>
          <w:tcPr>
            <w:tcW w:w="806" w:type="pct"/>
            <w:vAlign w:val="center"/>
          </w:tcPr>
          <w:p w14:paraId="1E5099B6" w14:textId="25D005E5"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0,86</w:t>
            </w:r>
          </w:p>
        </w:tc>
        <w:tc>
          <w:tcPr>
            <w:tcW w:w="807" w:type="pct"/>
            <w:vAlign w:val="center"/>
          </w:tcPr>
          <w:p w14:paraId="152598F0" w14:textId="387EDE96"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0,69 – 1,43</w:t>
            </w:r>
          </w:p>
        </w:tc>
        <w:tc>
          <w:tcPr>
            <w:tcW w:w="807" w:type="pct"/>
            <w:vAlign w:val="center"/>
          </w:tcPr>
          <w:p w14:paraId="5E68DD0B" w14:textId="762DE366"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18</w:t>
            </w:r>
          </w:p>
        </w:tc>
        <w:tc>
          <w:tcPr>
            <w:tcW w:w="807" w:type="pct"/>
          </w:tcPr>
          <w:p w14:paraId="77F4CF20"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31534D12" w14:textId="77777777" w:rsidTr="003F0A73">
        <w:trPr>
          <w:jc w:val="center"/>
        </w:trPr>
        <w:tc>
          <w:tcPr>
            <w:tcW w:w="942" w:type="pct"/>
            <w:vMerge w:val="restart"/>
            <w:vAlign w:val="center"/>
          </w:tcPr>
          <w:p w14:paraId="1E24D3FA" w14:textId="77777777" w:rsidR="00452443" w:rsidRPr="00A43B9C" w:rsidRDefault="00452443" w:rsidP="00452443">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RU</w:t>
            </w:r>
          </w:p>
        </w:tc>
        <w:tc>
          <w:tcPr>
            <w:tcW w:w="831" w:type="pct"/>
            <w:vAlign w:val="center"/>
          </w:tcPr>
          <w:p w14:paraId="05E4F0C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0</w:t>
            </w:r>
          </w:p>
        </w:tc>
        <w:tc>
          <w:tcPr>
            <w:tcW w:w="806" w:type="pct"/>
            <w:vAlign w:val="center"/>
          </w:tcPr>
          <w:p w14:paraId="3AF56BF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0,92</w:t>
            </w:r>
          </w:p>
        </w:tc>
        <w:tc>
          <w:tcPr>
            <w:tcW w:w="807" w:type="pct"/>
            <w:vAlign w:val="center"/>
          </w:tcPr>
          <w:p w14:paraId="743BB79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0,58 – 1,12</w:t>
            </w:r>
          </w:p>
        </w:tc>
        <w:tc>
          <w:tcPr>
            <w:tcW w:w="807" w:type="pct"/>
            <w:vAlign w:val="center"/>
          </w:tcPr>
          <w:p w14:paraId="3200473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807" w:type="pct"/>
            <w:vMerge w:val="restart"/>
            <w:vAlign w:val="center"/>
          </w:tcPr>
          <w:p w14:paraId="4FBA18B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0,706</w:t>
            </w:r>
          </w:p>
        </w:tc>
      </w:tr>
      <w:tr w:rsidR="00452443" w:rsidRPr="00A43B9C" w14:paraId="76954650" w14:textId="77777777" w:rsidTr="003F0A73">
        <w:trPr>
          <w:jc w:val="center"/>
        </w:trPr>
        <w:tc>
          <w:tcPr>
            <w:tcW w:w="942" w:type="pct"/>
            <w:vMerge/>
            <w:vAlign w:val="center"/>
          </w:tcPr>
          <w:p w14:paraId="63C0798A"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vAlign w:val="center"/>
          </w:tcPr>
          <w:p w14:paraId="6A03805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1</w:t>
            </w:r>
          </w:p>
        </w:tc>
        <w:tc>
          <w:tcPr>
            <w:tcW w:w="806" w:type="pct"/>
            <w:vAlign w:val="center"/>
          </w:tcPr>
          <w:p w14:paraId="235F885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0,76</w:t>
            </w:r>
          </w:p>
        </w:tc>
        <w:tc>
          <w:tcPr>
            <w:tcW w:w="807" w:type="pct"/>
            <w:vAlign w:val="center"/>
          </w:tcPr>
          <w:p w14:paraId="22FD1E7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0,56 – 1,07</w:t>
            </w:r>
          </w:p>
        </w:tc>
        <w:tc>
          <w:tcPr>
            <w:tcW w:w="807" w:type="pct"/>
            <w:vAlign w:val="center"/>
          </w:tcPr>
          <w:p w14:paraId="63864D9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807" w:type="pct"/>
            <w:vMerge/>
          </w:tcPr>
          <w:p w14:paraId="325B6097"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4498C0A0" w14:textId="77777777" w:rsidTr="003F0A73">
        <w:trPr>
          <w:trHeight w:val="103"/>
          <w:jc w:val="center"/>
        </w:trPr>
        <w:tc>
          <w:tcPr>
            <w:tcW w:w="942" w:type="pct"/>
            <w:vMerge/>
            <w:vAlign w:val="center"/>
          </w:tcPr>
          <w:p w14:paraId="57B75383"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vAlign w:val="center"/>
          </w:tcPr>
          <w:p w14:paraId="2F0BAA8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x</w:t>
            </w:r>
          </w:p>
        </w:tc>
        <w:tc>
          <w:tcPr>
            <w:tcW w:w="806" w:type="pct"/>
            <w:vAlign w:val="center"/>
          </w:tcPr>
          <w:p w14:paraId="6D9999A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0,80</w:t>
            </w:r>
          </w:p>
        </w:tc>
        <w:tc>
          <w:tcPr>
            <w:tcW w:w="807" w:type="pct"/>
            <w:vAlign w:val="center"/>
          </w:tcPr>
          <w:p w14:paraId="38A8F76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0,59 – 1,44</w:t>
            </w:r>
          </w:p>
        </w:tc>
        <w:tc>
          <w:tcPr>
            <w:tcW w:w="807" w:type="pct"/>
            <w:vAlign w:val="center"/>
          </w:tcPr>
          <w:p w14:paraId="45292DB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18</w:t>
            </w:r>
          </w:p>
        </w:tc>
        <w:tc>
          <w:tcPr>
            <w:tcW w:w="807" w:type="pct"/>
            <w:vMerge/>
          </w:tcPr>
          <w:p w14:paraId="57CBE839"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5E245006" w14:textId="77777777" w:rsidTr="003F0A73">
        <w:trPr>
          <w:jc w:val="center"/>
        </w:trPr>
        <w:tc>
          <w:tcPr>
            <w:tcW w:w="942" w:type="pct"/>
            <w:vMerge w:val="restart"/>
            <w:vAlign w:val="center"/>
          </w:tcPr>
          <w:p w14:paraId="3322A5DF" w14:textId="77777777" w:rsidR="00452443" w:rsidRPr="00A43B9C" w:rsidRDefault="00452443" w:rsidP="00452443">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RLL</w:t>
            </w:r>
          </w:p>
        </w:tc>
        <w:tc>
          <w:tcPr>
            <w:tcW w:w="831" w:type="pct"/>
            <w:vAlign w:val="center"/>
          </w:tcPr>
          <w:p w14:paraId="53423D7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0</w:t>
            </w:r>
          </w:p>
        </w:tc>
        <w:tc>
          <w:tcPr>
            <w:tcW w:w="806" w:type="pct"/>
            <w:vAlign w:val="center"/>
          </w:tcPr>
          <w:p w14:paraId="2F3DF0A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0,87</w:t>
            </w:r>
          </w:p>
        </w:tc>
        <w:tc>
          <w:tcPr>
            <w:tcW w:w="807" w:type="pct"/>
            <w:vAlign w:val="center"/>
          </w:tcPr>
          <w:p w14:paraId="7646F7E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0,67 – 0,96</w:t>
            </w:r>
          </w:p>
        </w:tc>
        <w:tc>
          <w:tcPr>
            <w:tcW w:w="807" w:type="pct"/>
            <w:vAlign w:val="center"/>
          </w:tcPr>
          <w:p w14:paraId="1BA08D8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807" w:type="pct"/>
            <w:vMerge w:val="restart"/>
            <w:vAlign w:val="center"/>
          </w:tcPr>
          <w:p w14:paraId="7962CB7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0,750</w:t>
            </w:r>
          </w:p>
        </w:tc>
      </w:tr>
      <w:tr w:rsidR="00452443" w:rsidRPr="00A43B9C" w14:paraId="1E806507" w14:textId="77777777" w:rsidTr="003F0A73">
        <w:trPr>
          <w:jc w:val="center"/>
        </w:trPr>
        <w:tc>
          <w:tcPr>
            <w:tcW w:w="942" w:type="pct"/>
            <w:vMerge/>
            <w:vAlign w:val="center"/>
          </w:tcPr>
          <w:p w14:paraId="321ECE39"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vAlign w:val="center"/>
          </w:tcPr>
          <w:p w14:paraId="62DA249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1</w:t>
            </w:r>
          </w:p>
        </w:tc>
        <w:tc>
          <w:tcPr>
            <w:tcW w:w="806" w:type="pct"/>
            <w:vAlign w:val="center"/>
          </w:tcPr>
          <w:p w14:paraId="65BAA46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0,79</w:t>
            </w:r>
          </w:p>
        </w:tc>
        <w:tc>
          <w:tcPr>
            <w:tcW w:w="807" w:type="pct"/>
            <w:vAlign w:val="center"/>
          </w:tcPr>
          <w:p w14:paraId="4442AED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0,62 – 1,10</w:t>
            </w:r>
          </w:p>
        </w:tc>
        <w:tc>
          <w:tcPr>
            <w:tcW w:w="807" w:type="pct"/>
            <w:vAlign w:val="center"/>
          </w:tcPr>
          <w:p w14:paraId="4D39F4E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807" w:type="pct"/>
            <w:vMerge/>
          </w:tcPr>
          <w:p w14:paraId="4375EFE1"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39E02716" w14:textId="77777777" w:rsidTr="003F0A73">
        <w:trPr>
          <w:trHeight w:val="103"/>
          <w:jc w:val="center"/>
        </w:trPr>
        <w:tc>
          <w:tcPr>
            <w:tcW w:w="942" w:type="pct"/>
            <w:vMerge/>
            <w:vAlign w:val="center"/>
          </w:tcPr>
          <w:p w14:paraId="3EB092A9"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vAlign w:val="center"/>
          </w:tcPr>
          <w:p w14:paraId="16F7446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x</w:t>
            </w:r>
          </w:p>
        </w:tc>
        <w:tc>
          <w:tcPr>
            <w:tcW w:w="806" w:type="pct"/>
            <w:vAlign w:val="center"/>
          </w:tcPr>
          <w:p w14:paraId="2708B3B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0,95</w:t>
            </w:r>
          </w:p>
        </w:tc>
        <w:tc>
          <w:tcPr>
            <w:tcW w:w="807" w:type="pct"/>
            <w:vAlign w:val="center"/>
          </w:tcPr>
          <w:p w14:paraId="13E303B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0,64 – 1,13</w:t>
            </w:r>
          </w:p>
        </w:tc>
        <w:tc>
          <w:tcPr>
            <w:tcW w:w="807" w:type="pct"/>
            <w:vAlign w:val="center"/>
          </w:tcPr>
          <w:p w14:paraId="0713537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18</w:t>
            </w:r>
          </w:p>
        </w:tc>
        <w:tc>
          <w:tcPr>
            <w:tcW w:w="807" w:type="pct"/>
            <w:vMerge/>
          </w:tcPr>
          <w:p w14:paraId="0B759BA1"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6EFE4B4E" w14:textId="77777777" w:rsidTr="003F0A73">
        <w:trPr>
          <w:jc w:val="center"/>
        </w:trPr>
        <w:tc>
          <w:tcPr>
            <w:tcW w:w="942" w:type="pct"/>
            <w:vMerge w:val="restart"/>
            <w:vAlign w:val="center"/>
          </w:tcPr>
          <w:p w14:paraId="6748484A" w14:textId="77777777" w:rsidR="00452443" w:rsidRPr="00A43B9C" w:rsidRDefault="00452443" w:rsidP="00452443">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RRI</w:t>
            </w:r>
          </w:p>
        </w:tc>
        <w:tc>
          <w:tcPr>
            <w:tcW w:w="831" w:type="pct"/>
            <w:vAlign w:val="center"/>
          </w:tcPr>
          <w:p w14:paraId="5B0A1BC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0</w:t>
            </w:r>
          </w:p>
        </w:tc>
        <w:tc>
          <w:tcPr>
            <w:tcW w:w="806" w:type="pct"/>
            <w:vAlign w:val="center"/>
          </w:tcPr>
          <w:p w14:paraId="2DD91D9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0,77</w:t>
            </w:r>
          </w:p>
        </w:tc>
        <w:tc>
          <w:tcPr>
            <w:tcW w:w="807" w:type="pct"/>
            <w:vAlign w:val="center"/>
          </w:tcPr>
          <w:p w14:paraId="7D5080A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0,53 – 1,02</w:t>
            </w:r>
          </w:p>
        </w:tc>
        <w:tc>
          <w:tcPr>
            <w:tcW w:w="807" w:type="pct"/>
            <w:vAlign w:val="center"/>
          </w:tcPr>
          <w:p w14:paraId="1464178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807" w:type="pct"/>
            <w:vMerge w:val="restart"/>
            <w:vAlign w:val="center"/>
          </w:tcPr>
          <w:p w14:paraId="5EE76AE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0,700</w:t>
            </w:r>
          </w:p>
        </w:tc>
      </w:tr>
      <w:tr w:rsidR="00452443" w:rsidRPr="00A43B9C" w14:paraId="2E9C764A" w14:textId="77777777" w:rsidTr="003F0A73">
        <w:trPr>
          <w:jc w:val="center"/>
        </w:trPr>
        <w:tc>
          <w:tcPr>
            <w:tcW w:w="942" w:type="pct"/>
            <w:vMerge/>
            <w:vAlign w:val="center"/>
          </w:tcPr>
          <w:p w14:paraId="2C9BF289"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vAlign w:val="center"/>
          </w:tcPr>
          <w:p w14:paraId="75B44DB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1</w:t>
            </w:r>
          </w:p>
        </w:tc>
        <w:tc>
          <w:tcPr>
            <w:tcW w:w="806" w:type="pct"/>
            <w:vAlign w:val="center"/>
          </w:tcPr>
          <w:p w14:paraId="2115EDB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0,78</w:t>
            </w:r>
          </w:p>
        </w:tc>
        <w:tc>
          <w:tcPr>
            <w:tcW w:w="807" w:type="pct"/>
            <w:vAlign w:val="center"/>
          </w:tcPr>
          <w:p w14:paraId="614DAB7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0,64 – 1,02</w:t>
            </w:r>
          </w:p>
        </w:tc>
        <w:tc>
          <w:tcPr>
            <w:tcW w:w="807" w:type="pct"/>
            <w:vAlign w:val="center"/>
          </w:tcPr>
          <w:p w14:paraId="7BB71B1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807" w:type="pct"/>
            <w:vMerge/>
          </w:tcPr>
          <w:p w14:paraId="3A962F2C"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4C6324B5" w14:textId="77777777" w:rsidTr="003F0A73">
        <w:trPr>
          <w:trHeight w:val="103"/>
          <w:jc w:val="center"/>
        </w:trPr>
        <w:tc>
          <w:tcPr>
            <w:tcW w:w="942" w:type="pct"/>
            <w:vMerge/>
            <w:vAlign w:val="center"/>
          </w:tcPr>
          <w:p w14:paraId="4372BD6A"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vAlign w:val="center"/>
          </w:tcPr>
          <w:p w14:paraId="23D95EC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x</w:t>
            </w:r>
          </w:p>
        </w:tc>
        <w:tc>
          <w:tcPr>
            <w:tcW w:w="806" w:type="pct"/>
            <w:vAlign w:val="center"/>
          </w:tcPr>
          <w:p w14:paraId="6514E46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0,63</w:t>
            </w:r>
          </w:p>
        </w:tc>
        <w:tc>
          <w:tcPr>
            <w:tcW w:w="807" w:type="pct"/>
            <w:vAlign w:val="center"/>
          </w:tcPr>
          <w:p w14:paraId="6D8A6E5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0,53 – 1,04</w:t>
            </w:r>
          </w:p>
        </w:tc>
        <w:tc>
          <w:tcPr>
            <w:tcW w:w="807" w:type="pct"/>
            <w:vAlign w:val="center"/>
          </w:tcPr>
          <w:p w14:paraId="72B92C7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18</w:t>
            </w:r>
          </w:p>
        </w:tc>
        <w:tc>
          <w:tcPr>
            <w:tcW w:w="807" w:type="pct"/>
            <w:vMerge/>
          </w:tcPr>
          <w:p w14:paraId="44ECD2E3"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4992217F" w14:textId="77777777" w:rsidTr="003F0A73">
        <w:trPr>
          <w:jc w:val="center"/>
        </w:trPr>
        <w:tc>
          <w:tcPr>
            <w:tcW w:w="942" w:type="pct"/>
            <w:vMerge w:val="restart"/>
            <w:vAlign w:val="center"/>
          </w:tcPr>
          <w:p w14:paraId="12841038" w14:textId="77777777" w:rsidR="00452443" w:rsidRPr="00A43B9C" w:rsidRDefault="00452443" w:rsidP="00452443">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RP</w:t>
            </w:r>
          </w:p>
        </w:tc>
        <w:tc>
          <w:tcPr>
            <w:tcW w:w="831" w:type="pct"/>
            <w:vAlign w:val="center"/>
          </w:tcPr>
          <w:p w14:paraId="6F6EED5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0</w:t>
            </w:r>
          </w:p>
        </w:tc>
        <w:tc>
          <w:tcPr>
            <w:tcW w:w="806" w:type="pct"/>
            <w:vAlign w:val="center"/>
          </w:tcPr>
          <w:p w14:paraId="0D94EB6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0,92</w:t>
            </w:r>
          </w:p>
        </w:tc>
        <w:tc>
          <w:tcPr>
            <w:tcW w:w="807" w:type="pct"/>
            <w:vAlign w:val="center"/>
          </w:tcPr>
          <w:p w14:paraId="251736A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0,66 – 1,10</w:t>
            </w:r>
          </w:p>
        </w:tc>
        <w:tc>
          <w:tcPr>
            <w:tcW w:w="807" w:type="pct"/>
            <w:vAlign w:val="center"/>
          </w:tcPr>
          <w:p w14:paraId="069901B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807" w:type="pct"/>
            <w:vMerge w:val="restart"/>
            <w:vAlign w:val="center"/>
          </w:tcPr>
          <w:p w14:paraId="36E3507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0,911</w:t>
            </w:r>
          </w:p>
        </w:tc>
      </w:tr>
      <w:tr w:rsidR="00452443" w:rsidRPr="00A43B9C" w14:paraId="7C772EDF" w14:textId="77777777" w:rsidTr="003F0A73">
        <w:trPr>
          <w:jc w:val="center"/>
        </w:trPr>
        <w:tc>
          <w:tcPr>
            <w:tcW w:w="942" w:type="pct"/>
            <w:vMerge/>
            <w:vAlign w:val="center"/>
          </w:tcPr>
          <w:p w14:paraId="061BD730"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vAlign w:val="center"/>
          </w:tcPr>
          <w:p w14:paraId="751AFBF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1</w:t>
            </w:r>
          </w:p>
        </w:tc>
        <w:tc>
          <w:tcPr>
            <w:tcW w:w="806" w:type="pct"/>
            <w:vAlign w:val="center"/>
          </w:tcPr>
          <w:p w14:paraId="27402C8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0,87</w:t>
            </w:r>
          </w:p>
        </w:tc>
        <w:tc>
          <w:tcPr>
            <w:tcW w:w="807" w:type="pct"/>
            <w:vAlign w:val="center"/>
          </w:tcPr>
          <w:p w14:paraId="63F9517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0,62 – 1,21</w:t>
            </w:r>
          </w:p>
        </w:tc>
        <w:tc>
          <w:tcPr>
            <w:tcW w:w="807" w:type="pct"/>
            <w:vAlign w:val="center"/>
          </w:tcPr>
          <w:p w14:paraId="6EB7504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807" w:type="pct"/>
            <w:vMerge/>
          </w:tcPr>
          <w:p w14:paraId="09903613"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2C47D1D0" w14:textId="77777777" w:rsidTr="003F0A73">
        <w:trPr>
          <w:trHeight w:val="103"/>
          <w:jc w:val="center"/>
        </w:trPr>
        <w:tc>
          <w:tcPr>
            <w:tcW w:w="942" w:type="pct"/>
            <w:vMerge/>
            <w:vAlign w:val="center"/>
          </w:tcPr>
          <w:p w14:paraId="034E1528"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vAlign w:val="center"/>
          </w:tcPr>
          <w:p w14:paraId="658E419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x</w:t>
            </w:r>
          </w:p>
        </w:tc>
        <w:tc>
          <w:tcPr>
            <w:tcW w:w="806" w:type="pct"/>
            <w:vAlign w:val="center"/>
          </w:tcPr>
          <w:p w14:paraId="1D78636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0,84</w:t>
            </w:r>
          </w:p>
        </w:tc>
        <w:tc>
          <w:tcPr>
            <w:tcW w:w="807" w:type="pct"/>
            <w:vAlign w:val="center"/>
          </w:tcPr>
          <w:p w14:paraId="2E8A53D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0,74 – 1,17</w:t>
            </w:r>
          </w:p>
        </w:tc>
        <w:tc>
          <w:tcPr>
            <w:tcW w:w="807" w:type="pct"/>
            <w:vAlign w:val="center"/>
          </w:tcPr>
          <w:p w14:paraId="0BBE33E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18</w:t>
            </w:r>
          </w:p>
        </w:tc>
        <w:tc>
          <w:tcPr>
            <w:tcW w:w="807" w:type="pct"/>
            <w:vMerge/>
          </w:tcPr>
          <w:p w14:paraId="1AD9B029"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7E5282CE" w14:textId="77777777" w:rsidTr="003F0A73">
        <w:trPr>
          <w:jc w:val="center"/>
        </w:trPr>
        <w:tc>
          <w:tcPr>
            <w:tcW w:w="942" w:type="pct"/>
            <w:vMerge w:val="restart"/>
            <w:vAlign w:val="center"/>
          </w:tcPr>
          <w:p w14:paraId="5A48E5E3" w14:textId="77777777" w:rsidR="00452443" w:rsidRPr="00A43B9C" w:rsidRDefault="00452443" w:rsidP="00452443">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RLI</w:t>
            </w:r>
          </w:p>
        </w:tc>
        <w:tc>
          <w:tcPr>
            <w:tcW w:w="831" w:type="pct"/>
            <w:vAlign w:val="center"/>
          </w:tcPr>
          <w:p w14:paraId="39A820B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0</w:t>
            </w:r>
          </w:p>
        </w:tc>
        <w:tc>
          <w:tcPr>
            <w:tcW w:w="806" w:type="pct"/>
            <w:vAlign w:val="center"/>
          </w:tcPr>
          <w:p w14:paraId="01FAD70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0,75</w:t>
            </w:r>
          </w:p>
        </w:tc>
        <w:tc>
          <w:tcPr>
            <w:tcW w:w="807" w:type="pct"/>
            <w:vAlign w:val="center"/>
          </w:tcPr>
          <w:p w14:paraId="0F171DC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0,50 – 0,90</w:t>
            </w:r>
          </w:p>
        </w:tc>
        <w:tc>
          <w:tcPr>
            <w:tcW w:w="807" w:type="pct"/>
            <w:vAlign w:val="center"/>
          </w:tcPr>
          <w:p w14:paraId="04DD272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807" w:type="pct"/>
            <w:vMerge w:val="restart"/>
            <w:vAlign w:val="center"/>
          </w:tcPr>
          <w:p w14:paraId="333473F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0,271</w:t>
            </w:r>
          </w:p>
        </w:tc>
      </w:tr>
      <w:tr w:rsidR="00452443" w:rsidRPr="00A43B9C" w14:paraId="3B09354F" w14:textId="77777777" w:rsidTr="003F0A73">
        <w:trPr>
          <w:jc w:val="center"/>
        </w:trPr>
        <w:tc>
          <w:tcPr>
            <w:tcW w:w="942" w:type="pct"/>
            <w:vMerge/>
            <w:vAlign w:val="center"/>
          </w:tcPr>
          <w:p w14:paraId="3E710721"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vAlign w:val="center"/>
          </w:tcPr>
          <w:p w14:paraId="112B653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1</w:t>
            </w:r>
          </w:p>
        </w:tc>
        <w:tc>
          <w:tcPr>
            <w:tcW w:w="806" w:type="pct"/>
            <w:vAlign w:val="center"/>
          </w:tcPr>
          <w:p w14:paraId="48D6BBD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0,59</w:t>
            </w:r>
          </w:p>
        </w:tc>
        <w:tc>
          <w:tcPr>
            <w:tcW w:w="807" w:type="pct"/>
            <w:vAlign w:val="center"/>
          </w:tcPr>
          <w:p w14:paraId="70F1A85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0,52 – 0,78</w:t>
            </w:r>
          </w:p>
        </w:tc>
        <w:tc>
          <w:tcPr>
            <w:tcW w:w="807" w:type="pct"/>
            <w:vAlign w:val="center"/>
          </w:tcPr>
          <w:p w14:paraId="01D3B4A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807" w:type="pct"/>
            <w:vMerge/>
          </w:tcPr>
          <w:p w14:paraId="31C704A0"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37AC629A" w14:textId="77777777" w:rsidTr="003F0A73">
        <w:trPr>
          <w:trHeight w:val="103"/>
          <w:jc w:val="center"/>
        </w:trPr>
        <w:tc>
          <w:tcPr>
            <w:tcW w:w="942" w:type="pct"/>
            <w:vMerge/>
            <w:vAlign w:val="center"/>
          </w:tcPr>
          <w:p w14:paraId="6B4EF79B"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831" w:type="pct"/>
            <w:vAlign w:val="center"/>
          </w:tcPr>
          <w:p w14:paraId="4F7DE25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x</w:t>
            </w:r>
          </w:p>
        </w:tc>
        <w:tc>
          <w:tcPr>
            <w:tcW w:w="806" w:type="pct"/>
            <w:vAlign w:val="center"/>
          </w:tcPr>
          <w:p w14:paraId="2B60957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0,77</w:t>
            </w:r>
          </w:p>
        </w:tc>
        <w:tc>
          <w:tcPr>
            <w:tcW w:w="807" w:type="pct"/>
            <w:vAlign w:val="center"/>
          </w:tcPr>
          <w:p w14:paraId="3352039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0,59 – 0,87</w:t>
            </w:r>
          </w:p>
        </w:tc>
        <w:tc>
          <w:tcPr>
            <w:tcW w:w="807" w:type="pct"/>
            <w:vAlign w:val="center"/>
          </w:tcPr>
          <w:p w14:paraId="6C60952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18</w:t>
            </w:r>
          </w:p>
        </w:tc>
        <w:tc>
          <w:tcPr>
            <w:tcW w:w="807" w:type="pct"/>
            <w:vMerge/>
          </w:tcPr>
          <w:p w14:paraId="50466563"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120CBDD5" w14:textId="77777777" w:rsidTr="003F0A73">
        <w:trPr>
          <w:jc w:val="center"/>
        </w:trPr>
        <w:tc>
          <w:tcPr>
            <w:tcW w:w="942" w:type="pct"/>
            <w:vMerge w:val="restart"/>
            <w:vAlign w:val="center"/>
          </w:tcPr>
          <w:p w14:paraId="6B4F8D67" w14:textId="77777777" w:rsidR="00452443" w:rsidRPr="00A43B9C" w:rsidRDefault="00452443" w:rsidP="00452443">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P</w:t>
            </w:r>
          </w:p>
        </w:tc>
        <w:tc>
          <w:tcPr>
            <w:tcW w:w="831" w:type="pct"/>
            <w:vAlign w:val="center"/>
          </w:tcPr>
          <w:p w14:paraId="65F091F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0</w:t>
            </w:r>
          </w:p>
        </w:tc>
        <w:tc>
          <w:tcPr>
            <w:tcW w:w="806" w:type="pct"/>
            <w:vAlign w:val="center"/>
          </w:tcPr>
          <w:p w14:paraId="591D949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0,89</w:t>
            </w:r>
          </w:p>
        </w:tc>
        <w:tc>
          <w:tcPr>
            <w:tcW w:w="807" w:type="pct"/>
            <w:vAlign w:val="center"/>
          </w:tcPr>
          <w:p w14:paraId="5ED9499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0,71 – 1,03</w:t>
            </w:r>
          </w:p>
        </w:tc>
        <w:tc>
          <w:tcPr>
            <w:tcW w:w="807" w:type="pct"/>
            <w:vAlign w:val="center"/>
          </w:tcPr>
          <w:p w14:paraId="50E98B5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807" w:type="pct"/>
            <w:vMerge w:val="restart"/>
            <w:vAlign w:val="center"/>
          </w:tcPr>
          <w:p w14:paraId="2A94304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0,932</w:t>
            </w:r>
          </w:p>
        </w:tc>
      </w:tr>
      <w:tr w:rsidR="00452443" w:rsidRPr="00A43B9C" w14:paraId="0443B4C2" w14:textId="77777777" w:rsidTr="003F0A73">
        <w:trPr>
          <w:jc w:val="center"/>
        </w:trPr>
        <w:tc>
          <w:tcPr>
            <w:tcW w:w="942" w:type="pct"/>
            <w:vMerge/>
            <w:vAlign w:val="center"/>
          </w:tcPr>
          <w:p w14:paraId="0DDB4409" w14:textId="77777777" w:rsidR="00452443" w:rsidRPr="00A43B9C" w:rsidRDefault="00452443" w:rsidP="00452443">
            <w:pPr>
              <w:spacing w:after="0" w:line="240" w:lineRule="auto"/>
              <w:rPr>
                <w:rFonts w:ascii="Times New Roman" w:hAnsi="Times New Roman" w:cs="Times New Roman"/>
                <w:sz w:val="28"/>
                <w:szCs w:val="28"/>
              </w:rPr>
            </w:pPr>
          </w:p>
        </w:tc>
        <w:tc>
          <w:tcPr>
            <w:tcW w:w="831" w:type="pct"/>
            <w:vAlign w:val="center"/>
          </w:tcPr>
          <w:p w14:paraId="2FCDD4D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1</w:t>
            </w:r>
          </w:p>
        </w:tc>
        <w:tc>
          <w:tcPr>
            <w:tcW w:w="806" w:type="pct"/>
            <w:vAlign w:val="center"/>
          </w:tcPr>
          <w:p w14:paraId="066A8E6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0,89</w:t>
            </w:r>
          </w:p>
        </w:tc>
        <w:tc>
          <w:tcPr>
            <w:tcW w:w="807" w:type="pct"/>
            <w:vAlign w:val="center"/>
          </w:tcPr>
          <w:p w14:paraId="40E5C08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0,58 – 1,10</w:t>
            </w:r>
          </w:p>
        </w:tc>
        <w:tc>
          <w:tcPr>
            <w:tcW w:w="807" w:type="pct"/>
            <w:vAlign w:val="center"/>
          </w:tcPr>
          <w:p w14:paraId="49182DA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807" w:type="pct"/>
            <w:vMerge/>
          </w:tcPr>
          <w:p w14:paraId="3F9CFA86"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22CAF664" w14:textId="77777777" w:rsidTr="003F0A73">
        <w:trPr>
          <w:trHeight w:val="103"/>
          <w:jc w:val="center"/>
        </w:trPr>
        <w:tc>
          <w:tcPr>
            <w:tcW w:w="942" w:type="pct"/>
            <w:vMerge/>
            <w:vAlign w:val="center"/>
          </w:tcPr>
          <w:p w14:paraId="347A344B" w14:textId="77777777" w:rsidR="00452443" w:rsidRPr="00A43B9C" w:rsidRDefault="00452443" w:rsidP="00452443">
            <w:pPr>
              <w:spacing w:after="0" w:line="240" w:lineRule="auto"/>
              <w:rPr>
                <w:rFonts w:ascii="Times New Roman" w:hAnsi="Times New Roman" w:cs="Times New Roman"/>
                <w:sz w:val="28"/>
                <w:szCs w:val="28"/>
              </w:rPr>
            </w:pPr>
          </w:p>
        </w:tc>
        <w:tc>
          <w:tcPr>
            <w:tcW w:w="831" w:type="pct"/>
            <w:vAlign w:val="center"/>
          </w:tcPr>
          <w:p w14:paraId="4F34F57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x</w:t>
            </w:r>
          </w:p>
        </w:tc>
        <w:tc>
          <w:tcPr>
            <w:tcW w:w="806" w:type="pct"/>
            <w:vAlign w:val="center"/>
          </w:tcPr>
          <w:p w14:paraId="3DB9B65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0,76</w:t>
            </w:r>
          </w:p>
        </w:tc>
        <w:tc>
          <w:tcPr>
            <w:tcW w:w="807" w:type="pct"/>
            <w:vAlign w:val="center"/>
          </w:tcPr>
          <w:p w14:paraId="1895E95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0,66 – 1,11</w:t>
            </w:r>
          </w:p>
        </w:tc>
        <w:tc>
          <w:tcPr>
            <w:tcW w:w="807" w:type="pct"/>
            <w:vAlign w:val="center"/>
          </w:tcPr>
          <w:p w14:paraId="4A25D3D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18</w:t>
            </w:r>
          </w:p>
        </w:tc>
        <w:tc>
          <w:tcPr>
            <w:tcW w:w="807" w:type="pct"/>
            <w:vMerge/>
          </w:tcPr>
          <w:p w14:paraId="283C0CFC" w14:textId="77777777" w:rsidR="00452443" w:rsidRPr="00A43B9C" w:rsidRDefault="00452443" w:rsidP="00452443">
            <w:pPr>
              <w:spacing w:after="0" w:line="240" w:lineRule="auto"/>
              <w:jc w:val="center"/>
              <w:rPr>
                <w:rFonts w:ascii="Times New Roman" w:hAnsi="Times New Roman" w:cs="Times New Roman"/>
                <w:sz w:val="28"/>
                <w:szCs w:val="28"/>
              </w:rPr>
            </w:pPr>
          </w:p>
        </w:tc>
      </w:tr>
    </w:tbl>
    <w:p w14:paraId="5F5B21CF" w14:textId="0987776D" w:rsidR="00825215" w:rsidRPr="00A43B9C" w:rsidRDefault="00825215" w:rsidP="00825215">
      <w:pPr>
        <w:spacing w:after="0" w:line="240" w:lineRule="auto"/>
        <w:ind w:firstLine="709"/>
        <w:jc w:val="center"/>
        <w:rPr>
          <w:rFonts w:ascii="Times New Roman" w:hAnsi="Times New Roman" w:cs="Times New Roman"/>
          <w:sz w:val="28"/>
          <w:szCs w:val="28"/>
        </w:rPr>
      </w:pPr>
    </w:p>
    <w:tbl>
      <w:tblPr>
        <w:tblStyle w:val="ad"/>
        <w:tblW w:w="10908"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6"/>
        <w:gridCol w:w="3636"/>
        <w:gridCol w:w="3636"/>
      </w:tblGrid>
      <w:tr w:rsidR="00422F8C" w:rsidRPr="00A43B9C" w14:paraId="06074360" w14:textId="77777777" w:rsidTr="007812F4">
        <w:tc>
          <w:tcPr>
            <w:tcW w:w="3636" w:type="dxa"/>
          </w:tcPr>
          <w:p w14:paraId="4CAD84A1" w14:textId="0BA7CDD1" w:rsidR="00422F8C" w:rsidRPr="00A43B9C" w:rsidRDefault="00422F8C" w:rsidP="00422F8C">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3F8F7F4D" wp14:editId="7F138589">
                      <wp:extent cx="2160000" cy="2160000"/>
                      <wp:effectExtent l="0" t="0" r="12065" b="12065"/>
                      <wp:docPr id="131" name="Диаграмма 131">
                        <a:extLst xmlns:a="http://schemas.openxmlformats.org/drawingml/2006/main">
                          <a:ext uri="{FF2B5EF4-FFF2-40B4-BE49-F238E27FC236}">
                            <a16:creationId xmlns:a16="http://schemas.microsoft.com/office/drawing/2014/main" id="{46CECFAC-205F-4222-9F1D-AC3BE6EE4A42}"/>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26"/>
                        </a:graphicData>
                      </a:graphic>
                    </wp:inline>
                  </w:drawing>
                </mc:Choice>
                <mc:Fallback>
                  <w:drawing>
                    <wp:inline distT="0" distB="0" distL="0" distR="0" wp14:anchorId="3F8F7F4D" wp14:editId="7F138589">
                      <wp:extent cx="2160000" cy="2160000"/>
                      <wp:effectExtent l="0" t="0" r="12065" b="12065"/>
                      <wp:docPr id="131" name="Диаграмма 131">
                        <a:extLst xmlns:a="http://schemas.openxmlformats.org/drawingml/2006/main">
                          <a:ext uri="{FF2B5EF4-FFF2-40B4-BE49-F238E27FC236}">
                            <a16:creationId xmlns:a16="http://schemas.microsoft.com/office/drawing/2014/main" id="{46CECFAC-205F-4222-9F1D-AC3BE6EE4A42}"/>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31" name="Диаграмма 131">
                                <a:extLst>
                                  <a:ext uri="{FF2B5EF4-FFF2-40B4-BE49-F238E27FC236}">
                                    <a16:creationId xmlns:a16="http://schemas.microsoft.com/office/drawing/2014/main" id="{46CECFAC-205F-4222-9F1D-AC3BE6EE4A42}"/>
                                  </a:ext>
                                </a:extLst>
                              </pic:cNvPr>
                              <pic:cNvPicPr>
                                <a:picLocks noGrp="1" noRot="1" noChangeAspect="1" noMove="1" noResize="1" noEditPoints="1" noAdjustHandles="1" noChangeArrowheads="1" noChangeShapeType="1"/>
                              </pic:cNvPicPr>
                            </pic:nvPicPr>
                            <pic:blipFill>
                              <a:blip r:embed="rId227"/>
                              <a:stretch>
                                <a:fillRect/>
                              </a:stretch>
                            </pic:blipFill>
                            <pic:spPr>
                              <a:xfrm>
                                <a:off x="0" y="0"/>
                                <a:ext cx="2159635" cy="2159635"/>
                              </a:xfrm>
                              <a:prstGeom prst="rect">
                                <a:avLst/>
                              </a:prstGeom>
                            </pic:spPr>
                          </pic:pic>
                        </a:graphicData>
                      </a:graphic>
                    </wp:inline>
                  </w:drawing>
                </mc:Fallback>
              </mc:AlternateContent>
            </w:r>
          </w:p>
        </w:tc>
        <w:tc>
          <w:tcPr>
            <w:tcW w:w="3636" w:type="dxa"/>
          </w:tcPr>
          <w:p w14:paraId="37C60542" w14:textId="16944774" w:rsidR="00422F8C" w:rsidRPr="00A43B9C" w:rsidRDefault="00422F8C" w:rsidP="00422F8C">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5185F37F" wp14:editId="1ADB3E7C">
                      <wp:extent cx="2160000" cy="2160000"/>
                      <wp:effectExtent l="0" t="0" r="12065" b="12065"/>
                      <wp:docPr id="132" name="Диаграмма 132">
                        <a:extLst xmlns:a="http://schemas.openxmlformats.org/drawingml/2006/main">
                          <a:ext uri="{FF2B5EF4-FFF2-40B4-BE49-F238E27FC236}">
                            <a16:creationId xmlns:a16="http://schemas.microsoft.com/office/drawing/2014/main" id="{C1DEA2E2-27B6-414D-B519-966A114724F4}"/>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28"/>
                        </a:graphicData>
                      </a:graphic>
                    </wp:inline>
                  </w:drawing>
                </mc:Choice>
                <mc:Fallback>
                  <w:drawing>
                    <wp:inline distT="0" distB="0" distL="0" distR="0" wp14:anchorId="5185F37F" wp14:editId="1ADB3E7C">
                      <wp:extent cx="2160000" cy="2160000"/>
                      <wp:effectExtent l="0" t="0" r="12065" b="12065"/>
                      <wp:docPr id="132" name="Диаграмма 132">
                        <a:extLst xmlns:a="http://schemas.openxmlformats.org/drawingml/2006/main">
                          <a:ext uri="{FF2B5EF4-FFF2-40B4-BE49-F238E27FC236}">
                            <a16:creationId xmlns:a16="http://schemas.microsoft.com/office/drawing/2014/main" id="{C1DEA2E2-27B6-414D-B519-966A114724F4}"/>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32" name="Диаграмма 132">
                                <a:extLst>
                                  <a:ext uri="{FF2B5EF4-FFF2-40B4-BE49-F238E27FC236}">
                                    <a16:creationId xmlns:a16="http://schemas.microsoft.com/office/drawing/2014/main" id="{C1DEA2E2-27B6-414D-B519-966A114724F4}"/>
                                  </a:ext>
                                </a:extLst>
                              </pic:cNvPr>
                              <pic:cNvPicPr>
                                <a:picLocks noGrp="1" noRot="1" noChangeAspect="1" noMove="1" noResize="1" noEditPoints="1" noAdjustHandles="1" noChangeArrowheads="1" noChangeShapeType="1"/>
                              </pic:cNvPicPr>
                            </pic:nvPicPr>
                            <pic:blipFill>
                              <a:blip r:embed="rId229"/>
                              <a:stretch>
                                <a:fillRect/>
                              </a:stretch>
                            </pic:blipFill>
                            <pic:spPr>
                              <a:xfrm>
                                <a:off x="0" y="0"/>
                                <a:ext cx="2159635" cy="2159635"/>
                              </a:xfrm>
                              <a:prstGeom prst="rect">
                                <a:avLst/>
                              </a:prstGeom>
                            </pic:spPr>
                          </pic:pic>
                        </a:graphicData>
                      </a:graphic>
                    </wp:inline>
                  </w:drawing>
                </mc:Fallback>
              </mc:AlternateContent>
            </w:r>
          </w:p>
        </w:tc>
        <w:tc>
          <w:tcPr>
            <w:tcW w:w="3636" w:type="dxa"/>
          </w:tcPr>
          <w:p w14:paraId="42C4769D" w14:textId="5AAA94FD" w:rsidR="00422F8C" w:rsidRPr="00A43B9C" w:rsidRDefault="00422F8C" w:rsidP="00422F8C">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5D228CD8" wp14:editId="118219A1">
                      <wp:extent cx="2160000" cy="2160000"/>
                      <wp:effectExtent l="0" t="0" r="12065" b="12065"/>
                      <wp:docPr id="85" name="Диаграмма 85">
                        <a:extLst xmlns:a="http://schemas.openxmlformats.org/drawingml/2006/main">
                          <a:ext uri="{FF2B5EF4-FFF2-40B4-BE49-F238E27FC236}">
                            <a16:creationId xmlns:a16="http://schemas.microsoft.com/office/drawing/2014/main" id="{38F51050-A808-472E-A32B-7DC1442CEEB3}"/>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30"/>
                        </a:graphicData>
                      </a:graphic>
                    </wp:inline>
                  </w:drawing>
                </mc:Choice>
                <mc:Fallback>
                  <w:drawing>
                    <wp:inline distT="0" distB="0" distL="0" distR="0" wp14:anchorId="5D228CD8" wp14:editId="118219A1">
                      <wp:extent cx="2160000" cy="2160000"/>
                      <wp:effectExtent l="0" t="0" r="12065" b="12065"/>
                      <wp:docPr id="85" name="Диаграмма 85">
                        <a:extLst xmlns:a="http://schemas.openxmlformats.org/drawingml/2006/main">
                          <a:ext uri="{FF2B5EF4-FFF2-40B4-BE49-F238E27FC236}">
                            <a16:creationId xmlns:a16="http://schemas.microsoft.com/office/drawing/2014/main" id="{38F51050-A808-472E-A32B-7DC1442CEEB3}"/>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85" name="Диаграмма 85">
                                <a:extLst>
                                  <a:ext uri="{FF2B5EF4-FFF2-40B4-BE49-F238E27FC236}">
                                    <a16:creationId xmlns:a16="http://schemas.microsoft.com/office/drawing/2014/main" id="{38F51050-A808-472E-A32B-7DC1442CEEB3}"/>
                                  </a:ext>
                                </a:extLst>
                              </pic:cNvPr>
                              <pic:cNvPicPr>
                                <a:picLocks noGrp="1" noRot="1" noChangeAspect="1" noMove="1" noResize="1" noEditPoints="1" noAdjustHandles="1" noChangeArrowheads="1" noChangeShapeType="1"/>
                              </pic:cNvPicPr>
                            </pic:nvPicPr>
                            <pic:blipFill>
                              <a:blip r:embed="rId231"/>
                              <a:stretch>
                                <a:fillRect/>
                              </a:stretch>
                            </pic:blipFill>
                            <pic:spPr>
                              <a:xfrm>
                                <a:off x="0" y="0"/>
                                <a:ext cx="2159635" cy="2159635"/>
                              </a:xfrm>
                              <a:prstGeom prst="rect">
                                <a:avLst/>
                              </a:prstGeom>
                            </pic:spPr>
                          </pic:pic>
                        </a:graphicData>
                      </a:graphic>
                    </wp:inline>
                  </w:drawing>
                </mc:Fallback>
              </mc:AlternateContent>
            </w:r>
          </w:p>
        </w:tc>
      </w:tr>
      <w:tr w:rsidR="0097135F" w:rsidRPr="00B25E66" w14:paraId="503D3DB6" w14:textId="77777777" w:rsidTr="007812F4">
        <w:tc>
          <w:tcPr>
            <w:tcW w:w="3636" w:type="dxa"/>
          </w:tcPr>
          <w:p w14:paraId="5FB06149" w14:textId="34CB7DE2" w:rsidR="0097135F" w:rsidRPr="00B25E66" w:rsidRDefault="0097135F" w:rsidP="0097135F">
            <w:pPr>
              <w:spacing w:after="0" w:line="240" w:lineRule="auto"/>
              <w:jc w:val="center"/>
              <w:rPr>
                <w:rFonts w:ascii="Times New Roman" w:hAnsi="Times New Roman" w:cs="Times New Roman"/>
                <w:sz w:val="24"/>
                <w:szCs w:val="24"/>
                <w:lang w:val="en-US"/>
              </w:rPr>
            </w:pPr>
            <w:r w:rsidRPr="00B25E66">
              <w:rPr>
                <w:rFonts w:ascii="Times New Roman" w:hAnsi="Times New Roman" w:cs="Times New Roman"/>
                <w:sz w:val="24"/>
                <w:szCs w:val="24"/>
              </w:rPr>
              <w:t>а)</w:t>
            </w:r>
            <w:r w:rsidR="00B25E66" w:rsidRPr="00B25E66">
              <w:rPr>
                <w:rFonts w:ascii="Times New Roman" w:hAnsi="Times New Roman" w:cs="Times New Roman"/>
                <w:sz w:val="24"/>
                <w:szCs w:val="24"/>
              </w:rPr>
              <w:t xml:space="preserve"> Локализация</w:t>
            </w:r>
            <w:r w:rsidR="00B25E66" w:rsidRPr="00B25E66">
              <w:rPr>
                <w:rFonts w:ascii="Times New Roman" w:hAnsi="Times New Roman" w:cs="Times New Roman"/>
                <w:sz w:val="24"/>
                <w:szCs w:val="24"/>
                <w:lang w:val="en-US"/>
              </w:rPr>
              <w:t xml:space="preserve"> RE</w:t>
            </w:r>
          </w:p>
        </w:tc>
        <w:tc>
          <w:tcPr>
            <w:tcW w:w="3636" w:type="dxa"/>
          </w:tcPr>
          <w:p w14:paraId="0C911C31" w14:textId="5425A7E4" w:rsidR="0097135F" w:rsidRPr="00B25E66" w:rsidRDefault="0097135F" w:rsidP="0097135F">
            <w:pPr>
              <w:spacing w:after="0" w:line="240" w:lineRule="auto"/>
              <w:jc w:val="center"/>
              <w:rPr>
                <w:rFonts w:ascii="Times New Roman" w:hAnsi="Times New Roman" w:cs="Times New Roman"/>
                <w:sz w:val="24"/>
                <w:szCs w:val="24"/>
                <w:lang w:val="en-US"/>
              </w:rPr>
            </w:pPr>
            <w:r w:rsidRPr="00B25E66">
              <w:rPr>
                <w:rFonts w:ascii="Times New Roman" w:hAnsi="Times New Roman" w:cs="Times New Roman"/>
                <w:sz w:val="24"/>
                <w:szCs w:val="24"/>
              </w:rPr>
              <w:t>б)</w:t>
            </w:r>
            <w:r w:rsidR="00B25E66" w:rsidRPr="00B25E66">
              <w:rPr>
                <w:rFonts w:ascii="Times New Roman" w:hAnsi="Times New Roman" w:cs="Times New Roman"/>
                <w:sz w:val="24"/>
                <w:szCs w:val="24"/>
              </w:rPr>
              <w:t xml:space="preserve"> Локализация</w:t>
            </w:r>
            <w:r w:rsidR="00B25E66" w:rsidRPr="00B25E66">
              <w:rPr>
                <w:rFonts w:ascii="Times New Roman" w:hAnsi="Times New Roman" w:cs="Times New Roman"/>
                <w:sz w:val="24"/>
                <w:szCs w:val="24"/>
                <w:lang w:val="en-US"/>
              </w:rPr>
              <w:t xml:space="preserve"> RLH</w:t>
            </w:r>
          </w:p>
        </w:tc>
        <w:tc>
          <w:tcPr>
            <w:tcW w:w="3636" w:type="dxa"/>
          </w:tcPr>
          <w:p w14:paraId="35F34224" w14:textId="38B6FC9A" w:rsidR="0097135F" w:rsidRPr="00B25E66" w:rsidRDefault="0097135F" w:rsidP="0097135F">
            <w:pPr>
              <w:spacing w:after="0" w:line="240" w:lineRule="auto"/>
              <w:jc w:val="center"/>
              <w:rPr>
                <w:rFonts w:ascii="Times New Roman" w:hAnsi="Times New Roman" w:cs="Times New Roman"/>
                <w:sz w:val="24"/>
                <w:szCs w:val="24"/>
                <w:lang w:val="en-US"/>
              </w:rPr>
            </w:pPr>
            <w:r w:rsidRPr="00B25E66">
              <w:rPr>
                <w:rFonts w:ascii="Times New Roman" w:hAnsi="Times New Roman" w:cs="Times New Roman"/>
                <w:sz w:val="24"/>
                <w:szCs w:val="24"/>
              </w:rPr>
              <w:t>в)</w:t>
            </w:r>
            <w:r w:rsidR="00B25E66" w:rsidRPr="00B25E66">
              <w:rPr>
                <w:rFonts w:ascii="Times New Roman" w:hAnsi="Times New Roman" w:cs="Times New Roman"/>
                <w:sz w:val="24"/>
                <w:szCs w:val="24"/>
              </w:rPr>
              <w:t xml:space="preserve"> Локализация</w:t>
            </w:r>
            <w:r w:rsidR="00B25E66" w:rsidRPr="00B25E66">
              <w:rPr>
                <w:rFonts w:ascii="Times New Roman" w:hAnsi="Times New Roman" w:cs="Times New Roman"/>
                <w:sz w:val="24"/>
                <w:szCs w:val="24"/>
                <w:lang w:val="en-US"/>
              </w:rPr>
              <w:t xml:space="preserve"> RRL</w:t>
            </w:r>
          </w:p>
        </w:tc>
      </w:tr>
    </w:tbl>
    <w:p w14:paraId="71C5074A" w14:textId="77777777" w:rsidR="00B25E66" w:rsidRDefault="00B25E66" w:rsidP="00B25E66">
      <w:pPr>
        <w:spacing w:after="0" w:line="240" w:lineRule="auto"/>
        <w:rPr>
          <w:rFonts w:ascii="Times New Roman" w:hAnsi="Times New Roman" w:cs="Times New Roman"/>
          <w:sz w:val="28"/>
          <w:szCs w:val="28"/>
        </w:rPr>
      </w:pPr>
    </w:p>
    <w:p w14:paraId="7CE466D7" w14:textId="3FDE9290" w:rsidR="00B25E66" w:rsidRPr="00B25E66" w:rsidRDefault="00B25E66" w:rsidP="00B25E66">
      <w:pPr>
        <w:spacing w:after="0" w:line="240" w:lineRule="auto"/>
        <w:ind w:firstLine="709"/>
        <w:jc w:val="center"/>
        <w:rPr>
          <w:rFonts w:ascii="Times New Roman" w:hAnsi="Times New Roman" w:cs="Times New Roman"/>
          <w:sz w:val="28"/>
          <w:szCs w:val="28"/>
        </w:rPr>
      </w:pPr>
      <w:r w:rsidRPr="00A43B9C">
        <w:rPr>
          <w:rFonts w:ascii="Times New Roman" w:hAnsi="Times New Roman" w:cs="Times New Roman"/>
          <w:sz w:val="28"/>
          <w:szCs w:val="28"/>
        </w:rPr>
        <w:t>Рисунок 3</w:t>
      </w:r>
      <w:r>
        <w:rPr>
          <w:rFonts w:ascii="Times New Roman" w:hAnsi="Times New Roman" w:cs="Times New Roman"/>
          <w:sz w:val="28"/>
          <w:szCs w:val="28"/>
        </w:rPr>
        <w:t>9</w:t>
      </w:r>
      <w:r w:rsidRPr="00A43B9C">
        <w:rPr>
          <w:rFonts w:ascii="Times New Roman" w:hAnsi="Times New Roman" w:cs="Times New Roman"/>
          <w:sz w:val="28"/>
          <w:szCs w:val="28"/>
        </w:rPr>
        <w:t xml:space="preserve"> - Анализ распределений уровня накопления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зависимости от </w:t>
      </w:r>
      <w:r w:rsidRPr="00A43B9C">
        <w:rPr>
          <w:rFonts w:ascii="Times New Roman" w:hAnsi="Times New Roman" w:cs="Times New Roman"/>
          <w:sz w:val="28"/>
          <w:szCs w:val="28"/>
          <w:lang w:val="kk-KZ"/>
        </w:rPr>
        <w:t xml:space="preserve">стадии </w:t>
      </w:r>
      <w:r w:rsidRPr="00A43B9C">
        <w:rPr>
          <w:rFonts w:ascii="Times New Roman" w:hAnsi="Times New Roman" w:cs="Times New Roman"/>
          <w:sz w:val="28"/>
          <w:szCs w:val="28"/>
          <w:lang w:val="en-US"/>
        </w:rPr>
        <w:t>N</w:t>
      </w:r>
      <w:r w:rsidRPr="00A43B9C">
        <w:rPr>
          <w:rFonts w:ascii="Times New Roman" w:eastAsia="NewtonC" w:hAnsi="Times New Roman" w:cs="Times New Roman"/>
          <w:sz w:val="28"/>
          <w:szCs w:val="28"/>
        </w:rPr>
        <w:t xml:space="preserve"> по локализациям</w:t>
      </w:r>
      <w:r>
        <w:rPr>
          <w:rFonts w:ascii="Times New Roman" w:eastAsia="NewtonC" w:hAnsi="Times New Roman" w:cs="Times New Roman"/>
          <w:sz w:val="28"/>
          <w:szCs w:val="28"/>
        </w:rPr>
        <w:t>, лист 1</w:t>
      </w:r>
      <w:r w:rsidRPr="00B25E66">
        <w:rPr>
          <w:rFonts w:ascii="Times New Roman" w:hAnsi="Times New Roman" w:cs="Times New Roman"/>
          <w:sz w:val="28"/>
          <w:szCs w:val="28"/>
        </w:rPr>
        <w:br w:type="page"/>
      </w:r>
    </w:p>
    <w:tbl>
      <w:tblPr>
        <w:tblStyle w:val="ad"/>
        <w:tblW w:w="10908"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6"/>
        <w:gridCol w:w="3636"/>
        <w:gridCol w:w="3636"/>
      </w:tblGrid>
      <w:tr w:rsidR="00422F8C" w:rsidRPr="00A43B9C" w14:paraId="074C2B2C" w14:textId="77777777" w:rsidTr="007812F4">
        <w:tc>
          <w:tcPr>
            <w:tcW w:w="3636" w:type="dxa"/>
          </w:tcPr>
          <w:p w14:paraId="587558C4" w14:textId="1A4BDD02" w:rsidR="00422F8C" w:rsidRPr="00A43B9C" w:rsidRDefault="00422F8C" w:rsidP="00446A37">
            <w:pPr>
              <w:spacing w:after="0" w:line="240" w:lineRule="auto"/>
              <w:jc w:val="center"/>
              <w:rPr>
                <w:rFonts w:ascii="Times New Roman" w:hAnsi="Times New Roman" w:cs="Times New Roman"/>
                <w:sz w:val="28"/>
                <w:szCs w:val="28"/>
              </w:rPr>
            </w:pPr>
            <w:r w:rsidRPr="00A43B9C">
              <w:rPr>
                <w:noProof/>
                <w:lang w:eastAsia="ru-RU"/>
              </w:rPr>
              <w:lastRenderedPageBreak/>
              <mc:AlternateContent>
                <mc:Choice Requires="cx1">
                  <w:drawing>
                    <wp:inline distT="0" distB="0" distL="0" distR="0" wp14:anchorId="6B6A4BAC" wp14:editId="67E5FD4B">
                      <wp:extent cx="2160000" cy="2160000"/>
                      <wp:effectExtent l="0" t="0" r="12065" b="12065"/>
                      <wp:docPr id="87" name="Диаграмма 87">
                        <a:extLst xmlns:a="http://schemas.openxmlformats.org/drawingml/2006/main">
                          <a:ext uri="{FF2B5EF4-FFF2-40B4-BE49-F238E27FC236}">
                            <a16:creationId xmlns:a16="http://schemas.microsoft.com/office/drawing/2014/main" id="{95C04C46-97B5-40D4-8C85-3FEB229D884A}"/>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32"/>
                        </a:graphicData>
                      </a:graphic>
                    </wp:inline>
                  </w:drawing>
                </mc:Choice>
                <mc:Fallback>
                  <w:drawing>
                    <wp:inline distT="0" distB="0" distL="0" distR="0" wp14:anchorId="6B6A4BAC" wp14:editId="67E5FD4B">
                      <wp:extent cx="2160000" cy="2160000"/>
                      <wp:effectExtent l="0" t="0" r="12065" b="12065"/>
                      <wp:docPr id="87" name="Диаграмма 87">
                        <a:extLst xmlns:a="http://schemas.openxmlformats.org/drawingml/2006/main">
                          <a:ext uri="{FF2B5EF4-FFF2-40B4-BE49-F238E27FC236}">
                            <a16:creationId xmlns:a16="http://schemas.microsoft.com/office/drawing/2014/main" id="{95C04C46-97B5-40D4-8C85-3FEB229D884A}"/>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87" name="Диаграмма 87">
                                <a:extLst>
                                  <a:ext uri="{FF2B5EF4-FFF2-40B4-BE49-F238E27FC236}">
                                    <a16:creationId xmlns:a16="http://schemas.microsoft.com/office/drawing/2014/main" id="{95C04C46-97B5-40D4-8C85-3FEB229D884A}"/>
                                  </a:ext>
                                </a:extLst>
                              </pic:cNvPr>
                              <pic:cNvPicPr>
                                <a:picLocks noGrp="1" noRot="1" noChangeAspect="1" noMove="1" noResize="1" noEditPoints="1" noAdjustHandles="1" noChangeArrowheads="1" noChangeShapeType="1"/>
                              </pic:cNvPicPr>
                            </pic:nvPicPr>
                            <pic:blipFill>
                              <a:blip r:embed="rId233"/>
                              <a:stretch>
                                <a:fillRect/>
                              </a:stretch>
                            </pic:blipFill>
                            <pic:spPr>
                              <a:xfrm>
                                <a:off x="0" y="0"/>
                                <a:ext cx="2159635" cy="2159635"/>
                              </a:xfrm>
                              <a:prstGeom prst="rect">
                                <a:avLst/>
                              </a:prstGeom>
                            </pic:spPr>
                          </pic:pic>
                        </a:graphicData>
                      </a:graphic>
                    </wp:inline>
                  </w:drawing>
                </mc:Fallback>
              </mc:AlternateContent>
            </w:r>
          </w:p>
        </w:tc>
        <w:tc>
          <w:tcPr>
            <w:tcW w:w="3636" w:type="dxa"/>
          </w:tcPr>
          <w:p w14:paraId="28DB3564" w14:textId="6049282F" w:rsidR="00422F8C" w:rsidRPr="00A43B9C" w:rsidRDefault="00422F8C"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71979020" wp14:editId="5E8121E5">
                      <wp:extent cx="2160000" cy="2160000"/>
                      <wp:effectExtent l="0" t="0" r="12065" b="12065"/>
                      <wp:docPr id="88" name="Диаграмма 88">
                        <a:extLst xmlns:a="http://schemas.openxmlformats.org/drawingml/2006/main">
                          <a:ext uri="{FF2B5EF4-FFF2-40B4-BE49-F238E27FC236}">
                            <a16:creationId xmlns:a16="http://schemas.microsoft.com/office/drawing/2014/main" id="{8D97869E-56CE-409A-AEEC-7235D91F9F76}"/>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34"/>
                        </a:graphicData>
                      </a:graphic>
                    </wp:inline>
                  </w:drawing>
                </mc:Choice>
                <mc:Fallback>
                  <w:drawing>
                    <wp:inline distT="0" distB="0" distL="0" distR="0" wp14:anchorId="71979020" wp14:editId="5E8121E5">
                      <wp:extent cx="2160000" cy="2160000"/>
                      <wp:effectExtent l="0" t="0" r="12065" b="12065"/>
                      <wp:docPr id="88" name="Диаграмма 88">
                        <a:extLst xmlns:a="http://schemas.openxmlformats.org/drawingml/2006/main">
                          <a:ext uri="{FF2B5EF4-FFF2-40B4-BE49-F238E27FC236}">
                            <a16:creationId xmlns:a16="http://schemas.microsoft.com/office/drawing/2014/main" id="{8D97869E-56CE-409A-AEEC-7235D91F9F76}"/>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88" name="Диаграмма 88">
                                <a:extLst>
                                  <a:ext uri="{FF2B5EF4-FFF2-40B4-BE49-F238E27FC236}">
                                    <a16:creationId xmlns:a16="http://schemas.microsoft.com/office/drawing/2014/main" id="{8D97869E-56CE-409A-AEEC-7235D91F9F76}"/>
                                  </a:ext>
                                </a:extLst>
                              </pic:cNvPr>
                              <pic:cNvPicPr>
                                <a:picLocks noGrp="1" noRot="1" noChangeAspect="1" noMove="1" noResize="1" noEditPoints="1" noAdjustHandles="1" noChangeArrowheads="1" noChangeShapeType="1"/>
                              </pic:cNvPicPr>
                            </pic:nvPicPr>
                            <pic:blipFill>
                              <a:blip r:embed="rId235"/>
                              <a:stretch>
                                <a:fillRect/>
                              </a:stretch>
                            </pic:blipFill>
                            <pic:spPr>
                              <a:xfrm>
                                <a:off x="0" y="0"/>
                                <a:ext cx="2159635" cy="2159635"/>
                              </a:xfrm>
                              <a:prstGeom prst="rect">
                                <a:avLst/>
                              </a:prstGeom>
                            </pic:spPr>
                          </pic:pic>
                        </a:graphicData>
                      </a:graphic>
                    </wp:inline>
                  </w:drawing>
                </mc:Fallback>
              </mc:AlternateContent>
            </w:r>
          </w:p>
        </w:tc>
        <w:tc>
          <w:tcPr>
            <w:tcW w:w="3636" w:type="dxa"/>
          </w:tcPr>
          <w:p w14:paraId="7C9BFD2A" w14:textId="23BFCC76" w:rsidR="00422F8C" w:rsidRPr="00A43B9C" w:rsidRDefault="00422F8C"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10139892" wp14:editId="5AD0DA60">
                      <wp:extent cx="2160000" cy="2160000"/>
                      <wp:effectExtent l="0" t="0" r="12065" b="12065"/>
                      <wp:docPr id="89" name="Диаграмма 89">
                        <a:extLst xmlns:a="http://schemas.openxmlformats.org/drawingml/2006/main">
                          <a:ext uri="{FF2B5EF4-FFF2-40B4-BE49-F238E27FC236}">
                            <a16:creationId xmlns:a16="http://schemas.microsoft.com/office/drawing/2014/main" id="{DD16FF46-0F02-4A4B-A24D-64534908C641}"/>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36"/>
                        </a:graphicData>
                      </a:graphic>
                    </wp:inline>
                  </w:drawing>
                </mc:Choice>
                <mc:Fallback>
                  <w:drawing>
                    <wp:inline distT="0" distB="0" distL="0" distR="0" wp14:anchorId="10139892" wp14:editId="5AD0DA60">
                      <wp:extent cx="2160000" cy="2160000"/>
                      <wp:effectExtent l="0" t="0" r="12065" b="12065"/>
                      <wp:docPr id="89" name="Диаграмма 89">
                        <a:extLst xmlns:a="http://schemas.openxmlformats.org/drawingml/2006/main">
                          <a:ext uri="{FF2B5EF4-FFF2-40B4-BE49-F238E27FC236}">
                            <a16:creationId xmlns:a16="http://schemas.microsoft.com/office/drawing/2014/main" id="{DD16FF46-0F02-4A4B-A24D-64534908C641}"/>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89" name="Диаграмма 89">
                                <a:extLst>
                                  <a:ext uri="{FF2B5EF4-FFF2-40B4-BE49-F238E27FC236}">
                                    <a16:creationId xmlns:a16="http://schemas.microsoft.com/office/drawing/2014/main" id="{DD16FF46-0F02-4A4B-A24D-64534908C641}"/>
                                  </a:ext>
                                </a:extLst>
                              </pic:cNvPr>
                              <pic:cNvPicPr>
                                <a:picLocks noGrp="1" noRot="1" noChangeAspect="1" noMove="1" noResize="1" noEditPoints="1" noAdjustHandles="1" noChangeArrowheads="1" noChangeShapeType="1"/>
                              </pic:cNvPicPr>
                            </pic:nvPicPr>
                            <pic:blipFill>
                              <a:blip r:embed="rId237"/>
                              <a:stretch>
                                <a:fillRect/>
                              </a:stretch>
                            </pic:blipFill>
                            <pic:spPr>
                              <a:xfrm>
                                <a:off x="0" y="0"/>
                                <a:ext cx="2159635" cy="2159635"/>
                              </a:xfrm>
                              <a:prstGeom prst="rect">
                                <a:avLst/>
                              </a:prstGeom>
                            </pic:spPr>
                          </pic:pic>
                        </a:graphicData>
                      </a:graphic>
                    </wp:inline>
                  </w:drawing>
                </mc:Fallback>
              </mc:AlternateContent>
            </w:r>
          </w:p>
        </w:tc>
      </w:tr>
      <w:tr w:rsidR="0097135F" w:rsidRPr="00B25E66" w14:paraId="65CA9B7B" w14:textId="77777777" w:rsidTr="007812F4">
        <w:tc>
          <w:tcPr>
            <w:tcW w:w="3636" w:type="dxa"/>
          </w:tcPr>
          <w:p w14:paraId="1020F4A7" w14:textId="343DEFC7" w:rsidR="0097135F" w:rsidRPr="00B25E66" w:rsidRDefault="0097135F" w:rsidP="0097135F">
            <w:pPr>
              <w:spacing w:after="0" w:line="240" w:lineRule="auto"/>
              <w:jc w:val="center"/>
              <w:rPr>
                <w:rFonts w:ascii="Times New Roman" w:hAnsi="Times New Roman" w:cs="Times New Roman"/>
                <w:sz w:val="24"/>
                <w:szCs w:val="24"/>
                <w:lang w:val="en-US"/>
              </w:rPr>
            </w:pPr>
            <w:r w:rsidRPr="00B25E66">
              <w:rPr>
                <w:rFonts w:ascii="Times New Roman" w:hAnsi="Times New Roman" w:cs="Times New Roman"/>
                <w:sz w:val="24"/>
                <w:szCs w:val="24"/>
              </w:rPr>
              <w:t>г)</w:t>
            </w:r>
            <w:r w:rsidR="00B25E66">
              <w:rPr>
                <w:rFonts w:ascii="Times New Roman" w:hAnsi="Times New Roman" w:cs="Times New Roman"/>
                <w:sz w:val="24"/>
                <w:szCs w:val="24"/>
              </w:rPr>
              <w:t xml:space="preserve"> Локализация </w:t>
            </w:r>
            <w:r w:rsidR="00B25E66">
              <w:rPr>
                <w:rFonts w:ascii="Times New Roman" w:hAnsi="Times New Roman" w:cs="Times New Roman"/>
                <w:sz w:val="24"/>
                <w:szCs w:val="24"/>
                <w:lang w:val="en-US"/>
              </w:rPr>
              <w:t>RU</w:t>
            </w:r>
          </w:p>
        </w:tc>
        <w:tc>
          <w:tcPr>
            <w:tcW w:w="3636" w:type="dxa"/>
          </w:tcPr>
          <w:p w14:paraId="5B5670F3" w14:textId="25CB90E8" w:rsidR="0097135F" w:rsidRPr="00B25E66" w:rsidRDefault="0097135F" w:rsidP="0097135F">
            <w:pPr>
              <w:spacing w:after="0" w:line="240" w:lineRule="auto"/>
              <w:jc w:val="center"/>
              <w:rPr>
                <w:rFonts w:ascii="Times New Roman" w:hAnsi="Times New Roman" w:cs="Times New Roman"/>
                <w:sz w:val="24"/>
                <w:szCs w:val="24"/>
                <w:lang w:val="en-US"/>
              </w:rPr>
            </w:pPr>
            <w:r w:rsidRPr="00B25E66">
              <w:rPr>
                <w:rFonts w:ascii="Times New Roman" w:hAnsi="Times New Roman" w:cs="Times New Roman"/>
                <w:sz w:val="24"/>
                <w:szCs w:val="24"/>
              </w:rPr>
              <w:t>д)</w:t>
            </w:r>
            <w:r w:rsidR="00B25E66">
              <w:rPr>
                <w:rFonts w:ascii="Times New Roman" w:hAnsi="Times New Roman" w:cs="Times New Roman"/>
                <w:sz w:val="24"/>
                <w:szCs w:val="24"/>
              </w:rPr>
              <w:t xml:space="preserve"> Локализация</w:t>
            </w:r>
            <w:r w:rsidR="00B25E66">
              <w:rPr>
                <w:rFonts w:ascii="Times New Roman" w:hAnsi="Times New Roman" w:cs="Times New Roman"/>
                <w:sz w:val="24"/>
                <w:szCs w:val="24"/>
                <w:lang w:val="en-US"/>
              </w:rPr>
              <w:t xml:space="preserve"> RLL</w:t>
            </w:r>
          </w:p>
        </w:tc>
        <w:tc>
          <w:tcPr>
            <w:tcW w:w="3636" w:type="dxa"/>
          </w:tcPr>
          <w:p w14:paraId="1E3802A8" w14:textId="37EAB507" w:rsidR="0097135F" w:rsidRPr="00B25E66" w:rsidRDefault="0097135F" w:rsidP="0097135F">
            <w:pPr>
              <w:spacing w:after="0" w:line="240" w:lineRule="auto"/>
              <w:jc w:val="center"/>
              <w:rPr>
                <w:rFonts w:ascii="Times New Roman" w:hAnsi="Times New Roman" w:cs="Times New Roman"/>
                <w:sz w:val="24"/>
                <w:szCs w:val="24"/>
                <w:lang w:val="en-US"/>
              </w:rPr>
            </w:pPr>
            <w:r w:rsidRPr="00B25E66">
              <w:rPr>
                <w:rFonts w:ascii="Times New Roman" w:hAnsi="Times New Roman" w:cs="Times New Roman"/>
                <w:sz w:val="24"/>
                <w:szCs w:val="24"/>
              </w:rPr>
              <w:t>е)</w:t>
            </w:r>
            <w:r w:rsidR="00B25E66">
              <w:rPr>
                <w:rFonts w:ascii="Times New Roman" w:hAnsi="Times New Roman" w:cs="Times New Roman"/>
                <w:sz w:val="24"/>
                <w:szCs w:val="24"/>
              </w:rPr>
              <w:t xml:space="preserve"> Локализация</w:t>
            </w:r>
            <w:r w:rsidR="00B25E66">
              <w:rPr>
                <w:rFonts w:ascii="Times New Roman" w:hAnsi="Times New Roman" w:cs="Times New Roman"/>
                <w:sz w:val="24"/>
                <w:szCs w:val="24"/>
                <w:lang w:val="en-US"/>
              </w:rPr>
              <w:t xml:space="preserve"> RRI</w:t>
            </w:r>
          </w:p>
        </w:tc>
      </w:tr>
      <w:tr w:rsidR="00422F8C" w:rsidRPr="00A43B9C" w14:paraId="5651B0A0" w14:textId="77777777" w:rsidTr="007812F4">
        <w:tc>
          <w:tcPr>
            <w:tcW w:w="3636" w:type="dxa"/>
          </w:tcPr>
          <w:p w14:paraId="28BB9D38" w14:textId="73B6D097" w:rsidR="00422F8C" w:rsidRPr="00A43B9C" w:rsidRDefault="007812F4" w:rsidP="007812F4">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476D3554" wp14:editId="43A3B6C0">
                      <wp:extent cx="2160000" cy="2160000"/>
                      <wp:effectExtent l="0" t="0" r="12065" b="12065"/>
                      <wp:docPr id="90" name="Диаграмма 90">
                        <a:extLst xmlns:a="http://schemas.openxmlformats.org/drawingml/2006/main">
                          <a:ext uri="{FF2B5EF4-FFF2-40B4-BE49-F238E27FC236}">
                            <a16:creationId xmlns:a16="http://schemas.microsoft.com/office/drawing/2014/main" id="{665D52A5-9DA1-4701-81FF-49CD6505DCD5}"/>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38"/>
                        </a:graphicData>
                      </a:graphic>
                    </wp:inline>
                  </w:drawing>
                </mc:Choice>
                <mc:Fallback>
                  <w:drawing>
                    <wp:inline distT="0" distB="0" distL="0" distR="0" wp14:anchorId="476D3554" wp14:editId="43A3B6C0">
                      <wp:extent cx="2160000" cy="2160000"/>
                      <wp:effectExtent l="0" t="0" r="12065" b="12065"/>
                      <wp:docPr id="90" name="Диаграмма 90">
                        <a:extLst xmlns:a="http://schemas.openxmlformats.org/drawingml/2006/main">
                          <a:ext uri="{FF2B5EF4-FFF2-40B4-BE49-F238E27FC236}">
                            <a16:creationId xmlns:a16="http://schemas.microsoft.com/office/drawing/2014/main" id="{665D52A5-9DA1-4701-81FF-49CD6505DCD5}"/>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90" name="Диаграмма 90">
                                <a:extLst>
                                  <a:ext uri="{FF2B5EF4-FFF2-40B4-BE49-F238E27FC236}">
                                    <a16:creationId xmlns:a16="http://schemas.microsoft.com/office/drawing/2014/main" id="{665D52A5-9DA1-4701-81FF-49CD6505DCD5}"/>
                                  </a:ext>
                                </a:extLst>
                              </pic:cNvPr>
                              <pic:cNvPicPr>
                                <a:picLocks noGrp="1" noRot="1" noChangeAspect="1" noMove="1" noResize="1" noEditPoints="1" noAdjustHandles="1" noChangeArrowheads="1" noChangeShapeType="1"/>
                              </pic:cNvPicPr>
                            </pic:nvPicPr>
                            <pic:blipFill>
                              <a:blip r:embed="rId239"/>
                              <a:stretch>
                                <a:fillRect/>
                              </a:stretch>
                            </pic:blipFill>
                            <pic:spPr>
                              <a:xfrm>
                                <a:off x="0" y="0"/>
                                <a:ext cx="2159635" cy="2159635"/>
                              </a:xfrm>
                              <a:prstGeom prst="rect">
                                <a:avLst/>
                              </a:prstGeom>
                            </pic:spPr>
                          </pic:pic>
                        </a:graphicData>
                      </a:graphic>
                    </wp:inline>
                  </w:drawing>
                </mc:Fallback>
              </mc:AlternateContent>
            </w:r>
          </w:p>
        </w:tc>
        <w:tc>
          <w:tcPr>
            <w:tcW w:w="3636" w:type="dxa"/>
          </w:tcPr>
          <w:p w14:paraId="408B3786" w14:textId="1052A589" w:rsidR="00422F8C" w:rsidRPr="00A43B9C" w:rsidRDefault="007812F4" w:rsidP="007812F4">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4DA52893" wp14:editId="541264E5">
                      <wp:extent cx="2160000" cy="2160000"/>
                      <wp:effectExtent l="0" t="0" r="12065" b="12065"/>
                      <wp:docPr id="91" name="Диаграмма 91">
                        <a:extLst xmlns:a="http://schemas.openxmlformats.org/drawingml/2006/main">
                          <a:ext uri="{FF2B5EF4-FFF2-40B4-BE49-F238E27FC236}">
                            <a16:creationId xmlns:a16="http://schemas.microsoft.com/office/drawing/2014/main" id="{1ACBA9DB-2603-450D-B198-3E278E4677FA}"/>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40"/>
                        </a:graphicData>
                      </a:graphic>
                    </wp:inline>
                  </w:drawing>
                </mc:Choice>
                <mc:Fallback>
                  <w:drawing>
                    <wp:inline distT="0" distB="0" distL="0" distR="0" wp14:anchorId="4DA52893" wp14:editId="541264E5">
                      <wp:extent cx="2160000" cy="2160000"/>
                      <wp:effectExtent l="0" t="0" r="12065" b="12065"/>
                      <wp:docPr id="91" name="Диаграмма 91">
                        <a:extLst xmlns:a="http://schemas.openxmlformats.org/drawingml/2006/main">
                          <a:ext uri="{FF2B5EF4-FFF2-40B4-BE49-F238E27FC236}">
                            <a16:creationId xmlns:a16="http://schemas.microsoft.com/office/drawing/2014/main" id="{1ACBA9DB-2603-450D-B198-3E278E4677FA}"/>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91" name="Диаграмма 91">
                                <a:extLst>
                                  <a:ext uri="{FF2B5EF4-FFF2-40B4-BE49-F238E27FC236}">
                                    <a16:creationId xmlns:a16="http://schemas.microsoft.com/office/drawing/2014/main" id="{1ACBA9DB-2603-450D-B198-3E278E4677FA}"/>
                                  </a:ext>
                                </a:extLst>
                              </pic:cNvPr>
                              <pic:cNvPicPr>
                                <a:picLocks noGrp="1" noRot="1" noChangeAspect="1" noMove="1" noResize="1" noEditPoints="1" noAdjustHandles="1" noChangeArrowheads="1" noChangeShapeType="1"/>
                              </pic:cNvPicPr>
                            </pic:nvPicPr>
                            <pic:blipFill>
                              <a:blip r:embed="rId241"/>
                              <a:stretch>
                                <a:fillRect/>
                              </a:stretch>
                            </pic:blipFill>
                            <pic:spPr>
                              <a:xfrm>
                                <a:off x="0" y="0"/>
                                <a:ext cx="2159635" cy="2159635"/>
                              </a:xfrm>
                              <a:prstGeom prst="rect">
                                <a:avLst/>
                              </a:prstGeom>
                            </pic:spPr>
                          </pic:pic>
                        </a:graphicData>
                      </a:graphic>
                    </wp:inline>
                  </w:drawing>
                </mc:Fallback>
              </mc:AlternateContent>
            </w:r>
          </w:p>
        </w:tc>
        <w:tc>
          <w:tcPr>
            <w:tcW w:w="3636" w:type="dxa"/>
          </w:tcPr>
          <w:p w14:paraId="37DDE2C7" w14:textId="09A42658" w:rsidR="00422F8C" w:rsidRPr="00A43B9C" w:rsidRDefault="007812F4" w:rsidP="007812F4">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795FC3F3" wp14:editId="69ED3424">
                      <wp:extent cx="2160000" cy="2160000"/>
                      <wp:effectExtent l="0" t="0" r="12065" b="12065"/>
                      <wp:docPr id="92" name="Диаграмма 92">
                        <a:extLst xmlns:a="http://schemas.openxmlformats.org/drawingml/2006/main">
                          <a:ext uri="{FF2B5EF4-FFF2-40B4-BE49-F238E27FC236}">
                            <a16:creationId xmlns:a16="http://schemas.microsoft.com/office/drawing/2014/main" id="{DE38D270-AF98-4D68-AF10-758E27D06F0F}"/>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42"/>
                        </a:graphicData>
                      </a:graphic>
                    </wp:inline>
                  </w:drawing>
                </mc:Choice>
                <mc:Fallback>
                  <w:drawing>
                    <wp:inline distT="0" distB="0" distL="0" distR="0" wp14:anchorId="795FC3F3" wp14:editId="69ED3424">
                      <wp:extent cx="2160000" cy="2160000"/>
                      <wp:effectExtent l="0" t="0" r="12065" b="12065"/>
                      <wp:docPr id="92" name="Диаграмма 92">
                        <a:extLst xmlns:a="http://schemas.openxmlformats.org/drawingml/2006/main">
                          <a:ext uri="{FF2B5EF4-FFF2-40B4-BE49-F238E27FC236}">
                            <a16:creationId xmlns:a16="http://schemas.microsoft.com/office/drawing/2014/main" id="{DE38D270-AF98-4D68-AF10-758E27D06F0F}"/>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92" name="Диаграмма 92">
                                <a:extLst>
                                  <a:ext uri="{FF2B5EF4-FFF2-40B4-BE49-F238E27FC236}">
                                    <a16:creationId xmlns:a16="http://schemas.microsoft.com/office/drawing/2014/main" id="{DE38D270-AF98-4D68-AF10-758E27D06F0F}"/>
                                  </a:ext>
                                </a:extLst>
                              </pic:cNvPr>
                              <pic:cNvPicPr>
                                <a:picLocks noGrp="1" noRot="1" noChangeAspect="1" noMove="1" noResize="1" noEditPoints="1" noAdjustHandles="1" noChangeArrowheads="1" noChangeShapeType="1"/>
                              </pic:cNvPicPr>
                            </pic:nvPicPr>
                            <pic:blipFill>
                              <a:blip r:embed="rId243"/>
                              <a:stretch>
                                <a:fillRect/>
                              </a:stretch>
                            </pic:blipFill>
                            <pic:spPr>
                              <a:xfrm>
                                <a:off x="0" y="0"/>
                                <a:ext cx="2159635" cy="2159635"/>
                              </a:xfrm>
                              <a:prstGeom prst="rect">
                                <a:avLst/>
                              </a:prstGeom>
                            </pic:spPr>
                          </pic:pic>
                        </a:graphicData>
                      </a:graphic>
                    </wp:inline>
                  </w:drawing>
                </mc:Fallback>
              </mc:AlternateContent>
            </w:r>
          </w:p>
        </w:tc>
      </w:tr>
      <w:tr w:rsidR="0097135F" w:rsidRPr="00A43B9C" w14:paraId="16BD4B8F" w14:textId="77777777" w:rsidTr="007812F4">
        <w:tc>
          <w:tcPr>
            <w:tcW w:w="3636" w:type="dxa"/>
          </w:tcPr>
          <w:p w14:paraId="16F1DD25" w14:textId="5D77B10E" w:rsidR="0097135F" w:rsidRPr="00B25E66" w:rsidRDefault="0097135F" w:rsidP="0097135F">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ж)</w:t>
            </w:r>
            <w:r w:rsidR="00B25E66">
              <w:rPr>
                <w:rFonts w:ascii="Times New Roman" w:hAnsi="Times New Roman" w:cs="Times New Roman"/>
                <w:sz w:val="24"/>
                <w:szCs w:val="24"/>
              </w:rPr>
              <w:t xml:space="preserve"> Локализация</w:t>
            </w:r>
            <w:r w:rsidR="00B25E66">
              <w:rPr>
                <w:rFonts w:ascii="Times New Roman" w:hAnsi="Times New Roman" w:cs="Times New Roman"/>
                <w:sz w:val="24"/>
                <w:szCs w:val="24"/>
                <w:lang w:val="en-US"/>
              </w:rPr>
              <w:t xml:space="preserve"> RP</w:t>
            </w:r>
          </w:p>
        </w:tc>
        <w:tc>
          <w:tcPr>
            <w:tcW w:w="3636" w:type="dxa"/>
          </w:tcPr>
          <w:p w14:paraId="57BD80F3" w14:textId="0B254BDC" w:rsidR="0097135F" w:rsidRPr="00B25E66" w:rsidRDefault="0097135F" w:rsidP="0097135F">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к)</w:t>
            </w:r>
            <w:r w:rsidR="00B25E66">
              <w:rPr>
                <w:rFonts w:ascii="Times New Roman" w:hAnsi="Times New Roman" w:cs="Times New Roman"/>
                <w:sz w:val="24"/>
                <w:szCs w:val="24"/>
              </w:rPr>
              <w:t xml:space="preserve"> Локализация</w:t>
            </w:r>
            <w:r w:rsidR="00B25E66">
              <w:rPr>
                <w:rFonts w:ascii="Times New Roman" w:hAnsi="Times New Roman" w:cs="Times New Roman"/>
                <w:sz w:val="24"/>
                <w:szCs w:val="24"/>
                <w:lang w:val="en-US"/>
              </w:rPr>
              <w:t xml:space="preserve"> RLI</w:t>
            </w:r>
          </w:p>
        </w:tc>
        <w:tc>
          <w:tcPr>
            <w:tcW w:w="3636" w:type="dxa"/>
          </w:tcPr>
          <w:p w14:paraId="1C08C013" w14:textId="0259DE99" w:rsidR="0097135F" w:rsidRPr="00B25E66" w:rsidRDefault="0097135F" w:rsidP="0097135F">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л)</w:t>
            </w:r>
            <w:r w:rsidR="00B25E66">
              <w:rPr>
                <w:rFonts w:ascii="Times New Roman" w:hAnsi="Times New Roman" w:cs="Times New Roman"/>
                <w:sz w:val="24"/>
                <w:szCs w:val="24"/>
              </w:rPr>
              <w:t xml:space="preserve"> Локализация</w:t>
            </w:r>
            <w:r w:rsidR="00B25E66">
              <w:rPr>
                <w:rFonts w:ascii="Times New Roman" w:hAnsi="Times New Roman" w:cs="Times New Roman"/>
                <w:sz w:val="24"/>
                <w:szCs w:val="24"/>
                <w:lang w:val="en-US"/>
              </w:rPr>
              <w:t xml:space="preserve"> P</w:t>
            </w:r>
          </w:p>
        </w:tc>
      </w:tr>
    </w:tbl>
    <w:p w14:paraId="141F7ED8" w14:textId="77777777" w:rsidR="00B25E66" w:rsidRDefault="00B25E66" w:rsidP="00825215">
      <w:pPr>
        <w:spacing w:after="0" w:line="240" w:lineRule="auto"/>
        <w:ind w:firstLine="709"/>
        <w:jc w:val="center"/>
        <w:rPr>
          <w:rFonts w:ascii="Times New Roman" w:hAnsi="Times New Roman" w:cs="Times New Roman"/>
          <w:sz w:val="28"/>
          <w:szCs w:val="28"/>
        </w:rPr>
      </w:pPr>
    </w:p>
    <w:p w14:paraId="2CFD3B02" w14:textId="4F2FC7A1" w:rsidR="00422F8C" w:rsidRPr="00A43B9C" w:rsidRDefault="00422F8C" w:rsidP="00825215">
      <w:pPr>
        <w:spacing w:after="0" w:line="240" w:lineRule="auto"/>
        <w:ind w:firstLine="709"/>
        <w:jc w:val="center"/>
        <w:rPr>
          <w:rFonts w:ascii="Times New Roman" w:hAnsi="Times New Roman" w:cs="Times New Roman"/>
          <w:sz w:val="28"/>
          <w:szCs w:val="28"/>
        </w:rPr>
      </w:pPr>
      <w:r w:rsidRPr="00A43B9C">
        <w:rPr>
          <w:rFonts w:ascii="Times New Roman" w:hAnsi="Times New Roman" w:cs="Times New Roman"/>
          <w:sz w:val="28"/>
          <w:szCs w:val="28"/>
        </w:rPr>
        <w:t>Рисунок 3</w:t>
      </w:r>
      <w:r w:rsidR="001A1D98">
        <w:rPr>
          <w:rFonts w:ascii="Times New Roman" w:hAnsi="Times New Roman" w:cs="Times New Roman"/>
          <w:sz w:val="28"/>
          <w:szCs w:val="28"/>
        </w:rPr>
        <w:t>9</w:t>
      </w:r>
      <w:r w:rsidR="001D33E2" w:rsidRPr="00A43B9C">
        <w:rPr>
          <w:rFonts w:ascii="Times New Roman" w:hAnsi="Times New Roman" w:cs="Times New Roman"/>
          <w:sz w:val="28"/>
          <w:szCs w:val="28"/>
        </w:rPr>
        <w:t xml:space="preserve"> </w:t>
      </w:r>
      <w:r w:rsidR="004D5D0F">
        <w:rPr>
          <w:rFonts w:ascii="Times New Roman" w:hAnsi="Times New Roman" w:cs="Times New Roman"/>
          <w:sz w:val="28"/>
          <w:szCs w:val="28"/>
        </w:rPr>
        <w:t>-</w:t>
      </w:r>
      <w:r w:rsidRPr="00A43B9C">
        <w:rPr>
          <w:rFonts w:ascii="Times New Roman" w:hAnsi="Times New Roman" w:cs="Times New Roman"/>
          <w:sz w:val="28"/>
          <w:szCs w:val="28"/>
        </w:rPr>
        <w:t xml:space="preserve"> </w:t>
      </w:r>
      <w:r w:rsidR="00B25E66">
        <w:rPr>
          <w:rFonts w:ascii="Times New Roman" w:hAnsi="Times New Roman" w:cs="Times New Roman"/>
          <w:sz w:val="28"/>
          <w:szCs w:val="28"/>
        </w:rPr>
        <w:t>лист 2</w:t>
      </w:r>
    </w:p>
    <w:p w14:paraId="2DD5FA06" w14:textId="04E57F71" w:rsidR="00422F8C" w:rsidRPr="00A43B9C" w:rsidRDefault="00422F8C" w:rsidP="00825215">
      <w:pPr>
        <w:spacing w:after="0" w:line="240" w:lineRule="auto"/>
        <w:ind w:firstLine="709"/>
        <w:jc w:val="center"/>
        <w:rPr>
          <w:rFonts w:ascii="Times New Roman" w:hAnsi="Times New Roman" w:cs="Times New Roman"/>
          <w:sz w:val="28"/>
          <w:szCs w:val="28"/>
        </w:rPr>
      </w:pPr>
    </w:p>
    <w:p w14:paraId="1BC2AC13" w14:textId="50E36A88" w:rsidR="00825215" w:rsidRPr="00A43B9C" w:rsidRDefault="00825215" w:rsidP="00825215">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Анализ уровня </w:t>
      </w:r>
      <w:r w:rsidR="00CE4114" w:rsidRPr="00A43B9C">
        <w:rPr>
          <w:rFonts w:ascii="Times New Roman" w:hAnsi="Times New Roman" w:cs="Times New Roman"/>
          <w:sz w:val="28"/>
          <w:szCs w:val="28"/>
          <w:lang w:val="en-US"/>
        </w:rPr>
        <w:t>SUV</w:t>
      </w:r>
      <w:r w:rsidR="00CE4114" w:rsidRPr="00A43B9C">
        <w:rPr>
          <w:rFonts w:ascii="Times New Roman" w:hAnsi="Times New Roman" w:cs="Times New Roman"/>
          <w:sz w:val="28"/>
          <w:szCs w:val="28"/>
          <w:vertAlign w:val="subscript"/>
          <w:lang w:val="en-US"/>
        </w:rPr>
        <w:t>max</w:t>
      </w:r>
      <w:r w:rsidR="00CE4114" w:rsidRPr="00A43B9C">
        <w:rPr>
          <w:rFonts w:ascii="Times New Roman" w:hAnsi="Times New Roman" w:cs="Times New Roman"/>
          <w:sz w:val="28"/>
          <w:szCs w:val="28"/>
        </w:rPr>
        <w:t xml:space="preserve"> </w:t>
      </w:r>
      <w:r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Pr="00A43B9C">
        <w:rPr>
          <w:rFonts w:ascii="Times New Roman" w:hAnsi="Times New Roman" w:cs="Times New Roman"/>
          <w:sz w:val="28"/>
          <w:szCs w:val="28"/>
        </w:rPr>
        <w:t xml:space="preserve"> в </w:t>
      </w:r>
      <w:r w:rsidR="00CE4114" w:rsidRPr="00A43B9C">
        <w:rPr>
          <w:rFonts w:ascii="Times New Roman" w:hAnsi="Times New Roman" w:cs="Times New Roman"/>
          <w:sz w:val="28"/>
          <w:szCs w:val="28"/>
          <w:lang w:val="en-US"/>
        </w:rPr>
        <w:t>VAT</w:t>
      </w:r>
      <w:r w:rsidRPr="00A43B9C">
        <w:rPr>
          <w:rFonts w:ascii="Times New Roman" w:hAnsi="Times New Roman" w:cs="Times New Roman"/>
          <w:sz w:val="28"/>
          <w:szCs w:val="28"/>
        </w:rPr>
        <w:t xml:space="preserve"> </w:t>
      </w:r>
      <w:r w:rsidR="00CE4114" w:rsidRPr="00A43B9C">
        <w:rPr>
          <w:rFonts w:ascii="Times New Roman" w:hAnsi="Times New Roman" w:cs="Times New Roman"/>
          <w:sz w:val="28"/>
          <w:szCs w:val="28"/>
        </w:rPr>
        <w:t xml:space="preserve">в зависимости от стадии </w:t>
      </w:r>
      <w:r w:rsidR="000874C1" w:rsidRPr="00A43B9C">
        <w:rPr>
          <w:rFonts w:ascii="Times New Roman" w:hAnsi="Times New Roman" w:cs="Times New Roman"/>
          <w:sz w:val="28"/>
          <w:szCs w:val="28"/>
          <w:lang w:val="en-US"/>
        </w:rPr>
        <w:t>M</w:t>
      </w:r>
      <w:r w:rsidR="00CE4114" w:rsidRPr="00A43B9C">
        <w:rPr>
          <w:rFonts w:ascii="Times New Roman" w:hAnsi="Times New Roman" w:cs="Times New Roman"/>
          <w:sz w:val="28"/>
          <w:szCs w:val="28"/>
        </w:rPr>
        <w:t xml:space="preserve"> </w:t>
      </w:r>
      <w:r w:rsidR="006E1ADA" w:rsidRPr="00A43B9C">
        <w:rPr>
          <w:rFonts w:ascii="Times New Roman" w:hAnsi="Times New Roman" w:cs="Times New Roman"/>
          <w:sz w:val="28"/>
          <w:szCs w:val="28"/>
        </w:rPr>
        <w:t xml:space="preserve">(рисунок </w:t>
      </w:r>
      <w:r w:rsidR="00EA5E8C">
        <w:rPr>
          <w:rFonts w:ascii="Times New Roman" w:hAnsi="Times New Roman" w:cs="Times New Roman"/>
          <w:sz w:val="28"/>
          <w:szCs w:val="28"/>
        </w:rPr>
        <w:t>40</w:t>
      </w:r>
      <w:r w:rsidR="006E1ADA"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не </w:t>
      </w:r>
      <w:r w:rsidR="00AA52D4" w:rsidRPr="00A43B9C">
        <w:rPr>
          <w:rFonts w:ascii="Times New Roman" w:hAnsi="Times New Roman" w:cs="Times New Roman"/>
          <w:sz w:val="28"/>
          <w:szCs w:val="28"/>
        </w:rPr>
        <w:t>выявил ассоциаций</w:t>
      </w:r>
      <w:r w:rsidRPr="00A43B9C">
        <w:rPr>
          <w:rFonts w:ascii="Times New Roman" w:hAnsi="Times New Roman" w:cs="Times New Roman"/>
          <w:sz w:val="28"/>
          <w:szCs w:val="28"/>
        </w:rPr>
        <w:t xml:space="preserve"> ввиду отсутствия признаков сравнения.</w:t>
      </w:r>
    </w:p>
    <w:p w14:paraId="1650260D" w14:textId="77777777" w:rsidR="00825215" w:rsidRPr="00A43B9C" w:rsidRDefault="00825215" w:rsidP="00825215">
      <w:pPr>
        <w:spacing w:after="0" w:line="240" w:lineRule="auto"/>
        <w:rPr>
          <w:rFonts w:ascii="Times New Roman" w:hAnsi="Times New Roman" w:cs="Times New Roman"/>
          <w:sz w:val="28"/>
          <w:szCs w:val="28"/>
        </w:rPr>
      </w:pPr>
    </w:p>
    <w:p w14:paraId="1BD08FB3" w14:textId="77777777" w:rsidR="00825215" w:rsidRPr="00A43B9C" w:rsidRDefault="00825215" w:rsidP="00825215">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71C57EB3" wp14:editId="6CF6BB80">
                <wp:extent cx="5400000" cy="2268000"/>
                <wp:effectExtent l="0" t="0" r="10795" b="18415"/>
                <wp:docPr id="102" name="Диаграмма 102">
                  <a:extLst xmlns:a="http://schemas.openxmlformats.org/drawingml/2006/main">
                    <a:ext uri="{FF2B5EF4-FFF2-40B4-BE49-F238E27FC236}">
                      <a16:creationId xmlns:a16="http://schemas.microsoft.com/office/drawing/2014/main" id="{531FB9B5-6FE1-40E8-BF4E-8D7ADFB94645}"/>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44"/>
                  </a:graphicData>
                </a:graphic>
              </wp:inline>
            </w:drawing>
          </mc:Choice>
          <mc:Fallback>
            <w:drawing>
              <wp:inline distT="0" distB="0" distL="0" distR="0" wp14:anchorId="71C57EB3" wp14:editId="6CF6BB80">
                <wp:extent cx="5400000" cy="2268000"/>
                <wp:effectExtent l="0" t="0" r="10795" b="18415"/>
                <wp:docPr id="102" name="Диаграмма 102">
                  <a:extLst xmlns:a="http://schemas.openxmlformats.org/drawingml/2006/main">
                    <a:ext uri="{FF2B5EF4-FFF2-40B4-BE49-F238E27FC236}">
                      <a16:creationId xmlns:a16="http://schemas.microsoft.com/office/drawing/2014/main" id="{531FB9B5-6FE1-40E8-BF4E-8D7ADFB94645}"/>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02" name="Диаграмма 102">
                          <a:extLst>
                            <a:ext uri="{FF2B5EF4-FFF2-40B4-BE49-F238E27FC236}">
                              <a16:creationId xmlns:a16="http://schemas.microsoft.com/office/drawing/2014/main" id="{531FB9B5-6FE1-40E8-BF4E-8D7ADFB94645}"/>
                            </a:ext>
                          </a:extLst>
                        </pic:cNvPr>
                        <pic:cNvPicPr>
                          <a:picLocks noGrp="1" noRot="1" noChangeAspect="1" noMove="1" noResize="1" noEditPoints="1" noAdjustHandles="1" noChangeArrowheads="1" noChangeShapeType="1"/>
                        </pic:cNvPicPr>
                      </pic:nvPicPr>
                      <pic:blipFill>
                        <a:blip r:embed="rId245"/>
                        <a:stretch>
                          <a:fillRect/>
                        </a:stretch>
                      </pic:blipFill>
                      <pic:spPr>
                        <a:xfrm>
                          <a:off x="0" y="0"/>
                          <a:ext cx="5399405" cy="2267585"/>
                        </a:xfrm>
                        <a:prstGeom prst="rect">
                          <a:avLst/>
                        </a:prstGeom>
                      </pic:spPr>
                    </pic:pic>
                  </a:graphicData>
                </a:graphic>
              </wp:inline>
            </w:drawing>
          </mc:Fallback>
        </mc:AlternateContent>
      </w:r>
    </w:p>
    <w:p w14:paraId="2B258ABD" w14:textId="531DADEA" w:rsidR="00825215" w:rsidRPr="00A43B9C" w:rsidRDefault="00825215" w:rsidP="00825215">
      <w:pPr>
        <w:spacing w:after="0" w:line="240" w:lineRule="auto"/>
        <w:ind w:firstLine="709"/>
        <w:jc w:val="center"/>
        <w:rPr>
          <w:rFonts w:ascii="Times New Roman" w:hAnsi="Times New Roman" w:cs="Times New Roman"/>
          <w:sz w:val="28"/>
          <w:szCs w:val="28"/>
        </w:rPr>
      </w:pPr>
      <w:r w:rsidRPr="00A43B9C">
        <w:rPr>
          <w:rFonts w:ascii="Times New Roman" w:hAnsi="Times New Roman" w:cs="Times New Roman"/>
          <w:sz w:val="28"/>
          <w:szCs w:val="28"/>
        </w:rPr>
        <w:t xml:space="preserve">Рисунок </w:t>
      </w:r>
      <w:r w:rsidR="001A1D98">
        <w:rPr>
          <w:rFonts w:ascii="Times New Roman" w:hAnsi="Times New Roman" w:cs="Times New Roman"/>
          <w:sz w:val="28"/>
          <w:szCs w:val="28"/>
        </w:rPr>
        <w:t>40</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распределения уровня накоплени</w:t>
      </w:r>
      <w:r w:rsidR="00B336CA" w:rsidRP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зависимости от </w:t>
      </w:r>
      <w:r w:rsidR="00CE4114" w:rsidRPr="00A43B9C">
        <w:rPr>
          <w:rFonts w:ascii="Times New Roman" w:hAnsi="Times New Roman" w:cs="Times New Roman"/>
          <w:sz w:val="28"/>
          <w:szCs w:val="28"/>
        </w:rPr>
        <w:t xml:space="preserve">стадии </w:t>
      </w:r>
      <w:r w:rsidR="0097135F" w:rsidRPr="00A43B9C">
        <w:rPr>
          <w:rFonts w:ascii="Times New Roman" w:hAnsi="Times New Roman" w:cs="Times New Roman"/>
          <w:sz w:val="28"/>
          <w:szCs w:val="28"/>
          <w:lang w:val="en-US"/>
        </w:rPr>
        <w:t>M</w:t>
      </w:r>
    </w:p>
    <w:p w14:paraId="5A483DCA" w14:textId="77777777" w:rsidR="00825215" w:rsidRPr="00A43B9C" w:rsidRDefault="00825215" w:rsidP="00825215">
      <w:pPr>
        <w:spacing w:after="0" w:line="240" w:lineRule="auto"/>
        <w:rPr>
          <w:rFonts w:ascii="Times New Roman" w:hAnsi="Times New Roman" w:cs="Times New Roman"/>
          <w:sz w:val="28"/>
          <w:szCs w:val="28"/>
        </w:rPr>
      </w:pPr>
    </w:p>
    <w:p w14:paraId="20775304" w14:textId="03DCBEFF" w:rsidR="00825215" w:rsidRPr="00A43B9C" w:rsidRDefault="00AA52D4" w:rsidP="00825215">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lastRenderedPageBreak/>
        <w:t xml:space="preserve">Сравнительный анализ </w:t>
      </w:r>
      <w:r w:rsidR="00825215" w:rsidRPr="00A43B9C">
        <w:rPr>
          <w:rFonts w:ascii="Times New Roman" w:hAnsi="Times New Roman" w:cs="Times New Roman"/>
          <w:sz w:val="28"/>
          <w:szCs w:val="28"/>
        </w:rPr>
        <w:t>уровня накоплени</w:t>
      </w:r>
      <w:r w:rsidR="00B336CA" w:rsidRPr="00A43B9C">
        <w:rPr>
          <w:rFonts w:ascii="Times New Roman" w:hAnsi="Times New Roman" w:cs="Times New Roman"/>
          <w:sz w:val="28"/>
          <w:szCs w:val="28"/>
        </w:rPr>
        <w:t>я</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SUV</w:t>
      </w:r>
      <w:r w:rsidR="00825215" w:rsidRPr="00A43B9C">
        <w:rPr>
          <w:rFonts w:ascii="Times New Roman" w:hAnsi="Times New Roman" w:cs="Times New Roman"/>
          <w:sz w:val="28"/>
          <w:szCs w:val="28"/>
          <w:vertAlign w:val="subscript"/>
          <w:lang w:val="en-US"/>
        </w:rPr>
        <w:t>max</w:t>
      </w:r>
      <w:r w:rsidR="00825215" w:rsidRPr="00A43B9C">
        <w:rPr>
          <w:rFonts w:ascii="Times New Roman" w:hAnsi="Times New Roman" w:cs="Times New Roman"/>
          <w:sz w:val="28"/>
          <w:szCs w:val="28"/>
          <w:lang w:val="kk-KZ"/>
        </w:rPr>
        <w:t xml:space="preserve"> в зависимости от стадии </w:t>
      </w:r>
      <w:r w:rsidR="00825215" w:rsidRPr="00A43B9C">
        <w:rPr>
          <w:rFonts w:ascii="Times New Roman" w:hAnsi="Times New Roman" w:cs="Times New Roman"/>
          <w:sz w:val="28"/>
          <w:szCs w:val="28"/>
          <w:lang w:val="en-US"/>
        </w:rPr>
        <w:t>AJCC</w:t>
      </w:r>
      <w:r w:rsidR="00825215" w:rsidRPr="00A43B9C">
        <w:rPr>
          <w:rFonts w:ascii="Times New Roman" w:hAnsi="Times New Roman" w:cs="Times New Roman"/>
          <w:sz w:val="28"/>
          <w:szCs w:val="28"/>
        </w:rPr>
        <w:t xml:space="preserve"> </w:t>
      </w:r>
      <w:r w:rsidR="006E1ADA" w:rsidRPr="00A43B9C">
        <w:rPr>
          <w:rFonts w:ascii="Times New Roman" w:hAnsi="Times New Roman" w:cs="Times New Roman"/>
          <w:sz w:val="28"/>
          <w:szCs w:val="28"/>
        </w:rPr>
        <w:t xml:space="preserve">(таблица 30) </w:t>
      </w:r>
      <w:r w:rsidR="00825215" w:rsidRPr="00A43B9C">
        <w:rPr>
          <w:rFonts w:ascii="Times New Roman" w:hAnsi="Times New Roman" w:cs="Times New Roman"/>
          <w:sz w:val="28"/>
          <w:szCs w:val="28"/>
          <w:lang w:val="kk-KZ"/>
        </w:rPr>
        <w:t>статистически значимых различий не установил</w:t>
      </w:r>
      <w:r w:rsidRPr="00A43B9C">
        <w:rPr>
          <w:rFonts w:ascii="Times New Roman" w:hAnsi="Times New Roman" w:cs="Times New Roman"/>
          <w:sz w:val="28"/>
          <w:szCs w:val="28"/>
          <w:lang w:val="kk-KZ"/>
        </w:rPr>
        <w:t xml:space="preserve"> ни </w:t>
      </w:r>
      <w:r w:rsidR="00825215" w:rsidRPr="00A43B9C">
        <w:rPr>
          <w:rFonts w:ascii="Times New Roman" w:hAnsi="Times New Roman" w:cs="Times New Roman"/>
          <w:sz w:val="28"/>
          <w:szCs w:val="28"/>
          <w:lang w:val="kk-KZ"/>
        </w:rPr>
        <w:t xml:space="preserve">для </w:t>
      </w:r>
      <w:r w:rsidRPr="00A43B9C">
        <w:rPr>
          <w:rFonts w:ascii="Times New Roman" w:hAnsi="Times New Roman" w:cs="Times New Roman"/>
          <w:sz w:val="28"/>
          <w:szCs w:val="28"/>
        </w:rPr>
        <w:t xml:space="preserve">одной из </w:t>
      </w:r>
      <w:r w:rsidR="00825215" w:rsidRPr="00A43B9C">
        <w:rPr>
          <w:rFonts w:ascii="Times New Roman" w:hAnsi="Times New Roman" w:cs="Times New Roman"/>
          <w:sz w:val="28"/>
          <w:szCs w:val="28"/>
          <w:lang w:val="kk-KZ"/>
        </w:rPr>
        <w:t>локализаций</w:t>
      </w:r>
      <w:r w:rsidR="006E1ADA" w:rsidRPr="00A43B9C">
        <w:rPr>
          <w:rFonts w:ascii="Times New Roman" w:hAnsi="Times New Roman" w:cs="Times New Roman"/>
          <w:sz w:val="28"/>
          <w:szCs w:val="28"/>
          <w:lang w:val="kk-KZ"/>
        </w:rPr>
        <w:t xml:space="preserve"> (рисунок </w:t>
      </w:r>
      <w:r w:rsidR="00EA5E8C">
        <w:rPr>
          <w:rFonts w:ascii="Times New Roman" w:hAnsi="Times New Roman" w:cs="Times New Roman"/>
          <w:sz w:val="28"/>
          <w:szCs w:val="28"/>
          <w:lang w:val="kk-KZ"/>
        </w:rPr>
        <w:t>41</w:t>
      </w:r>
      <w:r w:rsidR="006E1ADA" w:rsidRPr="00A43B9C">
        <w:rPr>
          <w:rFonts w:ascii="Times New Roman" w:hAnsi="Times New Roman" w:cs="Times New Roman"/>
          <w:sz w:val="28"/>
          <w:szCs w:val="28"/>
          <w:lang w:val="kk-KZ"/>
        </w:rPr>
        <w:t>)</w:t>
      </w:r>
      <w:r w:rsidR="00825215" w:rsidRPr="00A43B9C">
        <w:rPr>
          <w:rFonts w:ascii="Times New Roman" w:hAnsi="Times New Roman" w:cs="Times New Roman"/>
          <w:sz w:val="28"/>
          <w:szCs w:val="28"/>
          <w:lang w:val="kk-KZ"/>
        </w:rPr>
        <w:t xml:space="preserve"> </w:t>
      </w:r>
      <w:r w:rsidRPr="00A43B9C">
        <w:rPr>
          <w:rFonts w:ascii="Times New Roman" w:hAnsi="Times New Roman" w:cs="Times New Roman"/>
          <w:sz w:val="28"/>
          <w:szCs w:val="28"/>
          <w:lang w:val="kk-KZ"/>
        </w:rPr>
        <w:t>(</w:t>
      </w:r>
      <w:r w:rsidR="00825215" w:rsidRPr="00A43B9C">
        <w:rPr>
          <w:rFonts w:ascii="Times New Roman" w:hAnsi="Times New Roman" w:cs="Times New Roman"/>
          <w:sz w:val="28"/>
          <w:szCs w:val="28"/>
          <w:lang w:val="en-US"/>
        </w:rPr>
        <w:t>RE</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0,927), </w:t>
      </w:r>
      <w:r w:rsidR="00825215" w:rsidRPr="00A43B9C">
        <w:rPr>
          <w:rFonts w:ascii="Times New Roman" w:hAnsi="Times New Roman" w:cs="Times New Roman"/>
          <w:sz w:val="28"/>
          <w:szCs w:val="28"/>
          <w:lang w:val="en-US"/>
        </w:rPr>
        <w:t>RLH</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0,477), </w:t>
      </w:r>
      <w:r w:rsidR="00825215" w:rsidRPr="00A43B9C">
        <w:rPr>
          <w:rFonts w:ascii="Times New Roman" w:hAnsi="Times New Roman" w:cs="Times New Roman"/>
          <w:sz w:val="28"/>
          <w:szCs w:val="28"/>
          <w:lang w:val="en-US"/>
        </w:rPr>
        <w:t>RRL</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0,572), </w:t>
      </w:r>
      <w:r w:rsidR="00825215" w:rsidRPr="00A43B9C">
        <w:rPr>
          <w:rFonts w:ascii="Times New Roman" w:hAnsi="Times New Roman" w:cs="Times New Roman"/>
          <w:sz w:val="28"/>
          <w:szCs w:val="28"/>
          <w:lang w:val="en-US"/>
        </w:rPr>
        <w:t>RU</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0,155), </w:t>
      </w:r>
      <w:r w:rsidR="00825215" w:rsidRPr="00A43B9C">
        <w:rPr>
          <w:rFonts w:ascii="Times New Roman" w:hAnsi="Times New Roman" w:cs="Times New Roman"/>
          <w:sz w:val="28"/>
          <w:szCs w:val="28"/>
          <w:lang w:val="en-US"/>
        </w:rPr>
        <w:t>RLL</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0,823), </w:t>
      </w:r>
      <w:r w:rsidR="00825215" w:rsidRPr="00A43B9C">
        <w:rPr>
          <w:rFonts w:ascii="Times New Roman" w:hAnsi="Times New Roman" w:cs="Times New Roman"/>
          <w:sz w:val="28"/>
          <w:szCs w:val="28"/>
          <w:lang w:val="en-US"/>
        </w:rPr>
        <w:t>RRI</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0,463), </w:t>
      </w:r>
      <w:r w:rsidR="00825215" w:rsidRPr="00A43B9C">
        <w:rPr>
          <w:rFonts w:ascii="Times New Roman" w:hAnsi="Times New Roman" w:cs="Times New Roman"/>
          <w:sz w:val="28"/>
          <w:szCs w:val="28"/>
          <w:lang w:val="en-US"/>
        </w:rPr>
        <w:t>RP</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0,255), RLI (p = 0,407), P (p = 0,306)</w:t>
      </w:r>
      <w:r w:rsidRPr="00A43B9C">
        <w:rPr>
          <w:rFonts w:ascii="Times New Roman" w:hAnsi="Times New Roman" w:cs="Times New Roman"/>
          <w:sz w:val="28"/>
          <w:szCs w:val="28"/>
        </w:rPr>
        <w:t>)</w:t>
      </w:r>
      <w:r w:rsidR="00825215" w:rsidRPr="00A43B9C">
        <w:rPr>
          <w:rFonts w:ascii="Times New Roman" w:hAnsi="Times New Roman" w:cs="Times New Roman"/>
          <w:sz w:val="28"/>
          <w:szCs w:val="28"/>
        </w:rPr>
        <w:t>.</w:t>
      </w:r>
    </w:p>
    <w:p w14:paraId="65AD8B57" w14:textId="77777777" w:rsidR="000B6935" w:rsidRPr="00A43B9C" w:rsidRDefault="000B6935" w:rsidP="00825215">
      <w:pPr>
        <w:spacing w:after="0" w:line="240" w:lineRule="auto"/>
        <w:ind w:firstLine="709"/>
        <w:jc w:val="center"/>
        <w:rPr>
          <w:rFonts w:ascii="Times New Roman" w:hAnsi="Times New Roman" w:cs="Times New Roman"/>
          <w:sz w:val="28"/>
          <w:szCs w:val="28"/>
        </w:rPr>
      </w:pPr>
    </w:p>
    <w:p w14:paraId="1CB871C2" w14:textId="1163C22D" w:rsidR="00825215"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30 -</w:t>
      </w:r>
      <w:r w:rsidR="00825215" w:rsidRPr="00A43B9C">
        <w:rPr>
          <w:rFonts w:ascii="Times New Roman" w:hAnsi="Times New Roman" w:cs="Times New Roman"/>
          <w:sz w:val="28"/>
          <w:szCs w:val="28"/>
        </w:rPr>
        <w:t xml:space="preserve"> Анализ распределений уровня накоплени</w:t>
      </w:r>
      <w:r w:rsidR="00B336CA" w:rsidRPr="00A43B9C">
        <w:rPr>
          <w:rFonts w:ascii="Times New Roman" w:hAnsi="Times New Roman" w:cs="Times New Roman"/>
          <w:sz w:val="28"/>
          <w:szCs w:val="28"/>
        </w:rPr>
        <w:t>я</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SUV</w:t>
      </w:r>
      <w:r w:rsidR="00825215" w:rsidRPr="00A43B9C">
        <w:rPr>
          <w:rFonts w:ascii="Times New Roman" w:hAnsi="Times New Roman" w:cs="Times New Roman"/>
          <w:sz w:val="28"/>
          <w:szCs w:val="28"/>
          <w:vertAlign w:val="subscript"/>
          <w:lang w:val="en-US"/>
        </w:rPr>
        <w:t>max</w:t>
      </w:r>
      <w:r w:rsidR="00825215" w:rsidRPr="00A43B9C">
        <w:rPr>
          <w:rFonts w:ascii="Times New Roman" w:hAnsi="Times New Roman" w:cs="Times New Roman"/>
          <w:sz w:val="28"/>
          <w:szCs w:val="28"/>
        </w:rPr>
        <w:t xml:space="preserve"> в зависимости от </w:t>
      </w:r>
      <w:r w:rsidR="007875C6" w:rsidRPr="00A43B9C">
        <w:rPr>
          <w:rFonts w:ascii="Times New Roman" w:hAnsi="Times New Roman" w:cs="Times New Roman"/>
          <w:sz w:val="28"/>
          <w:szCs w:val="28"/>
        </w:rPr>
        <w:t xml:space="preserve">стадии </w:t>
      </w:r>
      <w:r w:rsidR="00825215" w:rsidRPr="00A43B9C">
        <w:rPr>
          <w:rFonts w:ascii="Times New Roman" w:hAnsi="Times New Roman" w:cs="Times New Roman"/>
          <w:sz w:val="28"/>
          <w:szCs w:val="28"/>
          <w:lang w:val="en-US"/>
        </w:rPr>
        <w:t>AJCC</w:t>
      </w:r>
    </w:p>
    <w:p w14:paraId="7890B91F"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5000" w:type="pct"/>
        <w:jc w:val="center"/>
        <w:tblLook w:val="04A0" w:firstRow="1" w:lastRow="0" w:firstColumn="1" w:lastColumn="0" w:noHBand="0" w:noVBand="1"/>
      </w:tblPr>
      <w:tblGrid>
        <w:gridCol w:w="1761"/>
        <w:gridCol w:w="1553"/>
        <w:gridCol w:w="1506"/>
        <w:gridCol w:w="1508"/>
        <w:gridCol w:w="1508"/>
        <w:gridCol w:w="1508"/>
      </w:tblGrid>
      <w:tr w:rsidR="00825215" w:rsidRPr="00A43B9C" w14:paraId="35118B29" w14:textId="77777777" w:rsidTr="003F0A73">
        <w:trPr>
          <w:jc w:val="center"/>
        </w:trPr>
        <w:tc>
          <w:tcPr>
            <w:tcW w:w="942" w:type="pct"/>
            <w:vAlign w:val="center"/>
          </w:tcPr>
          <w:p w14:paraId="6AF0E6E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Локализация</w:t>
            </w:r>
          </w:p>
        </w:tc>
        <w:tc>
          <w:tcPr>
            <w:tcW w:w="831" w:type="pct"/>
            <w:vAlign w:val="center"/>
          </w:tcPr>
          <w:p w14:paraId="36D649E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Категория</w:t>
            </w:r>
          </w:p>
        </w:tc>
        <w:tc>
          <w:tcPr>
            <w:tcW w:w="806" w:type="pct"/>
            <w:vAlign w:val="center"/>
          </w:tcPr>
          <w:p w14:paraId="55DE595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Me</w:t>
            </w:r>
          </w:p>
        </w:tc>
        <w:tc>
          <w:tcPr>
            <w:tcW w:w="807" w:type="pct"/>
            <w:vAlign w:val="center"/>
          </w:tcPr>
          <w:p w14:paraId="4E17504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Q₁ – Q₃</w:t>
            </w:r>
          </w:p>
        </w:tc>
        <w:tc>
          <w:tcPr>
            <w:tcW w:w="807" w:type="pct"/>
            <w:vAlign w:val="center"/>
          </w:tcPr>
          <w:p w14:paraId="6F707C0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p>
        </w:tc>
        <w:tc>
          <w:tcPr>
            <w:tcW w:w="807" w:type="pct"/>
            <w:vAlign w:val="center"/>
          </w:tcPr>
          <w:p w14:paraId="4953F60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w:t>
            </w:r>
          </w:p>
        </w:tc>
      </w:tr>
      <w:tr w:rsidR="00825215" w:rsidRPr="00A43B9C" w14:paraId="71CD14E6" w14:textId="77777777" w:rsidTr="003F0A73">
        <w:trPr>
          <w:jc w:val="center"/>
        </w:trPr>
        <w:tc>
          <w:tcPr>
            <w:tcW w:w="942" w:type="pct"/>
            <w:vMerge w:val="restart"/>
            <w:vAlign w:val="center"/>
          </w:tcPr>
          <w:p w14:paraId="7D1474F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RE</w:t>
            </w:r>
          </w:p>
        </w:tc>
        <w:tc>
          <w:tcPr>
            <w:tcW w:w="831" w:type="pct"/>
            <w:vAlign w:val="center"/>
          </w:tcPr>
          <w:p w14:paraId="14D8161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w:t>
            </w:r>
          </w:p>
        </w:tc>
        <w:tc>
          <w:tcPr>
            <w:tcW w:w="806" w:type="pct"/>
            <w:vAlign w:val="center"/>
          </w:tcPr>
          <w:p w14:paraId="40D4AC5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0,83</w:t>
            </w:r>
          </w:p>
        </w:tc>
        <w:tc>
          <w:tcPr>
            <w:tcW w:w="807" w:type="pct"/>
            <w:vAlign w:val="center"/>
          </w:tcPr>
          <w:p w14:paraId="39E4C86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0,79 – 0,88</w:t>
            </w:r>
          </w:p>
        </w:tc>
        <w:tc>
          <w:tcPr>
            <w:tcW w:w="807" w:type="pct"/>
            <w:vAlign w:val="center"/>
          </w:tcPr>
          <w:p w14:paraId="18E994E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w:t>
            </w:r>
          </w:p>
        </w:tc>
        <w:tc>
          <w:tcPr>
            <w:tcW w:w="807" w:type="pct"/>
            <w:vMerge w:val="restart"/>
            <w:vAlign w:val="center"/>
          </w:tcPr>
          <w:p w14:paraId="5402283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0,927</w:t>
            </w:r>
          </w:p>
        </w:tc>
      </w:tr>
      <w:tr w:rsidR="00825215" w:rsidRPr="00A43B9C" w14:paraId="1399C034" w14:textId="77777777" w:rsidTr="003F0A73">
        <w:trPr>
          <w:jc w:val="center"/>
        </w:trPr>
        <w:tc>
          <w:tcPr>
            <w:tcW w:w="942" w:type="pct"/>
            <w:vMerge/>
            <w:vAlign w:val="center"/>
          </w:tcPr>
          <w:p w14:paraId="63A7BCBB"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3500317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w:t>
            </w:r>
          </w:p>
        </w:tc>
        <w:tc>
          <w:tcPr>
            <w:tcW w:w="806" w:type="pct"/>
            <w:vAlign w:val="center"/>
          </w:tcPr>
          <w:p w14:paraId="637692C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0,77</w:t>
            </w:r>
          </w:p>
        </w:tc>
        <w:tc>
          <w:tcPr>
            <w:tcW w:w="807" w:type="pct"/>
            <w:vAlign w:val="center"/>
          </w:tcPr>
          <w:p w14:paraId="56E9890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0,60 – 1,04</w:t>
            </w:r>
          </w:p>
        </w:tc>
        <w:tc>
          <w:tcPr>
            <w:tcW w:w="807" w:type="pct"/>
            <w:vAlign w:val="center"/>
          </w:tcPr>
          <w:p w14:paraId="583A95E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31</w:t>
            </w:r>
          </w:p>
        </w:tc>
        <w:tc>
          <w:tcPr>
            <w:tcW w:w="807" w:type="pct"/>
            <w:vMerge/>
          </w:tcPr>
          <w:p w14:paraId="5A94A563"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1DD1F716" w14:textId="77777777" w:rsidTr="003F0A73">
        <w:trPr>
          <w:trHeight w:val="103"/>
          <w:jc w:val="center"/>
        </w:trPr>
        <w:tc>
          <w:tcPr>
            <w:tcW w:w="942" w:type="pct"/>
            <w:vMerge/>
            <w:vAlign w:val="center"/>
          </w:tcPr>
          <w:p w14:paraId="0C6F3A53"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221D34C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III</w:t>
            </w:r>
          </w:p>
        </w:tc>
        <w:tc>
          <w:tcPr>
            <w:tcW w:w="806" w:type="pct"/>
            <w:vAlign w:val="center"/>
          </w:tcPr>
          <w:p w14:paraId="557F949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0,76</w:t>
            </w:r>
          </w:p>
        </w:tc>
        <w:tc>
          <w:tcPr>
            <w:tcW w:w="807" w:type="pct"/>
            <w:vAlign w:val="center"/>
          </w:tcPr>
          <w:p w14:paraId="1A73F87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0,62 – 1,14</w:t>
            </w:r>
          </w:p>
        </w:tc>
        <w:tc>
          <w:tcPr>
            <w:tcW w:w="807" w:type="pct"/>
            <w:vAlign w:val="center"/>
          </w:tcPr>
          <w:p w14:paraId="6E109D8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27</w:t>
            </w:r>
          </w:p>
        </w:tc>
        <w:tc>
          <w:tcPr>
            <w:tcW w:w="807" w:type="pct"/>
            <w:vMerge/>
          </w:tcPr>
          <w:p w14:paraId="0E779D15"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0A933118" w14:textId="77777777" w:rsidTr="003F0A73">
        <w:trPr>
          <w:jc w:val="center"/>
        </w:trPr>
        <w:tc>
          <w:tcPr>
            <w:tcW w:w="942" w:type="pct"/>
            <w:vMerge w:val="restart"/>
            <w:vAlign w:val="center"/>
          </w:tcPr>
          <w:p w14:paraId="1B00D346" w14:textId="77777777" w:rsidR="00825215" w:rsidRPr="00A43B9C" w:rsidRDefault="00825215"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RLH</w:t>
            </w:r>
          </w:p>
        </w:tc>
        <w:tc>
          <w:tcPr>
            <w:tcW w:w="831" w:type="pct"/>
            <w:vAlign w:val="center"/>
          </w:tcPr>
          <w:p w14:paraId="09B5D47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w:t>
            </w:r>
          </w:p>
        </w:tc>
        <w:tc>
          <w:tcPr>
            <w:tcW w:w="806" w:type="pct"/>
            <w:vAlign w:val="center"/>
          </w:tcPr>
          <w:p w14:paraId="1FA476E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0,91</w:t>
            </w:r>
          </w:p>
        </w:tc>
        <w:tc>
          <w:tcPr>
            <w:tcW w:w="807" w:type="pct"/>
            <w:vAlign w:val="center"/>
          </w:tcPr>
          <w:p w14:paraId="0372531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0,78 – 1,05</w:t>
            </w:r>
          </w:p>
        </w:tc>
        <w:tc>
          <w:tcPr>
            <w:tcW w:w="807" w:type="pct"/>
            <w:vAlign w:val="center"/>
          </w:tcPr>
          <w:p w14:paraId="53E949C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w:t>
            </w:r>
          </w:p>
        </w:tc>
        <w:tc>
          <w:tcPr>
            <w:tcW w:w="807" w:type="pct"/>
            <w:vMerge w:val="restart"/>
            <w:vAlign w:val="center"/>
          </w:tcPr>
          <w:p w14:paraId="37C1382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0,477</w:t>
            </w:r>
          </w:p>
        </w:tc>
      </w:tr>
      <w:tr w:rsidR="00825215" w:rsidRPr="00A43B9C" w14:paraId="63E71955" w14:textId="77777777" w:rsidTr="003F0A73">
        <w:trPr>
          <w:jc w:val="center"/>
        </w:trPr>
        <w:tc>
          <w:tcPr>
            <w:tcW w:w="942" w:type="pct"/>
            <w:vMerge/>
            <w:vAlign w:val="center"/>
          </w:tcPr>
          <w:p w14:paraId="4BCF16CC"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62AA68F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w:t>
            </w:r>
          </w:p>
        </w:tc>
        <w:tc>
          <w:tcPr>
            <w:tcW w:w="806" w:type="pct"/>
            <w:vAlign w:val="center"/>
          </w:tcPr>
          <w:p w14:paraId="3E8A02A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0,68</w:t>
            </w:r>
          </w:p>
        </w:tc>
        <w:tc>
          <w:tcPr>
            <w:tcW w:w="807" w:type="pct"/>
            <w:vAlign w:val="center"/>
          </w:tcPr>
          <w:p w14:paraId="4F93C31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0,51 – 0,90</w:t>
            </w:r>
          </w:p>
        </w:tc>
        <w:tc>
          <w:tcPr>
            <w:tcW w:w="807" w:type="pct"/>
            <w:vAlign w:val="center"/>
          </w:tcPr>
          <w:p w14:paraId="72B012B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31</w:t>
            </w:r>
          </w:p>
        </w:tc>
        <w:tc>
          <w:tcPr>
            <w:tcW w:w="807" w:type="pct"/>
            <w:vMerge/>
          </w:tcPr>
          <w:p w14:paraId="67CAA349"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12E6D559" w14:textId="77777777" w:rsidTr="003F0A73">
        <w:trPr>
          <w:trHeight w:val="103"/>
          <w:jc w:val="center"/>
        </w:trPr>
        <w:tc>
          <w:tcPr>
            <w:tcW w:w="942" w:type="pct"/>
            <w:vMerge/>
            <w:vAlign w:val="center"/>
          </w:tcPr>
          <w:p w14:paraId="33C3CEB6"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79DDE71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III</w:t>
            </w:r>
          </w:p>
        </w:tc>
        <w:tc>
          <w:tcPr>
            <w:tcW w:w="806" w:type="pct"/>
            <w:vAlign w:val="center"/>
          </w:tcPr>
          <w:p w14:paraId="50F8634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0,81</w:t>
            </w:r>
          </w:p>
        </w:tc>
        <w:tc>
          <w:tcPr>
            <w:tcW w:w="807" w:type="pct"/>
            <w:vAlign w:val="center"/>
          </w:tcPr>
          <w:p w14:paraId="6405A4E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0,57 – 1,10</w:t>
            </w:r>
          </w:p>
        </w:tc>
        <w:tc>
          <w:tcPr>
            <w:tcW w:w="807" w:type="pct"/>
            <w:vAlign w:val="center"/>
          </w:tcPr>
          <w:p w14:paraId="4793693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27</w:t>
            </w:r>
          </w:p>
        </w:tc>
        <w:tc>
          <w:tcPr>
            <w:tcW w:w="807" w:type="pct"/>
            <w:vMerge/>
          </w:tcPr>
          <w:p w14:paraId="7D391BA7"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5B2BBD63" w14:textId="77777777" w:rsidTr="003F0A73">
        <w:trPr>
          <w:jc w:val="center"/>
        </w:trPr>
        <w:tc>
          <w:tcPr>
            <w:tcW w:w="942" w:type="pct"/>
            <w:vMerge w:val="restart"/>
            <w:vAlign w:val="center"/>
          </w:tcPr>
          <w:p w14:paraId="3C937E97" w14:textId="77777777" w:rsidR="00825215" w:rsidRPr="00A43B9C" w:rsidRDefault="00825215"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RRL</w:t>
            </w:r>
          </w:p>
        </w:tc>
        <w:tc>
          <w:tcPr>
            <w:tcW w:w="831" w:type="pct"/>
            <w:vAlign w:val="center"/>
          </w:tcPr>
          <w:p w14:paraId="016C36B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w:t>
            </w:r>
          </w:p>
        </w:tc>
        <w:tc>
          <w:tcPr>
            <w:tcW w:w="806" w:type="pct"/>
            <w:vAlign w:val="center"/>
          </w:tcPr>
          <w:p w14:paraId="2F7C6F8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0,93</w:t>
            </w:r>
          </w:p>
        </w:tc>
        <w:tc>
          <w:tcPr>
            <w:tcW w:w="807" w:type="pct"/>
            <w:vAlign w:val="center"/>
          </w:tcPr>
          <w:p w14:paraId="53CFBF2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0,87 – 0,98</w:t>
            </w:r>
          </w:p>
        </w:tc>
        <w:tc>
          <w:tcPr>
            <w:tcW w:w="807" w:type="pct"/>
            <w:vAlign w:val="center"/>
          </w:tcPr>
          <w:p w14:paraId="63E5EF9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w:t>
            </w:r>
          </w:p>
        </w:tc>
        <w:tc>
          <w:tcPr>
            <w:tcW w:w="807" w:type="pct"/>
            <w:vMerge w:val="restart"/>
            <w:vAlign w:val="center"/>
          </w:tcPr>
          <w:p w14:paraId="0726162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0,572</w:t>
            </w:r>
          </w:p>
        </w:tc>
      </w:tr>
      <w:tr w:rsidR="00825215" w:rsidRPr="00A43B9C" w14:paraId="7E851101" w14:textId="77777777" w:rsidTr="003F0A73">
        <w:trPr>
          <w:jc w:val="center"/>
        </w:trPr>
        <w:tc>
          <w:tcPr>
            <w:tcW w:w="942" w:type="pct"/>
            <w:vMerge/>
            <w:vAlign w:val="center"/>
          </w:tcPr>
          <w:p w14:paraId="380D7128"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76BADE7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w:t>
            </w:r>
          </w:p>
        </w:tc>
        <w:tc>
          <w:tcPr>
            <w:tcW w:w="806" w:type="pct"/>
            <w:vAlign w:val="center"/>
          </w:tcPr>
          <w:p w14:paraId="79F5CB1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0,82</w:t>
            </w:r>
          </w:p>
        </w:tc>
        <w:tc>
          <w:tcPr>
            <w:tcW w:w="807" w:type="pct"/>
            <w:vAlign w:val="center"/>
          </w:tcPr>
          <w:p w14:paraId="657CB9A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0,68 – 1,17</w:t>
            </w:r>
          </w:p>
        </w:tc>
        <w:tc>
          <w:tcPr>
            <w:tcW w:w="807" w:type="pct"/>
            <w:vAlign w:val="center"/>
          </w:tcPr>
          <w:p w14:paraId="7CEBDB9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31</w:t>
            </w:r>
          </w:p>
        </w:tc>
        <w:tc>
          <w:tcPr>
            <w:tcW w:w="807" w:type="pct"/>
            <w:vMerge/>
          </w:tcPr>
          <w:p w14:paraId="7F5517F5"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63BFA4EF" w14:textId="77777777" w:rsidTr="003F0A73">
        <w:trPr>
          <w:trHeight w:val="103"/>
          <w:jc w:val="center"/>
        </w:trPr>
        <w:tc>
          <w:tcPr>
            <w:tcW w:w="942" w:type="pct"/>
            <w:vMerge/>
            <w:vAlign w:val="center"/>
          </w:tcPr>
          <w:p w14:paraId="51EA4F12"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24E83B2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III</w:t>
            </w:r>
          </w:p>
        </w:tc>
        <w:tc>
          <w:tcPr>
            <w:tcW w:w="806" w:type="pct"/>
            <w:vAlign w:val="center"/>
          </w:tcPr>
          <w:p w14:paraId="7C33452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0,89</w:t>
            </w:r>
          </w:p>
        </w:tc>
        <w:tc>
          <w:tcPr>
            <w:tcW w:w="807" w:type="pct"/>
            <w:vAlign w:val="center"/>
          </w:tcPr>
          <w:p w14:paraId="55F0C32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0,72 – 1,43</w:t>
            </w:r>
          </w:p>
        </w:tc>
        <w:tc>
          <w:tcPr>
            <w:tcW w:w="807" w:type="pct"/>
            <w:vAlign w:val="center"/>
          </w:tcPr>
          <w:p w14:paraId="107BB53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27</w:t>
            </w:r>
          </w:p>
        </w:tc>
        <w:tc>
          <w:tcPr>
            <w:tcW w:w="807" w:type="pct"/>
            <w:vMerge/>
          </w:tcPr>
          <w:p w14:paraId="74E3D718"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4A056B4C" w14:textId="77777777" w:rsidTr="003F0A73">
        <w:trPr>
          <w:jc w:val="center"/>
        </w:trPr>
        <w:tc>
          <w:tcPr>
            <w:tcW w:w="942" w:type="pct"/>
            <w:vMerge w:val="restart"/>
            <w:vAlign w:val="center"/>
          </w:tcPr>
          <w:p w14:paraId="4A275059" w14:textId="77777777" w:rsidR="00825215" w:rsidRPr="00A43B9C" w:rsidRDefault="00825215"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RU</w:t>
            </w:r>
          </w:p>
        </w:tc>
        <w:tc>
          <w:tcPr>
            <w:tcW w:w="831" w:type="pct"/>
            <w:vAlign w:val="center"/>
          </w:tcPr>
          <w:p w14:paraId="614232E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w:t>
            </w:r>
          </w:p>
        </w:tc>
        <w:tc>
          <w:tcPr>
            <w:tcW w:w="806" w:type="pct"/>
            <w:vAlign w:val="center"/>
          </w:tcPr>
          <w:p w14:paraId="43A7E08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1,37</w:t>
            </w:r>
          </w:p>
        </w:tc>
        <w:tc>
          <w:tcPr>
            <w:tcW w:w="807" w:type="pct"/>
            <w:vAlign w:val="center"/>
          </w:tcPr>
          <w:p w14:paraId="1A5E34C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1,34 – 1,41</w:t>
            </w:r>
          </w:p>
        </w:tc>
        <w:tc>
          <w:tcPr>
            <w:tcW w:w="807" w:type="pct"/>
            <w:vAlign w:val="center"/>
          </w:tcPr>
          <w:p w14:paraId="2B1B689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w:t>
            </w:r>
          </w:p>
        </w:tc>
        <w:tc>
          <w:tcPr>
            <w:tcW w:w="807" w:type="pct"/>
            <w:vMerge w:val="restart"/>
            <w:vAlign w:val="center"/>
          </w:tcPr>
          <w:p w14:paraId="55877E4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0,155</w:t>
            </w:r>
          </w:p>
        </w:tc>
      </w:tr>
      <w:tr w:rsidR="00825215" w:rsidRPr="00A43B9C" w14:paraId="3E3926B2" w14:textId="77777777" w:rsidTr="003F0A73">
        <w:trPr>
          <w:jc w:val="center"/>
        </w:trPr>
        <w:tc>
          <w:tcPr>
            <w:tcW w:w="942" w:type="pct"/>
            <w:vMerge/>
            <w:vAlign w:val="center"/>
          </w:tcPr>
          <w:p w14:paraId="4CF23134"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025675A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w:t>
            </w:r>
          </w:p>
        </w:tc>
        <w:tc>
          <w:tcPr>
            <w:tcW w:w="806" w:type="pct"/>
            <w:vAlign w:val="center"/>
          </w:tcPr>
          <w:p w14:paraId="49EB5DE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0,70</w:t>
            </w:r>
          </w:p>
        </w:tc>
        <w:tc>
          <w:tcPr>
            <w:tcW w:w="807" w:type="pct"/>
            <w:vAlign w:val="center"/>
          </w:tcPr>
          <w:p w14:paraId="657D6A0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0,55 – 1,03</w:t>
            </w:r>
          </w:p>
        </w:tc>
        <w:tc>
          <w:tcPr>
            <w:tcW w:w="807" w:type="pct"/>
            <w:vAlign w:val="center"/>
          </w:tcPr>
          <w:p w14:paraId="1758EDC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31</w:t>
            </w:r>
          </w:p>
        </w:tc>
        <w:tc>
          <w:tcPr>
            <w:tcW w:w="807" w:type="pct"/>
            <w:vMerge/>
          </w:tcPr>
          <w:p w14:paraId="49A79CDA"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19CFC2C2" w14:textId="77777777" w:rsidTr="003F0A73">
        <w:trPr>
          <w:trHeight w:val="103"/>
          <w:jc w:val="center"/>
        </w:trPr>
        <w:tc>
          <w:tcPr>
            <w:tcW w:w="942" w:type="pct"/>
            <w:vMerge/>
            <w:vAlign w:val="center"/>
          </w:tcPr>
          <w:p w14:paraId="318E49CA"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3AB19D0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III</w:t>
            </w:r>
          </w:p>
        </w:tc>
        <w:tc>
          <w:tcPr>
            <w:tcW w:w="806" w:type="pct"/>
            <w:vAlign w:val="center"/>
          </w:tcPr>
          <w:p w14:paraId="4AE1FCC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0,80</w:t>
            </w:r>
          </w:p>
        </w:tc>
        <w:tc>
          <w:tcPr>
            <w:tcW w:w="807" w:type="pct"/>
            <w:vAlign w:val="center"/>
          </w:tcPr>
          <w:p w14:paraId="5AABDD1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0,62 – 1,13</w:t>
            </w:r>
          </w:p>
        </w:tc>
        <w:tc>
          <w:tcPr>
            <w:tcW w:w="807" w:type="pct"/>
            <w:vAlign w:val="center"/>
          </w:tcPr>
          <w:p w14:paraId="0E4EE54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27</w:t>
            </w:r>
          </w:p>
        </w:tc>
        <w:tc>
          <w:tcPr>
            <w:tcW w:w="807" w:type="pct"/>
            <w:vMerge/>
          </w:tcPr>
          <w:p w14:paraId="03BD8CD0"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65012E4E" w14:textId="77777777" w:rsidTr="003F0A73">
        <w:trPr>
          <w:jc w:val="center"/>
        </w:trPr>
        <w:tc>
          <w:tcPr>
            <w:tcW w:w="942" w:type="pct"/>
            <w:vMerge w:val="restart"/>
            <w:vAlign w:val="center"/>
          </w:tcPr>
          <w:p w14:paraId="526F52FC" w14:textId="77777777" w:rsidR="00825215" w:rsidRPr="00A43B9C" w:rsidRDefault="00825215"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RLL</w:t>
            </w:r>
          </w:p>
        </w:tc>
        <w:tc>
          <w:tcPr>
            <w:tcW w:w="831" w:type="pct"/>
            <w:vAlign w:val="center"/>
          </w:tcPr>
          <w:p w14:paraId="13CF647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w:t>
            </w:r>
          </w:p>
        </w:tc>
        <w:tc>
          <w:tcPr>
            <w:tcW w:w="806" w:type="pct"/>
            <w:vAlign w:val="center"/>
          </w:tcPr>
          <w:p w14:paraId="164DF7A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1,10</w:t>
            </w:r>
          </w:p>
        </w:tc>
        <w:tc>
          <w:tcPr>
            <w:tcW w:w="807" w:type="pct"/>
            <w:vAlign w:val="center"/>
          </w:tcPr>
          <w:p w14:paraId="4823AED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0,89 – 1,31</w:t>
            </w:r>
          </w:p>
        </w:tc>
        <w:tc>
          <w:tcPr>
            <w:tcW w:w="807" w:type="pct"/>
            <w:vAlign w:val="center"/>
          </w:tcPr>
          <w:p w14:paraId="1BF860A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w:t>
            </w:r>
          </w:p>
        </w:tc>
        <w:tc>
          <w:tcPr>
            <w:tcW w:w="807" w:type="pct"/>
            <w:vMerge w:val="restart"/>
            <w:vAlign w:val="center"/>
          </w:tcPr>
          <w:p w14:paraId="229FBC2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0,823</w:t>
            </w:r>
          </w:p>
        </w:tc>
      </w:tr>
      <w:tr w:rsidR="00825215" w:rsidRPr="00A43B9C" w14:paraId="54610A3F" w14:textId="77777777" w:rsidTr="003F0A73">
        <w:trPr>
          <w:jc w:val="center"/>
        </w:trPr>
        <w:tc>
          <w:tcPr>
            <w:tcW w:w="942" w:type="pct"/>
            <w:vMerge/>
            <w:vAlign w:val="center"/>
          </w:tcPr>
          <w:p w14:paraId="795A4AE3"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17F7DD8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w:t>
            </w:r>
          </w:p>
        </w:tc>
        <w:tc>
          <w:tcPr>
            <w:tcW w:w="806" w:type="pct"/>
            <w:vAlign w:val="center"/>
          </w:tcPr>
          <w:p w14:paraId="1AFA4FA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0,86</w:t>
            </w:r>
          </w:p>
        </w:tc>
        <w:tc>
          <w:tcPr>
            <w:tcW w:w="807" w:type="pct"/>
            <w:vAlign w:val="center"/>
          </w:tcPr>
          <w:p w14:paraId="0FCE515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0,66 – 1,04</w:t>
            </w:r>
          </w:p>
        </w:tc>
        <w:tc>
          <w:tcPr>
            <w:tcW w:w="807" w:type="pct"/>
            <w:vAlign w:val="center"/>
          </w:tcPr>
          <w:p w14:paraId="7913861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31</w:t>
            </w:r>
          </w:p>
        </w:tc>
        <w:tc>
          <w:tcPr>
            <w:tcW w:w="807" w:type="pct"/>
            <w:vMerge/>
          </w:tcPr>
          <w:p w14:paraId="7D0C1A7C"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4CAA4ABC" w14:textId="77777777" w:rsidTr="003F0A73">
        <w:trPr>
          <w:trHeight w:val="103"/>
          <w:jc w:val="center"/>
        </w:trPr>
        <w:tc>
          <w:tcPr>
            <w:tcW w:w="942" w:type="pct"/>
            <w:vMerge/>
            <w:vAlign w:val="center"/>
          </w:tcPr>
          <w:p w14:paraId="29D2EED3"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1C20E9A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III</w:t>
            </w:r>
          </w:p>
        </w:tc>
        <w:tc>
          <w:tcPr>
            <w:tcW w:w="806" w:type="pct"/>
            <w:vAlign w:val="center"/>
          </w:tcPr>
          <w:p w14:paraId="35AF51D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0,91</w:t>
            </w:r>
          </w:p>
        </w:tc>
        <w:tc>
          <w:tcPr>
            <w:tcW w:w="807" w:type="pct"/>
            <w:vAlign w:val="center"/>
          </w:tcPr>
          <w:p w14:paraId="21E3F0E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0,62 – 1,08</w:t>
            </w:r>
          </w:p>
        </w:tc>
        <w:tc>
          <w:tcPr>
            <w:tcW w:w="807" w:type="pct"/>
            <w:vAlign w:val="center"/>
          </w:tcPr>
          <w:p w14:paraId="409DF6E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27</w:t>
            </w:r>
          </w:p>
        </w:tc>
        <w:tc>
          <w:tcPr>
            <w:tcW w:w="807" w:type="pct"/>
            <w:vMerge/>
          </w:tcPr>
          <w:p w14:paraId="07150696"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7A35E46F" w14:textId="77777777" w:rsidTr="003F0A73">
        <w:trPr>
          <w:jc w:val="center"/>
        </w:trPr>
        <w:tc>
          <w:tcPr>
            <w:tcW w:w="942" w:type="pct"/>
            <w:vMerge w:val="restart"/>
            <w:vAlign w:val="center"/>
          </w:tcPr>
          <w:p w14:paraId="3C01E883" w14:textId="77777777" w:rsidR="00825215" w:rsidRPr="00A43B9C" w:rsidRDefault="00825215"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RRI</w:t>
            </w:r>
          </w:p>
        </w:tc>
        <w:tc>
          <w:tcPr>
            <w:tcW w:w="831" w:type="pct"/>
            <w:vAlign w:val="center"/>
          </w:tcPr>
          <w:p w14:paraId="3041B7B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w:t>
            </w:r>
          </w:p>
        </w:tc>
        <w:tc>
          <w:tcPr>
            <w:tcW w:w="806" w:type="pct"/>
            <w:vAlign w:val="center"/>
          </w:tcPr>
          <w:p w14:paraId="6432B8C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0,99</w:t>
            </w:r>
          </w:p>
        </w:tc>
        <w:tc>
          <w:tcPr>
            <w:tcW w:w="807" w:type="pct"/>
            <w:vAlign w:val="center"/>
          </w:tcPr>
          <w:p w14:paraId="08E8AD4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0,95 – 1,03</w:t>
            </w:r>
          </w:p>
        </w:tc>
        <w:tc>
          <w:tcPr>
            <w:tcW w:w="807" w:type="pct"/>
            <w:vAlign w:val="center"/>
          </w:tcPr>
          <w:p w14:paraId="614D1D1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w:t>
            </w:r>
          </w:p>
        </w:tc>
        <w:tc>
          <w:tcPr>
            <w:tcW w:w="807" w:type="pct"/>
            <w:vMerge w:val="restart"/>
            <w:vAlign w:val="center"/>
          </w:tcPr>
          <w:p w14:paraId="6662DFF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0,463</w:t>
            </w:r>
          </w:p>
        </w:tc>
      </w:tr>
      <w:tr w:rsidR="00825215" w:rsidRPr="00A43B9C" w14:paraId="5858933C" w14:textId="77777777" w:rsidTr="003F0A73">
        <w:trPr>
          <w:jc w:val="center"/>
        </w:trPr>
        <w:tc>
          <w:tcPr>
            <w:tcW w:w="942" w:type="pct"/>
            <w:vMerge/>
            <w:vAlign w:val="center"/>
          </w:tcPr>
          <w:p w14:paraId="008965E6"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3216C78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w:t>
            </w:r>
          </w:p>
        </w:tc>
        <w:tc>
          <w:tcPr>
            <w:tcW w:w="806" w:type="pct"/>
            <w:vAlign w:val="center"/>
          </w:tcPr>
          <w:p w14:paraId="2EF0540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0,69</w:t>
            </w:r>
          </w:p>
        </w:tc>
        <w:tc>
          <w:tcPr>
            <w:tcW w:w="807" w:type="pct"/>
            <w:vAlign w:val="center"/>
          </w:tcPr>
          <w:p w14:paraId="54D3EC9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0,54 – 1,02</w:t>
            </w:r>
          </w:p>
        </w:tc>
        <w:tc>
          <w:tcPr>
            <w:tcW w:w="807" w:type="pct"/>
            <w:vAlign w:val="center"/>
          </w:tcPr>
          <w:p w14:paraId="61292C5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31</w:t>
            </w:r>
          </w:p>
        </w:tc>
        <w:tc>
          <w:tcPr>
            <w:tcW w:w="807" w:type="pct"/>
            <w:vMerge/>
          </w:tcPr>
          <w:p w14:paraId="0397244F"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6E946B52" w14:textId="77777777" w:rsidTr="003F0A73">
        <w:trPr>
          <w:trHeight w:val="103"/>
          <w:jc w:val="center"/>
        </w:trPr>
        <w:tc>
          <w:tcPr>
            <w:tcW w:w="942" w:type="pct"/>
            <w:vMerge/>
            <w:vAlign w:val="center"/>
          </w:tcPr>
          <w:p w14:paraId="591548E6"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209A932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III</w:t>
            </w:r>
          </w:p>
        </w:tc>
        <w:tc>
          <w:tcPr>
            <w:tcW w:w="806" w:type="pct"/>
            <w:vAlign w:val="center"/>
          </w:tcPr>
          <w:p w14:paraId="650CBCE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0,78</w:t>
            </w:r>
          </w:p>
        </w:tc>
        <w:tc>
          <w:tcPr>
            <w:tcW w:w="807" w:type="pct"/>
            <w:vAlign w:val="center"/>
          </w:tcPr>
          <w:p w14:paraId="34B6B89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0,57 – 1,06</w:t>
            </w:r>
          </w:p>
        </w:tc>
        <w:tc>
          <w:tcPr>
            <w:tcW w:w="807" w:type="pct"/>
            <w:vAlign w:val="center"/>
          </w:tcPr>
          <w:p w14:paraId="60D3485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27</w:t>
            </w:r>
          </w:p>
        </w:tc>
        <w:tc>
          <w:tcPr>
            <w:tcW w:w="807" w:type="pct"/>
            <w:vMerge/>
          </w:tcPr>
          <w:p w14:paraId="248A7417"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7D6E944D" w14:textId="77777777" w:rsidTr="003F0A73">
        <w:trPr>
          <w:jc w:val="center"/>
        </w:trPr>
        <w:tc>
          <w:tcPr>
            <w:tcW w:w="942" w:type="pct"/>
            <w:vMerge w:val="restart"/>
            <w:vAlign w:val="center"/>
          </w:tcPr>
          <w:p w14:paraId="4EE6283E" w14:textId="77777777" w:rsidR="00825215" w:rsidRPr="00A43B9C" w:rsidRDefault="00825215"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RP</w:t>
            </w:r>
          </w:p>
        </w:tc>
        <w:tc>
          <w:tcPr>
            <w:tcW w:w="831" w:type="pct"/>
            <w:vAlign w:val="center"/>
          </w:tcPr>
          <w:p w14:paraId="6EA2AB5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w:t>
            </w:r>
          </w:p>
        </w:tc>
        <w:tc>
          <w:tcPr>
            <w:tcW w:w="806" w:type="pct"/>
            <w:vAlign w:val="center"/>
          </w:tcPr>
          <w:p w14:paraId="7192FF4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1,29</w:t>
            </w:r>
          </w:p>
        </w:tc>
        <w:tc>
          <w:tcPr>
            <w:tcW w:w="807" w:type="pct"/>
            <w:vAlign w:val="center"/>
          </w:tcPr>
          <w:p w14:paraId="2F57C06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1,17 – 1,41</w:t>
            </w:r>
          </w:p>
        </w:tc>
        <w:tc>
          <w:tcPr>
            <w:tcW w:w="807" w:type="pct"/>
            <w:vAlign w:val="center"/>
          </w:tcPr>
          <w:p w14:paraId="547DDEA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w:t>
            </w:r>
          </w:p>
        </w:tc>
        <w:tc>
          <w:tcPr>
            <w:tcW w:w="807" w:type="pct"/>
            <w:vMerge w:val="restart"/>
            <w:vAlign w:val="center"/>
          </w:tcPr>
          <w:p w14:paraId="7BD38A5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0,255</w:t>
            </w:r>
          </w:p>
        </w:tc>
      </w:tr>
      <w:tr w:rsidR="00825215" w:rsidRPr="00A43B9C" w14:paraId="66BED6EE" w14:textId="77777777" w:rsidTr="003F0A73">
        <w:trPr>
          <w:jc w:val="center"/>
        </w:trPr>
        <w:tc>
          <w:tcPr>
            <w:tcW w:w="942" w:type="pct"/>
            <w:vMerge/>
            <w:vAlign w:val="center"/>
          </w:tcPr>
          <w:p w14:paraId="163C3B72"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1FC1466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w:t>
            </w:r>
          </w:p>
        </w:tc>
        <w:tc>
          <w:tcPr>
            <w:tcW w:w="806" w:type="pct"/>
            <w:vAlign w:val="center"/>
          </w:tcPr>
          <w:p w14:paraId="54B79E6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0,85</w:t>
            </w:r>
          </w:p>
        </w:tc>
        <w:tc>
          <w:tcPr>
            <w:tcW w:w="807" w:type="pct"/>
            <w:vAlign w:val="center"/>
          </w:tcPr>
          <w:p w14:paraId="234501A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0,63 – 1,09</w:t>
            </w:r>
          </w:p>
        </w:tc>
        <w:tc>
          <w:tcPr>
            <w:tcW w:w="807" w:type="pct"/>
            <w:vAlign w:val="center"/>
          </w:tcPr>
          <w:p w14:paraId="295E3A6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31</w:t>
            </w:r>
          </w:p>
        </w:tc>
        <w:tc>
          <w:tcPr>
            <w:tcW w:w="807" w:type="pct"/>
            <w:vMerge/>
          </w:tcPr>
          <w:p w14:paraId="1EF2E16D"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258FFFC2" w14:textId="77777777" w:rsidTr="003F0A73">
        <w:trPr>
          <w:trHeight w:val="103"/>
          <w:jc w:val="center"/>
        </w:trPr>
        <w:tc>
          <w:tcPr>
            <w:tcW w:w="942" w:type="pct"/>
            <w:vMerge/>
            <w:vAlign w:val="center"/>
          </w:tcPr>
          <w:p w14:paraId="42485B7A"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6CEA2A3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III</w:t>
            </w:r>
          </w:p>
        </w:tc>
        <w:tc>
          <w:tcPr>
            <w:tcW w:w="806" w:type="pct"/>
            <w:vAlign w:val="center"/>
          </w:tcPr>
          <w:p w14:paraId="6E616F9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0,91</w:t>
            </w:r>
          </w:p>
        </w:tc>
        <w:tc>
          <w:tcPr>
            <w:tcW w:w="807" w:type="pct"/>
            <w:vAlign w:val="center"/>
          </w:tcPr>
          <w:p w14:paraId="2B02F34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0,72 – 1,22</w:t>
            </w:r>
          </w:p>
        </w:tc>
        <w:tc>
          <w:tcPr>
            <w:tcW w:w="807" w:type="pct"/>
            <w:vAlign w:val="center"/>
          </w:tcPr>
          <w:p w14:paraId="2B3CF67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27</w:t>
            </w:r>
          </w:p>
        </w:tc>
        <w:tc>
          <w:tcPr>
            <w:tcW w:w="807" w:type="pct"/>
            <w:vMerge/>
          </w:tcPr>
          <w:p w14:paraId="5CC8FC9D"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7A8C5E71" w14:textId="77777777" w:rsidTr="003F0A73">
        <w:trPr>
          <w:jc w:val="center"/>
        </w:trPr>
        <w:tc>
          <w:tcPr>
            <w:tcW w:w="942" w:type="pct"/>
            <w:vMerge w:val="restart"/>
            <w:vAlign w:val="center"/>
          </w:tcPr>
          <w:p w14:paraId="20537E75" w14:textId="77777777" w:rsidR="00825215" w:rsidRPr="00A43B9C" w:rsidRDefault="00825215"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RLI</w:t>
            </w:r>
          </w:p>
        </w:tc>
        <w:tc>
          <w:tcPr>
            <w:tcW w:w="831" w:type="pct"/>
            <w:vAlign w:val="center"/>
          </w:tcPr>
          <w:p w14:paraId="3E27253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w:t>
            </w:r>
          </w:p>
        </w:tc>
        <w:tc>
          <w:tcPr>
            <w:tcW w:w="806" w:type="pct"/>
            <w:vAlign w:val="center"/>
          </w:tcPr>
          <w:p w14:paraId="7ECACF1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1,18</w:t>
            </w:r>
          </w:p>
        </w:tc>
        <w:tc>
          <w:tcPr>
            <w:tcW w:w="807" w:type="pct"/>
            <w:vAlign w:val="center"/>
          </w:tcPr>
          <w:p w14:paraId="4576D28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0,97 – 1,40</w:t>
            </w:r>
          </w:p>
        </w:tc>
        <w:tc>
          <w:tcPr>
            <w:tcW w:w="807" w:type="pct"/>
            <w:vAlign w:val="center"/>
          </w:tcPr>
          <w:p w14:paraId="7A789CE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w:t>
            </w:r>
          </w:p>
        </w:tc>
        <w:tc>
          <w:tcPr>
            <w:tcW w:w="807" w:type="pct"/>
            <w:vMerge w:val="restart"/>
            <w:vAlign w:val="center"/>
          </w:tcPr>
          <w:p w14:paraId="002730E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0,407</w:t>
            </w:r>
          </w:p>
        </w:tc>
      </w:tr>
      <w:tr w:rsidR="00825215" w:rsidRPr="00A43B9C" w14:paraId="4B4009EC" w14:textId="77777777" w:rsidTr="003F0A73">
        <w:trPr>
          <w:jc w:val="center"/>
        </w:trPr>
        <w:tc>
          <w:tcPr>
            <w:tcW w:w="942" w:type="pct"/>
            <w:vMerge/>
            <w:vAlign w:val="center"/>
          </w:tcPr>
          <w:p w14:paraId="7610024B"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5F34FF6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w:t>
            </w:r>
          </w:p>
        </w:tc>
        <w:tc>
          <w:tcPr>
            <w:tcW w:w="806" w:type="pct"/>
            <w:vAlign w:val="center"/>
          </w:tcPr>
          <w:p w14:paraId="0F367AD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0,70</w:t>
            </w:r>
          </w:p>
        </w:tc>
        <w:tc>
          <w:tcPr>
            <w:tcW w:w="807" w:type="pct"/>
            <w:vAlign w:val="center"/>
          </w:tcPr>
          <w:p w14:paraId="3812757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0,51 – 0,87</w:t>
            </w:r>
          </w:p>
        </w:tc>
        <w:tc>
          <w:tcPr>
            <w:tcW w:w="807" w:type="pct"/>
            <w:vAlign w:val="center"/>
          </w:tcPr>
          <w:p w14:paraId="3730883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31</w:t>
            </w:r>
          </w:p>
        </w:tc>
        <w:tc>
          <w:tcPr>
            <w:tcW w:w="807" w:type="pct"/>
            <w:vMerge/>
          </w:tcPr>
          <w:p w14:paraId="5BE715E6"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39572BEA" w14:textId="77777777" w:rsidTr="003F0A73">
        <w:trPr>
          <w:trHeight w:val="103"/>
          <w:jc w:val="center"/>
        </w:trPr>
        <w:tc>
          <w:tcPr>
            <w:tcW w:w="942" w:type="pct"/>
            <w:vMerge/>
            <w:vAlign w:val="center"/>
          </w:tcPr>
          <w:p w14:paraId="72C975C1"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35B750D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III</w:t>
            </w:r>
          </w:p>
        </w:tc>
        <w:tc>
          <w:tcPr>
            <w:tcW w:w="806" w:type="pct"/>
            <w:vAlign w:val="center"/>
          </w:tcPr>
          <w:p w14:paraId="54A53F5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0,66</w:t>
            </w:r>
          </w:p>
        </w:tc>
        <w:tc>
          <w:tcPr>
            <w:tcW w:w="807" w:type="pct"/>
            <w:vAlign w:val="center"/>
          </w:tcPr>
          <w:p w14:paraId="627ADFE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0,52 – 0,85</w:t>
            </w:r>
          </w:p>
        </w:tc>
        <w:tc>
          <w:tcPr>
            <w:tcW w:w="807" w:type="pct"/>
            <w:vAlign w:val="center"/>
          </w:tcPr>
          <w:p w14:paraId="1EEC030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27</w:t>
            </w:r>
          </w:p>
        </w:tc>
        <w:tc>
          <w:tcPr>
            <w:tcW w:w="807" w:type="pct"/>
            <w:vMerge/>
          </w:tcPr>
          <w:p w14:paraId="5F3CC4CF"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528F7F96" w14:textId="77777777" w:rsidTr="003F0A73">
        <w:trPr>
          <w:jc w:val="center"/>
        </w:trPr>
        <w:tc>
          <w:tcPr>
            <w:tcW w:w="942" w:type="pct"/>
            <w:vMerge w:val="restart"/>
            <w:vAlign w:val="center"/>
          </w:tcPr>
          <w:p w14:paraId="603C8D5E" w14:textId="77777777" w:rsidR="00825215" w:rsidRPr="00A43B9C" w:rsidRDefault="00825215"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P</w:t>
            </w:r>
          </w:p>
        </w:tc>
        <w:tc>
          <w:tcPr>
            <w:tcW w:w="831" w:type="pct"/>
            <w:vAlign w:val="center"/>
          </w:tcPr>
          <w:p w14:paraId="0E08356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w:t>
            </w:r>
          </w:p>
        </w:tc>
        <w:tc>
          <w:tcPr>
            <w:tcW w:w="806" w:type="pct"/>
            <w:vAlign w:val="center"/>
          </w:tcPr>
          <w:p w14:paraId="6BF66E1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1,11</w:t>
            </w:r>
          </w:p>
        </w:tc>
        <w:tc>
          <w:tcPr>
            <w:tcW w:w="807" w:type="pct"/>
            <w:vAlign w:val="center"/>
          </w:tcPr>
          <w:p w14:paraId="67EB2E5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1,07 – 1,14</w:t>
            </w:r>
          </w:p>
        </w:tc>
        <w:tc>
          <w:tcPr>
            <w:tcW w:w="807" w:type="pct"/>
            <w:vAlign w:val="center"/>
          </w:tcPr>
          <w:p w14:paraId="445EB24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w:t>
            </w:r>
          </w:p>
        </w:tc>
        <w:tc>
          <w:tcPr>
            <w:tcW w:w="807" w:type="pct"/>
            <w:vMerge w:val="restart"/>
            <w:vAlign w:val="center"/>
          </w:tcPr>
          <w:p w14:paraId="7FEA175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0,306</w:t>
            </w:r>
          </w:p>
        </w:tc>
      </w:tr>
      <w:tr w:rsidR="00825215" w:rsidRPr="00A43B9C" w14:paraId="2B693734" w14:textId="77777777" w:rsidTr="003F0A73">
        <w:trPr>
          <w:jc w:val="center"/>
        </w:trPr>
        <w:tc>
          <w:tcPr>
            <w:tcW w:w="942" w:type="pct"/>
            <w:vMerge/>
            <w:vAlign w:val="center"/>
          </w:tcPr>
          <w:p w14:paraId="661E82DE" w14:textId="77777777" w:rsidR="00825215" w:rsidRPr="00A43B9C" w:rsidRDefault="00825215" w:rsidP="007E4204">
            <w:pPr>
              <w:spacing w:after="0" w:line="240" w:lineRule="auto"/>
              <w:rPr>
                <w:rFonts w:ascii="Times New Roman" w:hAnsi="Times New Roman" w:cs="Times New Roman"/>
                <w:sz w:val="28"/>
                <w:szCs w:val="28"/>
              </w:rPr>
            </w:pPr>
          </w:p>
        </w:tc>
        <w:tc>
          <w:tcPr>
            <w:tcW w:w="831" w:type="pct"/>
            <w:vAlign w:val="center"/>
          </w:tcPr>
          <w:p w14:paraId="3B8F75A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w:t>
            </w:r>
          </w:p>
        </w:tc>
        <w:tc>
          <w:tcPr>
            <w:tcW w:w="806" w:type="pct"/>
            <w:vAlign w:val="center"/>
          </w:tcPr>
          <w:p w14:paraId="09A0B2C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0,76</w:t>
            </w:r>
          </w:p>
        </w:tc>
        <w:tc>
          <w:tcPr>
            <w:tcW w:w="807" w:type="pct"/>
            <w:vAlign w:val="center"/>
          </w:tcPr>
          <w:p w14:paraId="74F7377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0,67 – 1,01</w:t>
            </w:r>
          </w:p>
        </w:tc>
        <w:tc>
          <w:tcPr>
            <w:tcW w:w="807" w:type="pct"/>
            <w:vAlign w:val="center"/>
          </w:tcPr>
          <w:p w14:paraId="4B187CE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31</w:t>
            </w:r>
          </w:p>
        </w:tc>
        <w:tc>
          <w:tcPr>
            <w:tcW w:w="807" w:type="pct"/>
            <w:vMerge/>
          </w:tcPr>
          <w:p w14:paraId="057D1A5E"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139D45CF" w14:textId="77777777" w:rsidTr="003F0A73">
        <w:trPr>
          <w:trHeight w:val="103"/>
          <w:jc w:val="center"/>
        </w:trPr>
        <w:tc>
          <w:tcPr>
            <w:tcW w:w="942" w:type="pct"/>
            <w:vMerge/>
            <w:vAlign w:val="center"/>
          </w:tcPr>
          <w:p w14:paraId="7E77A26C" w14:textId="77777777" w:rsidR="00825215" w:rsidRPr="00A43B9C" w:rsidRDefault="00825215" w:rsidP="007E4204">
            <w:pPr>
              <w:spacing w:after="0" w:line="240" w:lineRule="auto"/>
              <w:rPr>
                <w:rFonts w:ascii="Times New Roman" w:hAnsi="Times New Roman" w:cs="Times New Roman"/>
                <w:sz w:val="28"/>
                <w:szCs w:val="28"/>
              </w:rPr>
            </w:pPr>
          </w:p>
        </w:tc>
        <w:tc>
          <w:tcPr>
            <w:tcW w:w="831" w:type="pct"/>
            <w:vAlign w:val="center"/>
          </w:tcPr>
          <w:p w14:paraId="4E9F15F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III</w:t>
            </w:r>
          </w:p>
        </w:tc>
        <w:tc>
          <w:tcPr>
            <w:tcW w:w="806" w:type="pct"/>
            <w:vAlign w:val="center"/>
          </w:tcPr>
          <w:p w14:paraId="4819E9E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0,89</w:t>
            </w:r>
          </w:p>
        </w:tc>
        <w:tc>
          <w:tcPr>
            <w:tcW w:w="807" w:type="pct"/>
            <w:vAlign w:val="center"/>
          </w:tcPr>
          <w:p w14:paraId="252F794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0,62 – 1,12</w:t>
            </w:r>
          </w:p>
        </w:tc>
        <w:tc>
          <w:tcPr>
            <w:tcW w:w="807" w:type="pct"/>
            <w:vAlign w:val="center"/>
          </w:tcPr>
          <w:p w14:paraId="294D106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27</w:t>
            </w:r>
          </w:p>
        </w:tc>
        <w:tc>
          <w:tcPr>
            <w:tcW w:w="807" w:type="pct"/>
            <w:vMerge/>
          </w:tcPr>
          <w:p w14:paraId="0C7C322B" w14:textId="77777777" w:rsidR="00825215" w:rsidRPr="00A43B9C" w:rsidRDefault="00825215" w:rsidP="007E4204">
            <w:pPr>
              <w:spacing w:after="0" w:line="240" w:lineRule="auto"/>
              <w:jc w:val="center"/>
              <w:rPr>
                <w:rFonts w:ascii="Times New Roman" w:hAnsi="Times New Roman" w:cs="Times New Roman"/>
                <w:sz w:val="28"/>
                <w:szCs w:val="28"/>
              </w:rPr>
            </w:pPr>
          </w:p>
        </w:tc>
      </w:tr>
    </w:tbl>
    <w:p w14:paraId="138BD3CB" w14:textId="6EDB682E" w:rsidR="00825215" w:rsidRPr="00A43B9C" w:rsidRDefault="00825215" w:rsidP="00825215">
      <w:pPr>
        <w:spacing w:after="0" w:line="240" w:lineRule="auto"/>
        <w:ind w:firstLine="709"/>
        <w:jc w:val="both"/>
        <w:rPr>
          <w:rFonts w:ascii="Times New Roman" w:hAnsi="Times New Roman" w:cs="Times New Roman"/>
          <w:sz w:val="28"/>
          <w:szCs w:val="28"/>
        </w:rPr>
      </w:pPr>
    </w:p>
    <w:tbl>
      <w:tblPr>
        <w:tblStyle w:val="ad"/>
        <w:tblW w:w="10908"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6"/>
        <w:gridCol w:w="3636"/>
        <w:gridCol w:w="3636"/>
      </w:tblGrid>
      <w:tr w:rsidR="007875C6" w:rsidRPr="00A43B9C" w14:paraId="40874219" w14:textId="77777777" w:rsidTr="007875C6">
        <w:tc>
          <w:tcPr>
            <w:tcW w:w="3636" w:type="dxa"/>
          </w:tcPr>
          <w:p w14:paraId="3953CE2A" w14:textId="3314A82B" w:rsidR="007875C6" w:rsidRPr="00A43B9C" w:rsidRDefault="007875C6" w:rsidP="007875C6">
            <w:pPr>
              <w:spacing w:after="0" w:line="240" w:lineRule="auto"/>
              <w:jc w:val="center"/>
              <w:rPr>
                <w:rFonts w:ascii="Times New Roman" w:hAnsi="Times New Roman" w:cs="Times New Roman"/>
                <w:sz w:val="28"/>
                <w:szCs w:val="28"/>
              </w:rPr>
            </w:pPr>
            <w:r w:rsidRPr="00A43B9C">
              <w:rPr>
                <w:noProof/>
                <w:lang w:eastAsia="ru-RU"/>
              </w:rPr>
              <w:lastRenderedPageBreak/>
              <mc:AlternateContent>
                <mc:Choice Requires="cx1">
                  <w:drawing>
                    <wp:inline distT="0" distB="0" distL="0" distR="0" wp14:anchorId="3A844C15" wp14:editId="00678448">
                      <wp:extent cx="2160000" cy="2160000"/>
                      <wp:effectExtent l="0" t="0" r="12065" b="12065"/>
                      <wp:docPr id="133" name="Диаграмма 133">
                        <a:extLst xmlns:a="http://schemas.openxmlformats.org/drawingml/2006/main">
                          <a:ext uri="{FF2B5EF4-FFF2-40B4-BE49-F238E27FC236}">
                            <a16:creationId xmlns:a16="http://schemas.microsoft.com/office/drawing/2014/main" id="{308C20CB-4BCC-429F-9F79-FEF42DCCF4A7}"/>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46"/>
                        </a:graphicData>
                      </a:graphic>
                    </wp:inline>
                  </w:drawing>
                </mc:Choice>
                <mc:Fallback>
                  <w:drawing>
                    <wp:inline distT="0" distB="0" distL="0" distR="0" wp14:anchorId="3A844C15" wp14:editId="00678448">
                      <wp:extent cx="2160000" cy="2160000"/>
                      <wp:effectExtent l="0" t="0" r="12065" b="12065"/>
                      <wp:docPr id="133" name="Диаграмма 133">
                        <a:extLst xmlns:a="http://schemas.openxmlformats.org/drawingml/2006/main">
                          <a:ext uri="{FF2B5EF4-FFF2-40B4-BE49-F238E27FC236}">
                            <a16:creationId xmlns:a16="http://schemas.microsoft.com/office/drawing/2014/main" id="{308C20CB-4BCC-429F-9F79-FEF42DCCF4A7}"/>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33" name="Диаграмма 133">
                                <a:extLst>
                                  <a:ext uri="{FF2B5EF4-FFF2-40B4-BE49-F238E27FC236}">
                                    <a16:creationId xmlns:a16="http://schemas.microsoft.com/office/drawing/2014/main" id="{308C20CB-4BCC-429F-9F79-FEF42DCCF4A7}"/>
                                  </a:ext>
                                </a:extLst>
                              </pic:cNvPr>
                              <pic:cNvPicPr>
                                <a:picLocks noGrp="1" noRot="1" noChangeAspect="1" noMove="1" noResize="1" noEditPoints="1" noAdjustHandles="1" noChangeArrowheads="1" noChangeShapeType="1"/>
                              </pic:cNvPicPr>
                            </pic:nvPicPr>
                            <pic:blipFill>
                              <a:blip r:embed="rId255"/>
                              <a:stretch>
                                <a:fillRect/>
                              </a:stretch>
                            </pic:blipFill>
                            <pic:spPr>
                              <a:xfrm>
                                <a:off x="0" y="0"/>
                                <a:ext cx="2159635" cy="2159635"/>
                              </a:xfrm>
                              <a:prstGeom prst="rect">
                                <a:avLst/>
                              </a:prstGeom>
                            </pic:spPr>
                          </pic:pic>
                        </a:graphicData>
                      </a:graphic>
                    </wp:inline>
                  </w:drawing>
                </mc:Fallback>
              </mc:AlternateContent>
            </w:r>
          </w:p>
        </w:tc>
        <w:tc>
          <w:tcPr>
            <w:tcW w:w="3636" w:type="dxa"/>
          </w:tcPr>
          <w:p w14:paraId="5F18FCBE" w14:textId="0B0D8D53" w:rsidR="007875C6" w:rsidRPr="00A43B9C" w:rsidRDefault="007875C6" w:rsidP="007875C6">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21F3500B" wp14:editId="0E5273E4">
                      <wp:extent cx="2160000" cy="2160000"/>
                      <wp:effectExtent l="0" t="0" r="12065" b="12065"/>
                      <wp:docPr id="134" name="Диаграмма 134">
                        <a:extLst xmlns:a="http://schemas.openxmlformats.org/drawingml/2006/main">
                          <a:ext uri="{FF2B5EF4-FFF2-40B4-BE49-F238E27FC236}">
                            <a16:creationId xmlns:a16="http://schemas.microsoft.com/office/drawing/2014/main" id="{4A3B0493-0B03-400A-A376-EE0F7E8EAE80}"/>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56"/>
                        </a:graphicData>
                      </a:graphic>
                    </wp:inline>
                  </w:drawing>
                </mc:Choice>
                <mc:Fallback>
                  <w:drawing>
                    <wp:inline distT="0" distB="0" distL="0" distR="0" wp14:anchorId="21F3500B" wp14:editId="0E5273E4">
                      <wp:extent cx="2160000" cy="2160000"/>
                      <wp:effectExtent l="0" t="0" r="12065" b="12065"/>
                      <wp:docPr id="134" name="Диаграмма 134">
                        <a:extLst xmlns:a="http://schemas.openxmlformats.org/drawingml/2006/main">
                          <a:ext uri="{FF2B5EF4-FFF2-40B4-BE49-F238E27FC236}">
                            <a16:creationId xmlns:a16="http://schemas.microsoft.com/office/drawing/2014/main" id="{4A3B0493-0B03-400A-A376-EE0F7E8EAE80}"/>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34" name="Диаграмма 134">
                                <a:extLst>
                                  <a:ext uri="{FF2B5EF4-FFF2-40B4-BE49-F238E27FC236}">
                                    <a16:creationId xmlns:a16="http://schemas.microsoft.com/office/drawing/2014/main" id="{4A3B0493-0B03-400A-A376-EE0F7E8EAE80}"/>
                                  </a:ext>
                                </a:extLst>
                              </pic:cNvPr>
                              <pic:cNvPicPr>
                                <a:picLocks noGrp="1" noRot="1" noChangeAspect="1" noMove="1" noResize="1" noEditPoints="1" noAdjustHandles="1" noChangeArrowheads="1" noChangeShapeType="1"/>
                              </pic:cNvPicPr>
                            </pic:nvPicPr>
                            <pic:blipFill>
                              <a:blip r:embed="rId257"/>
                              <a:stretch>
                                <a:fillRect/>
                              </a:stretch>
                            </pic:blipFill>
                            <pic:spPr>
                              <a:xfrm>
                                <a:off x="0" y="0"/>
                                <a:ext cx="2159635" cy="2159635"/>
                              </a:xfrm>
                              <a:prstGeom prst="rect">
                                <a:avLst/>
                              </a:prstGeom>
                            </pic:spPr>
                          </pic:pic>
                        </a:graphicData>
                      </a:graphic>
                    </wp:inline>
                  </w:drawing>
                </mc:Fallback>
              </mc:AlternateContent>
            </w:r>
          </w:p>
        </w:tc>
        <w:tc>
          <w:tcPr>
            <w:tcW w:w="3636" w:type="dxa"/>
          </w:tcPr>
          <w:p w14:paraId="5CA4FCE8" w14:textId="54420FA4" w:rsidR="007875C6" w:rsidRPr="00A43B9C" w:rsidRDefault="007875C6" w:rsidP="007875C6">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055EF76D" wp14:editId="2746B2D7">
                      <wp:extent cx="2160000" cy="2160000"/>
                      <wp:effectExtent l="0" t="0" r="12065" b="12065"/>
                      <wp:docPr id="135" name="Диаграмма 135">
                        <a:extLst xmlns:a="http://schemas.openxmlformats.org/drawingml/2006/main">
                          <a:ext uri="{FF2B5EF4-FFF2-40B4-BE49-F238E27FC236}">
                            <a16:creationId xmlns:a16="http://schemas.microsoft.com/office/drawing/2014/main" id="{D2627607-2A6C-4200-A2C8-E1A1B2210104}"/>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58"/>
                        </a:graphicData>
                      </a:graphic>
                    </wp:inline>
                  </w:drawing>
                </mc:Choice>
                <mc:Fallback>
                  <w:drawing>
                    <wp:inline distT="0" distB="0" distL="0" distR="0" wp14:anchorId="055EF76D" wp14:editId="2746B2D7">
                      <wp:extent cx="2160000" cy="2160000"/>
                      <wp:effectExtent l="0" t="0" r="12065" b="12065"/>
                      <wp:docPr id="135" name="Диаграмма 135">
                        <a:extLst xmlns:a="http://schemas.openxmlformats.org/drawingml/2006/main">
                          <a:ext uri="{FF2B5EF4-FFF2-40B4-BE49-F238E27FC236}">
                            <a16:creationId xmlns:a16="http://schemas.microsoft.com/office/drawing/2014/main" id="{D2627607-2A6C-4200-A2C8-E1A1B2210104}"/>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35" name="Диаграмма 135">
                                <a:extLst>
                                  <a:ext uri="{FF2B5EF4-FFF2-40B4-BE49-F238E27FC236}">
                                    <a16:creationId xmlns:a16="http://schemas.microsoft.com/office/drawing/2014/main" id="{D2627607-2A6C-4200-A2C8-E1A1B2210104}"/>
                                  </a:ext>
                                </a:extLst>
                              </pic:cNvPr>
                              <pic:cNvPicPr>
                                <a:picLocks noGrp="1" noRot="1" noChangeAspect="1" noMove="1" noResize="1" noEditPoints="1" noAdjustHandles="1" noChangeArrowheads="1" noChangeShapeType="1"/>
                              </pic:cNvPicPr>
                            </pic:nvPicPr>
                            <pic:blipFill>
                              <a:blip r:embed="rId259"/>
                              <a:stretch>
                                <a:fillRect/>
                              </a:stretch>
                            </pic:blipFill>
                            <pic:spPr>
                              <a:xfrm>
                                <a:off x="0" y="0"/>
                                <a:ext cx="2159635" cy="2159635"/>
                              </a:xfrm>
                              <a:prstGeom prst="rect">
                                <a:avLst/>
                              </a:prstGeom>
                            </pic:spPr>
                          </pic:pic>
                        </a:graphicData>
                      </a:graphic>
                    </wp:inline>
                  </w:drawing>
                </mc:Fallback>
              </mc:AlternateContent>
            </w:r>
          </w:p>
        </w:tc>
      </w:tr>
      <w:tr w:rsidR="00316240" w:rsidRPr="00B25E66" w14:paraId="350D6116" w14:textId="77777777" w:rsidTr="007875C6">
        <w:tc>
          <w:tcPr>
            <w:tcW w:w="3636" w:type="dxa"/>
          </w:tcPr>
          <w:p w14:paraId="1FFF8F8D" w14:textId="08C60B91" w:rsidR="00316240" w:rsidRPr="00B25E66" w:rsidRDefault="00316240" w:rsidP="00316240">
            <w:pPr>
              <w:spacing w:after="0" w:line="240" w:lineRule="auto"/>
              <w:jc w:val="center"/>
              <w:rPr>
                <w:rFonts w:ascii="Times New Roman" w:hAnsi="Times New Roman" w:cs="Times New Roman"/>
                <w:sz w:val="24"/>
                <w:szCs w:val="24"/>
                <w:lang w:val="en-US"/>
              </w:rPr>
            </w:pPr>
            <w:r w:rsidRPr="00B25E66">
              <w:rPr>
                <w:rFonts w:ascii="Times New Roman" w:hAnsi="Times New Roman" w:cs="Times New Roman"/>
                <w:sz w:val="24"/>
                <w:szCs w:val="24"/>
              </w:rPr>
              <w:t>а)</w:t>
            </w:r>
            <w:r w:rsidR="00B25E66" w:rsidRPr="00B25E66">
              <w:rPr>
                <w:rFonts w:ascii="Times New Roman" w:hAnsi="Times New Roman" w:cs="Times New Roman"/>
                <w:sz w:val="24"/>
                <w:szCs w:val="24"/>
              </w:rPr>
              <w:t xml:space="preserve"> Локализация </w:t>
            </w:r>
            <w:r w:rsidR="00B25E66" w:rsidRPr="00B25E66">
              <w:rPr>
                <w:rFonts w:ascii="Times New Roman" w:hAnsi="Times New Roman" w:cs="Times New Roman"/>
                <w:sz w:val="24"/>
                <w:szCs w:val="24"/>
                <w:lang w:val="en-US"/>
              </w:rPr>
              <w:t>RE</w:t>
            </w:r>
          </w:p>
        </w:tc>
        <w:tc>
          <w:tcPr>
            <w:tcW w:w="3636" w:type="dxa"/>
          </w:tcPr>
          <w:p w14:paraId="2A32DF3A" w14:textId="680FEA69" w:rsidR="00316240" w:rsidRPr="00B25E66" w:rsidRDefault="00316240" w:rsidP="00316240">
            <w:pPr>
              <w:spacing w:after="0" w:line="240" w:lineRule="auto"/>
              <w:jc w:val="center"/>
              <w:rPr>
                <w:rFonts w:ascii="Times New Roman" w:hAnsi="Times New Roman" w:cs="Times New Roman"/>
                <w:sz w:val="24"/>
                <w:szCs w:val="24"/>
                <w:lang w:val="en-US"/>
              </w:rPr>
            </w:pPr>
            <w:r w:rsidRPr="00B25E66">
              <w:rPr>
                <w:rFonts w:ascii="Times New Roman" w:hAnsi="Times New Roman" w:cs="Times New Roman"/>
                <w:sz w:val="24"/>
                <w:szCs w:val="24"/>
              </w:rPr>
              <w:t>б)</w:t>
            </w:r>
            <w:r w:rsidR="00B25E66" w:rsidRPr="00B25E66">
              <w:rPr>
                <w:rFonts w:ascii="Times New Roman" w:hAnsi="Times New Roman" w:cs="Times New Roman"/>
                <w:sz w:val="24"/>
                <w:szCs w:val="24"/>
              </w:rPr>
              <w:t xml:space="preserve"> Локализация</w:t>
            </w:r>
            <w:r w:rsidR="00B25E66" w:rsidRPr="00B25E66">
              <w:rPr>
                <w:rFonts w:ascii="Times New Roman" w:hAnsi="Times New Roman" w:cs="Times New Roman"/>
                <w:sz w:val="24"/>
                <w:szCs w:val="24"/>
                <w:lang w:val="en-US"/>
              </w:rPr>
              <w:t xml:space="preserve"> RLH</w:t>
            </w:r>
          </w:p>
        </w:tc>
        <w:tc>
          <w:tcPr>
            <w:tcW w:w="3636" w:type="dxa"/>
          </w:tcPr>
          <w:p w14:paraId="7CAA8716" w14:textId="21C7B0C2" w:rsidR="00316240" w:rsidRPr="00B25E66" w:rsidRDefault="00316240" w:rsidP="00316240">
            <w:pPr>
              <w:spacing w:after="0" w:line="240" w:lineRule="auto"/>
              <w:jc w:val="center"/>
              <w:rPr>
                <w:rFonts w:ascii="Times New Roman" w:hAnsi="Times New Roman" w:cs="Times New Roman"/>
                <w:sz w:val="24"/>
                <w:szCs w:val="24"/>
                <w:lang w:val="en-US"/>
              </w:rPr>
            </w:pPr>
            <w:r w:rsidRPr="00B25E66">
              <w:rPr>
                <w:rFonts w:ascii="Times New Roman" w:hAnsi="Times New Roman" w:cs="Times New Roman"/>
                <w:sz w:val="24"/>
                <w:szCs w:val="24"/>
              </w:rPr>
              <w:t>в)</w:t>
            </w:r>
            <w:r w:rsidR="00B25E66" w:rsidRPr="00B25E66">
              <w:rPr>
                <w:rFonts w:ascii="Times New Roman" w:hAnsi="Times New Roman" w:cs="Times New Roman"/>
                <w:sz w:val="24"/>
                <w:szCs w:val="24"/>
              </w:rPr>
              <w:t xml:space="preserve"> Локализация</w:t>
            </w:r>
            <w:r w:rsidR="00B25E66" w:rsidRPr="00B25E66">
              <w:rPr>
                <w:rFonts w:ascii="Times New Roman" w:hAnsi="Times New Roman" w:cs="Times New Roman"/>
                <w:sz w:val="24"/>
                <w:szCs w:val="24"/>
                <w:lang w:val="en-US"/>
              </w:rPr>
              <w:t xml:space="preserve"> RRL</w:t>
            </w:r>
          </w:p>
        </w:tc>
      </w:tr>
      <w:tr w:rsidR="007875C6" w:rsidRPr="00A43B9C" w14:paraId="6BC8F96D" w14:textId="77777777" w:rsidTr="007875C6">
        <w:tc>
          <w:tcPr>
            <w:tcW w:w="3636" w:type="dxa"/>
          </w:tcPr>
          <w:p w14:paraId="5D5259D7" w14:textId="524CE0B4" w:rsidR="007875C6" w:rsidRPr="00A43B9C" w:rsidRDefault="007875C6" w:rsidP="007875C6">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6A553660" wp14:editId="6213EAAC">
                      <wp:extent cx="2160000" cy="2160000"/>
                      <wp:effectExtent l="0" t="0" r="12065" b="12065"/>
                      <wp:docPr id="113" name="Диаграмма 113">
                        <a:extLst xmlns:a="http://schemas.openxmlformats.org/drawingml/2006/main">
                          <a:ext uri="{FF2B5EF4-FFF2-40B4-BE49-F238E27FC236}">
                            <a16:creationId xmlns:a16="http://schemas.microsoft.com/office/drawing/2014/main" id="{0601D915-E4B7-4248-B50E-6919753112AD}"/>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60"/>
                        </a:graphicData>
                      </a:graphic>
                    </wp:inline>
                  </w:drawing>
                </mc:Choice>
                <mc:Fallback>
                  <w:drawing>
                    <wp:inline distT="0" distB="0" distL="0" distR="0" wp14:anchorId="6A553660" wp14:editId="6213EAAC">
                      <wp:extent cx="2160000" cy="2160000"/>
                      <wp:effectExtent l="0" t="0" r="12065" b="12065"/>
                      <wp:docPr id="113" name="Диаграмма 113">
                        <a:extLst xmlns:a="http://schemas.openxmlformats.org/drawingml/2006/main">
                          <a:ext uri="{FF2B5EF4-FFF2-40B4-BE49-F238E27FC236}">
                            <a16:creationId xmlns:a16="http://schemas.microsoft.com/office/drawing/2014/main" id="{0601D915-E4B7-4248-B50E-6919753112AD}"/>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13" name="Диаграмма 113">
                                <a:extLst>
                                  <a:ext uri="{FF2B5EF4-FFF2-40B4-BE49-F238E27FC236}">
                                    <a16:creationId xmlns:a16="http://schemas.microsoft.com/office/drawing/2014/main" id="{0601D915-E4B7-4248-B50E-6919753112AD}"/>
                                  </a:ext>
                                </a:extLst>
                              </pic:cNvPr>
                              <pic:cNvPicPr>
                                <a:picLocks noGrp="1" noRot="1" noChangeAspect="1" noMove="1" noResize="1" noEditPoints="1" noAdjustHandles="1" noChangeArrowheads="1" noChangeShapeType="1"/>
                              </pic:cNvPicPr>
                            </pic:nvPicPr>
                            <pic:blipFill>
                              <a:blip r:embed="rId261"/>
                              <a:stretch>
                                <a:fillRect/>
                              </a:stretch>
                            </pic:blipFill>
                            <pic:spPr>
                              <a:xfrm>
                                <a:off x="0" y="0"/>
                                <a:ext cx="2159635" cy="2159635"/>
                              </a:xfrm>
                              <a:prstGeom prst="rect">
                                <a:avLst/>
                              </a:prstGeom>
                            </pic:spPr>
                          </pic:pic>
                        </a:graphicData>
                      </a:graphic>
                    </wp:inline>
                  </w:drawing>
                </mc:Fallback>
              </mc:AlternateContent>
            </w:r>
          </w:p>
        </w:tc>
        <w:tc>
          <w:tcPr>
            <w:tcW w:w="3636" w:type="dxa"/>
          </w:tcPr>
          <w:p w14:paraId="3B4D6692" w14:textId="630B7478" w:rsidR="007875C6" w:rsidRPr="00A43B9C" w:rsidRDefault="007875C6" w:rsidP="007875C6">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49801AB3" wp14:editId="528D2F93">
                      <wp:extent cx="2160000" cy="2160000"/>
                      <wp:effectExtent l="0" t="0" r="12065" b="12065"/>
                      <wp:docPr id="136" name="Диаграмма 136">
                        <a:extLst xmlns:a="http://schemas.openxmlformats.org/drawingml/2006/main">
                          <a:ext uri="{FF2B5EF4-FFF2-40B4-BE49-F238E27FC236}">
                            <a16:creationId xmlns:a16="http://schemas.microsoft.com/office/drawing/2014/main" id="{D542FD53-2955-4D9D-80C5-E1A831108B2E}"/>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62"/>
                        </a:graphicData>
                      </a:graphic>
                    </wp:inline>
                  </w:drawing>
                </mc:Choice>
                <mc:Fallback>
                  <w:drawing>
                    <wp:inline distT="0" distB="0" distL="0" distR="0" wp14:anchorId="49801AB3" wp14:editId="528D2F93">
                      <wp:extent cx="2160000" cy="2160000"/>
                      <wp:effectExtent l="0" t="0" r="12065" b="12065"/>
                      <wp:docPr id="136" name="Диаграмма 136">
                        <a:extLst xmlns:a="http://schemas.openxmlformats.org/drawingml/2006/main">
                          <a:ext uri="{FF2B5EF4-FFF2-40B4-BE49-F238E27FC236}">
                            <a16:creationId xmlns:a16="http://schemas.microsoft.com/office/drawing/2014/main" id="{D542FD53-2955-4D9D-80C5-E1A831108B2E}"/>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36" name="Диаграмма 136">
                                <a:extLst>
                                  <a:ext uri="{FF2B5EF4-FFF2-40B4-BE49-F238E27FC236}">
                                    <a16:creationId xmlns:a16="http://schemas.microsoft.com/office/drawing/2014/main" id="{D542FD53-2955-4D9D-80C5-E1A831108B2E}"/>
                                  </a:ext>
                                </a:extLst>
                              </pic:cNvPr>
                              <pic:cNvPicPr>
                                <a:picLocks noGrp="1" noRot="1" noChangeAspect="1" noMove="1" noResize="1" noEditPoints="1" noAdjustHandles="1" noChangeArrowheads="1" noChangeShapeType="1"/>
                              </pic:cNvPicPr>
                            </pic:nvPicPr>
                            <pic:blipFill>
                              <a:blip r:embed="rId263"/>
                              <a:stretch>
                                <a:fillRect/>
                              </a:stretch>
                            </pic:blipFill>
                            <pic:spPr>
                              <a:xfrm>
                                <a:off x="0" y="0"/>
                                <a:ext cx="2159635" cy="2159635"/>
                              </a:xfrm>
                              <a:prstGeom prst="rect">
                                <a:avLst/>
                              </a:prstGeom>
                            </pic:spPr>
                          </pic:pic>
                        </a:graphicData>
                      </a:graphic>
                    </wp:inline>
                  </w:drawing>
                </mc:Fallback>
              </mc:AlternateContent>
            </w:r>
          </w:p>
        </w:tc>
        <w:tc>
          <w:tcPr>
            <w:tcW w:w="3636" w:type="dxa"/>
          </w:tcPr>
          <w:p w14:paraId="2364C43C" w14:textId="683EAD3F" w:rsidR="007875C6" w:rsidRPr="00A43B9C" w:rsidRDefault="007875C6" w:rsidP="007875C6">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47894B5D" wp14:editId="791D03D3">
                      <wp:extent cx="2160000" cy="2160000"/>
                      <wp:effectExtent l="0" t="0" r="12065" b="12065"/>
                      <wp:docPr id="137" name="Диаграмма 137">
                        <a:extLst xmlns:a="http://schemas.openxmlformats.org/drawingml/2006/main">
                          <a:ext uri="{FF2B5EF4-FFF2-40B4-BE49-F238E27FC236}">
                            <a16:creationId xmlns:a16="http://schemas.microsoft.com/office/drawing/2014/main" id="{965AAEEC-9EEF-48A8-874A-6C05BD4043D5}"/>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64"/>
                        </a:graphicData>
                      </a:graphic>
                    </wp:inline>
                  </w:drawing>
                </mc:Choice>
                <mc:Fallback>
                  <w:drawing>
                    <wp:inline distT="0" distB="0" distL="0" distR="0" wp14:anchorId="47894B5D" wp14:editId="791D03D3">
                      <wp:extent cx="2160000" cy="2160000"/>
                      <wp:effectExtent l="0" t="0" r="12065" b="12065"/>
                      <wp:docPr id="137" name="Диаграмма 137">
                        <a:extLst xmlns:a="http://schemas.openxmlformats.org/drawingml/2006/main">
                          <a:ext uri="{FF2B5EF4-FFF2-40B4-BE49-F238E27FC236}">
                            <a16:creationId xmlns:a16="http://schemas.microsoft.com/office/drawing/2014/main" id="{965AAEEC-9EEF-48A8-874A-6C05BD4043D5}"/>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37" name="Диаграмма 137">
                                <a:extLst>
                                  <a:ext uri="{FF2B5EF4-FFF2-40B4-BE49-F238E27FC236}">
                                    <a16:creationId xmlns:a16="http://schemas.microsoft.com/office/drawing/2014/main" id="{965AAEEC-9EEF-48A8-874A-6C05BD4043D5}"/>
                                  </a:ext>
                                </a:extLst>
                              </pic:cNvPr>
                              <pic:cNvPicPr>
                                <a:picLocks noGrp="1" noRot="1" noChangeAspect="1" noMove="1" noResize="1" noEditPoints="1" noAdjustHandles="1" noChangeArrowheads="1" noChangeShapeType="1"/>
                              </pic:cNvPicPr>
                            </pic:nvPicPr>
                            <pic:blipFill>
                              <a:blip r:embed="rId265"/>
                              <a:stretch>
                                <a:fillRect/>
                              </a:stretch>
                            </pic:blipFill>
                            <pic:spPr>
                              <a:xfrm>
                                <a:off x="0" y="0"/>
                                <a:ext cx="2159635" cy="2159635"/>
                              </a:xfrm>
                              <a:prstGeom prst="rect">
                                <a:avLst/>
                              </a:prstGeom>
                            </pic:spPr>
                          </pic:pic>
                        </a:graphicData>
                      </a:graphic>
                    </wp:inline>
                  </w:drawing>
                </mc:Fallback>
              </mc:AlternateContent>
            </w:r>
          </w:p>
        </w:tc>
      </w:tr>
      <w:tr w:rsidR="00316240" w:rsidRPr="00B25E66" w14:paraId="349F5EFF" w14:textId="77777777" w:rsidTr="007875C6">
        <w:tc>
          <w:tcPr>
            <w:tcW w:w="3636" w:type="dxa"/>
          </w:tcPr>
          <w:p w14:paraId="1815BD51" w14:textId="48F22248" w:rsidR="00316240" w:rsidRPr="00B25E66" w:rsidRDefault="00316240" w:rsidP="00316240">
            <w:pPr>
              <w:spacing w:after="0" w:line="240" w:lineRule="auto"/>
              <w:jc w:val="center"/>
              <w:rPr>
                <w:rFonts w:ascii="Times New Roman" w:hAnsi="Times New Roman" w:cs="Times New Roman"/>
                <w:sz w:val="24"/>
                <w:szCs w:val="24"/>
                <w:lang w:val="en-US"/>
              </w:rPr>
            </w:pPr>
            <w:r w:rsidRPr="00B25E66">
              <w:rPr>
                <w:rFonts w:ascii="Times New Roman" w:hAnsi="Times New Roman" w:cs="Times New Roman"/>
                <w:sz w:val="24"/>
                <w:szCs w:val="24"/>
              </w:rPr>
              <w:t>г)</w:t>
            </w:r>
            <w:r w:rsidR="00B25E66" w:rsidRPr="00B25E66">
              <w:rPr>
                <w:rFonts w:ascii="Times New Roman" w:hAnsi="Times New Roman" w:cs="Times New Roman"/>
                <w:sz w:val="24"/>
                <w:szCs w:val="24"/>
              </w:rPr>
              <w:t xml:space="preserve"> Локализация</w:t>
            </w:r>
            <w:r w:rsidR="00B25E66" w:rsidRPr="00B25E66">
              <w:rPr>
                <w:rFonts w:ascii="Times New Roman" w:hAnsi="Times New Roman" w:cs="Times New Roman"/>
                <w:sz w:val="24"/>
                <w:szCs w:val="24"/>
                <w:lang w:val="en-US"/>
              </w:rPr>
              <w:t xml:space="preserve"> RU</w:t>
            </w:r>
          </w:p>
        </w:tc>
        <w:tc>
          <w:tcPr>
            <w:tcW w:w="3636" w:type="dxa"/>
          </w:tcPr>
          <w:p w14:paraId="150C8380" w14:textId="756EA58F" w:rsidR="00316240" w:rsidRPr="00B25E66" w:rsidRDefault="00316240" w:rsidP="00316240">
            <w:pPr>
              <w:spacing w:after="0" w:line="240" w:lineRule="auto"/>
              <w:jc w:val="center"/>
              <w:rPr>
                <w:rFonts w:ascii="Times New Roman" w:hAnsi="Times New Roman" w:cs="Times New Roman"/>
                <w:sz w:val="24"/>
                <w:szCs w:val="24"/>
                <w:lang w:val="en-US"/>
              </w:rPr>
            </w:pPr>
            <w:r w:rsidRPr="00B25E66">
              <w:rPr>
                <w:rFonts w:ascii="Times New Roman" w:hAnsi="Times New Roman" w:cs="Times New Roman"/>
                <w:sz w:val="24"/>
                <w:szCs w:val="24"/>
              </w:rPr>
              <w:t>д)</w:t>
            </w:r>
            <w:r w:rsidR="00B25E66" w:rsidRPr="00B25E66">
              <w:rPr>
                <w:rFonts w:ascii="Times New Roman" w:hAnsi="Times New Roman" w:cs="Times New Roman"/>
                <w:sz w:val="24"/>
                <w:szCs w:val="24"/>
              </w:rPr>
              <w:t xml:space="preserve"> Локализация</w:t>
            </w:r>
            <w:r w:rsidR="00B25E66" w:rsidRPr="00B25E66">
              <w:rPr>
                <w:rFonts w:ascii="Times New Roman" w:hAnsi="Times New Roman" w:cs="Times New Roman"/>
                <w:sz w:val="24"/>
                <w:szCs w:val="24"/>
                <w:lang w:val="en-US"/>
              </w:rPr>
              <w:t xml:space="preserve"> RLL</w:t>
            </w:r>
          </w:p>
        </w:tc>
        <w:tc>
          <w:tcPr>
            <w:tcW w:w="3636" w:type="dxa"/>
          </w:tcPr>
          <w:p w14:paraId="1C1D8C62" w14:textId="1F45F603" w:rsidR="00316240" w:rsidRPr="00B25E66" w:rsidRDefault="00316240" w:rsidP="00316240">
            <w:pPr>
              <w:spacing w:after="0" w:line="240" w:lineRule="auto"/>
              <w:jc w:val="center"/>
              <w:rPr>
                <w:rFonts w:ascii="Times New Roman" w:hAnsi="Times New Roman" w:cs="Times New Roman"/>
                <w:sz w:val="24"/>
                <w:szCs w:val="24"/>
                <w:lang w:val="en-US"/>
              </w:rPr>
            </w:pPr>
            <w:r w:rsidRPr="00B25E66">
              <w:rPr>
                <w:rFonts w:ascii="Times New Roman" w:hAnsi="Times New Roman" w:cs="Times New Roman"/>
                <w:sz w:val="24"/>
                <w:szCs w:val="24"/>
              </w:rPr>
              <w:t>е)</w:t>
            </w:r>
            <w:r w:rsidR="00B25E66" w:rsidRPr="00B25E66">
              <w:rPr>
                <w:rFonts w:ascii="Times New Roman" w:hAnsi="Times New Roman" w:cs="Times New Roman"/>
                <w:sz w:val="24"/>
                <w:szCs w:val="24"/>
              </w:rPr>
              <w:t xml:space="preserve"> Локализация</w:t>
            </w:r>
            <w:r w:rsidR="00B25E66" w:rsidRPr="00B25E66">
              <w:rPr>
                <w:rFonts w:ascii="Times New Roman" w:hAnsi="Times New Roman" w:cs="Times New Roman"/>
                <w:sz w:val="24"/>
                <w:szCs w:val="24"/>
                <w:lang w:val="en-US"/>
              </w:rPr>
              <w:t xml:space="preserve"> RRI</w:t>
            </w:r>
          </w:p>
        </w:tc>
      </w:tr>
      <w:tr w:rsidR="007875C6" w:rsidRPr="00A43B9C" w14:paraId="7CDE3D37" w14:textId="77777777" w:rsidTr="007875C6">
        <w:tc>
          <w:tcPr>
            <w:tcW w:w="3636" w:type="dxa"/>
          </w:tcPr>
          <w:p w14:paraId="610C3CD8" w14:textId="7BDC8D43" w:rsidR="007875C6" w:rsidRPr="00A43B9C" w:rsidRDefault="007875C6" w:rsidP="007875C6">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57243E4C" wp14:editId="2476C64C">
                      <wp:extent cx="2160000" cy="2160000"/>
                      <wp:effectExtent l="0" t="0" r="12065" b="12065"/>
                      <wp:docPr id="138" name="Диаграмма 138">
                        <a:extLst xmlns:a="http://schemas.openxmlformats.org/drawingml/2006/main">
                          <a:ext uri="{FF2B5EF4-FFF2-40B4-BE49-F238E27FC236}">
                            <a16:creationId xmlns:a16="http://schemas.microsoft.com/office/drawing/2014/main" id="{E881CE81-AFE1-4496-8AF7-A7903CBF4C37}"/>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66"/>
                        </a:graphicData>
                      </a:graphic>
                    </wp:inline>
                  </w:drawing>
                </mc:Choice>
                <mc:Fallback>
                  <w:drawing>
                    <wp:inline distT="0" distB="0" distL="0" distR="0" wp14:anchorId="57243E4C" wp14:editId="2476C64C">
                      <wp:extent cx="2160000" cy="2160000"/>
                      <wp:effectExtent l="0" t="0" r="12065" b="12065"/>
                      <wp:docPr id="138" name="Диаграмма 138">
                        <a:extLst xmlns:a="http://schemas.openxmlformats.org/drawingml/2006/main">
                          <a:ext uri="{FF2B5EF4-FFF2-40B4-BE49-F238E27FC236}">
                            <a16:creationId xmlns:a16="http://schemas.microsoft.com/office/drawing/2014/main" id="{E881CE81-AFE1-4496-8AF7-A7903CBF4C37}"/>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38" name="Диаграмма 138">
                                <a:extLst>
                                  <a:ext uri="{FF2B5EF4-FFF2-40B4-BE49-F238E27FC236}">
                                    <a16:creationId xmlns:a16="http://schemas.microsoft.com/office/drawing/2014/main" id="{E881CE81-AFE1-4496-8AF7-A7903CBF4C37}"/>
                                  </a:ext>
                                </a:extLst>
                              </pic:cNvPr>
                              <pic:cNvPicPr>
                                <a:picLocks noGrp="1" noRot="1" noChangeAspect="1" noMove="1" noResize="1" noEditPoints="1" noAdjustHandles="1" noChangeArrowheads="1" noChangeShapeType="1"/>
                              </pic:cNvPicPr>
                            </pic:nvPicPr>
                            <pic:blipFill>
                              <a:blip r:embed="rId267"/>
                              <a:stretch>
                                <a:fillRect/>
                              </a:stretch>
                            </pic:blipFill>
                            <pic:spPr>
                              <a:xfrm>
                                <a:off x="0" y="0"/>
                                <a:ext cx="2159635" cy="2159635"/>
                              </a:xfrm>
                              <a:prstGeom prst="rect">
                                <a:avLst/>
                              </a:prstGeom>
                            </pic:spPr>
                          </pic:pic>
                        </a:graphicData>
                      </a:graphic>
                    </wp:inline>
                  </w:drawing>
                </mc:Fallback>
              </mc:AlternateContent>
            </w:r>
          </w:p>
        </w:tc>
        <w:tc>
          <w:tcPr>
            <w:tcW w:w="3636" w:type="dxa"/>
          </w:tcPr>
          <w:p w14:paraId="2D870D00" w14:textId="4D733549" w:rsidR="007875C6" w:rsidRPr="00A43B9C" w:rsidRDefault="007875C6" w:rsidP="007875C6">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57D016F9" wp14:editId="650E260C">
                      <wp:extent cx="2160000" cy="2160000"/>
                      <wp:effectExtent l="0" t="0" r="12065" b="12065"/>
                      <wp:docPr id="277" name="Диаграмма 277">
                        <a:extLst xmlns:a="http://schemas.openxmlformats.org/drawingml/2006/main">
                          <a:ext uri="{FF2B5EF4-FFF2-40B4-BE49-F238E27FC236}">
                            <a16:creationId xmlns:a16="http://schemas.microsoft.com/office/drawing/2014/main" id="{D35AFC37-2228-497C-A577-D4B950648C19}"/>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68"/>
                        </a:graphicData>
                      </a:graphic>
                    </wp:inline>
                  </w:drawing>
                </mc:Choice>
                <mc:Fallback>
                  <w:drawing>
                    <wp:inline distT="0" distB="0" distL="0" distR="0" wp14:anchorId="57D016F9" wp14:editId="650E260C">
                      <wp:extent cx="2160000" cy="2160000"/>
                      <wp:effectExtent l="0" t="0" r="12065" b="12065"/>
                      <wp:docPr id="277" name="Диаграмма 277">
                        <a:extLst xmlns:a="http://schemas.openxmlformats.org/drawingml/2006/main">
                          <a:ext uri="{FF2B5EF4-FFF2-40B4-BE49-F238E27FC236}">
                            <a16:creationId xmlns:a16="http://schemas.microsoft.com/office/drawing/2014/main" id="{D35AFC37-2228-497C-A577-D4B950648C19}"/>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77" name="Диаграмма 277">
                                <a:extLst>
                                  <a:ext uri="{FF2B5EF4-FFF2-40B4-BE49-F238E27FC236}">
                                    <a16:creationId xmlns:a16="http://schemas.microsoft.com/office/drawing/2014/main" id="{D35AFC37-2228-497C-A577-D4B950648C19}"/>
                                  </a:ext>
                                </a:extLst>
                              </pic:cNvPr>
                              <pic:cNvPicPr>
                                <a:picLocks noGrp="1" noRot="1" noChangeAspect="1" noMove="1" noResize="1" noEditPoints="1" noAdjustHandles="1" noChangeArrowheads="1" noChangeShapeType="1"/>
                              </pic:cNvPicPr>
                            </pic:nvPicPr>
                            <pic:blipFill>
                              <a:blip r:embed="rId269"/>
                              <a:stretch>
                                <a:fillRect/>
                              </a:stretch>
                            </pic:blipFill>
                            <pic:spPr>
                              <a:xfrm>
                                <a:off x="0" y="0"/>
                                <a:ext cx="2159635" cy="2159635"/>
                              </a:xfrm>
                              <a:prstGeom prst="rect">
                                <a:avLst/>
                              </a:prstGeom>
                            </pic:spPr>
                          </pic:pic>
                        </a:graphicData>
                      </a:graphic>
                    </wp:inline>
                  </w:drawing>
                </mc:Fallback>
              </mc:AlternateContent>
            </w:r>
          </w:p>
        </w:tc>
        <w:tc>
          <w:tcPr>
            <w:tcW w:w="3636" w:type="dxa"/>
          </w:tcPr>
          <w:p w14:paraId="310A8D5F" w14:textId="0F538352" w:rsidR="007875C6" w:rsidRPr="00A43B9C" w:rsidRDefault="007875C6" w:rsidP="007875C6">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11E19132" wp14:editId="158BEBAE">
                      <wp:extent cx="2160000" cy="2160000"/>
                      <wp:effectExtent l="0" t="0" r="12065" b="12065"/>
                      <wp:docPr id="278" name="Диаграмма 278">
                        <a:extLst xmlns:a="http://schemas.openxmlformats.org/drawingml/2006/main">
                          <a:ext uri="{FF2B5EF4-FFF2-40B4-BE49-F238E27FC236}">
                            <a16:creationId xmlns:a16="http://schemas.microsoft.com/office/drawing/2014/main" id="{8FFCF0C5-E003-4660-94FB-D70A0D147D2D}"/>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70"/>
                        </a:graphicData>
                      </a:graphic>
                    </wp:inline>
                  </w:drawing>
                </mc:Choice>
                <mc:Fallback>
                  <w:drawing>
                    <wp:inline distT="0" distB="0" distL="0" distR="0" wp14:anchorId="11E19132" wp14:editId="158BEBAE">
                      <wp:extent cx="2160000" cy="2160000"/>
                      <wp:effectExtent l="0" t="0" r="12065" b="12065"/>
                      <wp:docPr id="278" name="Диаграмма 278">
                        <a:extLst xmlns:a="http://schemas.openxmlformats.org/drawingml/2006/main">
                          <a:ext uri="{FF2B5EF4-FFF2-40B4-BE49-F238E27FC236}">
                            <a16:creationId xmlns:a16="http://schemas.microsoft.com/office/drawing/2014/main" id="{8FFCF0C5-E003-4660-94FB-D70A0D147D2D}"/>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78" name="Диаграмма 278">
                                <a:extLst>
                                  <a:ext uri="{FF2B5EF4-FFF2-40B4-BE49-F238E27FC236}">
                                    <a16:creationId xmlns:a16="http://schemas.microsoft.com/office/drawing/2014/main" id="{8FFCF0C5-E003-4660-94FB-D70A0D147D2D}"/>
                                  </a:ext>
                                </a:extLst>
                              </pic:cNvPr>
                              <pic:cNvPicPr>
                                <a:picLocks noGrp="1" noRot="1" noChangeAspect="1" noMove="1" noResize="1" noEditPoints="1" noAdjustHandles="1" noChangeArrowheads="1" noChangeShapeType="1"/>
                              </pic:cNvPicPr>
                            </pic:nvPicPr>
                            <pic:blipFill>
                              <a:blip r:embed="rId271"/>
                              <a:stretch>
                                <a:fillRect/>
                              </a:stretch>
                            </pic:blipFill>
                            <pic:spPr>
                              <a:xfrm>
                                <a:off x="0" y="0"/>
                                <a:ext cx="2159635" cy="2159635"/>
                              </a:xfrm>
                              <a:prstGeom prst="rect">
                                <a:avLst/>
                              </a:prstGeom>
                            </pic:spPr>
                          </pic:pic>
                        </a:graphicData>
                      </a:graphic>
                    </wp:inline>
                  </w:drawing>
                </mc:Fallback>
              </mc:AlternateContent>
            </w:r>
          </w:p>
        </w:tc>
      </w:tr>
      <w:tr w:rsidR="00316240" w:rsidRPr="00B25E66" w14:paraId="47F795BF" w14:textId="77777777" w:rsidTr="007875C6">
        <w:tc>
          <w:tcPr>
            <w:tcW w:w="3636" w:type="dxa"/>
          </w:tcPr>
          <w:p w14:paraId="74DF60A9" w14:textId="780B437C" w:rsidR="00316240" w:rsidRPr="00B25E66" w:rsidRDefault="00316240" w:rsidP="00316240">
            <w:pPr>
              <w:spacing w:after="0" w:line="240" w:lineRule="auto"/>
              <w:jc w:val="center"/>
              <w:rPr>
                <w:rFonts w:ascii="Times New Roman" w:hAnsi="Times New Roman" w:cs="Times New Roman"/>
                <w:sz w:val="24"/>
                <w:szCs w:val="24"/>
                <w:lang w:val="en-US"/>
              </w:rPr>
            </w:pPr>
            <w:r w:rsidRPr="00B25E66">
              <w:rPr>
                <w:rFonts w:ascii="Times New Roman" w:hAnsi="Times New Roman" w:cs="Times New Roman"/>
                <w:sz w:val="24"/>
                <w:szCs w:val="24"/>
              </w:rPr>
              <w:t>ж)</w:t>
            </w:r>
            <w:r w:rsidR="00B25E66" w:rsidRPr="00B25E66">
              <w:rPr>
                <w:rFonts w:ascii="Times New Roman" w:hAnsi="Times New Roman" w:cs="Times New Roman"/>
                <w:sz w:val="24"/>
                <w:szCs w:val="24"/>
              </w:rPr>
              <w:t xml:space="preserve"> Локализация</w:t>
            </w:r>
            <w:r w:rsidR="00B25E66" w:rsidRPr="00B25E66">
              <w:rPr>
                <w:rFonts w:ascii="Times New Roman" w:hAnsi="Times New Roman" w:cs="Times New Roman"/>
                <w:sz w:val="24"/>
                <w:szCs w:val="24"/>
                <w:lang w:val="en-US"/>
              </w:rPr>
              <w:t xml:space="preserve"> RP</w:t>
            </w:r>
          </w:p>
        </w:tc>
        <w:tc>
          <w:tcPr>
            <w:tcW w:w="3636" w:type="dxa"/>
          </w:tcPr>
          <w:p w14:paraId="388C3300" w14:textId="1252FD1B" w:rsidR="00316240" w:rsidRPr="00B25E66" w:rsidRDefault="00316240" w:rsidP="00316240">
            <w:pPr>
              <w:spacing w:after="0" w:line="240" w:lineRule="auto"/>
              <w:jc w:val="center"/>
              <w:rPr>
                <w:rFonts w:ascii="Times New Roman" w:hAnsi="Times New Roman" w:cs="Times New Roman"/>
                <w:sz w:val="24"/>
                <w:szCs w:val="24"/>
                <w:lang w:val="en-US"/>
              </w:rPr>
            </w:pPr>
            <w:r w:rsidRPr="00B25E66">
              <w:rPr>
                <w:rFonts w:ascii="Times New Roman" w:hAnsi="Times New Roman" w:cs="Times New Roman"/>
                <w:sz w:val="24"/>
                <w:szCs w:val="24"/>
              </w:rPr>
              <w:t>к)</w:t>
            </w:r>
            <w:r w:rsidR="00B25E66" w:rsidRPr="00B25E66">
              <w:rPr>
                <w:rFonts w:ascii="Times New Roman" w:hAnsi="Times New Roman" w:cs="Times New Roman"/>
                <w:sz w:val="24"/>
                <w:szCs w:val="24"/>
              </w:rPr>
              <w:t xml:space="preserve"> Локализация</w:t>
            </w:r>
            <w:r w:rsidR="00B25E66" w:rsidRPr="00B25E66">
              <w:rPr>
                <w:rFonts w:ascii="Times New Roman" w:hAnsi="Times New Roman" w:cs="Times New Roman"/>
                <w:sz w:val="24"/>
                <w:szCs w:val="24"/>
                <w:lang w:val="en-US"/>
              </w:rPr>
              <w:t xml:space="preserve"> RLI</w:t>
            </w:r>
          </w:p>
        </w:tc>
        <w:tc>
          <w:tcPr>
            <w:tcW w:w="3636" w:type="dxa"/>
          </w:tcPr>
          <w:p w14:paraId="758D475C" w14:textId="55CF5D55" w:rsidR="00316240" w:rsidRPr="00B25E66" w:rsidRDefault="00316240" w:rsidP="00316240">
            <w:pPr>
              <w:spacing w:after="0" w:line="240" w:lineRule="auto"/>
              <w:jc w:val="center"/>
              <w:rPr>
                <w:rFonts w:ascii="Times New Roman" w:hAnsi="Times New Roman" w:cs="Times New Roman"/>
                <w:sz w:val="24"/>
                <w:szCs w:val="24"/>
                <w:lang w:val="en-US"/>
              </w:rPr>
            </w:pPr>
            <w:r w:rsidRPr="00B25E66">
              <w:rPr>
                <w:rFonts w:ascii="Times New Roman" w:hAnsi="Times New Roman" w:cs="Times New Roman"/>
                <w:sz w:val="24"/>
                <w:szCs w:val="24"/>
              </w:rPr>
              <w:t>л)</w:t>
            </w:r>
            <w:r w:rsidR="00B25E66" w:rsidRPr="00B25E66">
              <w:rPr>
                <w:rFonts w:ascii="Times New Roman" w:hAnsi="Times New Roman" w:cs="Times New Roman"/>
                <w:sz w:val="24"/>
                <w:szCs w:val="24"/>
              </w:rPr>
              <w:t xml:space="preserve"> Локализация</w:t>
            </w:r>
            <w:r w:rsidR="00B25E66" w:rsidRPr="00B25E66">
              <w:rPr>
                <w:rFonts w:ascii="Times New Roman" w:hAnsi="Times New Roman" w:cs="Times New Roman"/>
                <w:sz w:val="24"/>
                <w:szCs w:val="24"/>
                <w:lang w:val="en-US"/>
              </w:rPr>
              <w:t xml:space="preserve"> P</w:t>
            </w:r>
          </w:p>
        </w:tc>
      </w:tr>
    </w:tbl>
    <w:p w14:paraId="198A2F05" w14:textId="77777777" w:rsidR="00B25E66" w:rsidRDefault="00B25E66" w:rsidP="007875C6">
      <w:pPr>
        <w:spacing w:after="0" w:line="240" w:lineRule="auto"/>
        <w:ind w:firstLine="709"/>
        <w:jc w:val="center"/>
        <w:rPr>
          <w:rFonts w:ascii="Times New Roman" w:hAnsi="Times New Roman" w:cs="Times New Roman"/>
          <w:sz w:val="28"/>
          <w:szCs w:val="28"/>
        </w:rPr>
      </w:pPr>
    </w:p>
    <w:p w14:paraId="0038AE03" w14:textId="0F3C5B60" w:rsidR="007875C6" w:rsidRPr="00A43B9C" w:rsidRDefault="007875C6" w:rsidP="007875C6">
      <w:pPr>
        <w:spacing w:after="0" w:line="240" w:lineRule="auto"/>
        <w:ind w:firstLine="709"/>
        <w:jc w:val="center"/>
        <w:rPr>
          <w:rFonts w:ascii="Times New Roman" w:hAnsi="Times New Roman" w:cs="Times New Roman"/>
          <w:sz w:val="28"/>
          <w:szCs w:val="28"/>
        </w:rPr>
      </w:pPr>
      <w:r w:rsidRPr="00A43B9C">
        <w:rPr>
          <w:rFonts w:ascii="Times New Roman" w:hAnsi="Times New Roman" w:cs="Times New Roman"/>
          <w:sz w:val="28"/>
          <w:szCs w:val="28"/>
        </w:rPr>
        <w:t xml:space="preserve">Рисунок </w:t>
      </w:r>
      <w:r w:rsidR="001A1D98">
        <w:rPr>
          <w:rFonts w:ascii="Times New Roman" w:hAnsi="Times New Roman" w:cs="Times New Roman"/>
          <w:sz w:val="28"/>
          <w:szCs w:val="28"/>
        </w:rPr>
        <w:t>41</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распределений уровня накоплени</w:t>
      </w:r>
      <w:r w:rsidR="00B336CA" w:rsidRP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зависимости от </w:t>
      </w:r>
      <w:r w:rsidRPr="00A43B9C">
        <w:rPr>
          <w:rFonts w:ascii="Times New Roman" w:hAnsi="Times New Roman" w:cs="Times New Roman"/>
          <w:sz w:val="28"/>
          <w:szCs w:val="28"/>
          <w:lang w:val="kk-KZ"/>
        </w:rPr>
        <w:t xml:space="preserve">стадии </w:t>
      </w:r>
      <w:r w:rsidRPr="00A43B9C">
        <w:rPr>
          <w:rFonts w:ascii="Times New Roman" w:hAnsi="Times New Roman" w:cs="Times New Roman"/>
          <w:sz w:val="28"/>
          <w:szCs w:val="28"/>
          <w:lang w:val="en-US"/>
        </w:rPr>
        <w:t>AJCC</w:t>
      </w:r>
      <w:r w:rsidR="00316240" w:rsidRPr="00A43B9C">
        <w:rPr>
          <w:rFonts w:ascii="Times New Roman" w:hAnsi="Times New Roman" w:cs="Times New Roman"/>
          <w:sz w:val="28"/>
          <w:szCs w:val="28"/>
        </w:rPr>
        <w:t xml:space="preserve"> по локализациям</w:t>
      </w:r>
    </w:p>
    <w:p w14:paraId="1978529A" w14:textId="77777777" w:rsidR="007875C6" w:rsidRPr="00A43B9C" w:rsidRDefault="007875C6" w:rsidP="007875C6">
      <w:pPr>
        <w:spacing w:after="0" w:line="240" w:lineRule="auto"/>
        <w:ind w:firstLine="709"/>
        <w:jc w:val="center"/>
        <w:rPr>
          <w:rFonts w:ascii="Times New Roman" w:hAnsi="Times New Roman" w:cs="Times New Roman"/>
          <w:sz w:val="28"/>
          <w:szCs w:val="28"/>
        </w:rPr>
      </w:pPr>
    </w:p>
    <w:p w14:paraId="3EADEFD1" w14:textId="4DE07A56" w:rsidR="00825215" w:rsidRPr="00A43B9C" w:rsidRDefault="00AA52D4" w:rsidP="00825215">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Также последующий анализ </w:t>
      </w:r>
      <w:r w:rsidR="00825215" w:rsidRPr="00A43B9C">
        <w:rPr>
          <w:rFonts w:ascii="Times New Roman" w:hAnsi="Times New Roman" w:cs="Times New Roman"/>
          <w:sz w:val="28"/>
          <w:szCs w:val="28"/>
        </w:rPr>
        <w:t>уровня накоплени</w:t>
      </w:r>
      <w:r w:rsidR="00B336CA" w:rsidRPr="00A43B9C">
        <w:rPr>
          <w:rFonts w:ascii="Times New Roman" w:hAnsi="Times New Roman" w:cs="Times New Roman"/>
          <w:sz w:val="28"/>
          <w:szCs w:val="28"/>
        </w:rPr>
        <w:t>я</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SUV</w:t>
      </w:r>
      <w:r w:rsidR="00825215" w:rsidRPr="00A43B9C">
        <w:rPr>
          <w:rFonts w:ascii="Times New Roman" w:hAnsi="Times New Roman" w:cs="Times New Roman"/>
          <w:sz w:val="28"/>
          <w:szCs w:val="28"/>
          <w:vertAlign w:val="subscript"/>
          <w:lang w:val="en-US"/>
        </w:rPr>
        <w:t>max</w:t>
      </w:r>
      <w:r w:rsidR="00825215" w:rsidRPr="00A43B9C">
        <w:rPr>
          <w:rFonts w:ascii="Times New Roman" w:hAnsi="Times New Roman" w:cs="Times New Roman"/>
          <w:sz w:val="28"/>
          <w:szCs w:val="28"/>
          <w:lang w:val="kk-KZ"/>
        </w:rPr>
        <w:t xml:space="preserve"> в зависимости от </w:t>
      </w:r>
      <w:r w:rsidR="00825215" w:rsidRPr="00A43B9C">
        <w:rPr>
          <w:rFonts w:ascii="Times New Roman" w:hAnsi="Times New Roman" w:cs="Times New Roman"/>
          <w:sz w:val="28"/>
          <w:szCs w:val="28"/>
        </w:rPr>
        <w:t xml:space="preserve">гистологического типа опухоли (аденокарциномы) </w:t>
      </w:r>
      <w:r w:rsidR="006E1ADA" w:rsidRPr="00A43B9C">
        <w:rPr>
          <w:rFonts w:ascii="Times New Roman" w:hAnsi="Times New Roman" w:cs="Times New Roman"/>
          <w:sz w:val="28"/>
          <w:szCs w:val="28"/>
        </w:rPr>
        <w:t xml:space="preserve">(таблица 31) </w:t>
      </w:r>
      <w:r w:rsidR="00825215" w:rsidRPr="00A43B9C">
        <w:rPr>
          <w:rFonts w:ascii="Times New Roman" w:hAnsi="Times New Roman" w:cs="Times New Roman"/>
          <w:sz w:val="28"/>
          <w:szCs w:val="28"/>
          <w:lang w:val="kk-KZ"/>
        </w:rPr>
        <w:t xml:space="preserve">статистически значимых различий не установил </w:t>
      </w:r>
      <w:r w:rsidRPr="00A43B9C">
        <w:rPr>
          <w:rFonts w:ascii="Times New Roman" w:hAnsi="Times New Roman" w:cs="Times New Roman"/>
          <w:sz w:val="28"/>
          <w:szCs w:val="28"/>
          <w:lang w:val="kk-KZ"/>
        </w:rPr>
        <w:t xml:space="preserve">ни </w:t>
      </w:r>
      <w:r w:rsidR="00825215" w:rsidRPr="00A43B9C">
        <w:rPr>
          <w:rFonts w:ascii="Times New Roman" w:hAnsi="Times New Roman" w:cs="Times New Roman"/>
          <w:sz w:val="28"/>
          <w:szCs w:val="28"/>
          <w:lang w:val="kk-KZ"/>
        </w:rPr>
        <w:t xml:space="preserve">для </w:t>
      </w:r>
      <w:r w:rsidRPr="00A43B9C">
        <w:rPr>
          <w:rFonts w:ascii="Times New Roman" w:hAnsi="Times New Roman" w:cs="Times New Roman"/>
          <w:sz w:val="28"/>
          <w:szCs w:val="28"/>
        </w:rPr>
        <w:t xml:space="preserve">одной из </w:t>
      </w:r>
      <w:r w:rsidR="00825215" w:rsidRPr="00A43B9C">
        <w:rPr>
          <w:rFonts w:ascii="Times New Roman" w:hAnsi="Times New Roman" w:cs="Times New Roman"/>
          <w:sz w:val="28"/>
          <w:szCs w:val="28"/>
          <w:lang w:val="kk-KZ"/>
        </w:rPr>
        <w:t xml:space="preserve">локализаций </w:t>
      </w:r>
      <w:r w:rsidR="006E1ADA" w:rsidRPr="00A43B9C">
        <w:rPr>
          <w:rFonts w:ascii="Times New Roman" w:hAnsi="Times New Roman" w:cs="Times New Roman"/>
          <w:sz w:val="28"/>
          <w:szCs w:val="28"/>
          <w:lang w:val="kk-KZ"/>
        </w:rPr>
        <w:t>(рисунок 4</w:t>
      </w:r>
      <w:r w:rsidR="00EA5E8C">
        <w:rPr>
          <w:rFonts w:ascii="Times New Roman" w:hAnsi="Times New Roman" w:cs="Times New Roman"/>
          <w:sz w:val="28"/>
          <w:szCs w:val="28"/>
          <w:lang w:val="kk-KZ"/>
        </w:rPr>
        <w:t>2</w:t>
      </w:r>
      <w:r w:rsidR="006E1ADA" w:rsidRPr="00A43B9C">
        <w:rPr>
          <w:rFonts w:ascii="Times New Roman" w:hAnsi="Times New Roman" w:cs="Times New Roman"/>
          <w:sz w:val="28"/>
          <w:szCs w:val="28"/>
          <w:lang w:val="kk-KZ"/>
        </w:rPr>
        <w:t>)</w:t>
      </w:r>
      <w:r w:rsidRPr="00A43B9C">
        <w:rPr>
          <w:rFonts w:ascii="Times New Roman" w:hAnsi="Times New Roman" w:cs="Times New Roman"/>
          <w:sz w:val="28"/>
          <w:szCs w:val="28"/>
          <w:lang w:val="kk-KZ"/>
        </w:rPr>
        <w:t xml:space="preserve"> (</w:t>
      </w:r>
      <w:r w:rsidR="00825215" w:rsidRPr="00A43B9C">
        <w:rPr>
          <w:rFonts w:ascii="Times New Roman" w:hAnsi="Times New Roman" w:cs="Times New Roman"/>
          <w:sz w:val="28"/>
          <w:szCs w:val="28"/>
          <w:lang w:val="en-US"/>
        </w:rPr>
        <w:t>RE</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0,929), </w:t>
      </w:r>
      <w:r w:rsidR="00825215" w:rsidRPr="00A43B9C">
        <w:rPr>
          <w:rFonts w:ascii="Times New Roman" w:hAnsi="Times New Roman" w:cs="Times New Roman"/>
          <w:sz w:val="28"/>
          <w:szCs w:val="28"/>
          <w:lang w:val="en-US"/>
        </w:rPr>
        <w:t>RLH</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0,682), </w:t>
      </w:r>
      <w:r w:rsidR="00825215" w:rsidRPr="00A43B9C">
        <w:rPr>
          <w:rFonts w:ascii="Times New Roman" w:hAnsi="Times New Roman" w:cs="Times New Roman"/>
          <w:sz w:val="28"/>
          <w:szCs w:val="28"/>
          <w:lang w:val="en-US"/>
        </w:rPr>
        <w:t>RRL</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0,959), </w:t>
      </w:r>
      <w:r w:rsidR="00825215" w:rsidRPr="00A43B9C">
        <w:rPr>
          <w:rFonts w:ascii="Times New Roman" w:hAnsi="Times New Roman" w:cs="Times New Roman"/>
          <w:sz w:val="28"/>
          <w:szCs w:val="28"/>
          <w:lang w:val="en-US"/>
        </w:rPr>
        <w:t>RU</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0,274), </w:t>
      </w:r>
      <w:r w:rsidR="00825215" w:rsidRPr="00A43B9C">
        <w:rPr>
          <w:rFonts w:ascii="Times New Roman" w:hAnsi="Times New Roman" w:cs="Times New Roman"/>
          <w:sz w:val="28"/>
          <w:szCs w:val="28"/>
          <w:lang w:val="en-US"/>
        </w:rPr>
        <w:t>RLL</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0,383), </w:t>
      </w:r>
      <w:r w:rsidR="00825215" w:rsidRPr="00A43B9C">
        <w:rPr>
          <w:rFonts w:ascii="Times New Roman" w:hAnsi="Times New Roman" w:cs="Times New Roman"/>
          <w:sz w:val="28"/>
          <w:szCs w:val="28"/>
          <w:lang w:val="en-US"/>
        </w:rPr>
        <w:t>RRI</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0,871), </w:t>
      </w:r>
      <w:r w:rsidR="00825215" w:rsidRPr="00A43B9C">
        <w:rPr>
          <w:rFonts w:ascii="Times New Roman" w:hAnsi="Times New Roman" w:cs="Times New Roman"/>
          <w:sz w:val="28"/>
          <w:szCs w:val="28"/>
          <w:lang w:val="en-US"/>
        </w:rPr>
        <w:t>RP</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0,289), RLI (p = 0,340), P (p = 0,653)</w:t>
      </w:r>
      <w:r w:rsidRPr="00A43B9C">
        <w:rPr>
          <w:rFonts w:ascii="Times New Roman" w:hAnsi="Times New Roman" w:cs="Times New Roman"/>
          <w:sz w:val="28"/>
          <w:szCs w:val="28"/>
        </w:rPr>
        <w:t>)</w:t>
      </w:r>
      <w:r w:rsidR="00825215" w:rsidRPr="00A43B9C">
        <w:rPr>
          <w:rFonts w:ascii="Times New Roman" w:hAnsi="Times New Roman" w:cs="Times New Roman"/>
          <w:sz w:val="28"/>
          <w:szCs w:val="28"/>
        </w:rPr>
        <w:t>.</w:t>
      </w:r>
    </w:p>
    <w:p w14:paraId="31D5F733" w14:textId="77777777" w:rsidR="00825215" w:rsidRPr="00A43B9C" w:rsidRDefault="00825215" w:rsidP="00825215">
      <w:pPr>
        <w:spacing w:after="0" w:line="240" w:lineRule="auto"/>
        <w:ind w:firstLine="709"/>
        <w:jc w:val="both"/>
        <w:rPr>
          <w:rFonts w:ascii="Times New Roman" w:hAnsi="Times New Roman" w:cs="Times New Roman"/>
          <w:sz w:val="28"/>
          <w:szCs w:val="28"/>
        </w:rPr>
      </w:pPr>
    </w:p>
    <w:p w14:paraId="787923EF" w14:textId="2487558E" w:rsidR="00825215"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lastRenderedPageBreak/>
        <w:t>Таблица 31 -</w:t>
      </w:r>
      <w:r w:rsidR="00825215" w:rsidRPr="00A43B9C">
        <w:rPr>
          <w:rFonts w:ascii="Times New Roman" w:hAnsi="Times New Roman" w:cs="Times New Roman"/>
          <w:sz w:val="28"/>
          <w:szCs w:val="28"/>
        </w:rPr>
        <w:t xml:space="preserve"> Анализ распределений уровня накоплени</w:t>
      </w:r>
      <w:r w:rsidR="00B336CA" w:rsidRPr="00A43B9C">
        <w:rPr>
          <w:rFonts w:ascii="Times New Roman" w:hAnsi="Times New Roman" w:cs="Times New Roman"/>
          <w:sz w:val="28"/>
          <w:szCs w:val="28"/>
        </w:rPr>
        <w:t>я</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SUV</w:t>
      </w:r>
      <w:r w:rsidR="00825215" w:rsidRPr="00A43B9C">
        <w:rPr>
          <w:rFonts w:ascii="Times New Roman" w:hAnsi="Times New Roman" w:cs="Times New Roman"/>
          <w:sz w:val="28"/>
          <w:szCs w:val="28"/>
          <w:vertAlign w:val="subscript"/>
          <w:lang w:val="en-US"/>
        </w:rPr>
        <w:t>max</w:t>
      </w:r>
      <w:r w:rsidR="00825215" w:rsidRPr="00A43B9C">
        <w:rPr>
          <w:rFonts w:ascii="Times New Roman" w:hAnsi="Times New Roman" w:cs="Times New Roman"/>
          <w:sz w:val="28"/>
          <w:szCs w:val="28"/>
        </w:rPr>
        <w:t xml:space="preserve"> в зависимости от гистологического типа опухоли (аденокарциномы)</w:t>
      </w:r>
    </w:p>
    <w:p w14:paraId="170E06A2"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5000" w:type="pct"/>
        <w:jc w:val="center"/>
        <w:tblLook w:val="04A0" w:firstRow="1" w:lastRow="0" w:firstColumn="1" w:lastColumn="0" w:noHBand="0" w:noVBand="1"/>
      </w:tblPr>
      <w:tblGrid>
        <w:gridCol w:w="2592"/>
        <w:gridCol w:w="2134"/>
        <w:gridCol w:w="1039"/>
        <w:gridCol w:w="1600"/>
        <w:gridCol w:w="731"/>
        <w:gridCol w:w="1248"/>
      </w:tblGrid>
      <w:tr w:rsidR="00825215" w:rsidRPr="00A43B9C" w14:paraId="6C7FDF32" w14:textId="77777777" w:rsidTr="003F0A73">
        <w:trPr>
          <w:jc w:val="center"/>
        </w:trPr>
        <w:tc>
          <w:tcPr>
            <w:tcW w:w="1387" w:type="pct"/>
            <w:vAlign w:val="center"/>
          </w:tcPr>
          <w:p w14:paraId="655C59C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Локализация</w:t>
            </w:r>
          </w:p>
        </w:tc>
        <w:tc>
          <w:tcPr>
            <w:tcW w:w="1142" w:type="pct"/>
            <w:vAlign w:val="center"/>
          </w:tcPr>
          <w:p w14:paraId="22ED564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Категория</w:t>
            </w:r>
          </w:p>
        </w:tc>
        <w:tc>
          <w:tcPr>
            <w:tcW w:w="556" w:type="pct"/>
            <w:vAlign w:val="center"/>
          </w:tcPr>
          <w:p w14:paraId="0612B41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Me</w:t>
            </w:r>
          </w:p>
        </w:tc>
        <w:tc>
          <w:tcPr>
            <w:tcW w:w="856" w:type="pct"/>
            <w:vAlign w:val="center"/>
          </w:tcPr>
          <w:p w14:paraId="16946E5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Q₁ – Q₃</w:t>
            </w:r>
          </w:p>
        </w:tc>
        <w:tc>
          <w:tcPr>
            <w:tcW w:w="391" w:type="pct"/>
            <w:vAlign w:val="center"/>
          </w:tcPr>
          <w:p w14:paraId="575AB79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p>
        </w:tc>
        <w:tc>
          <w:tcPr>
            <w:tcW w:w="667" w:type="pct"/>
            <w:vAlign w:val="center"/>
          </w:tcPr>
          <w:p w14:paraId="4E429CA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w:t>
            </w:r>
          </w:p>
        </w:tc>
      </w:tr>
      <w:tr w:rsidR="00825215" w:rsidRPr="00A43B9C" w14:paraId="00CE3AD4" w14:textId="77777777" w:rsidTr="003F0A73">
        <w:trPr>
          <w:jc w:val="center"/>
        </w:trPr>
        <w:tc>
          <w:tcPr>
            <w:tcW w:w="1387" w:type="pct"/>
            <w:vMerge w:val="restart"/>
            <w:vAlign w:val="center"/>
          </w:tcPr>
          <w:p w14:paraId="00A2740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RE</w:t>
            </w:r>
          </w:p>
        </w:tc>
        <w:tc>
          <w:tcPr>
            <w:tcW w:w="1142" w:type="pct"/>
            <w:vAlign w:val="center"/>
          </w:tcPr>
          <w:p w14:paraId="734A1BE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w:t>
            </w:r>
          </w:p>
        </w:tc>
        <w:tc>
          <w:tcPr>
            <w:tcW w:w="556" w:type="pct"/>
            <w:vAlign w:val="center"/>
          </w:tcPr>
          <w:p w14:paraId="7D1DC50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0,77</w:t>
            </w:r>
          </w:p>
        </w:tc>
        <w:tc>
          <w:tcPr>
            <w:tcW w:w="856" w:type="pct"/>
            <w:vAlign w:val="center"/>
          </w:tcPr>
          <w:p w14:paraId="7A1BE3C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0,54 – 1,11</w:t>
            </w:r>
          </w:p>
        </w:tc>
        <w:tc>
          <w:tcPr>
            <w:tcW w:w="391" w:type="pct"/>
            <w:vAlign w:val="center"/>
          </w:tcPr>
          <w:p w14:paraId="1AFDFB1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31</w:t>
            </w:r>
          </w:p>
        </w:tc>
        <w:tc>
          <w:tcPr>
            <w:tcW w:w="667" w:type="pct"/>
            <w:vMerge w:val="restart"/>
            <w:vAlign w:val="center"/>
          </w:tcPr>
          <w:p w14:paraId="1C97A62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0,929</w:t>
            </w:r>
          </w:p>
        </w:tc>
      </w:tr>
      <w:tr w:rsidR="00825215" w:rsidRPr="00A43B9C" w14:paraId="43346559" w14:textId="77777777" w:rsidTr="003F0A73">
        <w:trPr>
          <w:jc w:val="center"/>
        </w:trPr>
        <w:tc>
          <w:tcPr>
            <w:tcW w:w="1387" w:type="pct"/>
            <w:vMerge/>
            <w:vAlign w:val="center"/>
          </w:tcPr>
          <w:p w14:paraId="02B398E2"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3EFCBC9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II</w:t>
            </w:r>
          </w:p>
        </w:tc>
        <w:tc>
          <w:tcPr>
            <w:tcW w:w="556" w:type="pct"/>
            <w:vAlign w:val="center"/>
          </w:tcPr>
          <w:p w14:paraId="00DCC65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0,74</w:t>
            </w:r>
          </w:p>
        </w:tc>
        <w:tc>
          <w:tcPr>
            <w:tcW w:w="856" w:type="pct"/>
            <w:vAlign w:val="center"/>
          </w:tcPr>
          <w:p w14:paraId="30B0AC2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0,74 – 0,74</w:t>
            </w:r>
          </w:p>
        </w:tc>
        <w:tc>
          <w:tcPr>
            <w:tcW w:w="391" w:type="pct"/>
            <w:vAlign w:val="center"/>
          </w:tcPr>
          <w:p w14:paraId="04CA0E4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p>
        </w:tc>
        <w:tc>
          <w:tcPr>
            <w:tcW w:w="667" w:type="pct"/>
            <w:vMerge/>
          </w:tcPr>
          <w:p w14:paraId="56923CD4"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002C0074" w14:textId="77777777" w:rsidTr="003F0A73">
        <w:trPr>
          <w:trHeight w:val="103"/>
          <w:jc w:val="center"/>
        </w:trPr>
        <w:tc>
          <w:tcPr>
            <w:tcW w:w="1387" w:type="pct"/>
            <w:vMerge/>
            <w:vAlign w:val="center"/>
          </w:tcPr>
          <w:p w14:paraId="4C20DEB3"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240C4AE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III</w:t>
            </w:r>
          </w:p>
        </w:tc>
        <w:tc>
          <w:tcPr>
            <w:tcW w:w="556" w:type="pct"/>
            <w:vAlign w:val="center"/>
          </w:tcPr>
          <w:p w14:paraId="06A32E0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0,80</w:t>
            </w:r>
          </w:p>
        </w:tc>
        <w:tc>
          <w:tcPr>
            <w:tcW w:w="856" w:type="pct"/>
            <w:vAlign w:val="center"/>
          </w:tcPr>
          <w:p w14:paraId="3D29AAC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0,57 – 1,01</w:t>
            </w:r>
          </w:p>
        </w:tc>
        <w:tc>
          <w:tcPr>
            <w:tcW w:w="391" w:type="pct"/>
            <w:vAlign w:val="center"/>
          </w:tcPr>
          <w:p w14:paraId="0289147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667" w:type="pct"/>
            <w:vMerge/>
          </w:tcPr>
          <w:p w14:paraId="5FE21AD3"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535C2C7A" w14:textId="77777777" w:rsidTr="003F0A73">
        <w:trPr>
          <w:trHeight w:val="103"/>
          <w:jc w:val="center"/>
        </w:trPr>
        <w:tc>
          <w:tcPr>
            <w:tcW w:w="1387" w:type="pct"/>
            <w:vMerge/>
            <w:vAlign w:val="center"/>
          </w:tcPr>
          <w:p w14:paraId="331A068F"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087A5A1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IV</w:t>
            </w:r>
          </w:p>
        </w:tc>
        <w:tc>
          <w:tcPr>
            <w:tcW w:w="556" w:type="pct"/>
            <w:vAlign w:val="center"/>
          </w:tcPr>
          <w:p w14:paraId="58DE164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0,80</w:t>
            </w:r>
          </w:p>
        </w:tc>
        <w:tc>
          <w:tcPr>
            <w:tcW w:w="856" w:type="pct"/>
            <w:vAlign w:val="center"/>
          </w:tcPr>
          <w:p w14:paraId="5B0A061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0,69 – 1,08</w:t>
            </w:r>
          </w:p>
        </w:tc>
        <w:tc>
          <w:tcPr>
            <w:tcW w:w="391" w:type="pct"/>
            <w:vAlign w:val="center"/>
          </w:tcPr>
          <w:p w14:paraId="2A98D88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20</w:t>
            </w:r>
          </w:p>
        </w:tc>
        <w:tc>
          <w:tcPr>
            <w:tcW w:w="667" w:type="pct"/>
            <w:vMerge/>
          </w:tcPr>
          <w:p w14:paraId="44B79F04"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64BC49A1" w14:textId="77777777" w:rsidTr="003F0A73">
        <w:trPr>
          <w:jc w:val="center"/>
        </w:trPr>
        <w:tc>
          <w:tcPr>
            <w:tcW w:w="1387" w:type="pct"/>
            <w:vMerge w:val="restart"/>
            <w:vAlign w:val="center"/>
          </w:tcPr>
          <w:p w14:paraId="12231DDD" w14:textId="77777777" w:rsidR="00825215" w:rsidRPr="00A43B9C" w:rsidRDefault="00825215"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RLH</w:t>
            </w:r>
          </w:p>
        </w:tc>
        <w:tc>
          <w:tcPr>
            <w:tcW w:w="1142" w:type="pct"/>
            <w:vAlign w:val="center"/>
          </w:tcPr>
          <w:p w14:paraId="683D5D1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w:t>
            </w:r>
          </w:p>
        </w:tc>
        <w:tc>
          <w:tcPr>
            <w:tcW w:w="556" w:type="pct"/>
            <w:vAlign w:val="center"/>
          </w:tcPr>
          <w:p w14:paraId="1528D88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0,62</w:t>
            </w:r>
          </w:p>
        </w:tc>
        <w:tc>
          <w:tcPr>
            <w:tcW w:w="856" w:type="pct"/>
            <w:vAlign w:val="center"/>
          </w:tcPr>
          <w:p w14:paraId="5B06999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0,49 – 1,02</w:t>
            </w:r>
          </w:p>
        </w:tc>
        <w:tc>
          <w:tcPr>
            <w:tcW w:w="391" w:type="pct"/>
            <w:vAlign w:val="center"/>
          </w:tcPr>
          <w:p w14:paraId="273F0FB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31</w:t>
            </w:r>
          </w:p>
        </w:tc>
        <w:tc>
          <w:tcPr>
            <w:tcW w:w="667" w:type="pct"/>
            <w:vMerge w:val="restart"/>
            <w:vAlign w:val="center"/>
          </w:tcPr>
          <w:p w14:paraId="3949F15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0,682</w:t>
            </w:r>
          </w:p>
        </w:tc>
      </w:tr>
      <w:tr w:rsidR="00825215" w:rsidRPr="00A43B9C" w14:paraId="5D60AE97" w14:textId="77777777" w:rsidTr="003F0A73">
        <w:trPr>
          <w:jc w:val="center"/>
        </w:trPr>
        <w:tc>
          <w:tcPr>
            <w:tcW w:w="1387" w:type="pct"/>
            <w:vMerge/>
            <w:vAlign w:val="center"/>
          </w:tcPr>
          <w:p w14:paraId="26619A14"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0960BD0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II</w:t>
            </w:r>
          </w:p>
        </w:tc>
        <w:tc>
          <w:tcPr>
            <w:tcW w:w="556" w:type="pct"/>
            <w:vAlign w:val="center"/>
          </w:tcPr>
          <w:p w14:paraId="5F4034C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0,65</w:t>
            </w:r>
          </w:p>
        </w:tc>
        <w:tc>
          <w:tcPr>
            <w:tcW w:w="856" w:type="pct"/>
            <w:vAlign w:val="center"/>
          </w:tcPr>
          <w:p w14:paraId="3D3630A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0,65 – 0,65</w:t>
            </w:r>
          </w:p>
        </w:tc>
        <w:tc>
          <w:tcPr>
            <w:tcW w:w="391" w:type="pct"/>
            <w:vAlign w:val="center"/>
          </w:tcPr>
          <w:p w14:paraId="62F4650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p>
        </w:tc>
        <w:tc>
          <w:tcPr>
            <w:tcW w:w="667" w:type="pct"/>
            <w:vMerge/>
          </w:tcPr>
          <w:p w14:paraId="54D3D35E"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0DCE1D98" w14:textId="77777777" w:rsidTr="003F0A73">
        <w:trPr>
          <w:trHeight w:val="103"/>
          <w:jc w:val="center"/>
        </w:trPr>
        <w:tc>
          <w:tcPr>
            <w:tcW w:w="1387" w:type="pct"/>
            <w:vMerge/>
            <w:vAlign w:val="center"/>
          </w:tcPr>
          <w:p w14:paraId="6116B0D8"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3E8B2E1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III</w:t>
            </w:r>
          </w:p>
        </w:tc>
        <w:tc>
          <w:tcPr>
            <w:tcW w:w="556" w:type="pct"/>
            <w:vAlign w:val="center"/>
          </w:tcPr>
          <w:p w14:paraId="7C73866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0,77</w:t>
            </w:r>
          </w:p>
        </w:tc>
        <w:tc>
          <w:tcPr>
            <w:tcW w:w="856" w:type="pct"/>
            <w:vAlign w:val="center"/>
          </w:tcPr>
          <w:p w14:paraId="76F85F7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0,65 – 0,86</w:t>
            </w:r>
          </w:p>
        </w:tc>
        <w:tc>
          <w:tcPr>
            <w:tcW w:w="391" w:type="pct"/>
            <w:vAlign w:val="center"/>
          </w:tcPr>
          <w:p w14:paraId="3173DCE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667" w:type="pct"/>
            <w:vMerge/>
          </w:tcPr>
          <w:p w14:paraId="44EE876C"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65535911" w14:textId="77777777" w:rsidTr="003F0A73">
        <w:trPr>
          <w:trHeight w:val="103"/>
          <w:jc w:val="center"/>
        </w:trPr>
        <w:tc>
          <w:tcPr>
            <w:tcW w:w="1387" w:type="pct"/>
            <w:vMerge/>
            <w:vAlign w:val="center"/>
          </w:tcPr>
          <w:p w14:paraId="3751FE27"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5F8FDEE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IV</w:t>
            </w:r>
          </w:p>
        </w:tc>
        <w:tc>
          <w:tcPr>
            <w:tcW w:w="556" w:type="pct"/>
            <w:vAlign w:val="center"/>
          </w:tcPr>
          <w:p w14:paraId="2D6741B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0,83</w:t>
            </w:r>
          </w:p>
        </w:tc>
        <w:tc>
          <w:tcPr>
            <w:tcW w:w="856" w:type="pct"/>
            <w:vAlign w:val="center"/>
          </w:tcPr>
          <w:p w14:paraId="6D512F1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0,61 – 1,09</w:t>
            </w:r>
          </w:p>
        </w:tc>
        <w:tc>
          <w:tcPr>
            <w:tcW w:w="391" w:type="pct"/>
            <w:vAlign w:val="center"/>
          </w:tcPr>
          <w:p w14:paraId="5E87AFB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20</w:t>
            </w:r>
          </w:p>
        </w:tc>
        <w:tc>
          <w:tcPr>
            <w:tcW w:w="667" w:type="pct"/>
            <w:vMerge/>
          </w:tcPr>
          <w:p w14:paraId="166CC1CB"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796CC479" w14:textId="77777777" w:rsidTr="003F0A73">
        <w:trPr>
          <w:jc w:val="center"/>
        </w:trPr>
        <w:tc>
          <w:tcPr>
            <w:tcW w:w="1387" w:type="pct"/>
            <w:vMerge w:val="restart"/>
            <w:vAlign w:val="center"/>
          </w:tcPr>
          <w:p w14:paraId="498CD697" w14:textId="77777777" w:rsidR="00825215" w:rsidRPr="00A43B9C" w:rsidRDefault="00825215"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RRL</w:t>
            </w:r>
          </w:p>
        </w:tc>
        <w:tc>
          <w:tcPr>
            <w:tcW w:w="1142" w:type="pct"/>
            <w:vAlign w:val="center"/>
          </w:tcPr>
          <w:p w14:paraId="3B112A8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w:t>
            </w:r>
          </w:p>
        </w:tc>
        <w:tc>
          <w:tcPr>
            <w:tcW w:w="556" w:type="pct"/>
            <w:vAlign w:val="center"/>
          </w:tcPr>
          <w:p w14:paraId="1C998EC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0,86</w:t>
            </w:r>
          </w:p>
        </w:tc>
        <w:tc>
          <w:tcPr>
            <w:tcW w:w="856" w:type="pct"/>
            <w:vAlign w:val="center"/>
          </w:tcPr>
          <w:p w14:paraId="4A074D4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0,68 – 1,26</w:t>
            </w:r>
          </w:p>
        </w:tc>
        <w:tc>
          <w:tcPr>
            <w:tcW w:w="391" w:type="pct"/>
            <w:vAlign w:val="center"/>
          </w:tcPr>
          <w:p w14:paraId="152D30C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31</w:t>
            </w:r>
          </w:p>
        </w:tc>
        <w:tc>
          <w:tcPr>
            <w:tcW w:w="667" w:type="pct"/>
            <w:vMerge w:val="restart"/>
            <w:vAlign w:val="center"/>
          </w:tcPr>
          <w:p w14:paraId="01B4354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0,959</w:t>
            </w:r>
          </w:p>
        </w:tc>
      </w:tr>
      <w:tr w:rsidR="00825215" w:rsidRPr="00A43B9C" w14:paraId="22179E4A" w14:textId="77777777" w:rsidTr="003F0A73">
        <w:trPr>
          <w:jc w:val="center"/>
        </w:trPr>
        <w:tc>
          <w:tcPr>
            <w:tcW w:w="1387" w:type="pct"/>
            <w:vMerge/>
            <w:vAlign w:val="center"/>
          </w:tcPr>
          <w:p w14:paraId="5CBA5470"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73462E9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II</w:t>
            </w:r>
          </w:p>
        </w:tc>
        <w:tc>
          <w:tcPr>
            <w:tcW w:w="556" w:type="pct"/>
            <w:vAlign w:val="center"/>
          </w:tcPr>
          <w:p w14:paraId="66774CB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1,03</w:t>
            </w:r>
          </w:p>
        </w:tc>
        <w:tc>
          <w:tcPr>
            <w:tcW w:w="856" w:type="pct"/>
            <w:vAlign w:val="center"/>
          </w:tcPr>
          <w:p w14:paraId="09C8243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1,03 – 1,03</w:t>
            </w:r>
          </w:p>
        </w:tc>
        <w:tc>
          <w:tcPr>
            <w:tcW w:w="391" w:type="pct"/>
            <w:vAlign w:val="center"/>
          </w:tcPr>
          <w:p w14:paraId="5E2209E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p>
        </w:tc>
        <w:tc>
          <w:tcPr>
            <w:tcW w:w="667" w:type="pct"/>
            <w:vMerge/>
          </w:tcPr>
          <w:p w14:paraId="5AE1C38B"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09AC2577" w14:textId="77777777" w:rsidTr="003F0A73">
        <w:trPr>
          <w:trHeight w:val="103"/>
          <w:jc w:val="center"/>
        </w:trPr>
        <w:tc>
          <w:tcPr>
            <w:tcW w:w="1387" w:type="pct"/>
            <w:vMerge/>
            <w:vAlign w:val="center"/>
          </w:tcPr>
          <w:p w14:paraId="7F203AD8"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127E78F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III</w:t>
            </w:r>
          </w:p>
        </w:tc>
        <w:tc>
          <w:tcPr>
            <w:tcW w:w="556" w:type="pct"/>
            <w:vAlign w:val="center"/>
          </w:tcPr>
          <w:p w14:paraId="18F459F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0,78</w:t>
            </w:r>
          </w:p>
        </w:tc>
        <w:tc>
          <w:tcPr>
            <w:tcW w:w="856" w:type="pct"/>
            <w:vAlign w:val="center"/>
          </w:tcPr>
          <w:p w14:paraId="712BA98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0,72 – 1,31</w:t>
            </w:r>
          </w:p>
        </w:tc>
        <w:tc>
          <w:tcPr>
            <w:tcW w:w="391" w:type="pct"/>
            <w:vAlign w:val="center"/>
          </w:tcPr>
          <w:p w14:paraId="3313694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667" w:type="pct"/>
            <w:vMerge/>
          </w:tcPr>
          <w:p w14:paraId="0AB98190"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26F97C28" w14:textId="77777777" w:rsidTr="003F0A73">
        <w:trPr>
          <w:trHeight w:val="103"/>
          <w:jc w:val="center"/>
        </w:trPr>
        <w:tc>
          <w:tcPr>
            <w:tcW w:w="1387" w:type="pct"/>
            <w:vMerge/>
            <w:vAlign w:val="center"/>
          </w:tcPr>
          <w:p w14:paraId="2C2609E4"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4A564A7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IV</w:t>
            </w:r>
          </w:p>
        </w:tc>
        <w:tc>
          <w:tcPr>
            <w:tcW w:w="556" w:type="pct"/>
            <w:vAlign w:val="center"/>
          </w:tcPr>
          <w:p w14:paraId="6B74955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0,84</w:t>
            </w:r>
          </w:p>
        </w:tc>
        <w:tc>
          <w:tcPr>
            <w:tcW w:w="856" w:type="pct"/>
            <w:vAlign w:val="center"/>
          </w:tcPr>
          <w:p w14:paraId="72932FE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0,73 – 1,20</w:t>
            </w:r>
          </w:p>
        </w:tc>
        <w:tc>
          <w:tcPr>
            <w:tcW w:w="391" w:type="pct"/>
            <w:vAlign w:val="center"/>
          </w:tcPr>
          <w:p w14:paraId="13A2B62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20</w:t>
            </w:r>
          </w:p>
        </w:tc>
        <w:tc>
          <w:tcPr>
            <w:tcW w:w="667" w:type="pct"/>
            <w:vMerge/>
          </w:tcPr>
          <w:p w14:paraId="6433816F"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3B80E6F1" w14:textId="77777777" w:rsidTr="003F0A73">
        <w:trPr>
          <w:jc w:val="center"/>
        </w:trPr>
        <w:tc>
          <w:tcPr>
            <w:tcW w:w="1387" w:type="pct"/>
            <w:vMerge w:val="restart"/>
            <w:vAlign w:val="center"/>
          </w:tcPr>
          <w:p w14:paraId="4C1CD589" w14:textId="77777777" w:rsidR="00825215" w:rsidRPr="00A43B9C" w:rsidRDefault="00825215"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RU</w:t>
            </w:r>
          </w:p>
        </w:tc>
        <w:tc>
          <w:tcPr>
            <w:tcW w:w="1142" w:type="pct"/>
            <w:vAlign w:val="center"/>
          </w:tcPr>
          <w:p w14:paraId="0938BBC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w:t>
            </w:r>
          </w:p>
        </w:tc>
        <w:tc>
          <w:tcPr>
            <w:tcW w:w="556" w:type="pct"/>
            <w:vAlign w:val="center"/>
          </w:tcPr>
          <w:p w14:paraId="6089181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0,70</w:t>
            </w:r>
          </w:p>
        </w:tc>
        <w:tc>
          <w:tcPr>
            <w:tcW w:w="856" w:type="pct"/>
            <w:vAlign w:val="center"/>
          </w:tcPr>
          <w:p w14:paraId="066EE15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0,55 – 1,09</w:t>
            </w:r>
          </w:p>
        </w:tc>
        <w:tc>
          <w:tcPr>
            <w:tcW w:w="391" w:type="pct"/>
            <w:vAlign w:val="center"/>
          </w:tcPr>
          <w:p w14:paraId="66C6663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31</w:t>
            </w:r>
          </w:p>
        </w:tc>
        <w:tc>
          <w:tcPr>
            <w:tcW w:w="667" w:type="pct"/>
            <w:vMerge w:val="restart"/>
            <w:vAlign w:val="center"/>
          </w:tcPr>
          <w:p w14:paraId="644B657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0,274</w:t>
            </w:r>
          </w:p>
        </w:tc>
      </w:tr>
      <w:tr w:rsidR="00825215" w:rsidRPr="00A43B9C" w14:paraId="0DC7F2C5" w14:textId="77777777" w:rsidTr="003F0A73">
        <w:trPr>
          <w:jc w:val="center"/>
        </w:trPr>
        <w:tc>
          <w:tcPr>
            <w:tcW w:w="1387" w:type="pct"/>
            <w:vMerge/>
            <w:vAlign w:val="center"/>
          </w:tcPr>
          <w:p w14:paraId="5B287B6C"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3B13D03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II</w:t>
            </w:r>
          </w:p>
        </w:tc>
        <w:tc>
          <w:tcPr>
            <w:tcW w:w="556" w:type="pct"/>
            <w:vAlign w:val="center"/>
          </w:tcPr>
          <w:p w14:paraId="022718E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1,44</w:t>
            </w:r>
          </w:p>
        </w:tc>
        <w:tc>
          <w:tcPr>
            <w:tcW w:w="856" w:type="pct"/>
            <w:vAlign w:val="center"/>
          </w:tcPr>
          <w:p w14:paraId="30F44B9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1,44 – 1,44</w:t>
            </w:r>
          </w:p>
        </w:tc>
        <w:tc>
          <w:tcPr>
            <w:tcW w:w="391" w:type="pct"/>
            <w:vAlign w:val="center"/>
          </w:tcPr>
          <w:p w14:paraId="27048D4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p>
        </w:tc>
        <w:tc>
          <w:tcPr>
            <w:tcW w:w="667" w:type="pct"/>
            <w:vMerge/>
          </w:tcPr>
          <w:p w14:paraId="74AC3707"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0E2C5EC3" w14:textId="77777777" w:rsidTr="003F0A73">
        <w:trPr>
          <w:trHeight w:val="103"/>
          <w:jc w:val="center"/>
        </w:trPr>
        <w:tc>
          <w:tcPr>
            <w:tcW w:w="1387" w:type="pct"/>
            <w:vMerge/>
            <w:vAlign w:val="center"/>
          </w:tcPr>
          <w:p w14:paraId="4AB92058"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3B1AB35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III</w:t>
            </w:r>
          </w:p>
        </w:tc>
        <w:tc>
          <w:tcPr>
            <w:tcW w:w="556" w:type="pct"/>
            <w:vAlign w:val="center"/>
          </w:tcPr>
          <w:p w14:paraId="0A5E4B7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0,92</w:t>
            </w:r>
          </w:p>
        </w:tc>
        <w:tc>
          <w:tcPr>
            <w:tcW w:w="856" w:type="pct"/>
            <w:vAlign w:val="center"/>
          </w:tcPr>
          <w:p w14:paraId="5E813B8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0,66 – 1,17</w:t>
            </w:r>
          </w:p>
        </w:tc>
        <w:tc>
          <w:tcPr>
            <w:tcW w:w="391" w:type="pct"/>
            <w:vAlign w:val="center"/>
          </w:tcPr>
          <w:p w14:paraId="1ED50E6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667" w:type="pct"/>
            <w:vMerge/>
          </w:tcPr>
          <w:p w14:paraId="6E96118E"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41B440BD" w14:textId="77777777" w:rsidTr="003F0A73">
        <w:trPr>
          <w:trHeight w:val="103"/>
          <w:jc w:val="center"/>
        </w:trPr>
        <w:tc>
          <w:tcPr>
            <w:tcW w:w="1387" w:type="pct"/>
            <w:vMerge/>
            <w:vAlign w:val="center"/>
          </w:tcPr>
          <w:p w14:paraId="573C2126"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38D0A57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IV</w:t>
            </w:r>
          </w:p>
        </w:tc>
        <w:tc>
          <w:tcPr>
            <w:tcW w:w="556" w:type="pct"/>
            <w:vAlign w:val="center"/>
          </w:tcPr>
          <w:p w14:paraId="3769A1D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0,96</w:t>
            </w:r>
          </w:p>
        </w:tc>
        <w:tc>
          <w:tcPr>
            <w:tcW w:w="856" w:type="pct"/>
            <w:vAlign w:val="center"/>
          </w:tcPr>
          <w:p w14:paraId="6A71E75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0,61 – 1,12</w:t>
            </w:r>
          </w:p>
        </w:tc>
        <w:tc>
          <w:tcPr>
            <w:tcW w:w="391" w:type="pct"/>
            <w:vAlign w:val="center"/>
          </w:tcPr>
          <w:p w14:paraId="2EC46CE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20</w:t>
            </w:r>
          </w:p>
        </w:tc>
        <w:tc>
          <w:tcPr>
            <w:tcW w:w="667" w:type="pct"/>
            <w:vMerge/>
          </w:tcPr>
          <w:p w14:paraId="40922578"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154EDF5C" w14:textId="77777777" w:rsidTr="003F0A73">
        <w:trPr>
          <w:jc w:val="center"/>
        </w:trPr>
        <w:tc>
          <w:tcPr>
            <w:tcW w:w="1387" w:type="pct"/>
            <w:vMerge w:val="restart"/>
            <w:vAlign w:val="center"/>
          </w:tcPr>
          <w:p w14:paraId="3B246BD3" w14:textId="77777777" w:rsidR="00825215" w:rsidRPr="00A43B9C" w:rsidRDefault="00825215"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RLL</w:t>
            </w:r>
          </w:p>
        </w:tc>
        <w:tc>
          <w:tcPr>
            <w:tcW w:w="1142" w:type="pct"/>
            <w:vAlign w:val="center"/>
          </w:tcPr>
          <w:p w14:paraId="7F495D5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w:t>
            </w:r>
          </w:p>
        </w:tc>
        <w:tc>
          <w:tcPr>
            <w:tcW w:w="556" w:type="pct"/>
            <w:vAlign w:val="center"/>
          </w:tcPr>
          <w:p w14:paraId="3C8E845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0,81</w:t>
            </w:r>
          </w:p>
        </w:tc>
        <w:tc>
          <w:tcPr>
            <w:tcW w:w="856" w:type="pct"/>
            <w:vAlign w:val="center"/>
          </w:tcPr>
          <w:p w14:paraId="4278884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0,63 – 1,07</w:t>
            </w:r>
          </w:p>
        </w:tc>
        <w:tc>
          <w:tcPr>
            <w:tcW w:w="391" w:type="pct"/>
            <w:vAlign w:val="center"/>
          </w:tcPr>
          <w:p w14:paraId="2510D0E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31</w:t>
            </w:r>
          </w:p>
        </w:tc>
        <w:tc>
          <w:tcPr>
            <w:tcW w:w="667" w:type="pct"/>
            <w:vMerge w:val="restart"/>
            <w:vAlign w:val="center"/>
          </w:tcPr>
          <w:p w14:paraId="112A0D5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0,383</w:t>
            </w:r>
          </w:p>
        </w:tc>
      </w:tr>
      <w:tr w:rsidR="00825215" w:rsidRPr="00A43B9C" w14:paraId="2C586517" w14:textId="77777777" w:rsidTr="003F0A73">
        <w:trPr>
          <w:jc w:val="center"/>
        </w:trPr>
        <w:tc>
          <w:tcPr>
            <w:tcW w:w="1387" w:type="pct"/>
            <w:vMerge/>
            <w:vAlign w:val="center"/>
          </w:tcPr>
          <w:p w14:paraId="0DDB7F9A"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38BAECB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II</w:t>
            </w:r>
          </w:p>
        </w:tc>
        <w:tc>
          <w:tcPr>
            <w:tcW w:w="556" w:type="pct"/>
            <w:vAlign w:val="center"/>
          </w:tcPr>
          <w:p w14:paraId="76191EE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1,53</w:t>
            </w:r>
          </w:p>
        </w:tc>
        <w:tc>
          <w:tcPr>
            <w:tcW w:w="856" w:type="pct"/>
            <w:vAlign w:val="center"/>
          </w:tcPr>
          <w:p w14:paraId="3CC32A4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1,53 – 1,53</w:t>
            </w:r>
          </w:p>
        </w:tc>
        <w:tc>
          <w:tcPr>
            <w:tcW w:w="391" w:type="pct"/>
            <w:vAlign w:val="center"/>
          </w:tcPr>
          <w:p w14:paraId="2639E5F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p>
        </w:tc>
        <w:tc>
          <w:tcPr>
            <w:tcW w:w="667" w:type="pct"/>
            <w:vMerge/>
          </w:tcPr>
          <w:p w14:paraId="16393950"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61280A30" w14:textId="77777777" w:rsidTr="003F0A73">
        <w:trPr>
          <w:trHeight w:val="103"/>
          <w:jc w:val="center"/>
        </w:trPr>
        <w:tc>
          <w:tcPr>
            <w:tcW w:w="1387" w:type="pct"/>
            <w:vMerge/>
            <w:vAlign w:val="center"/>
          </w:tcPr>
          <w:p w14:paraId="562AF194"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4882ACE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III</w:t>
            </w:r>
          </w:p>
        </w:tc>
        <w:tc>
          <w:tcPr>
            <w:tcW w:w="556" w:type="pct"/>
            <w:vAlign w:val="center"/>
          </w:tcPr>
          <w:p w14:paraId="582F261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0,92</w:t>
            </w:r>
          </w:p>
        </w:tc>
        <w:tc>
          <w:tcPr>
            <w:tcW w:w="856" w:type="pct"/>
            <w:vAlign w:val="center"/>
          </w:tcPr>
          <w:p w14:paraId="23D4AE2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0,84 – 1,00</w:t>
            </w:r>
          </w:p>
        </w:tc>
        <w:tc>
          <w:tcPr>
            <w:tcW w:w="391" w:type="pct"/>
            <w:vAlign w:val="center"/>
          </w:tcPr>
          <w:p w14:paraId="3129BC5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667" w:type="pct"/>
            <w:vMerge/>
          </w:tcPr>
          <w:p w14:paraId="292A91CC"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2FE9F845" w14:textId="77777777" w:rsidTr="003F0A73">
        <w:trPr>
          <w:trHeight w:val="103"/>
          <w:jc w:val="center"/>
        </w:trPr>
        <w:tc>
          <w:tcPr>
            <w:tcW w:w="1387" w:type="pct"/>
            <w:vMerge/>
            <w:vAlign w:val="center"/>
          </w:tcPr>
          <w:p w14:paraId="581BAD6D"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38D90E3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IV</w:t>
            </w:r>
          </w:p>
        </w:tc>
        <w:tc>
          <w:tcPr>
            <w:tcW w:w="556" w:type="pct"/>
            <w:vAlign w:val="center"/>
          </w:tcPr>
          <w:p w14:paraId="7A02D86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0,83</w:t>
            </w:r>
          </w:p>
        </w:tc>
        <w:tc>
          <w:tcPr>
            <w:tcW w:w="856" w:type="pct"/>
            <w:vAlign w:val="center"/>
          </w:tcPr>
          <w:p w14:paraId="5A34B66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0,61 – 1,04</w:t>
            </w:r>
          </w:p>
        </w:tc>
        <w:tc>
          <w:tcPr>
            <w:tcW w:w="391" w:type="pct"/>
            <w:vAlign w:val="center"/>
          </w:tcPr>
          <w:p w14:paraId="3346058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20</w:t>
            </w:r>
          </w:p>
        </w:tc>
        <w:tc>
          <w:tcPr>
            <w:tcW w:w="667" w:type="pct"/>
            <w:vMerge/>
          </w:tcPr>
          <w:p w14:paraId="204FC94B"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708A63F7" w14:textId="77777777" w:rsidTr="003F0A73">
        <w:trPr>
          <w:jc w:val="center"/>
        </w:trPr>
        <w:tc>
          <w:tcPr>
            <w:tcW w:w="1387" w:type="pct"/>
            <w:vMerge w:val="restart"/>
            <w:vAlign w:val="center"/>
          </w:tcPr>
          <w:p w14:paraId="3DE6477B" w14:textId="77777777" w:rsidR="00825215" w:rsidRPr="00A43B9C" w:rsidRDefault="00825215"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RRI</w:t>
            </w:r>
          </w:p>
        </w:tc>
        <w:tc>
          <w:tcPr>
            <w:tcW w:w="1142" w:type="pct"/>
            <w:vAlign w:val="center"/>
          </w:tcPr>
          <w:p w14:paraId="4651206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w:t>
            </w:r>
          </w:p>
        </w:tc>
        <w:tc>
          <w:tcPr>
            <w:tcW w:w="556" w:type="pct"/>
            <w:vAlign w:val="center"/>
          </w:tcPr>
          <w:p w14:paraId="3155371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0,73</w:t>
            </w:r>
          </w:p>
        </w:tc>
        <w:tc>
          <w:tcPr>
            <w:tcW w:w="856" w:type="pct"/>
            <w:vAlign w:val="center"/>
          </w:tcPr>
          <w:p w14:paraId="2D2FF44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0,52 – 1,04</w:t>
            </w:r>
          </w:p>
        </w:tc>
        <w:tc>
          <w:tcPr>
            <w:tcW w:w="391" w:type="pct"/>
            <w:vAlign w:val="center"/>
          </w:tcPr>
          <w:p w14:paraId="23BB301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31</w:t>
            </w:r>
          </w:p>
        </w:tc>
        <w:tc>
          <w:tcPr>
            <w:tcW w:w="667" w:type="pct"/>
            <w:vMerge w:val="restart"/>
            <w:vAlign w:val="center"/>
          </w:tcPr>
          <w:p w14:paraId="5F30DC9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0,871</w:t>
            </w:r>
          </w:p>
        </w:tc>
      </w:tr>
      <w:tr w:rsidR="00825215" w:rsidRPr="00A43B9C" w14:paraId="3950A533" w14:textId="77777777" w:rsidTr="003F0A73">
        <w:trPr>
          <w:jc w:val="center"/>
        </w:trPr>
        <w:tc>
          <w:tcPr>
            <w:tcW w:w="1387" w:type="pct"/>
            <w:vMerge/>
            <w:vAlign w:val="center"/>
          </w:tcPr>
          <w:p w14:paraId="0829EAE7"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4B25503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II</w:t>
            </w:r>
          </w:p>
        </w:tc>
        <w:tc>
          <w:tcPr>
            <w:tcW w:w="556" w:type="pct"/>
            <w:vAlign w:val="center"/>
          </w:tcPr>
          <w:p w14:paraId="718460C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0,91</w:t>
            </w:r>
          </w:p>
        </w:tc>
        <w:tc>
          <w:tcPr>
            <w:tcW w:w="856" w:type="pct"/>
            <w:vAlign w:val="center"/>
          </w:tcPr>
          <w:p w14:paraId="7E8238C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0,91 – 0,91</w:t>
            </w:r>
          </w:p>
        </w:tc>
        <w:tc>
          <w:tcPr>
            <w:tcW w:w="391" w:type="pct"/>
            <w:vAlign w:val="center"/>
          </w:tcPr>
          <w:p w14:paraId="64C89C2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p>
        </w:tc>
        <w:tc>
          <w:tcPr>
            <w:tcW w:w="667" w:type="pct"/>
            <w:vMerge/>
          </w:tcPr>
          <w:p w14:paraId="7F1A9199"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3A7D4B84" w14:textId="77777777" w:rsidTr="003F0A73">
        <w:trPr>
          <w:trHeight w:val="103"/>
          <w:jc w:val="center"/>
        </w:trPr>
        <w:tc>
          <w:tcPr>
            <w:tcW w:w="1387" w:type="pct"/>
            <w:vMerge/>
            <w:vAlign w:val="center"/>
          </w:tcPr>
          <w:p w14:paraId="65DE70DD"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219CB83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III</w:t>
            </w:r>
          </w:p>
        </w:tc>
        <w:tc>
          <w:tcPr>
            <w:tcW w:w="556" w:type="pct"/>
            <w:vAlign w:val="center"/>
          </w:tcPr>
          <w:p w14:paraId="1454A97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0,68</w:t>
            </w:r>
          </w:p>
        </w:tc>
        <w:tc>
          <w:tcPr>
            <w:tcW w:w="856" w:type="pct"/>
            <w:vAlign w:val="center"/>
          </w:tcPr>
          <w:p w14:paraId="0EF71C7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0,54 – 0,88</w:t>
            </w:r>
          </w:p>
        </w:tc>
        <w:tc>
          <w:tcPr>
            <w:tcW w:w="391" w:type="pct"/>
            <w:vAlign w:val="center"/>
          </w:tcPr>
          <w:p w14:paraId="390CDFD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667" w:type="pct"/>
            <w:vMerge/>
          </w:tcPr>
          <w:p w14:paraId="3DF35128"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46C56A43" w14:textId="77777777" w:rsidTr="003F0A73">
        <w:trPr>
          <w:trHeight w:val="103"/>
          <w:jc w:val="center"/>
        </w:trPr>
        <w:tc>
          <w:tcPr>
            <w:tcW w:w="1387" w:type="pct"/>
            <w:vMerge/>
            <w:vAlign w:val="center"/>
          </w:tcPr>
          <w:p w14:paraId="73C6D493"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2DD6128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IV</w:t>
            </w:r>
          </w:p>
        </w:tc>
        <w:tc>
          <w:tcPr>
            <w:tcW w:w="556" w:type="pct"/>
            <w:vAlign w:val="center"/>
          </w:tcPr>
          <w:p w14:paraId="08907F2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0,72</w:t>
            </w:r>
          </w:p>
        </w:tc>
        <w:tc>
          <w:tcPr>
            <w:tcW w:w="856" w:type="pct"/>
            <w:vAlign w:val="center"/>
          </w:tcPr>
          <w:p w14:paraId="2A6B066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0,58 – 1,07</w:t>
            </w:r>
          </w:p>
        </w:tc>
        <w:tc>
          <w:tcPr>
            <w:tcW w:w="391" w:type="pct"/>
            <w:vAlign w:val="center"/>
          </w:tcPr>
          <w:p w14:paraId="66E0CA2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20</w:t>
            </w:r>
          </w:p>
        </w:tc>
        <w:tc>
          <w:tcPr>
            <w:tcW w:w="667" w:type="pct"/>
            <w:vMerge/>
          </w:tcPr>
          <w:p w14:paraId="58B8DB64"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7B03ADB3" w14:textId="77777777" w:rsidTr="003F0A73">
        <w:trPr>
          <w:jc w:val="center"/>
        </w:trPr>
        <w:tc>
          <w:tcPr>
            <w:tcW w:w="1387" w:type="pct"/>
            <w:vMerge w:val="restart"/>
            <w:vAlign w:val="center"/>
          </w:tcPr>
          <w:p w14:paraId="1E8A6B80" w14:textId="77777777" w:rsidR="00825215" w:rsidRPr="00A43B9C" w:rsidRDefault="00825215"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RP</w:t>
            </w:r>
          </w:p>
        </w:tc>
        <w:tc>
          <w:tcPr>
            <w:tcW w:w="1142" w:type="pct"/>
            <w:vAlign w:val="center"/>
          </w:tcPr>
          <w:p w14:paraId="3F4ADB3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w:t>
            </w:r>
          </w:p>
        </w:tc>
        <w:tc>
          <w:tcPr>
            <w:tcW w:w="556" w:type="pct"/>
            <w:vAlign w:val="center"/>
          </w:tcPr>
          <w:p w14:paraId="35C81B3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0,86</w:t>
            </w:r>
          </w:p>
        </w:tc>
        <w:tc>
          <w:tcPr>
            <w:tcW w:w="856" w:type="pct"/>
            <w:vAlign w:val="center"/>
          </w:tcPr>
          <w:p w14:paraId="58C968E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0,63 – 1,13</w:t>
            </w:r>
          </w:p>
        </w:tc>
        <w:tc>
          <w:tcPr>
            <w:tcW w:w="391" w:type="pct"/>
            <w:vAlign w:val="center"/>
          </w:tcPr>
          <w:p w14:paraId="41C9F77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31</w:t>
            </w:r>
          </w:p>
        </w:tc>
        <w:tc>
          <w:tcPr>
            <w:tcW w:w="667" w:type="pct"/>
            <w:vMerge w:val="restart"/>
            <w:vAlign w:val="center"/>
          </w:tcPr>
          <w:p w14:paraId="7C26E3F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0,289</w:t>
            </w:r>
          </w:p>
        </w:tc>
      </w:tr>
      <w:tr w:rsidR="00825215" w:rsidRPr="00A43B9C" w14:paraId="2FB38C6E" w14:textId="77777777" w:rsidTr="003F0A73">
        <w:trPr>
          <w:jc w:val="center"/>
        </w:trPr>
        <w:tc>
          <w:tcPr>
            <w:tcW w:w="1387" w:type="pct"/>
            <w:vMerge/>
            <w:vAlign w:val="center"/>
          </w:tcPr>
          <w:p w14:paraId="572BB6B8"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430D931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II</w:t>
            </w:r>
          </w:p>
        </w:tc>
        <w:tc>
          <w:tcPr>
            <w:tcW w:w="556" w:type="pct"/>
            <w:vAlign w:val="center"/>
          </w:tcPr>
          <w:p w14:paraId="7AD01EC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1,53</w:t>
            </w:r>
          </w:p>
        </w:tc>
        <w:tc>
          <w:tcPr>
            <w:tcW w:w="856" w:type="pct"/>
            <w:vAlign w:val="center"/>
          </w:tcPr>
          <w:p w14:paraId="1D38F70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1,53 – 1,53</w:t>
            </w:r>
          </w:p>
        </w:tc>
        <w:tc>
          <w:tcPr>
            <w:tcW w:w="391" w:type="pct"/>
            <w:vAlign w:val="center"/>
          </w:tcPr>
          <w:p w14:paraId="2D69BFC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p>
        </w:tc>
        <w:tc>
          <w:tcPr>
            <w:tcW w:w="667" w:type="pct"/>
            <w:vMerge/>
          </w:tcPr>
          <w:p w14:paraId="4CF009C4"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3BD09A8B" w14:textId="77777777" w:rsidTr="003F0A73">
        <w:trPr>
          <w:trHeight w:val="103"/>
          <w:jc w:val="center"/>
        </w:trPr>
        <w:tc>
          <w:tcPr>
            <w:tcW w:w="1387" w:type="pct"/>
            <w:vMerge/>
            <w:vAlign w:val="center"/>
          </w:tcPr>
          <w:p w14:paraId="161F24D7"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43D50D8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III</w:t>
            </w:r>
          </w:p>
        </w:tc>
        <w:tc>
          <w:tcPr>
            <w:tcW w:w="556" w:type="pct"/>
            <w:vAlign w:val="center"/>
          </w:tcPr>
          <w:p w14:paraId="5F7470B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0,87</w:t>
            </w:r>
          </w:p>
        </w:tc>
        <w:tc>
          <w:tcPr>
            <w:tcW w:w="856" w:type="pct"/>
            <w:vAlign w:val="center"/>
          </w:tcPr>
          <w:p w14:paraId="1116298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0,71 – 0,99</w:t>
            </w:r>
          </w:p>
        </w:tc>
        <w:tc>
          <w:tcPr>
            <w:tcW w:w="391" w:type="pct"/>
            <w:vAlign w:val="center"/>
          </w:tcPr>
          <w:p w14:paraId="1A43E73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667" w:type="pct"/>
            <w:vMerge/>
          </w:tcPr>
          <w:p w14:paraId="3A0A64FA"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7519A5A6" w14:textId="77777777" w:rsidTr="003F0A73">
        <w:trPr>
          <w:trHeight w:val="103"/>
          <w:jc w:val="center"/>
        </w:trPr>
        <w:tc>
          <w:tcPr>
            <w:tcW w:w="1387" w:type="pct"/>
            <w:vMerge/>
            <w:vAlign w:val="center"/>
          </w:tcPr>
          <w:p w14:paraId="4CC5AA86"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562BC35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IV</w:t>
            </w:r>
          </w:p>
        </w:tc>
        <w:tc>
          <w:tcPr>
            <w:tcW w:w="556" w:type="pct"/>
            <w:vAlign w:val="center"/>
          </w:tcPr>
          <w:p w14:paraId="67F12F8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1,00</w:t>
            </w:r>
          </w:p>
        </w:tc>
        <w:tc>
          <w:tcPr>
            <w:tcW w:w="856" w:type="pct"/>
            <w:vAlign w:val="center"/>
          </w:tcPr>
          <w:p w14:paraId="2AB928D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0,79 – 1,21</w:t>
            </w:r>
          </w:p>
        </w:tc>
        <w:tc>
          <w:tcPr>
            <w:tcW w:w="391" w:type="pct"/>
            <w:vAlign w:val="center"/>
          </w:tcPr>
          <w:p w14:paraId="1C61391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20</w:t>
            </w:r>
          </w:p>
        </w:tc>
        <w:tc>
          <w:tcPr>
            <w:tcW w:w="667" w:type="pct"/>
            <w:vMerge/>
          </w:tcPr>
          <w:p w14:paraId="58D817E6"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63DF68ED" w14:textId="77777777" w:rsidTr="003F0A73">
        <w:trPr>
          <w:jc w:val="center"/>
        </w:trPr>
        <w:tc>
          <w:tcPr>
            <w:tcW w:w="1387" w:type="pct"/>
            <w:vMerge w:val="restart"/>
            <w:vAlign w:val="center"/>
          </w:tcPr>
          <w:p w14:paraId="73F4BC00" w14:textId="77777777" w:rsidR="00825215" w:rsidRPr="00A43B9C" w:rsidRDefault="00825215"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RLI</w:t>
            </w:r>
          </w:p>
        </w:tc>
        <w:tc>
          <w:tcPr>
            <w:tcW w:w="1142" w:type="pct"/>
            <w:vAlign w:val="center"/>
          </w:tcPr>
          <w:p w14:paraId="0EDD3F0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w:t>
            </w:r>
          </w:p>
        </w:tc>
        <w:tc>
          <w:tcPr>
            <w:tcW w:w="556" w:type="pct"/>
            <w:vAlign w:val="center"/>
          </w:tcPr>
          <w:p w14:paraId="58C74F6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0,66</w:t>
            </w:r>
          </w:p>
        </w:tc>
        <w:tc>
          <w:tcPr>
            <w:tcW w:w="856" w:type="pct"/>
            <w:vAlign w:val="center"/>
          </w:tcPr>
          <w:p w14:paraId="713DD8D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0,47 – 0,90</w:t>
            </w:r>
          </w:p>
        </w:tc>
        <w:tc>
          <w:tcPr>
            <w:tcW w:w="391" w:type="pct"/>
            <w:vAlign w:val="center"/>
          </w:tcPr>
          <w:p w14:paraId="6CB39ED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31</w:t>
            </w:r>
          </w:p>
        </w:tc>
        <w:tc>
          <w:tcPr>
            <w:tcW w:w="667" w:type="pct"/>
            <w:vMerge w:val="restart"/>
            <w:vAlign w:val="center"/>
          </w:tcPr>
          <w:p w14:paraId="41E0B07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0,340</w:t>
            </w:r>
          </w:p>
        </w:tc>
      </w:tr>
      <w:tr w:rsidR="00825215" w:rsidRPr="00A43B9C" w14:paraId="103F86BA" w14:textId="77777777" w:rsidTr="003F0A73">
        <w:trPr>
          <w:jc w:val="center"/>
        </w:trPr>
        <w:tc>
          <w:tcPr>
            <w:tcW w:w="1387" w:type="pct"/>
            <w:vMerge/>
            <w:vAlign w:val="center"/>
          </w:tcPr>
          <w:p w14:paraId="0CC92ACF"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1C7C117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II</w:t>
            </w:r>
          </w:p>
        </w:tc>
        <w:tc>
          <w:tcPr>
            <w:tcW w:w="556" w:type="pct"/>
            <w:vAlign w:val="center"/>
          </w:tcPr>
          <w:p w14:paraId="5EB6693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1,61</w:t>
            </w:r>
          </w:p>
        </w:tc>
        <w:tc>
          <w:tcPr>
            <w:tcW w:w="856" w:type="pct"/>
            <w:vAlign w:val="center"/>
          </w:tcPr>
          <w:p w14:paraId="16EED67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1,61 – 1,61</w:t>
            </w:r>
          </w:p>
        </w:tc>
        <w:tc>
          <w:tcPr>
            <w:tcW w:w="391" w:type="pct"/>
            <w:vAlign w:val="center"/>
          </w:tcPr>
          <w:p w14:paraId="63A6869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p>
        </w:tc>
        <w:tc>
          <w:tcPr>
            <w:tcW w:w="667" w:type="pct"/>
            <w:vMerge/>
          </w:tcPr>
          <w:p w14:paraId="0687511D"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46BE785C" w14:textId="77777777" w:rsidTr="003F0A73">
        <w:trPr>
          <w:trHeight w:val="103"/>
          <w:jc w:val="center"/>
        </w:trPr>
        <w:tc>
          <w:tcPr>
            <w:tcW w:w="1387" w:type="pct"/>
            <w:vMerge/>
            <w:vAlign w:val="center"/>
          </w:tcPr>
          <w:p w14:paraId="70204218"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2094793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III</w:t>
            </w:r>
          </w:p>
        </w:tc>
        <w:tc>
          <w:tcPr>
            <w:tcW w:w="556" w:type="pct"/>
            <w:vAlign w:val="center"/>
          </w:tcPr>
          <w:p w14:paraId="7AFB45C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0,61</w:t>
            </w:r>
          </w:p>
        </w:tc>
        <w:tc>
          <w:tcPr>
            <w:tcW w:w="856" w:type="pct"/>
            <w:vAlign w:val="center"/>
          </w:tcPr>
          <w:p w14:paraId="14B043A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0,57 – 0,87</w:t>
            </w:r>
          </w:p>
        </w:tc>
        <w:tc>
          <w:tcPr>
            <w:tcW w:w="391" w:type="pct"/>
            <w:vAlign w:val="center"/>
          </w:tcPr>
          <w:p w14:paraId="492104C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667" w:type="pct"/>
            <w:vMerge/>
          </w:tcPr>
          <w:p w14:paraId="12C2658C"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466D25C7" w14:textId="77777777" w:rsidTr="003F0A73">
        <w:trPr>
          <w:trHeight w:val="103"/>
          <w:jc w:val="center"/>
        </w:trPr>
        <w:tc>
          <w:tcPr>
            <w:tcW w:w="1387" w:type="pct"/>
            <w:vMerge/>
            <w:vAlign w:val="center"/>
          </w:tcPr>
          <w:p w14:paraId="141C4CB9"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1CB80CE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IV</w:t>
            </w:r>
          </w:p>
        </w:tc>
        <w:tc>
          <w:tcPr>
            <w:tcW w:w="556" w:type="pct"/>
            <w:vAlign w:val="center"/>
          </w:tcPr>
          <w:p w14:paraId="5BD2EC0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0,76</w:t>
            </w:r>
          </w:p>
        </w:tc>
        <w:tc>
          <w:tcPr>
            <w:tcW w:w="856" w:type="pct"/>
            <w:vAlign w:val="center"/>
          </w:tcPr>
          <w:p w14:paraId="45B4BB2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0,59 – 0,84</w:t>
            </w:r>
          </w:p>
        </w:tc>
        <w:tc>
          <w:tcPr>
            <w:tcW w:w="391" w:type="pct"/>
            <w:vAlign w:val="center"/>
          </w:tcPr>
          <w:p w14:paraId="417CAA6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20</w:t>
            </w:r>
          </w:p>
        </w:tc>
        <w:tc>
          <w:tcPr>
            <w:tcW w:w="667" w:type="pct"/>
            <w:vMerge/>
          </w:tcPr>
          <w:p w14:paraId="66A0EB3B"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487AFA14" w14:textId="77777777" w:rsidTr="003F0A73">
        <w:trPr>
          <w:jc w:val="center"/>
        </w:trPr>
        <w:tc>
          <w:tcPr>
            <w:tcW w:w="1387" w:type="pct"/>
            <w:vMerge w:val="restart"/>
            <w:vAlign w:val="center"/>
          </w:tcPr>
          <w:p w14:paraId="644F19FC" w14:textId="77777777" w:rsidR="00825215" w:rsidRPr="00A43B9C" w:rsidRDefault="00825215"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P</w:t>
            </w:r>
          </w:p>
        </w:tc>
        <w:tc>
          <w:tcPr>
            <w:tcW w:w="1142" w:type="pct"/>
            <w:vAlign w:val="center"/>
          </w:tcPr>
          <w:p w14:paraId="49A4B87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w:t>
            </w:r>
          </w:p>
        </w:tc>
        <w:tc>
          <w:tcPr>
            <w:tcW w:w="556" w:type="pct"/>
            <w:vAlign w:val="center"/>
          </w:tcPr>
          <w:p w14:paraId="4F45272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0,89</w:t>
            </w:r>
          </w:p>
        </w:tc>
        <w:tc>
          <w:tcPr>
            <w:tcW w:w="856" w:type="pct"/>
            <w:vAlign w:val="center"/>
          </w:tcPr>
          <w:p w14:paraId="2AFC34C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0,59 – 1,08</w:t>
            </w:r>
          </w:p>
        </w:tc>
        <w:tc>
          <w:tcPr>
            <w:tcW w:w="391" w:type="pct"/>
            <w:vAlign w:val="center"/>
          </w:tcPr>
          <w:p w14:paraId="28806FF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31</w:t>
            </w:r>
          </w:p>
        </w:tc>
        <w:tc>
          <w:tcPr>
            <w:tcW w:w="667" w:type="pct"/>
            <w:vMerge w:val="restart"/>
            <w:vAlign w:val="center"/>
          </w:tcPr>
          <w:p w14:paraId="6253EB6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0,653</w:t>
            </w:r>
          </w:p>
        </w:tc>
      </w:tr>
      <w:tr w:rsidR="00825215" w:rsidRPr="00A43B9C" w14:paraId="761062E3" w14:textId="77777777" w:rsidTr="003F0A73">
        <w:trPr>
          <w:jc w:val="center"/>
        </w:trPr>
        <w:tc>
          <w:tcPr>
            <w:tcW w:w="1387" w:type="pct"/>
            <w:vMerge/>
            <w:vAlign w:val="center"/>
          </w:tcPr>
          <w:p w14:paraId="30D8B06D" w14:textId="77777777" w:rsidR="00825215" w:rsidRPr="00A43B9C" w:rsidRDefault="00825215" w:rsidP="007E4204">
            <w:pPr>
              <w:spacing w:after="0" w:line="240" w:lineRule="auto"/>
              <w:rPr>
                <w:rFonts w:ascii="Times New Roman" w:hAnsi="Times New Roman" w:cs="Times New Roman"/>
                <w:sz w:val="28"/>
                <w:szCs w:val="28"/>
              </w:rPr>
            </w:pPr>
          </w:p>
        </w:tc>
        <w:tc>
          <w:tcPr>
            <w:tcW w:w="1142" w:type="pct"/>
            <w:vAlign w:val="center"/>
          </w:tcPr>
          <w:p w14:paraId="03F5134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II</w:t>
            </w:r>
          </w:p>
        </w:tc>
        <w:tc>
          <w:tcPr>
            <w:tcW w:w="556" w:type="pct"/>
            <w:vAlign w:val="center"/>
          </w:tcPr>
          <w:p w14:paraId="6BF2324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1,18</w:t>
            </w:r>
          </w:p>
        </w:tc>
        <w:tc>
          <w:tcPr>
            <w:tcW w:w="856" w:type="pct"/>
            <w:vAlign w:val="center"/>
          </w:tcPr>
          <w:p w14:paraId="4580E98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1,18 – 1,18</w:t>
            </w:r>
          </w:p>
        </w:tc>
        <w:tc>
          <w:tcPr>
            <w:tcW w:w="391" w:type="pct"/>
            <w:vAlign w:val="center"/>
          </w:tcPr>
          <w:p w14:paraId="7D8B980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p>
        </w:tc>
        <w:tc>
          <w:tcPr>
            <w:tcW w:w="667" w:type="pct"/>
            <w:vMerge/>
          </w:tcPr>
          <w:p w14:paraId="6F539F3A"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3A12756B" w14:textId="77777777" w:rsidTr="003F0A73">
        <w:trPr>
          <w:trHeight w:val="103"/>
          <w:jc w:val="center"/>
        </w:trPr>
        <w:tc>
          <w:tcPr>
            <w:tcW w:w="1387" w:type="pct"/>
            <w:vMerge/>
            <w:vAlign w:val="center"/>
          </w:tcPr>
          <w:p w14:paraId="6DAE912D" w14:textId="77777777" w:rsidR="00825215" w:rsidRPr="00A43B9C" w:rsidRDefault="00825215" w:rsidP="007E4204">
            <w:pPr>
              <w:spacing w:after="0" w:line="240" w:lineRule="auto"/>
              <w:rPr>
                <w:rFonts w:ascii="Times New Roman" w:hAnsi="Times New Roman" w:cs="Times New Roman"/>
                <w:sz w:val="28"/>
                <w:szCs w:val="28"/>
              </w:rPr>
            </w:pPr>
          </w:p>
        </w:tc>
        <w:tc>
          <w:tcPr>
            <w:tcW w:w="1142" w:type="pct"/>
            <w:vAlign w:val="center"/>
          </w:tcPr>
          <w:p w14:paraId="5D046F2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III</w:t>
            </w:r>
          </w:p>
        </w:tc>
        <w:tc>
          <w:tcPr>
            <w:tcW w:w="556" w:type="pct"/>
            <w:vAlign w:val="center"/>
          </w:tcPr>
          <w:p w14:paraId="0E28CBC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0,78</w:t>
            </w:r>
          </w:p>
        </w:tc>
        <w:tc>
          <w:tcPr>
            <w:tcW w:w="856" w:type="pct"/>
            <w:vAlign w:val="center"/>
          </w:tcPr>
          <w:p w14:paraId="4E1DD23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0,71 – 1,01</w:t>
            </w:r>
          </w:p>
        </w:tc>
        <w:tc>
          <w:tcPr>
            <w:tcW w:w="391" w:type="pct"/>
            <w:vAlign w:val="center"/>
          </w:tcPr>
          <w:p w14:paraId="6915F0F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667" w:type="pct"/>
            <w:vMerge/>
          </w:tcPr>
          <w:p w14:paraId="09CA89BB"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2F3EBB9E" w14:textId="77777777" w:rsidTr="003F0A73">
        <w:trPr>
          <w:trHeight w:val="103"/>
          <w:jc w:val="center"/>
        </w:trPr>
        <w:tc>
          <w:tcPr>
            <w:tcW w:w="1387" w:type="pct"/>
            <w:vMerge/>
            <w:vAlign w:val="center"/>
          </w:tcPr>
          <w:p w14:paraId="712F6355" w14:textId="77777777" w:rsidR="00825215" w:rsidRPr="00A43B9C" w:rsidRDefault="00825215" w:rsidP="007E4204">
            <w:pPr>
              <w:spacing w:after="0" w:line="240" w:lineRule="auto"/>
              <w:rPr>
                <w:rFonts w:ascii="Times New Roman" w:hAnsi="Times New Roman" w:cs="Times New Roman"/>
                <w:sz w:val="28"/>
                <w:szCs w:val="28"/>
              </w:rPr>
            </w:pPr>
          </w:p>
        </w:tc>
        <w:tc>
          <w:tcPr>
            <w:tcW w:w="1142" w:type="pct"/>
            <w:vAlign w:val="center"/>
          </w:tcPr>
          <w:p w14:paraId="4202AF7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IV</w:t>
            </w:r>
          </w:p>
        </w:tc>
        <w:tc>
          <w:tcPr>
            <w:tcW w:w="556" w:type="pct"/>
            <w:vAlign w:val="center"/>
          </w:tcPr>
          <w:p w14:paraId="7C11236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0,80</w:t>
            </w:r>
          </w:p>
        </w:tc>
        <w:tc>
          <w:tcPr>
            <w:tcW w:w="856" w:type="pct"/>
            <w:vAlign w:val="center"/>
          </w:tcPr>
          <w:p w14:paraId="3887AD0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0,67 – 1,05</w:t>
            </w:r>
          </w:p>
        </w:tc>
        <w:tc>
          <w:tcPr>
            <w:tcW w:w="391" w:type="pct"/>
            <w:vAlign w:val="center"/>
          </w:tcPr>
          <w:p w14:paraId="4805255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20</w:t>
            </w:r>
          </w:p>
        </w:tc>
        <w:tc>
          <w:tcPr>
            <w:tcW w:w="667" w:type="pct"/>
            <w:vMerge/>
          </w:tcPr>
          <w:p w14:paraId="0875EE2C"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105031" w:rsidRPr="00A43B9C" w14:paraId="6FCBEE3F" w14:textId="77777777" w:rsidTr="003F0A73">
        <w:trPr>
          <w:trHeight w:val="103"/>
          <w:jc w:val="center"/>
        </w:trPr>
        <w:tc>
          <w:tcPr>
            <w:tcW w:w="5000" w:type="pct"/>
            <w:gridSpan w:val="6"/>
            <w:vAlign w:val="center"/>
          </w:tcPr>
          <w:p w14:paraId="201C112F" w14:textId="71232268" w:rsidR="00105031" w:rsidRPr="00A43B9C" w:rsidRDefault="00105031" w:rsidP="000048BD">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iCs/>
                <w:sz w:val="24"/>
                <w:szCs w:val="24"/>
              </w:rPr>
              <w:t xml:space="preserve">Примечания: Гистология </w:t>
            </w:r>
            <w:r w:rsidRPr="00A43B9C">
              <w:rPr>
                <w:rFonts w:ascii="Times New Roman" w:hAnsi="Times New Roman" w:cs="Times New Roman"/>
                <w:bCs/>
                <w:iCs/>
                <w:sz w:val="24"/>
                <w:szCs w:val="24"/>
              </w:rPr>
              <w:t xml:space="preserve">(Аденокарцинома): </w:t>
            </w:r>
            <w:r w:rsidRPr="00A43B9C">
              <w:rPr>
                <w:rFonts w:ascii="Times New Roman" w:hAnsi="Times New Roman" w:cs="Times New Roman"/>
                <w:bCs/>
                <w:iCs/>
                <w:sz w:val="24"/>
                <w:szCs w:val="24"/>
                <w:lang w:val="en-US"/>
              </w:rPr>
              <w:t>I</w:t>
            </w:r>
            <w:r w:rsidRPr="00A43B9C">
              <w:rPr>
                <w:rFonts w:ascii="Times New Roman" w:hAnsi="Times New Roman" w:cs="Times New Roman"/>
                <w:bCs/>
                <w:iCs/>
                <w:sz w:val="24"/>
                <w:szCs w:val="24"/>
              </w:rPr>
              <w:t xml:space="preserve"> – Высокодифференцированная; </w:t>
            </w:r>
            <w:r w:rsidRPr="00A43B9C">
              <w:rPr>
                <w:rFonts w:ascii="Times New Roman" w:hAnsi="Times New Roman" w:cs="Times New Roman"/>
                <w:bCs/>
                <w:iCs/>
                <w:sz w:val="24"/>
                <w:szCs w:val="24"/>
                <w:lang w:val="en-US"/>
              </w:rPr>
              <w:t>II</w:t>
            </w:r>
            <w:r w:rsidRPr="00A43B9C">
              <w:rPr>
                <w:rFonts w:ascii="Times New Roman" w:hAnsi="Times New Roman" w:cs="Times New Roman"/>
                <w:bCs/>
                <w:iCs/>
                <w:sz w:val="24"/>
                <w:szCs w:val="24"/>
              </w:rPr>
              <w:t xml:space="preserve"> – Не(мало)дифференцированная; </w:t>
            </w:r>
            <w:r w:rsidRPr="00A43B9C">
              <w:rPr>
                <w:rFonts w:ascii="Times New Roman" w:hAnsi="Times New Roman" w:cs="Times New Roman"/>
                <w:bCs/>
                <w:iCs/>
                <w:sz w:val="24"/>
                <w:szCs w:val="24"/>
                <w:lang w:val="en-US"/>
              </w:rPr>
              <w:t>III</w:t>
            </w:r>
            <w:r w:rsidRPr="00A43B9C">
              <w:rPr>
                <w:rFonts w:ascii="Times New Roman" w:hAnsi="Times New Roman" w:cs="Times New Roman"/>
                <w:bCs/>
                <w:iCs/>
                <w:sz w:val="24"/>
                <w:szCs w:val="24"/>
              </w:rPr>
              <w:t xml:space="preserve"> – Низкодифференцированная; </w:t>
            </w:r>
            <w:r w:rsidRPr="00A43B9C">
              <w:rPr>
                <w:rFonts w:ascii="Times New Roman" w:hAnsi="Times New Roman" w:cs="Times New Roman"/>
                <w:bCs/>
                <w:iCs/>
                <w:sz w:val="24"/>
                <w:szCs w:val="24"/>
                <w:lang w:val="en-US"/>
              </w:rPr>
              <w:t>IV</w:t>
            </w:r>
            <w:r w:rsidRPr="00A43B9C">
              <w:rPr>
                <w:rFonts w:ascii="Times New Roman" w:hAnsi="Times New Roman" w:cs="Times New Roman"/>
                <w:bCs/>
                <w:iCs/>
                <w:sz w:val="24"/>
                <w:szCs w:val="24"/>
              </w:rPr>
              <w:t xml:space="preserve"> – Умеренно дифференцированная.</w:t>
            </w:r>
          </w:p>
        </w:tc>
      </w:tr>
    </w:tbl>
    <w:p w14:paraId="0211B792" w14:textId="7CBC0B04" w:rsidR="007875C6" w:rsidRPr="00A43B9C" w:rsidRDefault="007875C6" w:rsidP="00825215">
      <w:pPr>
        <w:spacing w:after="0" w:line="240" w:lineRule="auto"/>
        <w:ind w:firstLine="709"/>
        <w:jc w:val="both"/>
        <w:rPr>
          <w:rFonts w:ascii="Times New Roman" w:hAnsi="Times New Roman" w:cs="Times New Roman"/>
          <w:sz w:val="28"/>
          <w:szCs w:val="28"/>
        </w:rPr>
      </w:pPr>
    </w:p>
    <w:tbl>
      <w:tblPr>
        <w:tblStyle w:val="ad"/>
        <w:tblW w:w="10908"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6"/>
        <w:gridCol w:w="3636"/>
        <w:gridCol w:w="3636"/>
      </w:tblGrid>
      <w:tr w:rsidR="007875C6" w:rsidRPr="00A43B9C" w14:paraId="213E9107" w14:textId="77777777" w:rsidTr="00DD2C0F">
        <w:tc>
          <w:tcPr>
            <w:tcW w:w="3636" w:type="dxa"/>
          </w:tcPr>
          <w:p w14:paraId="4D7D5123" w14:textId="549E4318" w:rsidR="007875C6" w:rsidRPr="00A43B9C" w:rsidRDefault="00DD2C0F" w:rsidP="00DD2C0F">
            <w:pPr>
              <w:spacing w:after="0" w:line="240" w:lineRule="auto"/>
              <w:jc w:val="center"/>
              <w:rPr>
                <w:rFonts w:ascii="Times New Roman" w:hAnsi="Times New Roman" w:cs="Times New Roman"/>
                <w:sz w:val="28"/>
                <w:szCs w:val="28"/>
              </w:rPr>
            </w:pPr>
            <w:r w:rsidRPr="00A43B9C">
              <w:rPr>
                <w:noProof/>
                <w:lang w:eastAsia="ru-RU"/>
              </w:rPr>
              <w:lastRenderedPageBreak/>
              <mc:AlternateContent>
                <mc:Choice Requires="cx1">
                  <w:drawing>
                    <wp:inline distT="0" distB="0" distL="0" distR="0" wp14:anchorId="5680DCBD" wp14:editId="28A12384">
                      <wp:extent cx="2160000" cy="2160000"/>
                      <wp:effectExtent l="0" t="0" r="12065" b="12065"/>
                      <wp:docPr id="279" name="Диаграмма 279">
                        <a:extLst xmlns:a="http://schemas.openxmlformats.org/drawingml/2006/main">
                          <a:ext uri="{FF2B5EF4-FFF2-40B4-BE49-F238E27FC236}">
                            <a16:creationId xmlns:a16="http://schemas.microsoft.com/office/drawing/2014/main" id="{EDAD1FA2-E367-417E-BEA0-A43FF84E1F65}"/>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72"/>
                        </a:graphicData>
                      </a:graphic>
                    </wp:inline>
                  </w:drawing>
                </mc:Choice>
                <mc:Fallback>
                  <w:drawing>
                    <wp:inline distT="0" distB="0" distL="0" distR="0" wp14:anchorId="5680DCBD" wp14:editId="28A12384">
                      <wp:extent cx="2160000" cy="2160000"/>
                      <wp:effectExtent l="0" t="0" r="12065" b="12065"/>
                      <wp:docPr id="279" name="Диаграмма 279">
                        <a:extLst xmlns:a="http://schemas.openxmlformats.org/drawingml/2006/main">
                          <a:ext uri="{FF2B5EF4-FFF2-40B4-BE49-F238E27FC236}">
                            <a16:creationId xmlns:a16="http://schemas.microsoft.com/office/drawing/2014/main" id="{EDAD1FA2-E367-417E-BEA0-A43FF84E1F65}"/>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79" name="Диаграмма 279">
                                <a:extLst>
                                  <a:ext uri="{FF2B5EF4-FFF2-40B4-BE49-F238E27FC236}">
                                    <a16:creationId xmlns:a16="http://schemas.microsoft.com/office/drawing/2014/main" id="{EDAD1FA2-E367-417E-BEA0-A43FF84E1F65}"/>
                                  </a:ext>
                                </a:extLst>
                              </pic:cNvPr>
                              <pic:cNvPicPr>
                                <a:picLocks noGrp="1" noRot="1" noChangeAspect="1" noMove="1" noResize="1" noEditPoints="1" noAdjustHandles="1" noChangeArrowheads="1" noChangeShapeType="1"/>
                              </pic:cNvPicPr>
                            </pic:nvPicPr>
                            <pic:blipFill>
                              <a:blip r:embed="rId273"/>
                              <a:stretch>
                                <a:fillRect/>
                              </a:stretch>
                            </pic:blipFill>
                            <pic:spPr>
                              <a:xfrm>
                                <a:off x="0" y="0"/>
                                <a:ext cx="2159635" cy="2159635"/>
                              </a:xfrm>
                              <a:prstGeom prst="rect">
                                <a:avLst/>
                              </a:prstGeom>
                            </pic:spPr>
                          </pic:pic>
                        </a:graphicData>
                      </a:graphic>
                    </wp:inline>
                  </w:drawing>
                </mc:Fallback>
              </mc:AlternateContent>
            </w:r>
          </w:p>
        </w:tc>
        <w:tc>
          <w:tcPr>
            <w:tcW w:w="3636" w:type="dxa"/>
          </w:tcPr>
          <w:p w14:paraId="5B9E843B" w14:textId="3FB6FB9B" w:rsidR="007875C6" w:rsidRPr="00A43B9C" w:rsidRDefault="00DD2C0F" w:rsidP="00DD2C0F">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69DF3835" wp14:editId="337C2D5C">
                      <wp:extent cx="2160000" cy="2160000"/>
                      <wp:effectExtent l="0" t="0" r="12065" b="12065"/>
                      <wp:docPr id="280" name="Диаграмма 280">
                        <a:extLst xmlns:a="http://schemas.openxmlformats.org/drawingml/2006/main">
                          <a:ext uri="{FF2B5EF4-FFF2-40B4-BE49-F238E27FC236}">
                            <a16:creationId xmlns:a16="http://schemas.microsoft.com/office/drawing/2014/main" id="{5071AE3C-847D-4799-80E2-F0D26C531F55}"/>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74"/>
                        </a:graphicData>
                      </a:graphic>
                    </wp:inline>
                  </w:drawing>
                </mc:Choice>
                <mc:Fallback>
                  <w:drawing>
                    <wp:inline distT="0" distB="0" distL="0" distR="0" wp14:anchorId="69DF3835" wp14:editId="337C2D5C">
                      <wp:extent cx="2160000" cy="2160000"/>
                      <wp:effectExtent l="0" t="0" r="12065" b="12065"/>
                      <wp:docPr id="280" name="Диаграмма 280">
                        <a:extLst xmlns:a="http://schemas.openxmlformats.org/drawingml/2006/main">
                          <a:ext uri="{FF2B5EF4-FFF2-40B4-BE49-F238E27FC236}">
                            <a16:creationId xmlns:a16="http://schemas.microsoft.com/office/drawing/2014/main" id="{5071AE3C-847D-4799-80E2-F0D26C531F55}"/>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80" name="Диаграмма 280">
                                <a:extLst>
                                  <a:ext uri="{FF2B5EF4-FFF2-40B4-BE49-F238E27FC236}">
                                    <a16:creationId xmlns:a16="http://schemas.microsoft.com/office/drawing/2014/main" id="{5071AE3C-847D-4799-80E2-F0D26C531F55}"/>
                                  </a:ext>
                                </a:extLst>
                              </pic:cNvPr>
                              <pic:cNvPicPr>
                                <a:picLocks noGrp="1" noRot="1" noChangeAspect="1" noMove="1" noResize="1" noEditPoints="1" noAdjustHandles="1" noChangeArrowheads="1" noChangeShapeType="1"/>
                              </pic:cNvPicPr>
                            </pic:nvPicPr>
                            <pic:blipFill>
                              <a:blip r:embed="rId275"/>
                              <a:stretch>
                                <a:fillRect/>
                              </a:stretch>
                            </pic:blipFill>
                            <pic:spPr>
                              <a:xfrm>
                                <a:off x="0" y="0"/>
                                <a:ext cx="2159635" cy="2159635"/>
                              </a:xfrm>
                              <a:prstGeom prst="rect">
                                <a:avLst/>
                              </a:prstGeom>
                            </pic:spPr>
                          </pic:pic>
                        </a:graphicData>
                      </a:graphic>
                    </wp:inline>
                  </w:drawing>
                </mc:Fallback>
              </mc:AlternateContent>
            </w:r>
          </w:p>
        </w:tc>
        <w:tc>
          <w:tcPr>
            <w:tcW w:w="3636" w:type="dxa"/>
          </w:tcPr>
          <w:p w14:paraId="6B43C08B" w14:textId="715700D6" w:rsidR="007875C6" w:rsidRPr="00A43B9C" w:rsidRDefault="00DD2C0F" w:rsidP="00DD2C0F">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31C810D2" wp14:editId="633A2486">
                      <wp:extent cx="2160000" cy="2160000"/>
                      <wp:effectExtent l="0" t="0" r="12065" b="12065"/>
                      <wp:docPr id="281" name="Диаграмма 281">
                        <a:extLst xmlns:a="http://schemas.openxmlformats.org/drawingml/2006/main">
                          <a:ext uri="{FF2B5EF4-FFF2-40B4-BE49-F238E27FC236}">
                            <a16:creationId xmlns:a16="http://schemas.microsoft.com/office/drawing/2014/main" id="{D2FA88EE-86A1-46C7-8B9D-359BA9CEFE6D}"/>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76"/>
                        </a:graphicData>
                      </a:graphic>
                    </wp:inline>
                  </w:drawing>
                </mc:Choice>
                <mc:Fallback>
                  <w:drawing>
                    <wp:inline distT="0" distB="0" distL="0" distR="0" wp14:anchorId="31C810D2" wp14:editId="633A2486">
                      <wp:extent cx="2160000" cy="2160000"/>
                      <wp:effectExtent l="0" t="0" r="12065" b="12065"/>
                      <wp:docPr id="281" name="Диаграмма 281">
                        <a:extLst xmlns:a="http://schemas.openxmlformats.org/drawingml/2006/main">
                          <a:ext uri="{FF2B5EF4-FFF2-40B4-BE49-F238E27FC236}">
                            <a16:creationId xmlns:a16="http://schemas.microsoft.com/office/drawing/2014/main" id="{D2FA88EE-86A1-46C7-8B9D-359BA9CEFE6D}"/>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81" name="Диаграмма 281">
                                <a:extLst>
                                  <a:ext uri="{FF2B5EF4-FFF2-40B4-BE49-F238E27FC236}">
                                    <a16:creationId xmlns:a16="http://schemas.microsoft.com/office/drawing/2014/main" id="{D2FA88EE-86A1-46C7-8B9D-359BA9CEFE6D}"/>
                                  </a:ext>
                                </a:extLst>
                              </pic:cNvPr>
                              <pic:cNvPicPr>
                                <a:picLocks noGrp="1" noRot="1" noChangeAspect="1" noMove="1" noResize="1" noEditPoints="1" noAdjustHandles="1" noChangeArrowheads="1" noChangeShapeType="1"/>
                              </pic:cNvPicPr>
                            </pic:nvPicPr>
                            <pic:blipFill>
                              <a:blip r:embed="rId277"/>
                              <a:stretch>
                                <a:fillRect/>
                              </a:stretch>
                            </pic:blipFill>
                            <pic:spPr>
                              <a:xfrm>
                                <a:off x="0" y="0"/>
                                <a:ext cx="2159635" cy="2159635"/>
                              </a:xfrm>
                              <a:prstGeom prst="rect">
                                <a:avLst/>
                              </a:prstGeom>
                            </pic:spPr>
                          </pic:pic>
                        </a:graphicData>
                      </a:graphic>
                    </wp:inline>
                  </w:drawing>
                </mc:Fallback>
              </mc:AlternateContent>
            </w:r>
          </w:p>
        </w:tc>
      </w:tr>
      <w:tr w:rsidR="00316240" w:rsidRPr="00B25E66" w14:paraId="6BF4E0F9" w14:textId="77777777" w:rsidTr="00DD2C0F">
        <w:tc>
          <w:tcPr>
            <w:tcW w:w="3636" w:type="dxa"/>
          </w:tcPr>
          <w:p w14:paraId="784E8F2F" w14:textId="4D988A34" w:rsidR="00316240" w:rsidRPr="00B25E66" w:rsidRDefault="00316240" w:rsidP="00316240">
            <w:pPr>
              <w:spacing w:after="0" w:line="240" w:lineRule="auto"/>
              <w:jc w:val="center"/>
              <w:rPr>
                <w:rFonts w:ascii="Times New Roman" w:hAnsi="Times New Roman" w:cs="Times New Roman"/>
                <w:sz w:val="24"/>
                <w:szCs w:val="24"/>
                <w:lang w:val="en-US"/>
              </w:rPr>
            </w:pPr>
            <w:r w:rsidRPr="00B25E66">
              <w:rPr>
                <w:rFonts w:ascii="Times New Roman" w:hAnsi="Times New Roman" w:cs="Times New Roman"/>
                <w:sz w:val="24"/>
                <w:szCs w:val="24"/>
              </w:rPr>
              <w:t>а)</w:t>
            </w:r>
            <w:r w:rsidR="00B25E66" w:rsidRPr="00B25E66">
              <w:rPr>
                <w:rFonts w:ascii="Times New Roman" w:hAnsi="Times New Roman" w:cs="Times New Roman"/>
                <w:sz w:val="24"/>
                <w:szCs w:val="24"/>
              </w:rPr>
              <w:t xml:space="preserve"> Локализация</w:t>
            </w:r>
            <w:r w:rsidR="00B25E66" w:rsidRPr="00B25E66">
              <w:rPr>
                <w:rFonts w:ascii="Times New Roman" w:hAnsi="Times New Roman" w:cs="Times New Roman"/>
                <w:sz w:val="24"/>
                <w:szCs w:val="24"/>
                <w:lang w:val="en-US"/>
              </w:rPr>
              <w:t xml:space="preserve"> RE</w:t>
            </w:r>
          </w:p>
        </w:tc>
        <w:tc>
          <w:tcPr>
            <w:tcW w:w="3636" w:type="dxa"/>
          </w:tcPr>
          <w:p w14:paraId="78D7EF83" w14:textId="5E7212B5" w:rsidR="00316240" w:rsidRPr="00B25E66" w:rsidRDefault="00316240" w:rsidP="00316240">
            <w:pPr>
              <w:spacing w:after="0" w:line="240" w:lineRule="auto"/>
              <w:jc w:val="center"/>
              <w:rPr>
                <w:rFonts w:ascii="Times New Roman" w:hAnsi="Times New Roman" w:cs="Times New Roman"/>
                <w:sz w:val="24"/>
                <w:szCs w:val="24"/>
                <w:lang w:val="en-US"/>
              </w:rPr>
            </w:pPr>
            <w:r w:rsidRPr="00B25E66">
              <w:rPr>
                <w:rFonts w:ascii="Times New Roman" w:hAnsi="Times New Roman" w:cs="Times New Roman"/>
                <w:sz w:val="24"/>
                <w:szCs w:val="24"/>
              </w:rPr>
              <w:t>б)</w:t>
            </w:r>
            <w:r w:rsidR="00B25E66" w:rsidRPr="00B25E66">
              <w:rPr>
                <w:rFonts w:ascii="Times New Roman" w:hAnsi="Times New Roman" w:cs="Times New Roman"/>
                <w:sz w:val="24"/>
                <w:szCs w:val="24"/>
              </w:rPr>
              <w:t xml:space="preserve"> Локализация</w:t>
            </w:r>
            <w:r w:rsidR="00B25E66" w:rsidRPr="00B25E66">
              <w:rPr>
                <w:rFonts w:ascii="Times New Roman" w:hAnsi="Times New Roman" w:cs="Times New Roman"/>
                <w:sz w:val="24"/>
                <w:szCs w:val="24"/>
                <w:lang w:val="en-US"/>
              </w:rPr>
              <w:t xml:space="preserve"> RLH</w:t>
            </w:r>
          </w:p>
        </w:tc>
        <w:tc>
          <w:tcPr>
            <w:tcW w:w="3636" w:type="dxa"/>
          </w:tcPr>
          <w:p w14:paraId="0F0C7518" w14:textId="2AD6B480" w:rsidR="00316240" w:rsidRPr="00B25E66" w:rsidRDefault="00316240" w:rsidP="00316240">
            <w:pPr>
              <w:spacing w:after="0" w:line="240" w:lineRule="auto"/>
              <w:jc w:val="center"/>
              <w:rPr>
                <w:rFonts w:ascii="Times New Roman" w:hAnsi="Times New Roman" w:cs="Times New Roman"/>
                <w:sz w:val="24"/>
                <w:szCs w:val="24"/>
                <w:lang w:val="en-US"/>
              </w:rPr>
            </w:pPr>
            <w:r w:rsidRPr="00B25E66">
              <w:rPr>
                <w:rFonts w:ascii="Times New Roman" w:hAnsi="Times New Roman" w:cs="Times New Roman"/>
                <w:sz w:val="24"/>
                <w:szCs w:val="24"/>
              </w:rPr>
              <w:t>в)</w:t>
            </w:r>
            <w:r w:rsidR="00B25E66" w:rsidRPr="00B25E66">
              <w:rPr>
                <w:rFonts w:ascii="Times New Roman" w:hAnsi="Times New Roman" w:cs="Times New Roman"/>
                <w:sz w:val="24"/>
                <w:szCs w:val="24"/>
              </w:rPr>
              <w:t xml:space="preserve"> Локализация</w:t>
            </w:r>
            <w:r w:rsidR="00B25E66" w:rsidRPr="00B25E66">
              <w:rPr>
                <w:rFonts w:ascii="Times New Roman" w:hAnsi="Times New Roman" w:cs="Times New Roman"/>
                <w:sz w:val="24"/>
                <w:szCs w:val="24"/>
                <w:lang w:val="en-US"/>
              </w:rPr>
              <w:t xml:space="preserve"> RRL</w:t>
            </w:r>
          </w:p>
        </w:tc>
      </w:tr>
      <w:tr w:rsidR="007875C6" w:rsidRPr="00A43B9C" w14:paraId="6369DFB6" w14:textId="77777777" w:rsidTr="00DD2C0F">
        <w:tc>
          <w:tcPr>
            <w:tcW w:w="3636" w:type="dxa"/>
          </w:tcPr>
          <w:p w14:paraId="2C67A6B2" w14:textId="0A693D02" w:rsidR="007875C6" w:rsidRPr="00A43B9C" w:rsidRDefault="00DD2C0F" w:rsidP="00DD2C0F">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025635DF" wp14:editId="405D4BB5">
                      <wp:extent cx="2160000" cy="2160000"/>
                      <wp:effectExtent l="0" t="0" r="12065" b="12065"/>
                      <wp:docPr id="282" name="Диаграмма 282">
                        <a:extLst xmlns:a="http://schemas.openxmlformats.org/drawingml/2006/main">
                          <a:ext uri="{FF2B5EF4-FFF2-40B4-BE49-F238E27FC236}">
                            <a16:creationId xmlns:a16="http://schemas.microsoft.com/office/drawing/2014/main" id="{2771B16E-70C5-41B2-A671-983DD53B35A1}"/>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78"/>
                        </a:graphicData>
                      </a:graphic>
                    </wp:inline>
                  </w:drawing>
                </mc:Choice>
                <mc:Fallback>
                  <w:drawing>
                    <wp:inline distT="0" distB="0" distL="0" distR="0" wp14:anchorId="025635DF" wp14:editId="405D4BB5">
                      <wp:extent cx="2160000" cy="2160000"/>
                      <wp:effectExtent l="0" t="0" r="12065" b="12065"/>
                      <wp:docPr id="282" name="Диаграмма 282">
                        <a:extLst xmlns:a="http://schemas.openxmlformats.org/drawingml/2006/main">
                          <a:ext uri="{FF2B5EF4-FFF2-40B4-BE49-F238E27FC236}">
                            <a16:creationId xmlns:a16="http://schemas.microsoft.com/office/drawing/2014/main" id="{2771B16E-70C5-41B2-A671-983DD53B35A1}"/>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82" name="Диаграмма 282">
                                <a:extLst>
                                  <a:ext uri="{FF2B5EF4-FFF2-40B4-BE49-F238E27FC236}">
                                    <a16:creationId xmlns:a16="http://schemas.microsoft.com/office/drawing/2014/main" id="{2771B16E-70C5-41B2-A671-983DD53B35A1}"/>
                                  </a:ext>
                                </a:extLst>
                              </pic:cNvPr>
                              <pic:cNvPicPr>
                                <a:picLocks noGrp="1" noRot="1" noChangeAspect="1" noMove="1" noResize="1" noEditPoints="1" noAdjustHandles="1" noChangeArrowheads="1" noChangeShapeType="1"/>
                              </pic:cNvPicPr>
                            </pic:nvPicPr>
                            <pic:blipFill>
                              <a:blip r:embed="rId279"/>
                              <a:stretch>
                                <a:fillRect/>
                              </a:stretch>
                            </pic:blipFill>
                            <pic:spPr>
                              <a:xfrm>
                                <a:off x="0" y="0"/>
                                <a:ext cx="2159635" cy="2159635"/>
                              </a:xfrm>
                              <a:prstGeom prst="rect">
                                <a:avLst/>
                              </a:prstGeom>
                            </pic:spPr>
                          </pic:pic>
                        </a:graphicData>
                      </a:graphic>
                    </wp:inline>
                  </w:drawing>
                </mc:Fallback>
              </mc:AlternateContent>
            </w:r>
          </w:p>
        </w:tc>
        <w:tc>
          <w:tcPr>
            <w:tcW w:w="3636" w:type="dxa"/>
          </w:tcPr>
          <w:p w14:paraId="1F72C66B" w14:textId="0FF408F6" w:rsidR="007875C6" w:rsidRPr="00A43B9C" w:rsidRDefault="00DD2C0F" w:rsidP="00DD2C0F">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20087E3D" wp14:editId="00DFBED5">
                      <wp:extent cx="2160000" cy="2160000"/>
                      <wp:effectExtent l="0" t="0" r="12065" b="12065"/>
                      <wp:docPr id="283" name="Диаграмма 283">
                        <a:extLst xmlns:a="http://schemas.openxmlformats.org/drawingml/2006/main">
                          <a:ext uri="{FF2B5EF4-FFF2-40B4-BE49-F238E27FC236}">
                            <a16:creationId xmlns:a16="http://schemas.microsoft.com/office/drawing/2014/main" id="{F54CAC1C-26FC-4C7D-8C06-B67FA1C468CE}"/>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80"/>
                        </a:graphicData>
                      </a:graphic>
                    </wp:inline>
                  </w:drawing>
                </mc:Choice>
                <mc:Fallback>
                  <w:drawing>
                    <wp:inline distT="0" distB="0" distL="0" distR="0" wp14:anchorId="20087E3D" wp14:editId="00DFBED5">
                      <wp:extent cx="2160000" cy="2160000"/>
                      <wp:effectExtent l="0" t="0" r="12065" b="12065"/>
                      <wp:docPr id="283" name="Диаграмма 283">
                        <a:extLst xmlns:a="http://schemas.openxmlformats.org/drawingml/2006/main">
                          <a:ext uri="{FF2B5EF4-FFF2-40B4-BE49-F238E27FC236}">
                            <a16:creationId xmlns:a16="http://schemas.microsoft.com/office/drawing/2014/main" id="{F54CAC1C-26FC-4C7D-8C06-B67FA1C468CE}"/>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83" name="Диаграмма 283">
                                <a:extLst>
                                  <a:ext uri="{FF2B5EF4-FFF2-40B4-BE49-F238E27FC236}">
                                    <a16:creationId xmlns:a16="http://schemas.microsoft.com/office/drawing/2014/main" id="{F54CAC1C-26FC-4C7D-8C06-B67FA1C468CE}"/>
                                  </a:ext>
                                </a:extLst>
                              </pic:cNvPr>
                              <pic:cNvPicPr>
                                <a:picLocks noGrp="1" noRot="1" noChangeAspect="1" noMove="1" noResize="1" noEditPoints="1" noAdjustHandles="1" noChangeArrowheads="1" noChangeShapeType="1"/>
                              </pic:cNvPicPr>
                            </pic:nvPicPr>
                            <pic:blipFill>
                              <a:blip r:embed="rId281"/>
                              <a:stretch>
                                <a:fillRect/>
                              </a:stretch>
                            </pic:blipFill>
                            <pic:spPr>
                              <a:xfrm>
                                <a:off x="0" y="0"/>
                                <a:ext cx="2159635" cy="2159635"/>
                              </a:xfrm>
                              <a:prstGeom prst="rect">
                                <a:avLst/>
                              </a:prstGeom>
                            </pic:spPr>
                          </pic:pic>
                        </a:graphicData>
                      </a:graphic>
                    </wp:inline>
                  </w:drawing>
                </mc:Fallback>
              </mc:AlternateContent>
            </w:r>
          </w:p>
        </w:tc>
        <w:tc>
          <w:tcPr>
            <w:tcW w:w="3636" w:type="dxa"/>
          </w:tcPr>
          <w:p w14:paraId="1132C2DA" w14:textId="29BAADA9" w:rsidR="007875C6" w:rsidRPr="00A43B9C" w:rsidRDefault="00DD2C0F" w:rsidP="00DD2C0F">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79A4F0F3" wp14:editId="47BCA232">
                      <wp:extent cx="2160000" cy="2160000"/>
                      <wp:effectExtent l="0" t="0" r="12065" b="12065"/>
                      <wp:docPr id="284" name="Диаграмма 284">
                        <a:extLst xmlns:a="http://schemas.openxmlformats.org/drawingml/2006/main">
                          <a:ext uri="{FF2B5EF4-FFF2-40B4-BE49-F238E27FC236}">
                            <a16:creationId xmlns:a16="http://schemas.microsoft.com/office/drawing/2014/main" id="{2720074F-8A39-4E13-A9D9-2D93A00545EA}"/>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82"/>
                        </a:graphicData>
                      </a:graphic>
                    </wp:inline>
                  </w:drawing>
                </mc:Choice>
                <mc:Fallback>
                  <w:drawing>
                    <wp:inline distT="0" distB="0" distL="0" distR="0" wp14:anchorId="79A4F0F3" wp14:editId="47BCA232">
                      <wp:extent cx="2160000" cy="2160000"/>
                      <wp:effectExtent l="0" t="0" r="12065" b="12065"/>
                      <wp:docPr id="284" name="Диаграмма 284">
                        <a:extLst xmlns:a="http://schemas.openxmlformats.org/drawingml/2006/main">
                          <a:ext uri="{FF2B5EF4-FFF2-40B4-BE49-F238E27FC236}">
                            <a16:creationId xmlns:a16="http://schemas.microsoft.com/office/drawing/2014/main" id="{2720074F-8A39-4E13-A9D9-2D93A00545EA}"/>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84" name="Диаграмма 284">
                                <a:extLst>
                                  <a:ext uri="{FF2B5EF4-FFF2-40B4-BE49-F238E27FC236}">
                                    <a16:creationId xmlns:a16="http://schemas.microsoft.com/office/drawing/2014/main" id="{2720074F-8A39-4E13-A9D9-2D93A00545EA}"/>
                                  </a:ext>
                                </a:extLst>
                              </pic:cNvPr>
                              <pic:cNvPicPr>
                                <a:picLocks noGrp="1" noRot="1" noChangeAspect="1" noMove="1" noResize="1" noEditPoints="1" noAdjustHandles="1" noChangeArrowheads="1" noChangeShapeType="1"/>
                              </pic:cNvPicPr>
                            </pic:nvPicPr>
                            <pic:blipFill>
                              <a:blip r:embed="rId283"/>
                              <a:stretch>
                                <a:fillRect/>
                              </a:stretch>
                            </pic:blipFill>
                            <pic:spPr>
                              <a:xfrm>
                                <a:off x="0" y="0"/>
                                <a:ext cx="2159635" cy="2159635"/>
                              </a:xfrm>
                              <a:prstGeom prst="rect">
                                <a:avLst/>
                              </a:prstGeom>
                            </pic:spPr>
                          </pic:pic>
                        </a:graphicData>
                      </a:graphic>
                    </wp:inline>
                  </w:drawing>
                </mc:Fallback>
              </mc:AlternateContent>
            </w:r>
          </w:p>
        </w:tc>
      </w:tr>
      <w:tr w:rsidR="00316240" w:rsidRPr="00B25E66" w14:paraId="5A7D5BAD" w14:textId="77777777" w:rsidTr="00DD2C0F">
        <w:tc>
          <w:tcPr>
            <w:tcW w:w="3636" w:type="dxa"/>
          </w:tcPr>
          <w:p w14:paraId="6FB843FF" w14:textId="5BF77FBE" w:rsidR="00316240" w:rsidRPr="00B25E66" w:rsidRDefault="00316240" w:rsidP="00316240">
            <w:pPr>
              <w:spacing w:after="0" w:line="240" w:lineRule="auto"/>
              <w:jc w:val="center"/>
              <w:rPr>
                <w:rFonts w:ascii="Times New Roman" w:hAnsi="Times New Roman" w:cs="Times New Roman"/>
                <w:sz w:val="24"/>
                <w:szCs w:val="24"/>
                <w:lang w:val="en-US"/>
              </w:rPr>
            </w:pPr>
            <w:r w:rsidRPr="00B25E66">
              <w:rPr>
                <w:rFonts w:ascii="Times New Roman" w:hAnsi="Times New Roman" w:cs="Times New Roman"/>
                <w:sz w:val="24"/>
                <w:szCs w:val="24"/>
              </w:rPr>
              <w:t>г)</w:t>
            </w:r>
            <w:r w:rsidR="00B25E66" w:rsidRPr="00B25E66">
              <w:rPr>
                <w:rFonts w:ascii="Times New Roman" w:hAnsi="Times New Roman" w:cs="Times New Roman"/>
                <w:sz w:val="24"/>
                <w:szCs w:val="24"/>
              </w:rPr>
              <w:t xml:space="preserve"> Локализация</w:t>
            </w:r>
            <w:r w:rsidR="00B25E66" w:rsidRPr="00B25E66">
              <w:rPr>
                <w:rFonts w:ascii="Times New Roman" w:hAnsi="Times New Roman" w:cs="Times New Roman"/>
                <w:sz w:val="24"/>
                <w:szCs w:val="24"/>
                <w:lang w:val="en-US"/>
              </w:rPr>
              <w:t xml:space="preserve"> RU</w:t>
            </w:r>
          </w:p>
        </w:tc>
        <w:tc>
          <w:tcPr>
            <w:tcW w:w="3636" w:type="dxa"/>
          </w:tcPr>
          <w:p w14:paraId="0B1589A6" w14:textId="33694D5C" w:rsidR="00316240" w:rsidRPr="00B25E66" w:rsidRDefault="00316240" w:rsidP="00316240">
            <w:pPr>
              <w:spacing w:after="0" w:line="240" w:lineRule="auto"/>
              <w:jc w:val="center"/>
              <w:rPr>
                <w:rFonts w:ascii="Times New Roman" w:hAnsi="Times New Roman" w:cs="Times New Roman"/>
                <w:sz w:val="24"/>
                <w:szCs w:val="24"/>
                <w:lang w:val="en-US"/>
              </w:rPr>
            </w:pPr>
            <w:r w:rsidRPr="00B25E66">
              <w:rPr>
                <w:rFonts w:ascii="Times New Roman" w:hAnsi="Times New Roman" w:cs="Times New Roman"/>
                <w:sz w:val="24"/>
                <w:szCs w:val="24"/>
              </w:rPr>
              <w:t>д)</w:t>
            </w:r>
            <w:r w:rsidR="00B25E66" w:rsidRPr="00B25E66">
              <w:rPr>
                <w:rFonts w:ascii="Times New Roman" w:hAnsi="Times New Roman" w:cs="Times New Roman"/>
                <w:sz w:val="24"/>
                <w:szCs w:val="24"/>
              </w:rPr>
              <w:t xml:space="preserve"> Локализация</w:t>
            </w:r>
            <w:r w:rsidR="00B25E66" w:rsidRPr="00B25E66">
              <w:rPr>
                <w:rFonts w:ascii="Times New Roman" w:hAnsi="Times New Roman" w:cs="Times New Roman"/>
                <w:sz w:val="24"/>
                <w:szCs w:val="24"/>
                <w:lang w:val="en-US"/>
              </w:rPr>
              <w:t xml:space="preserve"> RLL</w:t>
            </w:r>
          </w:p>
        </w:tc>
        <w:tc>
          <w:tcPr>
            <w:tcW w:w="3636" w:type="dxa"/>
          </w:tcPr>
          <w:p w14:paraId="544E4A18" w14:textId="034AB3B3" w:rsidR="00316240" w:rsidRPr="00B25E66" w:rsidRDefault="00316240" w:rsidP="00316240">
            <w:pPr>
              <w:spacing w:after="0" w:line="240" w:lineRule="auto"/>
              <w:jc w:val="center"/>
              <w:rPr>
                <w:rFonts w:ascii="Times New Roman" w:hAnsi="Times New Roman" w:cs="Times New Roman"/>
                <w:sz w:val="24"/>
                <w:szCs w:val="24"/>
                <w:lang w:val="en-US"/>
              </w:rPr>
            </w:pPr>
            <w:r w:rsidRPr="00B25E66">
              <w:rPr>
                <w:rFonts w:ascii="Times New Roman" w:hAnsi="Times New Roman" w:cs="Times New Roman"/>
                <w:sz w:val="24"/>
                <w:szCs w:val="24"/>
              </w:rPr>
              <w:t>е)</w:t>
            </w:r>
            <w:r w:rsidR="00B25E66" w:rsidRPr="00B25E66">
              <w:rPr>
                <w:rFonts w:ascii="Times New Roman" w:hAnsi="Times New Roman" w:cs="Times New Roman"/>
                <w:sz w:val="24"/>
                <w:szCs w:val="24"/>
              </w:rPr>
              <w:t xml:space="preserve"> Локализация</w:t>
            </w:r>
            <w:r w:rsidR="00B25E66" w:rsidRPr="00B25E66">
              <w:rPr>
                <w:rFonts w:ascii="Times New Roman" w:hAnsi="Times New Roman" w:cs="Times New Roman"/>
                <w:sz w:val="24"/>
                <w:szCs w:val="24"/>
                <w:lang w:val="en-US"/>
              </w:rPr>
              <w:t xml:space="preserve"> RRI</w:t>
            </w:r>
          </w:p>
        </w:tc>
      </w:tr>
      <w:tr w:rsidR="007875C6" w:rsidRPr="00A43B9C" w14:paraId="24BBCC80" w14:textId="77777777" w:rsidTr="00DD2C0F">
        <w:tc>
          <w:tcPr>
            <w:tcW w:w="3636" w:type="dxa"/>
          </w:tcPr>
          <w:p w14:paraId="1632D757" w14:textId="0D593217" w:rsidR="007875C6" w:rsidRPr="00A43B9C" w:rsidRDefault="00DD2C0F" w:rsidP="00DD2C0F">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31E35A2C" wp14:editId="7A071E33">
                      <wp:extent cx="2160000" cy="2160000"/>
                      <wp:effectExtent l="0" t="0" r="12065" b="12065"/>
                      <wp:docPr id="285" name="Диаграмма 285">
                        <a:extLst xmlns:a="http://schemas.openxmlformats.org/drawingml/2006/main">
                          <a:ext uri="{FF2B5EF4-FFF2-40B4-BE49-F238E27FC236}">
                            <a16:creationId xmlns:a16="http://schemas.microsoft.com/office/drawing/2014/main" id="{3828FBDC-564A-4763-8CB7-B6539ACC761C}"/>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84"/>
                        </a:graphicData>
                      </a:graphic>
                    </wp:inline>
                  </w:drawing>
                </mc:Choice>
                <mc:Fallback>
                  <w:drawing>
                    <wp:inline distT="0" distB="0" distL="0" distR="0" wp14:anchorId="31E35A2C" wp14:editId="7A071E33">
                      <wp:extent cx="2160000" cy="2160000"/>
                      <wp:effectExtent l="0" t="0" r="12065" b="12065"/>
                      <wp:docPr id="285" name="Диаграмма 285">
                        <a:extLst xmlns:a="http://schemas.openxmlformats.org/drawingml/2006/main">
                          <a:ext uri="{FF2B5EF4-FFF2-40B4-BE49-F238E27FC236}">
                            <a16:creationId xmlns:a16="http://schemas.microsoft.com/office/drawing/2014/main" id="{3828FBDC-564A-4763-8CB7-B6539ACC761C}"/>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85" name="Диаграмма 285">
                                <a:extLst>
                                  <a:ext uri="{FF2B5EF4-FFF2-40B4-BE49-F238E27FC236}">
                                    <a16:creationId xmlns:a16="http://schemas.microsoft.com/office/drawing/2014/main" id="{3828FBDC-564A-4763-8CB7-B6539ACC761C}"/>
                                  </a:ext>
                                </a:extLst>
                              </pic:cNvPr>
                              <pic:cNvPicPr>
                                <a:picLocks noGrp="1" noRot="1" noChangeAspect="1" noMove="1" noResize="1" noEditPoints="1" noAdjustHandles="1" noChangeArrowheads="1" noChangeShapeType="1"/>
                              </pic:cNvPicPr>
                            </pic:nvPicPr>
                            <pic:blipFill>
                              <a:blip r:embed="rId285"/>
                              <a:stretch>
                                <a:fillRect/>
                              </a:stretch>
                            </pic:blipFill>
                            <pic:spPr>
                              <a:xfrm>
                                <a:off x="0" y="0"/>
                                <a:ext cx="2159635" cy="2159635"/>
                              </a:xfrm>
                              <a:prstGeom prst="rect">
                                <a:avLst/>
                              </a:prstGeom>
                            </pic:spPr>
                          </pic:pic>
                        </a:graphicData>
                      </a:graphic>
                    </wp:inline>
                  </w:drawing>
                </mc:Fallback>
              </mc:AlternateContent>
            </w:r>
          </w:p>
        </w:tc>
        <w:tc>
          <w:tcPr>
            <w:tcW w:w="3636" w:type="dxa"/>
          </w:tcPr>
          <w:p w14:paraId="377BCFC4" w14:textId="19CFFBF6" w:rsidR="007875C6" w:rsidRPr="00A43B9C" w:rsidRDefault="00DD2C0F" w:rsidP="00DD2C0F">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5B01DBB7" wp14:editId="7156E307">
                      <wp:extent cx="2160000" cy="2160000"/>
                      <wp:effectExtent l="0" t="0" r="12065" b="12065"/>
                      <wp:docPr id="286" name="Диаграмма 286">
                        <a:extLst xmlns:a="http://schemas.openxmlformats.org/drawingml/2006/main">
                          <a:ext uri="{FF2B5EF4-FFF2-40B4-BE49-F238E27FC236}">
                            <a16:creationId xmlns:a16="http://schemas.microsoft.com/office/drawing/2014/main" id="{8C03A087-D6B4-4DE0-9198-68B7F7D207FA}"/>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86"/>
                        </a:graphicData>
                      </a:graphic>
                    </wp:inline>
                  </w:drawing>
                </mc:Choice>
                <mc:Fallback>
                  <w:drawing>
                    <wp:inline distT="0" distB="0" distL="0" distR="0" wp14:anchorId="5B01DBB7" wp14:editId="7156E307">
                      <wp:extent cx="2160000" cy="2160000"/>
                      <wp:effectExtent l="0" t="0" r="12065" b="12065"/>
                      <wp:docPr id="286" name="Диаграмма 286">
                        <a:extLst xmlns:a="http://schemas.openxmlformats.org/drawingml/2006/main">
                          <a:ext uri="{FF2B5EF4-FFF2-40B4-BE49-F238E27FC236}">
                            <a16:creationId xmlns:a16="http://schemas.microsoft.com/office/drawing/2014/main" id="{8C03A087-D6B4-4DE0-9198-68B7F7D207FA}"/>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86" name="Диаграмма 286">
                                <a:extLst>
                                  <a:ext uri="{FF2B5EF4-FFF2-40B4-BE49-F238E27FC236}">
                                    <a16:creationId xmlns:a16="http://schemas.microsoft.com/office/drawing/2014/main" id="{8C03A087-D6B4-4DE0-9198-68B7F7D207FA}"/>
                                  </a:ext>
                                </a:extLst>
                              </pic:cNvPr>
                              <pic:cNvPicPr>
                                <a:picLocks noGrp="1" noRot="1" noChangeAspect="1" noMove="1" noResize="1" noEditPoints="1" noAdjustHandles="1" noChangeArrowheads="1" noChangeShapeType="1"/>
                              </pic:cNvPicPr>
                            </pic:nvPicPr>
                            <pic:blipFill>
                              <a:blip r:embed="rId287"/>
                              <a:stretch>
                                <a:fillRect/>
                              </a:stretch>
                            </pic:blipFill>
                            <pic:spPr>
                              <a:xfrm>
                                <a:off x="0" y="0"/>
                                <a:ext cx="2159635" cy="2159635"/>
                              </a:xfrm>
                              <a:prstGeom prst="rect">
                                <a:avLst/>
                              </a:prstGeom>
                            </pic:spPr>
                          </pic:pic>
                        </a:graphicData>
                      </a:graphic>
                    </wp:inline>
                  </w:drawing>
                </mc:Fallback>
              </mc:AlternateContent>
            </w:r>
          </w:p>
        </w:tc>
        <w:tc>
          <w:tcPr>
            <w:tcW w:w="3636" w:type="dxa"/>
          </w:tcPr>
          <w:p w14:paraId="23DE5DA8" w14:textId="2D7EDAF8" w:rsidR="007875C6" w:rsidRPr="00A43B9C" w:rsidRDefault="00DD2C0F" w:rsidP="00DD2C0F">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76A32226" wp14:editId="6B6205A3">
                      <wp:extent cx="2160000" cy="2160000"/>
                      <wp:effectExtent l="0" t="0" r="12065" b="12065"/>
                      <wp:docPr id="287" name="Диаграмма 287">
                        <a:extLst xmlns:a="http://schemas.openxmlformats.org/drawingml/2006/main">
                          <a:ext uri="{FF2B5EF4-FFF2-40B4-BE49-F238E27FC236}">
                            <a16:creationId xmlns:a16="http://schemas.microsoft.com/office/drawing/2014/main" id="{258010BB-0C9D-4143-882C-92CB8048C723}"/>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88"/>
                        </a:graphicData>
                      </a:graphic>
                    </wp:inline>
                  </w:drawing>
                </mc:Choice>
                <mc:Fallback>
                  <w:drawing>
                    <wp:inline distT="0" distB="0" distL="0" distR="0" wp14:anchorId="76A32226" wp14:editId="6B6205A3">
                      <wp:extent cx="2160000" cy="2160000"/>
                      <wp:effectExtent l="0" t="0" r="12065" b="12065"/>
                      <wp:docPr id="287" name="Диаграмма 287">
                        <a:extLst xmlns:a="http://schemas.openxmlformats.org/drawingml/2006/main">
                          <a:ext uri="{FF2B5EF4-FFF2-40B4-BE49-F238E27FC236}">
                            <a16:creationId xmlns:a16="http://schemas.microsoft.com/office/drawing/2014/main" id="{258010BB-0C9D-4143-882C-92CB8048C723}"/>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87" name="Диаграмма 287">
                                <a:extLst>
                                  <a:ext uri="{FF2B5EF4-FFF2-40B4-BE49-F238E27FC236}">
                                    <a16:creationId xmlns:a16="http://schemas.microsoft.com/office/drawing/2014/main" id="{258010BB-0C9D-4143-882C-92CB8048C723}"/>
                                  </a:ext>
                                </a:extLst>
                              </pic:cNvPr>
                              <pic:cNvPicPr>
                                <a:picLocks noGrp="1" noRot="1" noChangeAspect="1" noMove="1" noResize="1" noEditPoints="1" noAdjustHandles="1" noChangeArrowheads="1" noChangeShapeType="1"/>
                              </pic:cNvPicPr>
                            </pic:nvPicPr>
                            <pic:blipFill>
                              <a:blip r:embed="rId289"/>
                              <a:stretch>
                                <a:fillRect/>
                              </a:stretch>
                            </pic:blipFill>
                            <pic:spPr>
                              <a:xfrm>
                                <a:off x="0" y="0"/>
                                <a:ext cx="2159635" cy="2159635"/>
                              </a:xfrm>
                              <a:prstGeom prst="rect">
                                <a:avLst/>
                              </a:prstGeom>
                            </pic:spPr>
                          </pic:pic>
                        </a:graphicData>
                      </a:graphic>
                    </wp:inline>
                  </w:drawing>
                </mc:Fallback>
              </mc:AlternateContent>
            </w:r>
          </w:p>
        </w:tc>
      </w:tr>
      <w:tr w:rsidR="00316240" w:rsidRPr="00B25E66" w14:paraId="5765E127" w14:textId="77777777" w:rsidTr="00DD2C0F">
        <w:tc>
          <w:tcPr>
            <w:tcW w:w="3636" w:type="dxa"/>
          </w:tcPr>
          <w:p w14:paraId="53A11581" w14:textId="28EF3435" w:rsidR="00316240" w:rsidRPr="00B25E66" w:rsidRDefault="00316240" w:rsidP="00316240">
            <w:pPr>
              <w:spacing w:after="0" w:line="240" w:lineRule="auto"/>
              <w:jc w:val="center"/>
              <w:rPr>
                <w:rFonts w:ascii="Times New Roman" w:hAnsi="Times New Roman" w:cs="Times New Roman"/>
                <w:sz w:val="24"/>
                <w:szCs w:val="24"/>
                <w:lang w:val="en-US"/>
              </w:rPr>
            </w:pPr>
            <w:r w:rsidRPr="00B25E66">
              <w:rPr>
                <w:rFonts w:ascii="Times New Roman" w:hAnsi="Times New Roman" w:cs="Times New Roman"/>
                <w:sz w:val="24"/>
                <w:szCs w:val="24"/>
              </w:rPr>
              <w:t>ж)</w:t>
            </w:r>
            <w:r w:rsidR="00B25E66" w:rsidRPr="00B25E66">
              <w:rPr>
                <w:rFonts w:ascii="Times New Roman" w:hAnsi="Times New Roman" w:cs="Times New Roman"/>
                <w:sz w:val="24"/>
                <w:szCs w:val="24"/>
              </w:rPr>
              <w:t xml:space="preserve"> Локализация</w:t>
            </w:r>
            <w:r w:rsidR="00B25E66" w:rsidRPr="00B25E66">
              <w:rPr>
                <w:rFonts w:ascii="Times New Roman" w:hAnsi="Times New Roman" w:cs="Times New Roman"/>
                <w:sz w:val="24"/>
                <w:szCs w:val="24"/>
                <w:lang w:val="en-US"/>
              </w:rPr>
              <w:t xml:space="preserve"> RP</w:t>
            </w:r>
          </w:p>
        </w:tc>
        <w:tc>
          <w:tcPr>
            <w:tcW w:w="3636" w:type="dxa"/>
          </w:tcPr>
          <w:p w14:paraId="65C2C8E2" w14:textId="53100065" w:rsidR="00316240" w:rsidRPr="00B25E66" w:rsidRDefault="00316240" w:rsidP="00316240">
            <w:pPr>
              <w:spacing w:after="0" w:line="240" w:lineRule="auto"/>
              <w:jc w:val="center"/>
              <w:rPr>
                <w:rFonts w:ascii="Times New Roman" w:hAnsi="Times New Roman" w:cs="Times New Roman"/>
                <w:sz w:val="24"/>
                <w:szCs w:val="24"/>
                <w:lang w:val="en-US"/>
              </w:rPr>
            </w:pPr>
            <w:r w:rsidRPr="00B25E66">
              <w:rPr>
                <w:rFonts w:ascii="Times New Roman" w:hAnsi="Times New Roman" w:cs="Times New Roman"/>
                <w:sz w:val="24"/>
                <w:szCs w:val="24"/>
              </w:rPr>
              <w:t>к)</w:t>
            </w:r>
            <w:r w:rsidR="00B25E66" w:rsidRPr="00B25E66">
              <w:rPr>
                <w:rFonts w:ascii="Times New Roman" w:hAnsi="Times New Roman" w:cs="Times New Roman"/>
                <w:sz w:val="24"/>
                <w:szCs w:val="24"/>
              </w:rPr>
              <w:t xml:space="preserve"> Локализация</w:t>
            </w:r>
            <w:r w:rsidR="00B25E66" w:rsidRPr="00B25E66">
              <w:rPr>
                <w:rFonts w:ascii="Times New Roman" w:hAnsi="Times New Roman" w:cs="Times New Roman"/>
                <w:sz w:val="24"/>
                <w:szCs w:val="24"/>
                <w:lang w:val="en-US"/>
              </w:rPr>
              <w:t xml:space="preserve"> RLI</w:t>
            </w:r>
          </w:p>
        </w:tc>
        <w:tc>
          <w:tcPr>
            <w:tcW w:w="3636" w:type="dxa"/>
          </w:tcPr>
          <w:p w14:paraId="7CA169D4" w14:textId="2485B098" w:rsidR="00316240" w:rsidRPr="00B25E66" w:rsidRDefault="00316240" w:rsidP="00316240">
            <w:pPr>
              <w:spacing w:after="0" w:line="240" w:lineRule="auto"/>
              <w:jc w:val="center"/>
              <w:rPr>
                <w:rFonts w:ascii="Times New Roman" w:hAnsi="Times New Roman" w:cs="Times New Roman"/>
                <w:sz w:val="24"/>
                <w:szCs w:val="24"/>
                <w:lang w:val="en-US"/>
              </w:rPr>
            </w:pPr>
            <w:r w:rsidRPr="00B25E66">
              <w:rPr>
                <w:rFonts w:ascii="Times New Roman" w:hAnsi="Times New Roman" w:cs="Times New Roman"/>
                <w:sz w:val="24"/>
                <w:szCs w:val="24"/>
              </w:rPr>
              <w:t>л)</w:t>
            </w:r>
            <w:r w:rsidR="00B25E66" w:rsidRPr="00B25E66">
              <w:rPr>
                <w:rFonts w:ascii="Times New Roman" w:hAnsi="Times New Roman" w:cs="Times New Roman"/>
                <w:sz w:val="24"/>
                <w:szCs w:val="24"/>
              </w:rPr>
              <w:t xml:space="preserve"> Локализация</w:t>
            </w:r>
            <w:r w:rsidR="00B25E66" w:rsidRPr="00B25E66">
              <w:rPr>
                <w:rFonts w:ascii="Times New Roman" w:hAnsi="Times New Roman" w:cs="Times New Roman"/>
                <w:sz w:val="24"/>
                <w:szCs w:val="24"/>
                <w:lang w:val="en-US"/>
              </w:rPr>
              <w:t xml:space="preserve"> P</w:t>
            </w:r>
          </w:p>
        </w:tc>
      </w:tr>
    </w:tbl>
    <w:p w14:paraId="1280AE70" w14:textId="77777777" w:rsidR="00B25E66" w:rsidRDefault="00B25E66" w:rsidP="007875C6">
      <w:pPr>
        <w:spacing w:after="0" w:line="240" w:lineRule="auto"/>
        <w:jc w:val="center"/>
        <w:rPr>
          <w:rFonts w:ascii="Times New Roman" w:hAnsi="Times New Roman" w:cs="Times New Roman"/>
          <w:sz w:val="28"/>
          <w:szCs w:val="28"/>
        </w:rPr>
      </w:pPr>
    </w:p>
    <w:p w14:paraId="7A7B67D0" w14:textId="09E54266" w:rsidR="007875C6" w:rsidRDefault="007875C6" w:rsidP="007875C6">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4</w:t>
      </w:r>
      <w:r w:rsidR="001A1D98">
        <w:rPr>
          <w:rFonts w:ascii="Times New Roman" w:hAnsi="Times New Roman" w:cs="Times New Roman"/>
          <w:sz w:val="28"/>
          <w:szCs w:val="28"/>
        </w:rPr>
        <w:t>2</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распределений уровня накоплени</w:t>
      </w:r>
      <w:r w:rsidR="00B336CA" w:rsidRP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зависимости от гистологического типа опухоли (аденокарциномы)</w:t>
      </w:r>
      <w:r w:rsidR="00316240" w:rsidRPr="00A43B9C">
        <w:rPr>
          <w:rFonts w:ascii="Times New Roman" w:hAnsi="Times New Roman" w:cs="Times New Roman"/>
          <w:sz w:val="28"/>
          <w:szCs w:val="28"/>
        </w:rPr>
        <w:t xml:space="preserve"> по локализациям</w:t>
      </w:r>
    </w:p>
    <w:p w14:paraId="62E9D47F" w14:textId="77777777" w:rsidR="00B25E66" w:rsidRPr="00A43B9C" w:rsidRDefault="00B25E66" w:rsidP="007875C6">
      <w:pPr>
        <w:spacing w:after="0" w:line="240" w:lineRule="auto"/>
        <w:jc w:val="center"/>
        <w:rPr>
          <w:rFonts w:ascii="Times New Roman" w:hAnsi="Times New Roman" w:cs="Times New Roman"/>
          <w:sz w:val="28"/>
          <w:szCs w:val="28"/>
        </w:rPr>
      </w:pPr>
    </w:p>
    <w:p w14:paraId="6F87064C" w14:textId="1A2FB051" w:rsidR="00A8025B" w:rsidRPr="00A43B9C" w:rsidRDefault="00040E82" w:rsidP="00A120D6">
      <w:pPr>
        <w:pStyle w:val="31"/>
        <w:spacing w:before="0" w:line="240" w:lineRule="auto"/>
        <w:ind w:firstLine="709"/>
        <w:jc w:val="both"/>
        <w:rPr>
          <w:rFonts w:ascii="Times New Roman" w:eastAsia="Times New Roman" w:hAnsi="Times New Roman" w:cs="Times New Roman"/>
          <w:color w:val="auto"/>
          <w:sz w:val="28"/>
          <w:szCs w:val="28"/>
          <w:lang w:eastAsia="ru-RU"/>
        </w:rPr>
      </w:pPr>
      <w:bookmarkStart w:id="78" w:name="_Toc94105261"/>
      <w:bookmarkStart w:id="79" w:name="_Toc101367676"/>
      <w:bookmarkStart w:id="80" w:name="_Toc101861823"/>
      <w:bookmarkStart w:id="81" w:name="_Toc102937626"/>
      <w:bookmarkStart w:id="82" w:name="_Hlk101618847"/>
      <w:r w:rsidRPr="00A43B9C">
        <w:rPr>
          <w:rFonts w:ascii="Times New Roman" w:eastAsia="Times New Roman" w:hAnsi="Times New Roman" w:cs="Times New Roman"/>
          <w:color w:val="auto"/>
          <w:sz w:val="28"/>
          <w:szCs w:val="28"/>
          <w:lang w:eastAsia="ru-RU"/>
        </w:rPr>
        <w:t>3</w:t>
      </w:r>
      <w:r w:rsidR="00A8025B" w:rsidRPr="00A43B9C">
        <w:rPr>
          <w:rFonts w:ascii="Times New Roman" w:eastAsia="Times New Roman" w:hAnsi="Times New Roman" w:cs="Times New Roman"/>
          <w:color w:val="auto"/>
          <w:sz w:val="28"/>
          <w:szCs w:val="28"/>
          <w:lang w:eastAsia="ru-RU"/>
        </w:rPr>
        <w:t>.</w:t>
      </w:r>
      <w:r w:rsidR="00B674B1" w:rsidRPr="00A43B9C">
        <w:rPr>
          <w:rFonts w:ascii="Times New Roman" w:eastAsia="Times New Roman" w:hAnsi="Times New Roman" w:cs="Times New Roman"/>
          <w:color w:val="auto"/>
          <w:sz w:val="28"/>
          <w:szCs w:val="28"/>
          <w:lang w:eastAsia="ru-RU"/>
        </w:rPr>
        <w:t>2</w:t>
      </w:r>
      <w:r w:rsidRPr="00A43B9C">
        <w:rPr>
          <w:rFonts w:ascii="Times New Roman" w:eastAsia="Times New Roman" w:hAnsi="Times New Roman" w:cs="Times New Roman"/>
          <w:color w:val="auto"/>
          <w:sz w:val="28"/>
          <w:szCs w:val="28"/>
          <w:lang w:eastAsia="ru-RU"/>
        </w:rPr>
        <w:t>.2</w:t>
      </w:r>
      <w:r w:rsidR="00A8025B" w:rsidRPr="00A43B9C">
        <w:rPr>
          <w:rFonts w:ascii="Times New Roman" w:eastAsia="Times New Roman" w:hAnsi="Times New Roman" w:cs="Times New Roman"/>
          <w:color w:val="auto"/>
          <w:sz w:val="28"/>
          <w:szCs w:val="28"/>
          <w:lang w:eastAsia="ru-RU"/>
        </w:rPr>
        <w:t xml:space="preserve"> </w:t>
      </w:r>
      <w:bookmarkEnd w:id="78"/>
      <w:bookmarkEnd w:id="79"/>
      <w:r w:rsidR="0075659D" w:rsidRPr="0075659D">
        <w:rPr>
          <w:rFonts w:ascii="Times New Roman" w:hAnsi="Times New Roman" w:cs="Times New Roman"/>
          <w:color w:val="auto"/>
          <w:sz w:val="28"/>
          <w:szCs w:val="28"/>
          <w:lang w:eastAsia="ru-RU"/>
        </w:rPr>
        <w:t>Корреляционны</w:t>
      </w:r>
      <w:r w:rsidR="0075659D" w:rsidRPr="0075659D">
        <w:rPr>
          <w:rFonts w:ascii="Times New Roman" w:hAnsi="Times New Roman" w:cs="Times New Roman"/>
          <w:color w:val="auto"/>
          <w:sz w:val="28"/>
          <w:szCs w:val="28"/>
        </w:rPr>
        <w:t>й</w:t>
      </w:r>
      <w:r w:rsidR="0075659D" w:rsidRPr="0075659D">
        <w:rPr>
          <w:rFonts w:ascii="Times New Roman" w:hAnsi="Times New Roman" w:cs="Times New Roman"/>
          <w:color w:val="auto"/>
          <w:sz w:val="28"/>
          <w:szCs w:val="28"/>
          <w:lang w:eastAsia="ru-RU"/>
        </w:rPr>
        <w:t xml:space="preserve"> анализ уровня накопления </w:t>
      </w:r>
      <w:r w:rsidR="0075659D" w:rsidRPr="0075659D">
        <w:rPr>
          <w:rFonts w:ascii="Times New Roman" w:hAnsi="Times New Roman" w:cs="Times New Roman"/>
          <w:color w:val="auto"/>
          <w:sz w:val="28"/>
          <w:szCs w:val="28"/>
          <w:lang w:val="en-US"/>
        </w:rPr>
        <w:t>SUV</w:t>
      </w:r>
      <w:r w:rsidR="0075659D" w:rsidRPr="0075659D">
        <w:rPr>
          <w:rFonts w:ascii="Times New Roman" w:hAnsi="Times New Roman" w:cs="Times New Roman"/>
          <w:color w:val="auto"/>
          <w:sz w:val="28"/>
          <w:szCs w:val="28"/>
          <w:vertAlign w:val="subscript"/>
          <w:lang w:val="en-US"/>
        </w:rPr>
        <w:t>max</w:t>
      </w:r>
      <w:r w:rsidR="0075659D" w:rsidRPr="0075659D">
        <w:rPr>
          <w:rFonts w:ascii="Times New Roman" w:hAnsi="Times New Roman" w:cs="Times New Roman"/>
          <w:color w:val="auto"/>
          <w:sz w:val="28"/>
          <w:szCs w:val="28"/>
          <w:vertAlign w:val="subscript"/>
        </w:rPr>
        <w:t xml:space="preserve"> </w:t>
      </w:r>
      <w:r w:rsidR="0075659D" w:rsidRPr="0075659D">
        <w:rPr>
          <w:rFonts w:ascii="Times New Roman" w:hAnsi="Times New Roman" w:cs="Times New Roman"/>
          <w:color w:val="auto"/>
          <w:sz w:val="28"/>
          <w:szCs w:val="28"/>
        </w:rPr>
        <w:t>в висцеральном жире</w:t>
      </w:r>
      <w:bookmarkEnd w:id="80"/>
      <w:bookmarkEnd w:id="81"/>
    </w:p>
    <w:p w14:paraId="2A099389" w14:textId="14061FF4" w:rsidR="00A8025B" w:rsidRPr="00A43B9C" w:rsidRDefault="00A8025B" w:rsidP="00A8025B">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Наблюдаем</w:t>
      </w:r>
      <w:r w:rsidR="00493AE7" w:rsidRPr="00A43B9C">
        <w:rPr>
          <w:rFonts w:ascii="Times New Roman" w:hAnsi="Times New Roman" w:cs="Times New Roman"/>
          <w:sz w:val="28"/>
          <w:szCs w:val="28"/>
        </w:rPr>
        <w:t xml:space="preserve">ая закономерность </w:t>
      </w:r>
      <w:r w:rsidRPr="00A43B9C">
        <w:rPr>
          <w:rFonts w:ascii="Times New Roman" w:hAnsi="Times New Roman" w:cs="Times New Roman"/>
          <w:sz w:val="28"/>
          <w:szCs w:val="28"/>
        </w:rPr>
        <w:t>последующего (</w:t>
      </w:r>
      <w:r w:rsidRPr="00A43B9C">
        <w:rPr>
          <w:rFonts w:ascii="Times New Roman" w:hAnsi="Times New Roman" w:cs="Times New Roman"/>
          <w:sz w:val="28"/>
          <w:szCs w:val="28"/>
          <w:lang w:val="en-US"/>
        </w:rPr>
        <w:t>II</w:t>
      </w:r>
      <w:r w:rsidRPr="00A43B9C">
        <w:rPr>
          <w:rFonts w:ascii="Times New Roman" w:hAnsi="Times New Roman" w:cs="Times New Roman"/>
          <w:sz w:val="28"/>
          <w:szCs w:val="28"/>
        </w:rPr>
        <w:t xml:space="preserve">)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FDG</w:t>
      </w:r>
      <w:r w:rsidRPr="00A43B9C">
        <w:rPr>
          <w:rFonts w:ascii="Times New Roman" w:hAnsi="Times New Roman" w:cs="Times New Roman"/>
          <w:sz w:val="28"/>
          <w:szCs w:val="28"/>
        </w:rPr>
        <w:t xml:space="preserve"> ПЭТ/КТ исследования в зависимости от базового (</w:t>
      </w:r>
      <w:r w:rsidRPr="00A43B9C">
        <w:rPr>
          <w:rFonts w:ascii="Times New Roman" w:hAnsi="Times New Roman" w:cs="Times New Roman"/>
          <w:sz w:val="28"/>
          <w:szCs w:val="28"/>
          <w:lang w:val="en-US"/>
        </w:rPr>
        <w:t>I</w:t>
      </w:r>
      <w:r w:rsidRPr="00A43B9C">
        <w:rPr>
          <w:rFonts w:ascii="Times New Roman" w:hAnsi="Times New Roman" w:cs="Times New Roman"/>
          <w:sz w:val="28"/>
          <w:szCs w:val="28"/>
        </w:rPr>
        <w:t xml:space="preserve">) </w:t>
      </w:r>
      <w:r w:rsidR="00493AE7" w:rsidRPr="00A43B9C">
        <w:rPr>
          <w:rFonts w:ascii="Times New Roman" w:hAnsi="Times New Roman" w:cs="Times New Roman"/>
          <w:sz w:val="28"/>
          <w:szCs w:val="28"/>
        </w:rPr>
        <w:t>мо</w:t>
      </w:r>
      <w:r w:rsidR="00125314" w:rsidRPr="00A43B9C">
        <w:rPr>
          <w:rFonts w:ascii="Times New Roman" w:hAnsi="Times New Roman" w:cs="Times New Roman"/>
          <w:sz w:val="28"/>
          <w:szCs w:val="28"/>
        </w:rPr>
        <w:t>ж</w:t>
      </w:r>
      <w:r w:rsidR="00493AE7" w:rsidRPr="00A43B9C">
        <w:rPr>
          <w:rFonts w:ascii="Times New Roman" w:hAnsi="Times New Roman" w:cs="Times New Roman"/>
          <w:sz w:val="28"/>
          <w:szCs w:val="28"/>
        </w:rPr>
        <w:t xml:space="preserve">но описать </w:t>
      </w:r>
      <w:r w:rsidRPr="00A43B9C">
        <w:rPr>
          <w:rFonts w:ascii="Times New Roman" w:hAnsi="Times New Roman" w:cs="Times New Roman"/>
          <w:sz w:val="28"/>
          <w:szCs w:val="28"/>
        </w:rPr>
        <w:t xml:space="preserve">уравнением линейной регрессии </w:t>
      </w:r>
      <w:r w:rsidR="00493AE7" w:rsidRPr="00A43B9C">
        <w:rPr>
          <w:rFonts w:ascii="Times New Roman" w:hAnsi="Times New Roman" w:cs="Times New Roman"/>
          <w:sz w:val="28"/>
          <w:szCs w:val="28"/>
        </w:rPr>
        <w:t xml:space="preserve">с учетом </w:t>
      </w:r>
      <w:r w:rsidRPr="00A43B9C">
        <w:rPr>
          <w:rFonts w:ascii="Times New Roman" w:hAnsi="Times New Roman" w:cs="Times New Roman"/>
          <w:sz w:val="28"/>
          <w:szCs w:val="28"/>
        </w:rPr>
        <w:t xml:space="preserve">локализаций брюшной полости и малого таза: </w:t>
      </w:r>
      <w:r w:rsidRPr="00A43B9C">
        <w:rPr>
          <w:rFonts w:ascii="Times New Roman" w:hAnsi="Times New Roman" w:cs="Times New Roman"/>
          <w:sz w:val="28"/>
          <w:szCs w:val="28"/>
          <w:lang w:val="en-US"/>
        </w:rPr>
        <w:lastRenderedPageBreak/>
        <w:t>RE</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Y</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RE</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II</w:t>
      </w:r>
      <w:r w:rsidRPr="00A43B9C">
        <w:rPr>
          <w:rFonts w:ascii="Times New Roman" w:hAnsi="Times New Roman" w:cs="Times New Roman"/>
          <w:sz w:val="28"/>
          <w:szCs w:val="28"/>
        </w:rPr>
        <w:t xml:space="preserve"> = 0,299 × </w:t>
      </w:r>
      <w:r w:rsidRPr="00A43B9C">
        <w:rPr>
          <w:rFonts w:ascii="Times New Roman" w:hAnsi="Times New Roman" w:cs="Times New Roman"/>
          <w:sz w:val="28"/>
          <w:szCs w:val="28"/>
          <w:lang w:val="en-US"/>
        </w:rPr>
        <w:t>X</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RE</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I</w:t>
      </w:r>
      <w:r w:rsidRPr="00A43B9C">
        <w:rPr>
          <w:rFonts w:ascii="Times New Roman" w:hAnsi="Times New Roman" w:cs="Times New Roman"/>
          <w:sz w:val="28"/>
          <w:szCs w:val="28"/>
        </w:rPr>
        <w:t xml:space="preserve"> + 0,754), </w:t>
      </w:r>
      <w:r w:rsidRPr="00A43B9C">
        <w:rPr>
          <w:rFonts w:ascii="Times New Roman" w:hAnsi="Times New Roman" w:cs="Times New Roman"/>
          <w:sz w:val="28"/>
          <w:szCs w:val="28"/>
          <w:lang w:val="en-US"/>
        </w:rPr>
        <w:t>RLH</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Y</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RLH</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II</w:t>
      </w:r>
      <w:r w:rsidRPr="00A43B9C">
        <w:rPr>
          <w:rFonts w:ascii="Times New Roman" w:hAnsi="Times New Roman" w:cs="Times New Roman"/>
          <w:sz w:val="28"/>
          <w:szCs w:val="28"/>
        </w:rPr>
        <w:t xml:space="preserve"> = 0,236 × </w:t>
      </w:r>
      <w:r w:rsidRPr="00A43B9C">
        <w:rPr>
          <w:rFonts w:ascii="Times New Roman" w:hAnsi="Times New Roman" w:cs="Times New Roman"/>
          <w:sz w:val="28"/>
          <w:szCs w:val="28"/>
          <w:lang w:val="en-US"/>
        </w:rPr>
        <w:t>X</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RLH</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I</w:t>
      </w:r>
      <w:r w:rsidRPr="00A43B9C">
        <w:rPr>
          <w:rFonts w:ascii="Times New Roman" w:hAnsi="Times New Roman" w:cs="Times New Roman"/>
          <w:sz w:val="28"/>
          <w:szCs w:val="28"/>
        </w:rPr>
        <w:t xml:space="preserve"> + 0,745), </w:t>
      </w:r>
      <w:r w:rsidRPr="00A43B9C">
        <w:rPr>
          <w:rFonts w:ascii="Times New Roman" w:hAnsi="Times New Roman" w:cs="Times New Roman"/>
          <w:sz w:val="28"/>
          <w:szCs w:val="28"/>
          <w:lang w:val="en-US"/>
        </w:rPr>
        <w:t>RRL</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Y</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RRL</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II</w:t>
      </w:r>
      <w:r w:rsidRPr="00A43B9C">
        <w:rPr>
          <w:rFonts w:ascii="Times New Roman" w:hAnsi="Times New Roman" w:cs="Times New Roman"/>
          <w:sz w:val="28"/>
          <w:szCs w:val="28"/>
        </w:rPr>
        <w:t xml:space="preserve"> = 0,334 × </w:t>
      </w:r>
      <w:r w:rsidRPr="00A43B9C">
        <w:rPr>
          <w:rFonts w:ascii="Times New Roman" w:hAnsi="Times New Roman" w:cs="Times New Roman"/>
          <w:sz w:val="28"/>
          <w:szCs w:val="28"/>
          <w:lang w:val="en-US"/>
        </w:rPr>
        <w:t>X</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RRL</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I</w:t>
      </w:r>
      <w:r w:rsidRPr="00A43B9C">
        <w:rPr>
          <w:rFonts w:ascii="Times New Roman" w:hAnsi="Times New Roman" w:cs="Times New Roman"/>
          <w:sz w:val="28"/>
          <w:szCs w:val="28"/>
        </w:rPr>
        <w:t xml:space="preserve"> + 0,8), </w:t>
      </w:r>
      <w:r w:rsidRPr="00A43B9C">
        <w:rPr>
          <w:rFonts w:ascii="Times New Roman" w:hAnsi="Times New Roman" w:cs="Times New Roman"/>
          <w:sz w:val="28"/>
          <w:szCs w:val="28"/>
          <w:lang w:val="en-US"/>
        </w:rPr>
        <w:t>RU</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Y</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RU</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II</w:t>
      </w:r>
      <w:r w:rsidRPr="00A43B9C">
        <w:rPr>
          <w:rFonts w:ascii="Times New Roman" w:hAnsi="Times New Roman" w:cs="Times New Roman"/>
          <w:sz w:val="28"/>
          <w:szCs w:val="28"/>
        </w:rPr>
        <w:t xml:space="preserve"> = 0,493 × </w:t>
      </w:r>
      <w:r w:rsidRPr="00A43B9C">
        <w:rPr>
          <w:rFonts w:ascii="Times New Roman" w:hAnsi="Times New Roman" w:cs="Times New Roman"/>
          <w:sz w:val="28"/>
          <w:szCs w:val="28"/>
          <w:lang w:val="en-US"/>
        </w:rPr>
        <w:t>X</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RU</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I</w:t>
      </w:r>
      <w:r w:rsidRPr="00A43B9C">
        <w:rPr>
          <w:rFonts w:ascii="Times New Roman" w:hAnsi="Times New Roman" w:cs="Times New Roman"/>
          <w:sz w:val="28"/>
          <w:szCs w:val="28"/>
        </w:rPr>
        <w:t xml:space="preserve"> + 0,586), </w:t>
      </w:r>
      <w:r w:rsidRPr="00A43B9C">
        <w:rPr>
          <w:rFonts w:ascii="Times New Roman" w:hAnsi="Times New Roman" w:cs="Times New Roman"/>
          <w:sz w:val="28"/>
          <w:szCs w:val="28"/>
          <w:lang w:val="en-US"/>
        </w:rPr>
        <w:t>RLL</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Y</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RLL</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II</w:t>
      </w:r>
      <w:r w:rsidRPr="00A43B9C">
        <w:rPr>
          <w:rFonts w:ascii="Times New Roman" w:hAnsi="Times New Roman" w:cs="Times New Roman"/>
          <w:sz w:val="28"/>
          <w:szCs w:val="28"/>
        </w:rPr>
        <w:t xml:space="preserve"> = 0,351 × </w:t>
      </w:r>
      <w:r w:rsidRPr="00A43B9C">
        <w:rPr>
          <w:rFonts w:ascii="Times New Roman" w:hAnsi="Times New Roman" w:cs="Times New Roman"/>
          <w:sz w:val="28"/>
          <w:szCs w:val="28"/>
          <w:lang w:val="en-US"/>
        </w:rPr>
        <w:t>X</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RLL</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I</w:t>
      </w:r>
      <w:r w:rsidRPr="00A43B9C">
        <w:rPr>
          <w:rFonts w:ascii="Times New Roman" w:hAnsi="Times New Roman" w:cs="Times New Roman"/>
          <w:sz w:val="28"/>
          <w:szCs w:val="28"/>
        </w:rPr>
        <w:t xml:space="preserve"> + 0,724), </w:t>
      </w:r>
      <w:r w:rsidRPr="00A43B9C">
        <w:rPr>
          <w:rFonts w:ascii="Times New Roman" w:hAnsi="Times New Roman" w:cs="Times New Roman"/>
          <w:sz w:val="28"/>
          <w:szCs w:val="28"/>
          <w:lang w:val="en-US"/>
        </w:rPr>
        <w:t>RRI</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Y</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RRI</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II</w:t>
      </w:r>
      <w:r w:rsidRPr="00A43B9C">
        <w:rPr>
          <w:rFonts w:ascii="Times New Roman" w:hAnsi="Times New Roman" w:cs="Times New Roman"/>
          <w:sz w:val="28"/>
          <w:szCs w:val="28"/>
        </w:rPr>
        <w:t xml:space="preserve"> = 0,187 × </w:t>
      </w:r>
      <w:r w:rsidRPr="00A43B9C">
        <w:rPr>
          <w:rFonts w:ascii="Times New Roman" w:hAnsi="Times New Roman" w:cs="Times New Roman"/>
          <w:sz w:val="28"/>
          <w:szCs w:val="28"/>
          <w:lang w:val="en-US"/>
        </w:rPr>
        <w:t>X</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RRI</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I</w:t>
      </w:r>
      <w:r w:rsidRPr="00A43B9C">
        <w:rPr>
          <w:rFonts w:ascii="Times New Roman" w:hAnsi="Times New Roman" w:cs="Times New Roman"/>
          <w:sz w:val="28"/>
          <w:szCs w:val="28"/>
        </w:rPr>
        <w:t xml:space="preserve"> + 0,699), </w:t>
      </w:r>
      <w:r w:rsidRPr="00A43B9C">
        <w:rPr>
          <w:rFonts w:ascii="Times New Roman" w:hAnsi="Times New Roman" w:cs="Times New Roman"/>
          <w:sz w:val="28"/>
          <w:szCs w:val="28"/>
          <w:lang w:val="en-US"/>
        </w:rPr>
        <w:t>RP</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Y</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RP</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II</w:t>
      </w:r>
      <w:r w:rsidRPr="00A43B9C">
        <w:rPr>
          <w:rFonts w:ascii="Times New Roman" w:hAnsi="Times New Roman" w:cs="Times New Roman"/>
          <w:sz w:val="28"/>
          <w:szCs w:val="28"/>
        </w:rPr>
        <w:t xml:space="preserve"> = 0,095 × </w:t>
      </w:r>
      <w:r w:rsidRPr="00A43B9C">
        <w:rPr>
          <w:rFonts w:ascii="Times New Roman" w:hAnsi="Times New Roman" w:cs="Times New Roman"/>
          <w:sz w:val="28"/>
          <w:szCs w:val="28"/>
          <w:lang w:val="en-US"/>
        </w:rPr>
        <w:t>X</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RP</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I</w:t>
      </w:r>
      <w:r w:rsidRPr="00A43B9C">
        <w:rPr>
          <w:rFonts w:ascii="Times New Roman" w:hAnsi="Times New Roman" w:cs="Times New Roman"/>
          <w:sz w:val="28"/>
          <w:szCs w:val="28"/>
        </w:rPr>
        <w:t xml:space="preserve"> + 0,916), </w:t>
      </w:r>
      <w:r w:rsidRPr="00A43B9C">
        <w:rPr>
          <w:rFonts w:ascii="Times New Roman" w:hAnsi="Times New Roman" w:cs="Times New Roman"/>
          <w:sz w:val="28"/>
          <w:szCs w:val="28"/>
          <w:lang w:val="en-US"/>
        </w:rPr>
        <w:t>RLI</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Y</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RLI</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II</w:t>
      </w:r>
      <w:r w:rsidRPr="00A43B9C">
        <w:rPr>
          <w:rFonts w:ascii="Times New Roman" w:hAnsi="Times New Roman" w:cs="Times New Roman"/>
          <w:sz w:val="28"/>
          <w:szCs w:val="28"/>
        </w:rPr>
        <w:t xml:space="preserve"> = 0,022 × </w:t>
      </w:r>
      <w:r w:rsidRPr="00A43B9C">
        <w:rPr>
          <w:rFonts w:ascii="Times New Roman" w:hAnsi="Times New Roman" w:cs="Times New Roman"/>
          <w:sz w:val="28"/>
          <w:szCs w:val="28"/>
          <w:lang w:val="en-US"/>
        </w:rPr>
        <w:t>X</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RLI</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I</w:t>
      </w:r>
      <w:r w:rsidRPr="00A43B9C">
        <w:rPr>
          <w:rFonts w:ascii="Times New Roman" w:hAnsi="Times New Roman" w:cs="Times New Roman"/>
          <w:sz w:val="28"/>
          <w:szCs w:val="28"/>
        </w:rPr>
        <w:t xml:space="preserve"> + 0,81), </w:t>
      </w:r>
      <w:r w:rsidRPr="00A43B9C">
        <w:rPr>
          <w:rFonts w:ascii="Times New Roman" w:hAnsi="Times New Roman" w:cs="Times New Roman"/>
          <w:sz w:val="28"/>
          <w:szCs w:val="28"/>
          <w:lang w:val="en-US"/>
        </w:rPr>
        <w:t>P</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Y</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P</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II</w:t>
      </w:r>
      <w:r w:rsidRPr="00A43B9C">
        <w:rPr>
          <w:rFonts w:ascii="Times New Roman" w:hAnsi="Times New Roman" w:cs="Times New Roman"/>
          <w:sz w:val="28"/>
          <w:szCs w:val="28"/>
        </w:rPr>
        <w:t xml:space="preserve"> = 0,076 × </w:t>
      </w:r>
      <w:r w:rsidRPr="00A43B9C">
        <w:rPr>
          <w:rFonts w:ascii="Times New Roman" w:hAnsi="Times New Roman" w:cs="Times New Roman"/>
          <w:sz w:val="28"/>
          <w:szCs w:val="28"/>
          <w:lang w:val="en-US"/>
        </w:rPr>
        <w:t>X</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P</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I</w:t>
      </w:r>
      <w:r w:rsidRPr="00A43B9C">
        <w:rPr>
          <w:rFonts w:ascii="Times New Roman" w:hAnsi="Times New Roman" w:cs="Times New Roman"/>
          <w:sz w:val="28"/>
          <w:szCs w:val="28"/>
        </w:rPr>
        <w:t xml:space="preserve"> + 0,913).</w:t>
      </w:r>
    </w:p>
    <w:p w14:paraId="491E6427" w14:textId="20C85D23" w:rsidR="00A8025B" w:rsidRPr="00A43B9C" w:rsidRDefault="00A8025B" w:rsidP="00A8025B">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При увеличении уровня накоплени</w:t>
      </w:r>
      <w:r w:rsidR="00B336CA" w:rsidRP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базового исследования в </w:t>
      </w:r>
      <w:r w:rsidR="008A2EAA">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RE на </w:t>
      </w:r>
      <w:r w:rsidR="00A120D6" w:rsidRPr="00A43B9C">
        <w:rPr>
          <w:rFonts w:ascii="Times New Roman" w:hAnsi="Times New Roman" w:cs="Times New Roman"/>
          <w:sz w:val="28"/>
          <w:szCs w:val="28"/>
        </w:rPr>
        <w:t>единицу</w:t>
      </w:r>
      <w:r w:rsidRPr="00A43B9C">
        <w:rPr>
          <w:rFonts w:ascii="Times New Roman" w:hAnsi="Times New Roman" w:cs="Times New Roman"/>
          <w:sz w:val="28"/>
          <w:szCs w:val="28"/>
        </w:rPr>
        <w:t xml:space="preserve"> следует ожидать увеличение уровня накоплени</w:t>
      </w:r>
      <w:r w:rsidR="00B336CA" w:rsidRP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последующем исследовании на 0,299</w:t>
      </w:r>
      <w:r w:rsidR="004413BC" w:rsidRPr="00A43B9C">
        <w:rPr>
          <w:rFonts w:ascii="Times New Roman" w:hAnsi="Times New Roman" w:cs="Times New Roman"/>
          <w:sz w:val="28"/>
          <w:szCs w:val="28"/>
        </w:rPr>
        <w:t>,</w:t>
      </w:r>
      <w:r w:rsidRPr="00A43B9C">
        <w:rPr>
          <w:rFonts w:ascii="Times New Roman" w:hAnsi="Times New Roman" w:cs="Times New Roman"/>
          <w:sz w:val="28"/>
          <w:szCs w:val="28"/>
        </w:rPr>
        <w:t xml:space="preserve"> и</w:t>
      </w:r>
      <w:r w:rsidR="00125314" w:rsidRPr="00A43B9C">
        <w:rPr>
          <w:rFonts w:ascii="Times New Roman" w:hAnsi="Times New Roman" w:cs="Times New Roman"/>
          <w:sz w:val="28"/>
          <w:szCs w:val="28"/>
        </w:rPr>
        <w:t xml:space="preserve"> такая</w:t>
      </w:r>
      <w:r w:rsidRPr="00A43B9C">
        <w:rPr>
          <w:rFonts w:ascii="Times New Roman" w:hAnsi="Times New Roman" w:cs="Times New Roman"/>
          <w:sz w:val="28"/>
          <w:szCs w:val="28"/>
        </w:rPr>
        <w:t xml:space="preserve"> модель объясняет 4,8% наблюдаемой дисперсии.</w:t>
      </w:r>
      <w:r w:rsidR="00EF7C89">
        <w:rPr>
          <w:rFonts w:ascii="Times New Roman" w:hAnsi="Times New Roman" w:cs="Times New Roman"/>
          <w:sz w:val="28"/>
          <w:szCs w:val="28"/>
        </w:rPr>
        <w:t xml:space="preserve"> При увеличении же уровня накопления </w:t>
      </w:r>
      <w:bookmarkStart w:id="83" w:name="_Hlk101620470"/>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базового исследования в </w:t>
      </w:r>
      <w:r w:rsidR="008A2EAA">
        <w:rPr>
          <w:rFonts w:ascii="Times New Roman" w:hAnsi="Times New Roman" w:cs="Times New Roman"/>
          <w:sz w:val="28"/>
          <w:szCs w:val="28"/>
        </w:rPr>
        <w:t>локализации</w:t>
      </w:r>
      <w:r w:rsidR="008A2EAA"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RLH на </w:t>
      </w:r>
      <w:r w:rsidR="004413BC" w:rsidRPr="00A43B9C">
        <w:rPr>
          <w:rFonts w:ascii="Times New Roman" w:hAnsi="Times New Roman" w:cs="Times New Roman"/>
          <w:sz w:val="28"/>
          <w:szCs w:val="28"/>
        </w:rPr>
        <w:t>единицу</w:t>
      </w:r>
      <w:r w:rsidRPr="00A43B9C">
        <w:rPr>
          <w:rFonts w:ascii="Times New Roman" w:hAnsi="Times New Roman" w:cs="Times New Roman"/>
          <w:sz w:val="28"/>
          <w:szCs w:val="28"/>
        </w:rPr>
        <w:t xml:space="preserve"> следует ожидать увеличени</w:t>
      </w:r>
      <w:r w:rsidR="004413BC" w:rsidRPr="00A43B9C">
        <w:rPr>
          <w:rFonts w:ascii="Times New Roman" w:hAnsi="Times New Roman" w:cs="Times New Roman"/>
          <w:sz w:val="28"/>
          <w:szCs w:val="28"/>
        </w:rPr>
        <w:t>я</w:t>
      </w:r>
      <w:r w:rsidRPr="00A43B9C">
        <w:rPr>
          <w:rFonts w:ascii="Times New Roman" w:hAnsi="Times New Roman" w:cs="Times New Roman"/>
          <w:sz w:val="28"/>
          <w:szCs w:val="28"/>
        </w:rPr>
        <w:t xml:space="preserve"> уровня накоплени</w:t>
      </w:r>
      <w:r w:rsidR="00B336CA" w:rsidRP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последующем исследовании на 0,236</w:t>
      </w:r>
      <w:r w:rsidR="004413BC" w:rsidRPr="00A43B9C">
        <w:rPr>
          <w:rFonts w:ascii="Times New Roman" w:hAnsi="Times New Roman" w:cs="Times New Roman"/>
          <w:sz w:val="28"/>
          <w:szCs w:val="28"/>
        </w:rPr>
        <w:t>,</w:t>
      </w:r>
      <w:r w:rsidRPr="00A43B9C">
        <w:rPr>
          <w:rFonts w:ascii="Times New Roman" w:hAnsi="Times New Roman" w:cs="Times New Roman"/>
          <w:sz w:val="28"/>
          <w:szCs w:val="28"/>
        </w:rPr>
        <w:t xml:space="preserve"> и</w:t>
      </w:r>
      <w:r w:rsidR="00125314" w:rsidRPr="00A43B9C">
        <w:rPr>
          <w:rFonts w:ascii="Times New Roman" w:hAnsi="Times New Roman" w:cs="Times New Roman"/>
          <w:sz w:val="28"/>
          <w:szCs w:val="28"/>
        </w:rPr>
        <w:t xml:space="preserve"> такая </w:t>
      </w:r>
      <w:r w:rsidRPr="00A43B9C">
        <w:rPr>
          <w:rFonts w:ascii="Times New Roman" w:hAnsi="Times New Roman" w:cs="Times New Roman"/>
          <w:sz w:val="28"/>
          <w:szCs w:val="28"/>
        </w:rPr>
        <w:t xml:space="preserve">модель объясняет </w:t>
      </w:r>
      <w:r w:rsidR="00125314" w:rsidRPr="00A43B9C">
        <w:rPr>
          <w:rFonts w:ascii="Times New Roman" w:hAnsi="Times New Roman" w:cs="Times New Roman"/>
          <w:sz w:val="28"/>
          <w:szCs w:val="28"/>
        </w:rPr>
        <w:t xml:space="preserve">уже </w:t>
      </w:r>
      <w:r w:rsidRPr="00A43B9C">
        <w:rPr>
          <w:rFonts w:ascii="Times New Roman" w:hAnsi="Times New Roman" w:cs="Times New Roman"/>
          <w:sz w:val="28"/>
          <w:szCs w:val="28"/>
        </w:rPr>
        <w:t>5,3% наблюдаемой дисперсии.</w:t>
      </w:r>
      <w:r w:rsidR="00125314" w:rsidRPr="00A43B9C">
        <w:rPr>
          <w:rFonts w:ascii="Times New Roman" w:hAnsi="Times New Roman" w:cs="Times New Roman"/>
          <w:sz w:val="28"/>
          <w:szCs w:val="28"/>
        </w:rPr>
        <w:t xml:space="preserve"> </w:t>
      </w:r>
      <w:r w:rsidRPr="00A43B9C">
        <w:rPr>
          <w:rFonts w:ascii="Times New Roman" w:hAnsi="Times New Roman" w:cs="Times New Roman"/>
          <w:sz w:val="28"/>
          <w:szCs w:val="28"/>
        </w:rPr>
        <w:t>При увеличении уровня накоплени</w:t>
      </w:r>
      <w:r w:rsidR="00B336CA" w:rsidRP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базового исследования в </w:t>
      </w:r>
      <w:r w:rsidR="008A2EAA">
        <w:rPr>
          <w:rFonts w:ascii="Times New Roman" w:hAnsi="Times New Roman" w:cs="Times New Roman"/>
          <w:sz w:val="28"/>
          <w:szCs w:val="28"/>
        </w:rPr>
        <w:t>локализации</w:t>
      </w:r>
      <w:r w:rsidR="008A2EAA"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RRL на </w:t>
      </w:r>
      <w:r w:rsidR="004413BC" w:rsidRPr="00A43B9C">
        <w:rPr>
          <w:rFonts w:ascii="Times New Roman" w:hAnsi="Times New Roman" w:cs="Times New Roman"/>
          <w:sz w:val="28"/>
          <w:szCs w:val="28"/>
        </w:rPr>
        <w:t>единицу</w:t>
      </w:r>
      <w:r w:rsidRPr="00A43B9C">
        <w:rPr>
          <w:rFonts w:ascii="Times New Roman" w:hAnsi="Times New Roman" w:cs="Times New Roman"/>
          <w:sz w:val="28"/>
          <w:szCs w:val="28"/>
        </w:rPr>
        <w:t xml:space="preserve"> следует ожидать увеличени</w:t>
      </w:r>
      <w:r w:rsidR="004413BC" w:rsidRPr="00A43B9C">
        <w:rPr>
          <w:rFonts w:ascii="Times New Roman" w:hAnsi="Times New Roman" w:cs="Times New Roman"/>
          <w:sz w:val="28"/>
          <w:szCs w:val="28"/>
        </w:rPr>
        <w:t>я</w:t>
      </w:r>
      <w:r w:rsidRPr="00A43B9C">
        <w:rPr>
          <w:rFonts w:ascii="Times New Roman" w:hAnsi="Times New Roman" w:cs="Times New Roman"/>
          <w:sz w:val="28"/>
          <w:szCs w:val="28"/>
        </w:rPr>
        <w:t xml:space="preserve"> уровня накоплени</w:t>
      </w:r>
      <w:r w:rsidR="00B336CA" w:rsidRP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последующем исследовании на 0,334</w:t>
      </w:r>
      <w:r w:rsidR="004413BC" w:rsidRPr="00A43B9C">
        <w:rPr>
          <w:rFonts w:ascii="Times New Roman" w:hAnsi="Times New Roman" w:cs="Times New Roman"/>
          <w:sz w:val="28"/>
          <w:szCs w:val="28"/>
        </w:rPr>
        <w:t>,</w:t>
      </w:r>
      <w:r w:rsidRPr="00A43B9C">
        <w:rPr>
          <w:rFonts w:ascii="Times New Roman" w:hAnsi="Times New Roman" w:cs="Times New Roman"/>
          <w:sz w:val="28"/>
          <w:szCs w:val="28"/>
        </w:rPr>
        <w:t xml:space="preserve"> и</w:t>
      </w:r>
      <w:r w:rsidR="00125314" w:rsidRPr="00A43B9C">
        <w:rPr>
          <w:rFonts w:ascii="Times New Roman" w:hAnsi="Times New Roman" w:cs="Times New Roman"/>
          <w:sz w:val="28"/>
          <w:szCs w:val="28"/>
        </w:rPr>
        <w:t xml:space="preserve"> такая </w:t>
      </w:r>
      <w:r w:rsidRPr="00A43B9C">
        <w:rPr>
          <w:rFonts w:ascii="Times New Roman" w:hAnsi="Times New Roman" w:cs="Times New Roman"/>
          <w:sz w:val="28"/>
          <w:szCs w:val="28"/>
        </w:rPr>
        <w:t>модель объясняет 9,4% наблюдаемой дисперсии.</w:t>
      </w:r>
      <w:r w:rsidR="00125314" w:rsidRPr="00A43B9C">
        <w:rPr>
          <w:rFonts w:ascii="Times New Roman" w:hAnsi="Times New Roman" w:cs="Times New Roman"/>
          <w:sz w:val="28"/>
          <w:szCs w:val="28"/>
        </w:rPr>
        <w:t xml:space="preserve"> Более того, п</w:t>
      </w:r>
      <w:r w:rsidRPr="00A43B9C">
        <w:rPr>
          <w:rFonts w:ascii="Times New Roman" w:hAnsi="Times New Roman" w:cs="Times New Roman"/>
          <w:sz w:val="28"/>
          <w:szCs w:val="28"/>
        </w:rPr>
        <w:t>ри увеличении уровня накоплени</w:t>
      </w:r>
      <w:r w:rsidR="00B336CA" w:rsidRP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базового исследования в </w:t>
      </w:r>
      <w:r w:rsidR="008A2EAA">
        <w:rPr>
          <w:rFonts w:ascii="Times New Roman" w:hAnsi="Times New Roman" w:cs="Times New Roman"/>
          <w:sz w:val="28"/>
          <w:szCs w:val="28"/>
        </w:rPr>
        <w:t>локализации</w:t>
      </w:r>
      <w:r w:rsidR="008A2EAA"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RU на </w:t>
      </w:r>
      <w:r w:rsidR="004413BC" w:rsidRPr="00A43B9C">
        <w:rPr>
          <w:rFonts w:ascii="Times New Roman" w:hAnsi="Times New Roman" w:cs="Times New Roman"/>
          <w:sz w:val="28"/>
          <w:szCs w:val="28"/>
        </w:rPr>
        <w:t>единицу</w:t>
      </w:r>
      <w:r w:rsidRPr="00A43B9C">
        <w:rPr>
          <w:rFonts w:ascii="Times New Roman" w:hAnsi="Times New Roman" w:cs="Times New Roman"/>
          <w:sz w:val="28"/>
          <w:szCs w:val="28"/>
        </w:rPr>
        <w:t xml:space="preserve"> следует ожидать увеличени</w:t>
      </w:r>
      <w:r w:rsidR="004413BC" w:rsidRPr="00A43B9C">
        <w:rPr>
          <w:rFonts w:ascii="Times New Roman" w:hAnsi="Times New Roman" w:cs="Times New Roman"/>
          <w:sz w:val="28"/>
          <w:szCs w:val="28"/>
        </w:rPr>
        <w:t>я</w:t>
      </w:r>
      <w:r w:rsidRPr="00A43B9C">
        <w:rPr>
          <w:rFonts w:ascii="Times New Roman" w:hAnsi="Times New Roman" w:cs="Times New Roman"/>
          <w:sz w:val="28"/>
          <w:szCs w:val="28"/>
        </w:rPr>
        <w:t xml:space="preserve"> уровня накоплени</w:t>
      </w:r>
      <w:r w:rsidR="00B336CA" w:rsidRP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последующем исследовании на 0,493</w:t>
      </w:r>
      <w:r w:rsidR="004413BC" w:rsidRPr="00A43B9C">
        <w:rPr>
          <w:rFonts w:ascii="Times New Roman" w:hAnsi="Times New Roman" w:cs="Times New Roman"/>
          <w:sz w:val="28"/>
          <w:szCs w:val="28"/>
        </w:rPr>
        <w:t>,</w:t>
      </w:r>
      <w:r w:rsidRPr="00A43B9C">
        <w:rPr>
          <w:rFonts w:ascii="Times New Roman" w:hAnsi="Times New Roman" w:cs="Times New Roman"/>
          <w:sz w:val="28"/>
          <w:szCs w:val="28"/>
        </w:rPr>
        <w:t xml:space="preserve"> и полученная модель объясняет </w:t>
      </w:r>
      <w:r w:rsidR="00125314" w:rsidRPr="00A43B9C">
        <w:rPr>
          <w:rFonts w:ascii="Times New Roman" w:hAnsi="Times New Roman" w:cs="Times New Roman"/>
          <w:sz w:val="28"/>
          <w:szCs w:val="28"/>
        </w:rPr>
        <w:t xml:space="preserve">уже </w:t>
      </w:r>
      <w:r w:rsidRPr="00A43B9C">
        <w:rPr>
          <w:rFonts w:ascii="Times New Roman" w:hAnsi="Times New Roman" w:cs="Times New Roman"/>
          <w:sz w:val="28"/>
          <w:szCs w:val="28"/>
        </w:rPr>
        <w:t>19,1% наблюдаемой дисперсии.</w:t>
      </w:r>
      <w:r w:rsidR="00125314" w:rsidRPr="00A43B9C">
        <w:rPr>
          <w:rFonts w:ascii="Times New Roman" w:hAnsi="Times New Roman" w:cs="Times New Roman"/>
          <w:sz w:val="28"/>
          <w:szCs w:val="28"/>
        </w:rPr>
        <w:t xml:space="preserve"> </w:t>
      </w:r>
      <w:r w:rsidRPr="00A43B9C">
        <w:rPr>
          <w:rFonts w:ascii="Times New Roman" w:hAnsi="Times New Roman" w:cs="Times New Roman"/>
          <w:sz w:val="28"/>
          <w:szCs w:val="28"/>
        </w:rPr>
        <w:t>При увеличении уровня накоплени</w:t>
      </w:r>
      <w:r w:rsidR="00B336CA" w:rsidRP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базового исследования в </w:t>
      </w:r>
      <w:r w:rsidR="008A2EAA">
        <w:rPr>
          <w:rFonts w:ascii="Times New Roman" w:hAnsi="Times New Roman" w:cs="Times New Roman"/>
          <w:sz w:val="28"/>
          <w:szCs w:val="28"/>
        </w:rPr>
        <w:t>локализации</w:t>
      </w:r>
      <w:r w:rsidR="008A2EAA"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RLL на </w:t>
      </w:r>
      <w:r w:rsidR="004413BC" w:rsidRPr="00A43B9C">
        <w:rPr>
          <w:rFonts w:ascii="Times New Roman" w:hAnsi="Times New Roman" w:cs="Times New Roman"/>
          <w:sz w:val="28"/>
          <w:szCs w:val="28"/>
        </w:rPr>
        <w:t>единицу</w:t>
      </w:r>
      <w:r w:rsidRPr="00A43B9C">
        <w:rPr>
          <w:rFonts w:ascii="Times New Roman" w:hAnsi="Times New Roman" w:cs="Times New Roman"/>
          <w:sz w:val="28"/>
          <w:szCs w:val="28"/>
        </w:rPr>
        <w:t xml:space="preserve"> следует ожидать увеличени</w:t>
      </w:r>
      <w:r w:rsidR="004413BC" w:rsidRPr="00A43B9C">
        <w:rPr>
          <w:rFonts w:ascii="Times New Roman" w:hAnsi="Times New Roman" w:cs="Times New Roman"/>
          <w:sz w:val="28"/>
          <w:szCs w:val="28"/>
        </w:rPr>
        <w:t>я</w:t>
      </w:r>
      <w:r w:rsidRPr="00A43B9C">
        <w:rPr>
          <w:rFonts w:ascii="Times New Roman" w:hAnsi="Times New Roman" w:cs="Times New Roman"/>
          <w:sz w:val="28"/>
          <w:szCs w:val="28"/>
        </w:rPr>
        <w:t xml:space="preserve"> уровня накоплени</w:t>
      </w:r>
      <w:r w:rsidR="00B336CA" w:rsidRP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последующем исследовании на 0,351</w:t>
      </w:r>
      <w:r w:rsidR="004413BC" w:rsidRPr="00A43B9C">
        <w:rPr>
          <w:rFonts w:ascii="Times New Roman" w:hAnsi="Times New Roman" w:cs="Times New Roman"/>
          <w:sz w:val="28"/>
          <w:szCs w:val="28"/>
        </w:rPr>
        <w:t>,</w:t>
      </w:r>
      <w:r w:rsidRPr="00A43B9C">
        <w:rPr>
          <w:rFonts w:ascii="Times New Roman" w:hAnsi="Times New Roman" w:cs="Times New Roman"/>
          <w:sz w:val="28"/>
          <w:szCs w:val="28"/>
        </w:rPr>
        <w:t xml:space="preserve"> и полученная модель объясняет 8,7% наблюдаемой дисперсии.</w:t>
      </w:r>
    </w:p>
    <w:p w14:paraId="1D17C93C" w14:textId="2B5643F7" w:rsidR="002E0731" w:rsidRPr="00A43B9C" w:rsidRDefault="00125314" w:rsidP="002E0731">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Схожие результаты получены и для других локализаций опухоли. Так, п</w:t>
      </w:r>
      <w:r w:rsidR="00A8025B" w:rsidRPr="00A43B9C">
        <w:rPr>
          <w:rFonts w:ascii="Times New Roman" w:hAnsi="Times New Roman" w:cs="Times New Roman"/>
          <w:sz w:val="28"/>
          <w:szCs w:val="28"/>
        </w:rPr>
        <w:t>ри увеличении уровня накоплени</w:t>
      </w:r>
      <w:r w:rsidR="00B336CA" w:rsidRPr="00A43B9C">
        <w:rPr>
          <w:rFonts w:ascii="Times New Roman" w:hAnsi="Times New Roman" w:cs="Times New Roman"/>
          <w:sz w:val="28"/>
          <w:szCs w:val="28"/>
        </w:rPr>
        <w:t>я</w:t>
      </w:r>
      <w:r w:rsidR="00A8025B" w:rsidRPr="00A43B9C">
        <w:rPr>
          <w:rFonts w:ascii="Times New Roman" w:hAnsi="Times New Roman" w:cs="Times New Roman"/>
          <w:sz w:val="28"/>
          <w:szCs w:val="28"/>
        </w:rPr>
        <w:t xml:space="preserve"> </w:t>
      </w:r>
      <w:r w:rsidR="00A8025B" w:rsidRPr="00A43B9C">
        <w:rPr>
          <w:rFonts w:ascii="Times New Roman" w:hAnsi="Times New Roman" w:cs="Times New Roman"/>
          <w:sz w:val="28"/>
          <w:szCs w:val="28"/>
          <w:lang w:val="en-US"/>
        </w:rPr>
        <w:t>SUV</w:t>
      </w:r>
      <w:r w:rsidR="00A8025B" w:rsidRPr="00A43B9C">
        <w:rPr>
          <w:rFonts w:ascii="Times New Roman" w:hAnsi="Times New Roman" w:cs="Times New Roman"/>
          <w:sz w:val="28"/>
          <w:szCs w:val="28"/>
          <w:vertAlign w:val="subscript"/>
          <w:lang w:val="en-US"/>
        </w:rPr>
        <w:t>max</w:t>
      </w:r>
      <w:r w:rsidR="00A8025B" w:rsidRPr="00A43B9C">
        <w:rPr>
          <w:rFonts w:ascii="Times New Roman" w:hAnsi="Times New Roman" w:cs="Times New Roman"/>
          <w:sz w:val="28"/>
          <w:szCs w:val="28"/>
        </w:rPr>
        <w:t xml:space="preserve"> базового исследования в </w:t>
      </w:r>
      <w:r w:rsidR="008A2EAA">
        <w:rPr>
          <w:rFonts w:ascii="Times New Roman" w:hAnsi="Times New Roman" w:cs="Times New Roman"/>
          <w:sz w:val="28"/>
          <w:szCs w:val="28"/>
        </w:rPr>
        <w:t>локализации</w:t>
      </w:r>
      <w:r w:rsidR="008A2EAA" w:rsidRPr="00A43B9C">
        <w:rPr>
          <w:rFonts w:ascii="Times New Roman" w:hAnsi="Times New Roman" w:cs="Times New Roman"/>
          <w:sz w:val="28"/>
          <w:szCs w:val="28"/>
        </w:rPr>
        <w:t xml:space="preserve"> </w:t>
      </w:r>
      <w:r w:rsidR="00A8025B" w:rsidRPr="00A43B9C">
        <w:rPr>
          <w:rFonts w:ascii="Times New Roman" w:hAnsi="Times New Roman" w:cs="Times New Roman"/>
          <w:sz w:val="28"/>
          <w:szCs w:val="28"/>
        </w:rPr>
        <w:t xml:space="preserve">RRI на </w:t>
      </w:r>
      <w:r w:rsidR="00A120D6" w:rsidRPr="00A43B9C">
        <w:rPr>
          <w:rFonts w:ascii="Times New Roman" w:hAnsi="Times New Roman" w:cs="Times New Roman"/>
          <w:sz w:val="28"/>
          <w:szCs w:val="28"/>
        </w:rPr>
        <w:t xml:space="preserve">единицу </w:t>
      </w:r>
      <w:r w:rsidR="00A8025B" w:rsidRPr="00A43B9C">
        <w:rPr>
          <w:rFonts w:ascii="Times New Roman" w:hAnsi="Times New Roman" w:cs="Times New Roman"/>
          <w:sz w:val="28"/>
          <w:szCs w:val="28"/>
        </w:rPr>
        <w:t>следует ожидать увеличени</w:t>
      </w:r>
      <w:r w:rsidR="004413BC" w:rsidRPr="00A43B9C">
        <w:rPr>
          <w:rFonts w:ascii="Times New Roman" w:hAnsi="Times New Roman" w:cs="Times New Roman"/>
          <w:sz w:val="28"/>
          <w:szCs w:val="28"/>
        </w:rPr>
        <w:t>я</w:t>
      </w:r>
      <w:r w:rsidR="00A8025B" w:rsidRPr="00A43B9C">
        <w:rPr>
          <w:rFonts w:ascii="Times New Roman" w:hAnsi="Times New Roman" w:cs="Times New Roman"/>
          <w:sz w:val="28"/>
          <w:szCs w:val="28"/>
        </w:rPr>
        <w:t xml:space="preserve"> уровня накоплени</w:t>
      </w:r>
      <w:r w:rsidR="00B336CA" w:rsidRPr="00A43B9C">
        <w:rPr>
          <w:rFonts w:ascii="Times New Roman" w:hAnsi="Times New Roman" w:cs="Times New Roman"/>
          <w:sz w:val="28"/>
          <w:szCs w:val="28"/>
        </w:rPr>
        <w:t>я</w:t>
      </w:r>
      <w:r w:rsidR="00A8025B" w:rsidRPr="00A43B9C">
        <w:rPr>
          <w:rFonts w:ascii="Times New Roman" w:hAnsi="Times New Roman" w:cs="Times New Roman"/>
          <w:sz w:val="28"/>
          <w:szCs w:val="28"/>
        </w:rPr>
        <w:t xml:space="preserve"> </w:t>
      </w:r>
      <w:r w:rsidR="00A8025B" w:rsidRPr="00A43B9C">
        <w:rPr>
          <w:rFonts w:ascii="Times New Roman" w:hAnsi="Times New Roman" w:cs="Times New Roman"/>
          <w:sz w:val="28"/>
          <w:szCs w:val="28"/>
          <w:lang w:val="en-US"/>
        </w:rPr>
        <w:t>SUV</w:t>
      </w:r>
      <w:r w:rsidR="00A8025B" w:rsidRPr="00A43B9C">
        <w:rPr>
          <w:rFonts w:ascii="Times New Roman" w:hAnsi="Times New Roman" w:cs="Times New Roman"/>
          <w:sz w:val="28"/>
          <w:szCs w:val="28"/>
          <w:vertAlign w:val="subscript"/>
          <w:lang w:val="en-US"/>
        </w:rPr>
        <w:t>max</w:t>
      </w:r>
      <w:r w:rsidR="00A8025B" w:rsidRPr="00A43B9C">
        <w:rPr>
          <w:rFonts w:ascii="Times New Roman" w:hAnsi="Times New Roman" w:cs="Times New Roman"/>
          <w:sz w:val="28"/>
          <w:szCs w:val="28"/>
        </w:rPr>
        <w:t xml:space="preserve"> в последующем исследовании на 0,187</w:t>
      </w:r>
      <w:r w:rsidR="004413BC" w:rsidRPr="00A43B9C">
        <w:rPr>
          <w:rFonts w:ascii="Times New Roman" w:hAnsi="Times New Roman" w:cs="Times New Roman"/>
          <w:sz w:val="28"/>
          <w:szCs w:val="28"/>
        </w:rPr>
        <w:t>,</w:t>
      </w:r>
      <w:r w:rsidR="00A8025B" w:rsidRPr="00A43B9C">
        <w:rPr>
          <w:rFonts w:ascii="Times New Roman" w:hAnsi="Times New Roman" w:cs="Times New Roman"/>
          <w:sz w:val="28"/>
          <w:szCs w:val="28"/>
        </w:rPr>
        <w:t xml:space="preserve"> и полученная модель объясняет 4,8% наблюдаемой дисперсии.</w:t>
      </w:r>
      <w:r w:rsidRPr="00A43B9C">
        <w:rPr>
          <w:rFonts w:ascii="Times New Roman" w:hAnsi="Times New Roman" w:cs="Times New Roman"/>
          <w:sz w:val="28"/>
          <w:szCs w:val="28"/>
        </w:rPr>
        <w:t xml:space="preserve"> </w:t>
      </w:r>
      <w:r w:rsidR="00A8025B" w:rsidRPr="00A43B9C">
        <w:rPr>
          <w:rFonts w:ascii="Times New Roman" w:hAnsi="Times New Roman" w:cs="Times New Roman"/>
          <w:sz w:val="28"/>
          <w:szCs w:val="28"/>
        </w:rPr>
        <w:t>При увеличении уровня накоплени</w:t>
      </w:r>
      <w:r w:rsidR="00B336CA" w:rsidRPr="00A43B9C">
        <w:rPr>
          <w:rFonts w:ascii="Times New Roman" w:hAnsi="Times New Roman" w:cs="Times New Roman"/>
          <w:sz w:val="28"/>
          <w:szCs w:val="28"/>
        </w:rPr>
        <w:t>я</w:t>
      </w:r>
      <w:r w:rsidR="00A8025B" w:rsidRPr="00A43B9C">
        <w:rPr>
          <w:rFonts w:ascii="Times New Roman" w:hAnsi="Times New Roman" w:cs="Times New Roman"/>
          <w:sz w:val="28"/>
          <w:szCs w:val="28"/>
        </w:rPr>
        <w:t xml:space="preserve"> </w:t>
      </w:r>
      <w:r w:rsidR="00A8025B" w:rsidRPr="00A43B9C">
        <w:rPr>
          <w:rFonts w:ascii="Times New Roman" w:hAnsi="Times New Roman" w:cs="Times New Roman"/>
          <w:sz w:val="28"/>
          <w:szCs w:val="28"/>
          <w:lang w:val="en-US"/>
        </w:rPr>
        <w:t>SUV</w:t>
      </w:r>
      <w:r w:rsidR="00A8025B" w:rsidRPr="00A43B9C">
        <w:rPr>
          <w:rFonts w:ascii="Times New Roman" w:hAnsi="Times New Roman" w:cs="Times New Roman"/>
          <w:sz w:val="28"/>
          <w:szCs w:val="28"/>
          <w:vertAlign w:val="subscript"/>
          <w:lang w:val="en-US"/>
        </w:rPr>
        <w:t>max</w:t>
      </w:r>
      <w:r w:rsidR="00A8025B" w:rsidRPr="00A43B9C">
        <w:rPr>
          <w:rFonts w:ascii="Times New Roman" w:hAnsi="Times New Roman" w:cs="Times New Roman"/>
          <w:sz w:val="28"/>
          <w:szCs w:val="28"/>
        </w:rPr>
        <w:t xml:space="preserve"> базового исследования в </w:t>
      </w:r>
      <w:r w:rsidR="008A2EAA">
        <w:rPr>
          <w:rFonts w:ascii="Times New Roman" w:hAnsi="Times New Roman" w:cs="Times New Roman"/>
          <w:sz w:val="28"/>
          <w:szCs w:val="28"/>
        </w:rPr>
        <w:t>локализации</w:t>
      </w:r>
      <w:r w:rsidR="008A2EAA" w:rsidRPr="00A43B9C">
        <w:rPr>
          <w:rFonts w:ascii="Times New Roman" w:hAnsi="Times New Roman" w:cs="Times New Roman"/>
          <w:sz w:val="28"/>
          <w:szCs w:val="28"/>
        </w:rPr>
        <w:t xml:space="preserve"> </w:t>
      </w:r>
      <w:r w:rsidR="00A8025B" w:rsidRPr="00A43B9C">
        <w:rPr>
          <w:rFonts w:ascii="Times New Roman" w:hAnsi="Times New Roman" w:cs="Times New Roman"/>
          <w:sz w:val="28"/>
          <w:szCs w:val="28"/>
        </w:rPr>
        <w:t xml:space="preserve">RP на </w:t>
      </w:r>
      <w:r w:rsidR="00A120D6" w:rsidRPr="00A43B9C">
        <w:rPr>
          <w:rFonts w:ascii="Times New Roman" w:hAnsi="Times New Roman" w:cs="Times New Roman"/>
          <w:sz w:val="28"/>
          <w:szCs w:val="28"/>
        </w:rPr>
        <w:t>единицу</w:t>
      </w:r>
      <w:r w:rsidR="00A8025B" w:rsidRPr="00A43B9C">
        <w:rPr>
          <w:rFonts w:ascii="Times New Roman" w:hAnsi="Times New Roman" w:cs="Times New Roman"/>
          <w:sz w:val="28"/>
          <w:szCs w:val="28"/>
        </w:rPr>
        <w:t xml:space="preserve"> следует ожидать увеличени</w:t>
      </w:r>
      <w:r w:rsidR="004413BC" w:rsidRPr="00A43B9C">
        <w:rPr>
          <w:rFonts w:ascii="Times New Roman" w:hAnsi="Times New Roman" w:cs="Times New Roman"/>
          <w:sz w:val="28"/>
          <w:szCs w:val="28"/>
        </w:rPr>
        <w:t>я</w:t>
      </w:r>
      <w:r w:rsidR="00A8025B" w:rsidRPr="00A43B9C">
        <w:rPr>
          <w:rFonts w:ascii="Times New Roman" w:hAnsi="Times New Roman" w:cs="Times New Roman"/>
          <w:sz w:val="28"/>
          <w:szCs w:val="28"/>
        </w:rPr>
        <w:t xml:space="preserve"> уровня накоплени</w:t>
      </w:r>
      <w:r w:rsidR="00B336CA" w:rsidRPr="00A43B9C">
        <w:rPr>
          <w:rFonts w:ascii="Times New Roman" w:hAnsi="Times New Roman" w:cs="Times New Roman"/>
          <w:sz w:val="28"/>
          <w:szCs w:val="28"/>
        </w:rPr>
        <w:t>я</w:t>
      </w:r>
      <w:r w:rsidR="00A8025B" w:rsidRPr="00A43B9C">
        <w:rPr>
          <w:rFonts w:ascii="Times New Roman" w:hAnsi="Times New Roman" w:cs="Times New Roman"/>
          <w:sz w:val="28"/>
          <w:szCs w:val="28"/>
        </w:rPr>
        <w:t xml:space="preserve"> </w:t>
      </w:r>
      <w:r w:rsidR="00A8025B" w:rsidRPr="00A43B9C">
        <w:rPr>
          <w:rFonts w:ascii="Times New Roman" w:hAnsi="Times New Roman" w:cs="Times New Roman"/>
          <w:sz w:val="28"/>
          <w:szCs w:val="28"/>
          <w:lang w:val="en-US"/>
        </w:rPr>
        <w:t>SUV</w:t>
      </w:r>
      <w:r w:rsidR="00A8025B" w:rsidRPr="00A43B9C">
        <w:rPr>
          <w:rFonts w:ascii="Times New Roman" w:hAnsi="Times New Roman" w:cs="Times New Roman"/>
          <w:sz w:val="28"/>
          <w:szCs w:val="28"/>
          <w:vertAlign w:val="subscript"/>
          <w:lang w:val="en-US"/>
        </w:rPr>
        <w:t>max</w:t>
      </w:r>
      <w:r w:rsidR="00A8025B" w:rsidRPr="00A43B9C">
        <w:rPr>
          <w:rFonts w:ascii="Times New Roman" w:hAnsi="Times New Roman" w:cs="Times New Roman"/>
          <w:sz w:val="28"/>
          <w:szCs w:val="28"/>
        </w:rPr>
        <w:t xml:space="preserve"> в последующем исследовании на 0,095, </w:t>
      </w:r>
      <w:r w:rsidRPr="00A43B9C">
        <w:rPr>
          <w:rFonts w:ascii="Times New Roman" w:hAnsi="Times New Roman" w:cs="Times New Roman"/>
          <w:sz w:val="28"/>
          <w:szCs w:val="28"/>
        </w:rPr>
        <w:t xml:space="preserve">но </w:t>
      </w:r>
      <w:r w:rsidR="00A8025B" w:rsidRPr="00A43B9C">
        <w:rPr>
          <w:rFonts w:ascii="Times New Roman" w:hAnsi="Times New Roman" w:cs="Times New Roman"/>
          <w:sz w:val="28"/>
          <w:szCs w:val="28"/>
        </w:rPr>
        <w:t xml:space="preserve">полученная модель объясняет </w:t>
      </w:r>
      <w:r w:rsidRPr="00A43B9C">
        <w:rPr>
          <w:rFonts w:ascii="Times New Roman" w:hAnsi="Times New Roman" w:cs="Times New Roman"/>
          <w:sz w:val="28"/>
          <w:szCs w:val="28"/>
        </w:rPr>
        <w:t xml:space="preserve">только </w:t>
      </w:r>
      <w:r w:rsidR="00A8025B" w:rsidRPr="00A43B9C">
        <w:rPr>
          <w:rFonts w:ascii="Times New Roman" w:hAnsi="Times New Roman" w:cs="Times New Roman"/>
          <w:sz w:val="28"/>
          <w:szCs w:val="28"/>
        </w:rPr>
        <w:t>2,3% наблюдаемой дисперсии.</w:t>
      </w:r>
      <w:r w:rsidRPr="00A43B9C">
        <w:rPr>
          <w:rFonts w:ascii="Times New Roman" w:hAnsi="Times New Roman" w:cs="Times New Roman"/>
          <w:sz w:val="28"/>
          <w:szCs w:val="28"/>
        </w:rPr>
        <w:t xml:space="preserve"> </w:t>
      </w:r>
      <w:r w:rsidR="00A8025B" w:rsidRPr="00A43B9C">
        <w:rPr>
          <w:rFonts w:ascii="Times New Roman" w:hAnsi="Times New Roman" w:cs="Times New Roman"/>
          <w:sz w:val="28"/>
          <w:szCs w:val="28"/>
        </w:rPr>
        <w:t>При увеличении уровня накоплени</w:t>
      </w:r>
      <w:r w:rsidR="00B336CA" w:rsidRPr="00A43B9C">
        <w:rPr>
          <w:rFonts w:ascii="Times New Roman" w:hAnsi="Times New Roman" w:cs="Times New Roman"/>
          <w:sz w:val="28"/>
          <w:szCs w:val="28"/>
        </w:rPr>
        <w:t>я</w:t>
      </w:r>
      <w:r w:rsidR="00A8025B" w:rsidRPr="00A43B9C">
        <w:rPr>
          <w:rFonts w:ascii="Times New Roman" w:hAnsi="Times New Roman" w:cs="Times New Roman"/>
          <w:sz w:val="28"/>
          <w:szCs w:val="28"/>
        </w:rPr>
        <w:t xml:space="preserve"> </w:t>
      </w:r>
      <w:r w:rsidR="00A8025B" w:rsidRPr="00A43B9C">
        <w:rPr>
          <w:rFonts w:ascii="Times New Roman" w:hAnsi="Times New Roman" w:cs="Times New Roman"/>
          <w:sz w:val="28"/>
          <w:szCs w:val="28"/>
          <w:lang w:val="en-US"/>
        </w:rPr>
        <w:t>SUV</w:t>
      </w:r>
      <w:r w:rsidR="00A8025B" w:rsidRPr="00A43B9C">
        <w:rPr>
          <w:rFonts w:ascii="Times New Roman" w:hAnsi="Times New Roman" w:cs="Times New Roman"/>
          <w:sz w:val="28"/>
          <w:szCs w:val="28"/>
          <w:vertAlign w:val="subscript"/>
          <w:lang w:val="en-US"/>
        </w:rPr>
        <w:t>max</w:t>
      </w:r>
      <w:r w:rsidR="00A8025B" w:rsidRPr="00A43B9C">
        <w:rPr>
          <w:rFonts w:ascii="Times New Roman" w:hAnsi="Times New Roman" w:cs="Times New Roman"/>
          <w:sz w:val="28"/>
          <w:szCs w:val="28"/>
        </w:rPr>
        <w:t xml:space="preserve"> базового исследования в </w:t>
      </w:r>
      <w:r w:rsidR="008A2EAA">
        <w:rPr>
          <w:rFonts w:ascii="Times New Roman" w:hAnsi="Times New Roman" w:cs="Times New Roman"/>
          <w:sz w:val="28"/>
          <w:szCs w:val="28"/>
        </w:rPr>
        <w:t>локализации</w:t>
      </w:r>
      <w:r w:rsidR="008A2EAA" w:rsidRPr="00A43B9C">
        <w:rPr>
          <w:rFonts w:ascii="Times New Roman" w:hAnsi="Times New Roman" w:cs="Times New Roman"/>
          <w:sz w:val="28"/>
          <w:szCs w:val="28"/>
        </w:rPr>
        <w:t xml:space="preserve"> </w:t>
      </w:r>
      <w:r w:rsidR="00A8025B" w:rsidRPr="00A43B9C">
        <w:rPr>
          <w:rFonts w:ascii="Times New Roman" w:hAnsi="Times New Roman" w:cs="Times New Roman"/>
          <w:sz w:val="28"/>
          <w:szCs w:val="28"/>
        </w:rPr>
        <w:t xml:space="preserve">RLI на </w:t>
      </w:r>
      <w:r w:rsidR="00A120D6" w:rsidRPr="00A43B9C">
        <w:rPr>
          <w:rFonts w:ascii="Times New Roman" w:hAnsi="Times New Roman" w:cs="Times New Roman"/>
          <w:sz w:val="28"/>
          <w:szCs w:val="28"/>
        </w:rPr>
        <w:t>единицу</w:t>
      </w:r>
      <w:r w:rsidR="00A8025B" w:rsidRPr="00A43B9C">
        <w:rPr>
          <w:rFonts w:ascii="Times New Roman" w:hAnsi="Times New Roman" w:cs="Times New Roman"/>
          <w:sz w:val="28"/>
          <w:szCs w:val="28"/>
        </w:rPr>
        <w:t xml:space="preserve"> следует ожидать увеличени</w:t>
      </w:r>
      <w:r w:rsidR="004413BC" w:rsidRPr="00A43B9C">
        <w:rPr>
          <w:rFonts w:ascii="Times New Roman" w:hAnsi="Times New Roman" w:cs="Times New Roman"/>
          <w:sz w:val="28"/>
          <w:szCs w:val="28"/>
        </w:rPr>
        <w:t>я</w:t>
      </w:r>
      <w:r w:rsidR="00A8025B" w:rsidRPr="00A43B9C">
        <w:rPr>
          <w:rFonts w:ascii="Times New Roman" w:hAnsi="Times New Roman" w:cs="Times New Roman"/>
          <w:sz w:val="28"/>
          <w:szCs w:val="28"/>
        </w:rPr>
        <w:t xml:space="preserve"> уровня накоплени</w:t>
      </w:r>
      <w:r w:rsidR="00B336CA" w:rsidRPr="00A43B9C">
        <w:rPr>
          <w:rFonts w:ascii="Times New Roman" w:hAnsi="Times New Roman" w:cs="Times New Roman"/>
          <w:sz w:val="28"/>
          <w:szCs w:val="28"/>
        </w:rPr>
        <w:t>я</w:t>
      </w:r>
      <w:r w:rsidR="00A8025B" w:rsidRPr="00A43B9C">
        <w:rPr>
          <w:rFonts w:ascii="Times New Roman" w:hAnsi="Times New Roman" w:cs="Times New Roman"/>
          <w:sz w:val="28"/>
          <w:szCs w:val="28"/>
        </w:rPr>
        <w:t xml:space="preserve"> </w:t>
      </w:r>
      <w:r w:rsidR="00A8025B" w:rsidRPr="00A43B9C">
        <w:rPr>
          <w:rFonts w:ascii="Times New Roman" w:hAnsi="Times New Roman" w:cs="Times New Roman"/>
          <w:sz w:val="28"/>
          <w:szCs w:val="28"/>
          <w:lang w:val="en-US"/>
        </w:rPr>
        <w:t>SUV</w:t>
      </w:r>
      <w:r w:rsidR="00A8025B" w:rsidRPr="00A43B9C">
        <w:rPr>
          <w:rFonts w:ascii="Times New Roman" w:hAnsi="Times New Roman" w:cs="Times New Roman"/>
          <w:sz w:val="28"/>
          <w:szCs w:val="28"/>
          <w:vertAlign w:val="subscript"/>
          <w:lang w:val="en-US"/>
        </w:rPr>
        <w:t>max</w:t>
      </w:r>
      <w:r w:rsidR="00A8025B" w:rsidRPr="00A43B9C">
        <w:rPr>
          <w:rFonts w:ascii="Times New Roman" w:hAnsi="Times New Roman" w:cs="Times New Roman"/>
          <w:sz w:val="28"/>
          <w:szCs w:val="28"/>
        </w:rPr>
        <w:t xml:space="preserve"> в последующем исследовании на 0,022, </w:t>
      </w:r>
      <w:r w:rsidRPr="00A43B9C">
        <w:rPr>
          <w:rFonts w:ascii="Times New Roman" w:hAnsi="Times New Roman" w:cs="Times New Roman"/>
          <w:sz w:val="28"/>
          <w:szCs w:val="28"/>
        </w:rPr>
        <w:t xml:space="preserve">и </w:t>
      </w:r>
      <w:r w:rsidR="00A8025B" w:rsidRPr="00A43B9C">
        <w:rPr>
          <w:rFonts w:ascii="Times New Roman" w:hAnsi="Times New Roman" w:cs="Times New Roman"/>
          <w:sz w:val="28"/>
          <w:szCs w:val="28"/>
        </w:rPr>
        <w:t>полученная модель объясняет 0,1% наблюдаемой дисперсии.</w:t>
      </w:r>
      <w:bookmarkEnd w:id="83"/>
      <w:r w:rsidRPr="00A43B9C">
        <w:rPr>
          <w:rFonts w:ascii="Times New Roman" w:hAnsi="Times New Roman" w:cs="Times New Roman"/>
          <w:sz w:val="28"/>
          <w:szCs w:val="28"/>
        </w:rPr>
        <w:t xml:space="preserve"> И</w:t>
      </w:r>
      <w:r w:rsidR="004413BC" w:rsidRPr="00A43B9C">
        <w:rPr>
          <w:rFonts w:ascii="Times New Roman" w:hAnsi="Times New Roman" w:cs="Times New Roman"/>
          <w:sz w:val="28"/>
          <w:szCs w:val="28"/>
        </w:rPr>
        <w:t>,</w:t>
      </w:r>
      <w:r w:rsidRPr="00A43B9C">
        <w:rPr>
          <w:rFonts w:ascii="Times New Roman" w:hAnsi="Times New Roman" w:cs="Times New Roman"/>
          <w:sz w:val="28"/>
          <w:szCs w:val="28"/>
        </w:rPr>
        <w:t xml:space="preserve"> наконец</w:t>
      </w:r>
      <w:r w:rsidR="004413BC" w:rsidRPr="00A43B9C">
        <w:rPr>
          <w:rFonts w:ascii="Times New Roman" w:hAnsi="Times New Roman" w:cs="Times New Roman"/>
          <w:sz w:val="28"/>
          <w:szCs w:val="28"/>
        </w:rPr>
        <w:t>,</w:t>
      </w:r>
      <w:r w:rsidR="00EF7C89">
        <w:rPr>
          <w:rFonts w:ascii="Times New Roman" w:hAnsi="Times New Roman" w:cs="Times New Roman"/>
          <w:sz w:val="28"/>
          <w:szCs w:val="28"/>
        </w:rPr>
        <w:t xml:space="preserve"> при увеличении уровня накопления </w:t>
      </w:r>
      <w:bookmarkStart w:id="84" w:name="_Hlk101620280"/>
      <w:r w:rsidR="00A8025B" w:rsidRPr="00A43B9C">
        <w:rPr>
          <w:rFonts w:ascii="Times New Roman" w:hAnsi="Times New Roman" w:cs="Times New Roman"/>
          <w:sz w:val="28"/>
          <w:szCs w:val="28"/>
          <w:lang w:val="en-US"/>
        </w:rPr>
        <w:t>SUV</w:t>
      </w:r>
      <w:r w:rsidR="00A8025B" w:rsidRPr="00A43B9C">
        <w:rPr>
          <w:rFonts w:ascii="Times New Roman" w:hAnsi="Times New Roman" w:cs="Times New Roman"/>
          <w:sz w:val="28"/>
          <w:szCs w:val="28"/>
          <w:vertAlign w:val="subscript"/>
          <w:lang w:val="en-US"/>
        </w:rPr>
        <w:t>max</w:t>
      </w:r>
      <w:r w:rsidR="00A8025B" w:rsidRPr="00A43B9C">
        <w:rPr>
          <w:rFonts w:ascii="Times New Roman" w:hAnsi="Times New Roman" w:cs="Times New Roman"/>
          <w:sz w:val="28"/>
          <w:szCs w:val="28"/>
        </w:rPr>
        <w:t xml:space="preserve"> базового исследования в </w:t>
      </w:r>
      <w:r w:rsidR="008A2EAA">
        <w:rPr>
          <w:rFonts w:ascii="Times New Roman" w:hAnsi="Times New Roman" w:cs="Times New Roman"/>
          <w:sz w:val="28"/>
          <w:szCs w:val="28"/>
        </w:rPr>
        <w:t>локализации</w:t>
      </w:r>
      <w:r w:rsidR="008A2EAA" w:rsidRPr="00AF415E">
        <w:rPr>
          <w:rFonts w:ascii="Times New Roman" w:hAnsi="Times New Roman" w:cs="Times New Roman"/>
          <w:sz w:val="28"/>
          <w:szCs w:val="28"/>
        </w:rPr>
        <w:t xml:space="preserve"> </w:t>
      </w:r>
      <w:r w:rsidR="00A8025B" w:rsidRPr="00A43B9C">
        <w:rPr>
          <w:rFonts w:ascii="Times New Roman" w:hAnsi="Times New Roman" w:cs="Times New Roman"/>
          <w:sz w:val="28"/>
          <w:szCs w:val="28"/>
          <w:lang w:val="en-US"/>
        </w:rPr>
        <w:t>P</w:t>
      </w:r>
      <w:r w:rsidR="00A8025B" w:rsidRPr="00A43B9C">
        <w:rPr>
          <w:rFonts w:ascii="Times New Roman" w:hAnsi="Times New Roman" w:cs="Times New Roman"/>
          <w:sz w:val="28"/>
          <w:szCs w:val="28"/>
        </w:rPr>
        <w:t xml:space="preserve"> на </w:t>
      </w:r>
      <w:r w:rsidR="00A120D6" w:rsidRPr="00A43B9C">
        <w:rPr>
          <w:rFonts w:ascii="Times New Roman" w:hAnsi="Times New Roman" w:cs="Times New Roman"/>
          <w:sz w:val="28"/>
          <w:szCs w:val="28"/>
        </w:rPr>
        <w:t>единицу</w:t>
      </w:r>
      <w:r w:rsidR="00A8025B" w:rsidRPr="00A43B9C">
        <w:rPr>
          <w:rFonts w:ascii="Times New Roman" w:hAnsi="Times New Roman" w:cs="Times New Roman"/>
          <w:sz w:val="28"/>
          <w:szCs w:val="28"/>
        </w:rPr>
        <w:t xml:space="preserve"> следует ожидать увеличени</w:t>
      </w:r>
      <w:r w:rsidR="004413BC" w:rsidRPr="00A43B9C">
        <w:rPr>
          <w:rFonts w:ascii="Times New Roman" w:hAnsi="Times New Roman" w:cs="Times New Roman"/>
          <w:sz w:val="28"/>
          <w:szCs w:val="28"/>
        </w:rPr>
        <w:t>я</w:t>
      </w:r>
      <w:r w:rsidR="00A8025B" w:rsidRPr="00A43B9C">
        <w:rPr>
          <w:rFonts w:ascii="Times New Roman" w:hAnsi="Times New Roman" w:cs="Times New Roman"/>
          <w:sz w:val="28"/>
          <w:szCs w:val="28"/>
        </w:rPr>
        <w:t xml:space="preserve"> уровня накоплени</w:t>
      </w:r>
      <w:r w:rsidR="00B336CA" w:rsidRPr="00A43B9C">
        <w:rPr>
          <w:rFonts w:ascii="Times New Roman" w:hAnsi="Times New Roman" w:cs="Times New Roman"/>
          <w:sz w:val="28"/>
          <w:szCs w:val="28"/>
        </w:rPr>
        <w:t>я</w:t>
      </w:r>
      <w:r w:rsidR="00A8025B" w:rsidRPr="00A43B9C">
        <w:rPr>
          <w:rFonts w:ascii="Times New Roman" w:hAnsi="Times New Roman" w:cs="Times New Roman"/>
          <w:sz w:val="28"/>
          <w:szCs w:val="28"/>
        </w:rPr>
        <w:t xml:space="preserve"> </w:t>
      </w:r>
      <w:r w:rsidR="00A8025B" w:rsidRPr="00A43B9C">
        <w:rPr>
          <w:rFonts w:ascii="Times New Roman" w:hAnsi="Times New Roman" w:cs="Times New Roman"/>
          <w:sz w:val="28"/>
          <w:szCs w:val="28"/>
          <w:lang w:val="en-US"/>
        </w:rPr>
        <w:t>SUV</w:t>
      </w:r>
      <w:r w:rsidR="00A8025B" w:rsidRPr="00A43B9C">
        <w:rPr>
          <w:rFonts w:ascii="Times New Roman" w:hAnsi="Times New Roman" w:cs="Times New Roman"/>
          <w:sz w:val="28"/>
          <w:szCs w:val="28"/>
          <w:vertAlign w:val="subscript"/>
          <w:lang w:val="en-US"/>
        </w:rPr>
        <w:t>max</w:t>
      </w:r>
      <w:r w:rsidR="00A8025B" w:rsidRPr="00A43B9C">
        <w:rPr>
          <w:rFonts w:ascii="Times New Roman" w:hAnsi="Times New Roman" w:cs="Times New Roman"/>
          <w:sz w:val="28"/>
          <w:szCs w:val="28"/>
        </w:rPr>
        <w:t xml:space="preserve"> в последующем исследовании на 0,076</w:t>
      </w:r>
      <w:r w:rsidR="004413BC" w:rsidRPr="00A43B9C">
        <w:rPr>
          <w:rFonts w:ascii="Times New Roman" w:hAnsi="Times New Roman" w:cs="Times New Roman"/>
          <w:sz w:val="28"/>
          <w:szCs w:val="28"/>
        </w:rPr>
        <w:t>,</w:t>
      </w:r>
      <w:r w:rsidR="00A8025B" w:rsidRPr="00A43B9C">
        <w:rPr>
          <w:rFonts w:ascii="Times New Roman" w:hAnsi="Times New Roman" w:cs="Times New Roman"/>
          <w:sz w:val="28"/>
          <w:szCs w:val="28"/>
        </w:rPr>
        <w:t xml:space="preserve"> и полученная модель объясняет 0,6% наблюдаемой дисперсии.</w:t>
      </w:r>
      <w:r w:rsidRPr="00A43B9C">
        <w:rPr>
          <w:rFonts w:ascii="Times New Roman" w:hAnsi="Times New Roman" w:cs="Times New Roman"/>
          <w:sz w:val="28"/>
          <w:szCs w:val="28"/>
        </w:rPr>
        <w:t xml:space="preserve"> </w:t>
      </w:r>
      <w:bookmarkEnd w:id="84"/>
      <w:r w:rsidR="002E0731" w:rsidRPr="00A43B9C">
        <w:rPr>
          <w:rFonts w:ascii="Times New Roman" w:hAnsi="Times New Roman" w:cs="Times New Roman"/>
          <w:sz w:val="28"/>
          <w:szCs w:val="28"/>
        </w:rPr>
        <w:t>Данные результаты отражены в таблице 32</w:t>
      </w:r>
      <w:r w:rsidR="00316240" w:rsidRPr="00A43B9C">
        <w:rPr>
          <w:rFonts w:ascii="Times New Roman" w:hAnsi="Times New Roman" w:cs="Times New Roman"/>
          <w:sz w:val="28"/>
          <w:szCs w:val="28"/>
        </w:rPr>
        <w:t xml:space="preserve"> и рисунке 4</w:t>
      </w:r>
      <w:r w:rsidR="00EA5E8C">
        <w:rPr>
          <w:rFonts w:ascii="Times New Roman" w:hAnsi="Times New Roman" w:cs="Times New Roman"/>
          <w:sz w:val="28"/>
          <w:szCs w:val="28"/>
        </w:rPr>
        <w:t>3</w:t>
      </w:r>
      <w:r w:rsidR="002E0731" w:rsidRPr="00A43B9C">
        <w:rPr>
          <w:rFonts w:ascii="Times New Roman" w:hAnsi="Times New Roman" w:cs="Times New Roman"/>
          <w:sz w:val="28"/>
          <w:szCs w:val="28"/>
        </w:rPr>
        <w:t>.</w:t>
      </w:r>
    </w:p>
    <w:p w14:paraId="40CD213E" w14:textId="77777777" w:rsidR="00A8025B" w:rsidRPr="00A43B9C" w:rsidRDefault="00A8025B" w:rsidP="00A8025B">
      <w:pPr>
        <w:spacing w:after="0" w:line="240" w:lineRule="auto"/>
        <w:jc w:val="both"/>
        <w:rPr>
          <w:rFonts w:ascii="Times New Roman" w:hAnsi="Times New Roman" w:cs="Times New Roman"/>
          <w:sz w:val="28"/>
          <w:szCs w:val="28"/>
        </w:rPr>
      </w:pPr>
    </w:p>
    <w:p w14:paraId="708E80F7" w14:textId="77777777" w:rsidR="00B25E66" w:rsidRDefault="00B25E66" w:rsidP="00B25E66">
      <w:pPr>
        <w:spacing w:after="0" w:line="240" w:lineRule="auto"/>
        <w:rPr>
          <w:rFonts w:ascii="Times New Roman" w:hAnsi="Times New Roman" w:cs="Times New Roman"/>
          <w:sz w:val="28"/>
          <w:szCs w:val="28"/>
        </w:rPr>
      </w:pPr>
      <w:r>
        <w:rPr>
          <w:rFonts w:ascii="Times New Roman" w:hAnsi="Times New Roman" w:cs="Times New Roman"/>
          <w:sz w:val="28"/>
          <w:szCs w:val="28"/>
        </w:rPr>
        <w:br w:type="page"/>
      </w:r>
    </w:p>
    <w:p w14:paraId="188116BA" w14:textId="37D48F69" w:rsidR="00A8025B"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lastRenderedPageBreak/>
        <w:t>Таблица 32 -</w:t>
      </w:r>
      <w:r w:rsidR="00A8025B" w:rsidRPr="00A43B9C">
        <w:rPr>
          <w:rFonts w:ascii="Times New Roman" w:hAnsi="Times New Roman" w:cs="Times New Roman"/>
          <w:sz w:val="28"/>
          <w:szCs w:val="28"/>
        </w:rPr>
        <w:t xml:space="preserve"> Результаты корреляционного анализа </w:t>
      </w:r>
      <w:r w:rsidR="00A8025B" w:rsidRPr="00A43B9C">
        <w:rPr>
          <w:rFonts w:ascii="Times New Roman" w:hAnsi="Times New Roman" w:cs="Times New Roman"/>
          <w:sz w:val="28"/>
          <w:szCs w:val="28"/>
          <w:lang w:val="kk-KZ"/>
        </w:rPr>
        <w:t>накоплени</w:t>
      </w:r>
      <w:r w:rsidR="00493AE7" w:rsidRPr="00A43B9C">
        <w:rPr>
          <w:rFonts w:ascii="Times New Roman" w:hAnsi="Times New Roman" w:cs="Times New Roman"/>
          <w:sz w:val="28"/>
          <w:szCs w:val="28"/>
          <w:lang w:val="kk-KZ"/>
        </w:rPr>
        <w:t>я</w:t>
      </w:r>
      <w:r w:rsidR="00A8025B" w:rsidRPr="00A43B9C">
        <w:rPr>
          <w:rFonts w:ascii="Times New Roman" w:hAnsi="Times New Roman" w:cs="Times New Roman"/>
          <w:sz w:val="28"/>
          <w:szCs w:val="28"/>
          <w:lang w:val="kk-KZ"/>
        </w:rPr>
        <w:t xml:space="preserve"> </w:t>
      </w:r>
      <w:r w:rsidR="00A8025B" w:rsidRPr="00A43B9C">
        <w:rPr>
          <w:rFonts w:ascii="Times New Roman" w:hAnsi="Times New Roman" w:cs="Times New Roman"/>
          <w:sz w:val="28"/>
          <w:szCs w:val="28"/>
          <w:lang w:val="en-US"/>
        </w:rPr>
        <w:t>SUV</w:t>
      </w:r>
      <w:r w:rsidR="00A8025B" w:rsidRPr="00A43B9C">
        <w:rPr>
          <w:rFonts w:ascii="Times New Roman" w:hAnsi="Times New Roman" w:cs="Times New Roman"/>
          <w:sz w:val="28"/>
          <w:szCs w:val="28"/>
          <w:vertAlign w:val="subscript"/>
          <w:lang w:val="en-US"/>
        </w:rPr>
        <w:t>max</w:t>
      </w:r>
      <w:r w:rsidR="00A8025B" w:rsidRPr="00A43B9C">
        <w:rPr>
          <w:rFonts w:ascii="Times New Roman" w:hAnsi="Times New Roman" w:cs="Times New Roman"/>
          <w:sz w:val="28"/>
          <w:szCs w:val="28"/>
          <w:vertAlign w:val="subscript"/>
        </w:rPr>
        <w:t xml:space="preserve"> </w:t>
      </w:r>
      <w:r w:rsidR="00A8025B" w:rsidRPr="00A43B9C">
        <w:rPr>
          <w:rFonts w:ascii="Times New Roman" w:hAnsi="Times New Roman" w:cs="Times New Roman"/>
          <w:sz w:val="28"/>
          <w:szCs w:val="28"/>
        </w:rPr>
        <w:t>при базовом и последующем обследованиях</w:t>
      </w:r>
    </w:p>
    <w:p w14:paraId="66B5666A" w14:textId="77777777" w:rsidR="000B6935" w:rsidRPr="00A43B9C" w:rsidRDefault="000B6935" w:rsidP="000B6935">
      <w:pPr>
        <w:spacing w:after="0" w:line="240" w:lineRule="auto"/>
        <w:jc w:val="both"/>
        <w:rPr>
          <w:rFonts w:ascii="Times New Roman" w:hAnsi="Times New Roman" w:cs="Times New Roman"/>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0"/>
        <w:gridCol w:w="846"/>
        <w:gridCol w:w="1987"/>
        <w:gridCol w:w="986"/>
        <w:gridCol w:w="3765"/>
      </w:tblGrid>
      <w:tr w:rsidR="002836CC" w:rsidRPr="00A43B9C" w14:paraId="3A160DA0" w14:textId="2D02ACDD" w:rsidTr="00834DAA">
        <w:trPr>
          <w:jc w:val="center"/>
        </w:trPr>
        <w:tc>
          <w:tcPr>
            <w:tcW w:w="582" w:type="pct"/>
            <w:vMerge w:val="restart"/>
            <w:vAlign w:val="center"/>
          </w:tcPr>
          <w:p w14:paraId="2B5190D3" w14:textId="56414639" w:rsidR="002836CC" w:rsidRPr="00A43B9C" w:rsidRDefault="007856D3" w:rsidP="007E4204">
            <w:pPr>
              <w:spacing w:after="0" w:line="240" w:lineRule="auto"/>
              <w:jc w:val="center"/>
              <w:rPr>
                <w:rFonts w:ascii="Times New Roman" w:hAnsi="Times New Roman" w:cs="Times New Roman"/>
                <w:sz w:val="28"/>
                <w:szCs w:val="28"/>
              </w:rPr>
            </w:pPr>
            <w:bookmarkStart w:id="85" w:name="_Hlk133856799"/>
            <w:r>
              <w:rPr>
                <w:rFonts w:ascii="Times New Roman" w:hAnsi="Times New Roman" w:cs="Times New Roman"/>
                <w:sz w:val="28"/>
                <w:szCs w:val="28"/>
              </w:rPr>
              <w:t>Локализация</w:t>
            </w:r>
          </w:p>
        </w:tc>
        <w:tc>
          <w:tcPr>
            <w:tcW w:w="4418" w:type="pct"/>
            <w:gridSpan w:val="4"/>
            <w:vAlign w:val="center"/>
          </w:tcPr>
          <w:p w14:paraId="5AAE6849" w14:textId="6073A29B" w:rsidR="002836CC" w:rsidRPr="00A43B9C" w:rsidRDefault="002836CC"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Характеристика корреляционной связи</w:t>
            </w:r>
          </w:p>
        </w:tc>
      </w:tr>
      <w:tr w:rsidR="002836CC" w:rsidRPr="00A43B9C" w14:paraId="0E035A23" w14:textId="6FE395BA" w:rsidTr="00290AA2">
        <w:trPr>
          <w:jc w:val="center"/>
        </w:trPr>
        <w:tc>
          <w:tcPr>
            <w:tcW w:w="582" w:type="pct"/>
            <w:vMerge/>
          </w:tcPr>
          <w:p w14:paraId="7B15805F" w14:textId="77777777" w:rsidR="002836CC" w:rsidRPr="00A43B9C" w:rsidRDefault="002836CC" w:rsidP="007E4204">
            <w:pPr>
              <w:spacing w:after="0" w:line="240" w:lineRule="auto"/>
              <w:jc w:val="center"/>
              <w:rPr>
                <w:rFonts w:ascii="Times New Roman" w:hAnsi="Times New Roman" w:cs="Times New Roman"/>
                <w:sz w:val="28"/>
                <w:szCs w:val="28"/>
              </w:rPr>
            </w:pPr>
          </w:p>
        </w:tc>
        <w:tc>
          <w:tcPr>
            <w:tcW w:w="453" w:type="pct"/>
            <w:vAlign w:val="center"/>
          </w:tcPr>
          <w:p w14:paraId="02EAC722" w14:textId="77777777" w:rsidR="002836CC" w:rsidRPr="00A43B9C" w:rsidRDefault="002836CC"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ρ</w:t>
            </w:r>
          </w:p>
        </w:tc>
        <w:tc>
          <w:tcPr>
            <w:tcW w:w="1238" w:type="pct"/>
            <w:vAlign w:val="center"/>
          </w:tcPr>
          <w:p w14:paraId="03E61854" w14:textId="4DF7F619" w:rsidR="002836CC" w:rsidRPr="00A43B9C" w:rsidRDefault="00125314"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Выраженность ассоциации</w:t>
            </w:r>
            <w:r w:rsidR="002836CC" w:rsidRPr="00A43B9C">
              <w:rPr>
                <w:rFonts w:ascii="Times New Roman" w:hAnsi="Times New Roman" w:cs="Times New Roman"/>
                <w:sz w:val="28"/>
                <w:szCs w:val="28"/>
              </w:rPr>
              <w:t xml:space="preserve"> по шкале Чеддока</w:t>
            </w:r>
          </w:p>
        </w:tc>
        <w:tc>
          <w:tcPr>
            <w:tcW w:w="607" w:type="pct"/>
            <w:vAlign w:val="center"/>
          </w:tcPr>
          <w:p w14:paraId="2D40121B" w14:textId="77777777" w:rsidR="002836CC" w:rsidRPr="00A43B9C" w:rsidRDefault="002836CC"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w:t>
            </w:r>
          </w:p>
        </w:tc>
        <w:tc>
          <w:tcPr>
            <w:tcW w:w="2120" w:type="pct"/>
            <w:vAlign w:val="center"/>
          </w:tcPr>
          <w:p w14:paraId="08F3FF47" w14:textId="27873054" w:rsidR="002836CC" w:rsidRPr="00A43B9C" w:rsidRDefault="002836CC"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Результат</w:t>
            </w:r>
          </w:p>
        </w:tc>
      </w:tr>
      <w:tr w:rsidR="002836CC" w:rsidRPr="00A43B9C" w14:paraId="727D1A28" w14:textId="13950044" w:rsidTr="00290AA2">
        <w:trPr>
          <w:jc w:val="center"/>
        </w:trPr>
        <w:tc>
          <w:tcPr>
            <w:tcW w:w="582" w:type="pct"/>
            <w:vAlign w:val="center"/>
          </w:tcPr>
          <w:p w14:paraId="31A5AE1F" w14:textId="77777777" w:rsidR="002836CC" w:rsidRPr="00A43B9C" w:rsidRDefault="002836CC"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RE</w:t>
            </w:r>
          </w:p>
        </w:tc>
        <w:tc>
          <w:tcPr>
            <w:tcW w:w="453" w:type="pct"/>
            <w:vAlign w:val="center"/>
          </w:tcPr>
          <w:p w14:paraId="3C159C56" w14:textId="77777777" w:rsidR="002836CC" w:rsidRPr="00A43B9C" w:rsidRDefault="002836CC"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0,288</w:t>
            </w:r>
          </w:p>
        </w:tc>
        <w:tc>
          <w:tcPr>
            <w:tcW w:w="1238" w:type="pct"/>
            <w:vAlign w:val="center"/>
          </w:tcPr>
          <w:p w14:paraId="241B72DD" w14:textId="77777777" w:rsidR="002836CC" w:rsidRPr="00A43B9C" w:rsidRDefault="002836CC"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Слабая</w:t>
            </w:r>
          </w:p>
        </w:tc>
        <w:tc>
          <w:tcPr>
            <w:tcW w:w="607" w:type="pct"/>
            <w:vAlign w:val="center"/>
          </w:tcPr>
          <w:p w14:paraId="4C123B63" w14:textId="77777777" w:rsidR="002836CC" w:rsidRPr="00A43B9C" w:rsidRDefault="002836CC"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0,026*</w:t>
            </w:r>
          </w:p>
        </w:tc>
        <w:tc>
          <w:tcPr>
            <w:tcW w:w="2120" w:type="pct"/>
          </w:tcPr>
          <w:p w14:paraId="5637F064" w14:textId="0268A370" w:rsidR="002836CC" w:rsidRPr="00A43B9C" w:rsidRDefault="002836CC"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Слаб</w:t>
            </w:r>
            <w:r w:rsidR="00125314" w:rsidRPr="00A43B9C">
              <w:rPr>
                <w:rFonts w:ascii="Times New Roman" w:hAnsi="Times New Roman" w:cs="Times New Roman"/>
                <w:sz w:val="28"/>
                <w:szCs w:val="28"/>
              </w:rPr>
              <w:t>ая</w:t>
            </w:r>
            <w:r w:rsidRPr="00A43B9C">
              <w:rPr>
                <w:rFonts w:ascii="Times New Roman" w:hAnsi="Times New Roman" w:cs="Times New Roman"/>
                <w:sz w:val="28"/>
                <w:szCs w:val="28"/>
              </w:rPr>
              <w:t xml:space="preserve"> прямая </w:t>
            </w:r>
            <w:r w:rsidR="00125314" w:rsidRPr="00A43B9C">
              <w:rPr>
                <w:rFonts w:ascii="Times New Roman" w:hAnsi="Times New Roman" w:cs="Times New Roman"/>
                <w:sz w:val="28"/>
                <w:szCs w:val="28"/>
              </w:rPr>
              <w:t>ассоциация</w:t>
            </w:r>
          </w:p>
        </w:tc>
      </w:tr>
      <w:tr w:rsidR="002836CC" w:rsidRPr="00A43B9C" w14:paraId="73108D83" w14:textId="3B0E154E" w:rsidTr="00290AA2">
        <w:trPr>
          <w:jc w:val="center"/>
        </w:trPr>
        <w:tc>
          <w:tcPr>
            <w:tcW w:w="582" w:type="pct"/>
            <w:vAlign w:val="center"/>
          </w:tcPr>
          <w:p w14:paraId="44615E87" w14:textId="77777777" w:rsidR="002836CC" w:rsidRPr="00A43B9C" w:rsidRDefault="002836CC"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RLH</w:t>
            </w:r>
          </w:p>
        </w:tc>
        <w:tc>
          <w:tcPr>
            <w:tcW w:w="453" w:type="pct"/>
            <w:vAlign w:val="center"/>
          </w:tcPr>
          <w:p w14:paraId="66742D65" w14:textId="77777777" w:rsidR="002836CC" w:rsidRPr="00A43B9C" w:rsidRDefault="002836CC"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0,374</w:t>
            </w:r>
          </w:p>
        </w:tc>
        <w:tc>
          <w:tcPr>
            <w:tcW w:w="1238" w:type="pct"/>
            <w:vAlign w:val="center"/>
          </w:tcPr>
          <w:p w14:paraId="11FE590E" w14:textId="77777777" w:rsidR="002836CC" w:rsidRPr="00A43B9C" w:rsidRDefault="002836CC"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Умеренная</w:t>
            </w:r>
          </w:p>
        </w:tc>
        <w:tc>
          <w:tcPr>
            <w:tcW w:w="607" w:type="pct"/>
            <w:vAlign w:val="center"/>
          </w:tcPr>
          <w:p w14:paraId="65AB2DFF" w14:textId="77777777" w:rsidR="002836CC" w:rsidRPr="00A43B9C" w:rsidRDefault="002836CC"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0,003*</w:t>
            </w:r>
          </w:p>
        </w:tc>
        <w:tc>
          <w:tcPr>
            <w:tcW w:w="2120" w:type="pct"/>
          </w:tcPr>
          <w:p w14:paraId="2654172C" w14:textId="5AADEB6A" w:rsidR="002836CC" w:rsidRPr="00A43B9C" w:rsidRDefault="002836CC"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Умеренн</w:t>
            </w:r>
            <w:r w:rsidR="00125314" w:rsidRPr="00A43B9C">
              <w:rPr>
                <w:rFonts w:ascii="Times New Roman" w:hAnsi="Times New Roman" w:cs="Times New Roman"/>
                <w:sz w:val="28"/>
                <w:szCs w:val="28"/>
              </w:rPr>
              <w:t>ая</w:t>
            </w:r>
            <w:r w:rsidRPr="00A43B9C">
              <w:rPr>
                <w:rFonts w:ascii="Times New Roman" w:hAnsi="Times New Roman" w:cs="Times New Roman"/>
                <w:sz w:val="28"/>
                <w:szCs w:val="28"/>
              </w:rPr>
              <w:t xml:space="preserve"> прямая </w:t>
            </w:r>
            <w:r w:rsidR="00125314" w:rsidRPr="00A43B9C">
              <w:rPr>
                <w:rFonts w:ascii="Times New Roman" w:hAnsi="Times New Roman" w:cs="Times New Roman"/>
                <w:sz w:val="28"/>
                <w:szCs w:val="28"/>
              </w:rPr>
              <w:t>ассоциация</w:t>
            </w:r>
          </w:p>
        </w:tc>
      </w:tr>
      <w:tr w:rsidR="002836CC" w:rsidRPr="00A43B9C" w14:paraId="275F3927" w14:textId="0309B18E" w:rsidTr="00290AA2">
        <w:trPr>
          <w:jc w:val="center"/>
        </w:trPr>
        <w:tc>
          <w:tcPr>
            <w:tcW w:w="582" w:type="pct"/>
            <w:vAlign w:val="center"/>
          </w:tcPr>
          <w:p w14:paraId="5D11E0C9" w14:textId="77777777" w:rsidR="002836CC" w:rsidRPr="00A43B9C" w:rsidRDefault="002836CC"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RRL</w:t>
            </w:r>
          </w:p>
        </w:tc>
        <w:tc>
          <w:tcPr>
            <w:tcW w:w="453" w:type="pct"/>
            <w:vAlign w:val="center"/>
          </w:tcPr>
          <w:p w14:paraId="11E96526" w14:textId="77777777" w:rsidR="002836CC" w:rsidRPr="00A43B9C" w:rsidRDefault="002836CC"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0,408</w:t>
            </w:r>
          </w:p>
        </w:tc>
        <w:tc>
          <w:tcPr>
            <w:tcW w:w="1238" w:type="pct"/>
            <w:vAlign w:val="center"/>
          </w:tcPr>
          <w:p w14:paraId="41DA2C62" w14:textId="77777777" w:rsidR="002836CC" w:rsidRPr="00A43B9C" w:rsidRDefault="002836CC"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Умеренная</w:t>
            </w:r>
          </w:p>
        </w:tc>
        <w:tc>
          <w:tcPr>
            <w:tcW w:w="607" w:type="pct"/>
            <w:vAlign w:val="center"/>
          </w:tcPr>
          <w:p w14:paraId="69E593AD" w14:textId="77777777" w:rsidR="002836CC" w:rsidRPr="00A43B9C" w:rsidRDefault="002836CC"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0,001*</w:t>
            </w:r>
          </w:p>
        </w:tc>
        <w:tc>
          <w:tcPr>
            <w:tcW w:w="2120" w:type="pct"/>
          </w:tcPr>
          <w:p w14:paraId="25ED3B67" w14:textId="5D2D307E" w:rsidR="002836CC" w:rsidRPr="00A43B9C" w:rsidRDefault="00125314"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Умеренная прямая ассоциация</w:t>
            </w:r>
          </w:p>
        </w:tc>
      </w:tr>
      <w:tr w:rsidR="002836CC" w:rsidRPr="00A43B9C" w14:paraId="38C75D80" w14:textId="190C9558" w:rsidTr="00290AA2">
        <w:trPr>
          <w:jc w:val="center"/>
        </w:trPr>
        <w:tc>
          <w:tcPr>
            <w:tcW w:w="582" w:type="pct"/>
            <w:vAlign w:val="center"/>
          </w:tcPr>
          <w:p w14:paraId="0B2056D3" w14:textId="77777777" w:rsidR="002836CC" w:rsidRPr="00A43B9C" w:rsidRDefault="002836CC" w:rsidP="002836CC">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RU</w:t>
            </w:r>
          </w:p>
        </w:tc>
        <w:tc>
          <w:tcPr>
            <w:tcW w:w="453" w:type="pct"/>
            <w:vAlign w:val="center"/>
          </w:tcPr>
          <w:p w14:paraId="72AFA554" w14:textId="77777777" w:rsidR="002836CC" w:rsidRPr="00A43B9C" w:rsidRDefault="002836CC"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0,392</w:t>
            </w:r>
          </w:p>
        </w:tc>
        <w:tc>
          <w:tcPr>
            <w:tcW w:w="1238" w:type="pct"/>
            <w:vAlign w:val="center"/>
          </w:tcPr>
          <w:p w14:paraId="57668F0F" w14:textId="77777777" w:rsidR="002836CC" w:rsidRPr="00A43B9C" w:rsidRDefault="002836CC"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Умеренная</w:t>
            </w:r>
          </w:p>
        </w:tc>
        <w:tc>
          <w:tcPr>
            <w:tcW w:w="607" w:type="pct"/>
            <w:vAlign w:val="center"/>
          </w:tcPr>
          <w:p w14:paraId="148B22EB" w14:textId="77777777" w:rsidR="002836CC" w:rsidRPr="00A43B9C" w:rsidRDefault="002836CC"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0,002*</w:t>
            </w:r>
          </w:p>
        </w:tc>
        <w:tc>
          <w:tcPr>
            <w:tcW w:w="2120" w:type="pct"/>
          </w:tcPr>
          <w:p w14:paraId="12CA20EC" w14:textId="29AA4A7C" w:rsidR="002836CC" w:rsidRPr="00A43B9C" w:rsidRDefault="00125314"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Умеренная прямая ассоциация</w:t>
            </w:r>
          </w:p>
        </w:tc>
      </w:tr>
      <w:tr w:rsidR="002836CC" w:rsidRPr="00A43B9C" w14:paraId="34500A1F" w14:textId="6F5DA9F1" w:rsidTr="00290AA2">
        <w:trPr>
          <w:jc w:val="center"/>
        </w:trPr>
        <w:tc>
          <w:tcPr>
            <w:tcW w:w="582" w:type="pct"/>
            <w:vAlign w:val="center"/>
          </w:tcPr>
          <w:p w14:paraId="535ABFF4" w14:textId="77777777" w:rsidR="002836CC" w:rsidRPr="00A43B9C" w:rsidRDefault="002836CC" w:rsidP="002836CC">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RLL</w:t>
            </w:r>
          </w:p>
        </w:tc>
        <w:tc>
          <w:tcPr>
            <w:tcW w:w="453" w:type="pct"/>
            <w:vAlign w:val="center"/>
          </w:tcPr>
          <w:p w14:paraId="5B82E648" w14:textId="77777777" w:rsidR="002836CC" w:rsidRPr="00A43B9C" w:rsidRDefault="002836CC"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0,380</w:t>
            </w:r>
          </w:p>
        </w:tc>
        <w:tc>
          <w:tcPr>
            <w:tcW w:w="1238" w:type="pct"/>
            <w:vAlign w:val="center"/>
          </w:tcPr>
          <w:p w14:paraId="47C92E8C" w14:textId="77777777" w:rsidR="002836CC" w:rsidRPr="00A43B9C" w:rsidRDefault="002836CC"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Умеренная</w:t>
            </w:r>
          </w:p>
        </w:tc>
        <w:tc>
          <w:tcPr>
            <w:tcW w:w="607" w:type="pct"/>
            <w:vAlign w:val="center"/>
          </w:tcPr>
          <w:p w14:paraId="0C0B9B43" w14:textId="77777777" w:rsidR="002836CC" w:rsidRPr="00A43B9C" w:rsidRDefault="002836CC"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0,003*</w:t>
            </w:r>
          </w:p>
        </w:tc>
        <w:tc>
          <w:tcPr>
            <w:tcW w:w="2120" w:type="pct"/>
          </w:tcPr>
          <w:p w14:paraId="774D62D5" w14:textId="04F8426E" w:rsidR="002836CC" w:rsidRPr="00A43B9C" w:rsidRDefault="00125314"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Умеренная прямая ассоциация</w:t>
            </w:r>
          </w:p>
        </w:tc>
      </w:tr>
      <w:tr w:rsidR="002836CC" w:rsidRPr="00A43B9C" w14:paraId="1BD44FC1" w14:textId="6ED56EF3" w:rsidTr="00290AA2">
        <w:trPr>
          <w:jc w:val="center"/>
        </w:trPr>
        <w:tc>
          <w:tcPr>
            <w:tcW w:w="582" w:type="pct"/>
            <w:vAlign w:val="center"/>
          </w:tcPr>
          <w:p w14:paraId="7DA10440" w14:textId="77777777" w:rsidR="002836CC" w:rsidRPr="00A43B9C" w:rsidRDefault="002836CC" w:rsidP="002836CC">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RRI</w:t>
            </w:r>
          </w:p>
        </w:tc>
        <w:tc>
          <w:tcPr>
            <w:tcW w:w="453" w:type="pct"/>
            <w:vAlign w:val="center"/>
          </w:tcPr>
          <w:p w14:paraId="252D05E9" w14:textId="77777777" w:rsidR="002836CC" w:rsidRPr="00A43B9C" w:rsidRDefault="002836CC"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0,301</w:t>
            </w:r>
          </w:p>
        </w:tc>
        <w:tc>
          <w:tcPr>
            <w:tcW w:w="1238" w:type="pct"/>
            <w:vAlign w:val="center"/>
          </w:tcPr>
          <w:p w14:paraId="4B487C75" w14:textId="77777777" w:rsidR="002836CC" w:rsidRPr="00A43B9C" w:rsidRDefault="002836CC"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Умеренная</w:t>
            </w:r>
          </w:p>
        </w:tc>
        <w:tc>
          <w:tcPr>
            <w:tcW w:w="607" w:type="pct"/>
            <w:vAlign w:val="center"/>
          </w:tcPr>
          <w:p w14:paraId="36DB72EA" w14:textId="77777777" w:rsidR="002836CC" w:rsidRPr="00A43B9C" w:rsidRDefault="002836CC"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0,020*</w:t>
            </w:r>
          </w:p>
        </w:tc>
        <w:tc>
          <w:tcPr>
            <w:tcW w:w="2120" w:type="pct"/>
          </w:tcPr>
          <w:p w14:paraId="0D0E5DEF" w14:textId="43191F19" w:rsidR="002836CC" w:rsidRPr="00A43B9C" w:rsidRDefault="00125314"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Умеренная прямая ассоциация</w:t>
            </w:r>
          </w:p>
        </w:tc>
      </w:tr>
      <w:tr w:rsidR="002836CC" w:rsidRPr="00A43B9C" w14:paraId="18921857" w14:textId="7B3664D3" w:rsidTr="00290AA2">
        <w:trPr>
          <w:jc w:val="center"/>
        </w:trPr>
        <w:tc>
          <w:tcPr>
            <w:tcW w:w="582" w:type="pct"/>
            <w:vAlign w:val="center"/>
          </w:tcPr>
          <w:p w14:paraId="3B04634C" w14:textId="77777777" w:rsidR="002836CC" w:rsidRPr="00A43B9C" w:rsidRDefault="002836CC" w:rsidP="002836CC">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RP</w:t>
            </w:r>
          </w:p>
        </w:tc>
        <w:tc>
          <w:tcPr>
            <w:tcW w:w="453" w:type="pct"/>
            <w:vAlign w:val="center"/>
          </w:tcPr>
          <w:p w14:paraId="32623FB0" w14:textId="77777777" w:rsidR="002836CC" w:rsidRPr="00A43B9C" w:rsidRDefault="002836CC"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0,121</w:t>
            </w:r>
          </w:p>
        </w:tc>
        <w:tc>
          <w:tcPr>
            <w:tcW w:w="1238" w:type="pct"/>
            <w:vAlign w:val="center"/>
          </w:tcPr>
          <w:p w14:paraId="7E321E0C" w14:textId="77777777" w:rsidR="002836CC" w:rsidRPr="00A43B9C" w:rsidRDefault="002836CC"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Слабая</w:t>
            </w:r>
          </w:p>
        </w:tc>
        <w:tc>
          <w:tcPr>
            <w:tcW w:w="607" w:type="pct"/>
            <w:vAlign w:val="center"/>
          </w:tcPr>
          <w:p w14:paraId="63B7ADC4" w14:textId="77777777" w:rsidR="002836CC" w:rsidRPr="00A43B9C" w:rsidRDefault="002836CC"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0,359</w:t>
            </w:r>
          </w:p>
        </w:tc>
        <w:tc>
          <w:tcPr>
            <w:tcW w:w="2120" w:type="pct"/>
          </w:tcPr>
          <w:p w14:paraId="70C6EC09" w14:textId="35CAD135" w:rsidR="002836CC" w:rsidRPr="00A43B9C" w:rsidRDefault="00125314"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Слабая прямая ассоциация</w:t>
            </w:r>
          </w:p>
        </w:tc>
      </w:tr>
      <w:tr w:rsidR="002836CC" w:rsidRPr="00A43B9C" w14:paraId="31DEB155" w14:textId="1A59F900" w:rsidTr="00290AA2">
        <w:trPr>
          <w:jc w:val="center"/>
        </w:trPr>
        <w:tc>
          <w:tcPr>
            <w:tcW w:w="582" w:type="pct"/>
            <w:vAlign w:val="center"/>
          </w:tcPr>
          <w:p w14:paraId="37BC76CE" w14:textId="77777777" w:rsidR="002836CC" w:rsidRPr="00A43B9C" w:rsidRDefault="002836CC" w:rsidP="002836CC">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RLI</w:t>
            </w:r>
          </w:p>
        </w:tc>
        <w:tc>
          <w:tcPr>
            <w:tcW w:w="453" w:type="pct"/>
            <w:vAlign w:val="center"/>
          </w:tcPr>
          <w:p w14:paraId="54269553" w14:textId="77777777" w:rsidR="002836CC" w:rsidRPr="00A43B9C" w:rsidRDefault="002836CC"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0,114</w:t>
            </w:r>
          </w:p>
        </w:tc>
        <w:tc>
          <w:tcPr>
            <w:tcW w:w="1238" w:type="pct"/>
            <w:vAlign w:val="center"/>
          </w:tcPr>
          <w:p w14:paraId="673B7ED8" w14:textId="77777777" w:rsidR="002836CC" w:rsidRPr="00A43B9C" w:rsidRDefault="002836CC"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Слабая</w:t>
            </w:r>
          </w:p>
        </w:tc>
        <w:tc>
          <w:tcPr>
            <w:tcW w:w="607" w:type="pct"/>
            <w:vAlign w:val="center"/>
          </w:tcPr>
          <w:p w14:paraId="707E21AC" w14:textId="77777777" w:rsidR="002836CC" w:rsidRPr="00A43B9C" w:rsidRDefault="002836CC"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0,385</w:t>
            </w:r>
          </w:p>
        </w:tc>
        <w:tc>
          <w:tcPr>
            <w:tcW w:w="2120" w:type="pct"/>
          </w:tcPr>
          <w:p w14:paraId="08B245DA" w14:textId="40C8B0E6" w:rsidR="002836CC" w:rsidRPr="00A43B9C" w:rsidRDefault="00125314"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Слабая прямая ассоциация</w:t>
            </w:r>
          </w:p>
        </w:tc>
      </w:tr>
      <w:tr w:rsidR="002836CC" w:rsidRPr="00A43B9C" w14:paraId="1550059B" w14:textId="3A2E6F4C" w:rsidTr="00290AA2">
        <w:trPr>
          <w:jc w:val="center"/>
        </w:trPr>
        <w:tc>
          <w:tcPr>
            <w:tcW w:w="582" w:type="pct"/>
            <w:vAlign w:val="center"/>
          </w:tcPr>
          <w:p w14:paraId="4745C872" w14:textId="77777777" w:rsidR="002836CC" w:rsidRPr="00A43B9C" w:rsidRDefault="002836CC" w:rsidP="002836CC">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P</w:t>
            </w:r>
          </w:p>
        </w:tc>
        <w:tc>
          <w:tcPr>
            <w:tcW w:w="453" w:type="pct"/>
            <w:vAlign w:val="center"/>
          </w:tcPr>
          <w:p w14:paraId="5B278A97" w14:textId="77777777" w:rsidR="002836CC" w:rsidRPr="00A43B9C" w:rsidRDefault="002836CC"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0,050</w:t>
            </w:r>
          </w:p>
        </w:tc>
        <w:tc>
          <w:tcPr>
            <w:tcW w:w="1238" w:type="pct"/>
            <w:vAlign w:val="center"/>
          </w:tcPr>
          <w:p w14:paraId="16FCA025" w14:textId="6E374ECE" w:rsidR="002836CC" w:rsidRPr="00A43B9C" w:rsidRDefault="002836CC"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 xml:space="preserve">Нет </w:t>
            </w:r>
            <w:r w:rsidR="00125314" w:rsidRPr="00A43B9C">
              <w:rPr>
                <w:rFonts w:ascii="Times New Roman" w:hAnsi="Times New Roman" w:cs="Times New Roman"/>
                <w:sz w:val="28"/>
                <w:szCs w:val="28"/>
              </w:rPr>
              <w:t>ассоциации</w:t>
            </w:r>
          </w:p>
        </w:tc>
        <w:tc>
          <w:tcPr>
            <w:tcW w:w="607" w:type="pct"/>
            <w:vAlign w:val="center"/>
          </w:tcPr>
          <w:p w14:paraId="74986462" w14:textId="77777777" w:rsidR="002836CC" w:rsidRPr="00A43B9C" w:rsidRDefault="002836CC"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0,704</w:t>
            </w:r>
          </w:p>
        </w:tc>
        <w:tc>
          <w:tcPr>
            <w:tcW w:w="2120" w:type="pct"/>
          </w:tcPr>
          <w:p w14:paraId="22708BCE" w14:textId="5AD71A36" w:rsidR="002836CC" w:rsidRPr="00A43B9C" w:rsidRDefault="002836CC"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 xml:space="preserve">Отсутствует </w:t>
            </w:r>
            <w:r w:rsidR="00125314" w:rsidRPr="00A43B9C">
              <w:rPr>
                <w:rFonts w:ascii="Times New Roman" w:hAnsi="Times New Roman" w:cs="Times New Roman"/>
                <w:sz w:val="28"/>
                <w:szCs w:val="28"/>
              </w:rPr>
              <w:t>ассоциация</w:t>
            </w:r>
          </w:p>
        </w:tc>
      </w:tr>
      <w:bookmarkEnd w:id="85"/>
    </w:tbl>
    <w:p w14:paraId="39F3C47B" w14:textId="644BB5EC" w:rsidR="00A8025B" w:rsidRPr="00A43B9C" w:rsidRDefault="00A8025B" w:rsidP="00A8025B">
      <w:pPr>
        <w:spacing w:after="0" w:line="240" w:lineRule="auto"/>
        <w:jc w:val="center"/>
        <w:rPr>
          <w:rFonts w:ascii="Times New Roman" w:hAnsi="Times New Roman" w:cs="Times New Roman"/>
          <w:sz w:val="28"/>
          <w:szCs w:val="28"/>
        </w:rPr>
      </w:pPr>
    </w:p>
    <w:tbl>
      <w:tblPr>
        <w:tblStyle w:val="ad"/>
        <w:tblW w:w="10908"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6"/>
        <w:gridCol w:w="3636"/>
        <w:gridCol w:w="3636"/>
      </w:tblGrid>
      <w:tr w:rsidR="008D38B6" w:rsidRPr="00A43B9C" w14:paraId="1DF1116E" w14:textId="77777777" w:rsidTr="008D38B6">
        <w:tc>
          <w:tcPr>
            <w:tcW w:w="3636" w:type="dxa"/>
          </w:tcPr>
          <w:p w14:paraId="3F1311B2" w14:textId="5B0E5949" w:rsidR="008D38B6" w:rsidRPr="00A43B9C" w:rsidRDefault="008D38B6" w:rsidP="00446A37">
            <w:pPr>
              <w:spacing w:after="0" w:line="240" w:lineRule="auto"/>
              <w:jc w:val="center"/>
              <w:rPr>
                <w:rFonts w:ascii="Times New Roman" w:hAnsi="Times New Roman" w:cs="Times New Roman"/>
                <w:sz w:val="28"/>
                <w:szCs w:val="28"/>
              </w:rPr>
            </w:pPr>
            <w:bookmarkStart w:id="86" w:name="_Hlk133856775"/>
            <w:r w:rsidRPr="00A43B9C">
              <w:rPr>
                <w:noProof/>
                <w:lang w:eastAsia="ru-RU"/>
              </w:rPr>
              <w:drawing>
                <wp:inline distT="0" distB="0" distL="0" distR="0" wp14:anchorId="508439F5" wp14:editId="7BB0502E">
                  <wp:extent cx="2160000" cy="2160000"/>
                  <wp:effectExtent l="0" t="0" r="12065" b="12065"/>
                  <wp:docPr id="76" name="Диаграмма 76">
                    <a:extLst xmlns:a="http://schemas.openxmlformats.org/drawingml/2006/main">
                      <a:ext uri="{FF2B5EF4-FFF2-40B4-BE49-F238E27FC236}">
                        <a16:creationId xmlns:a16="http://schemas.microsoft.com/office/drawing/2014/main" id="{7352C26A-F09D-458C-B8C5-29389953F4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0"/>
                    </a:graphicData>
                  </a:graphic>
                </wp:inline>
              </w:drawing>
            </w:r>
          </w:p>
        </w:tc>
        <w:tc>
          <w:tcPr>
            <w:tcW w:w="3636" w:type="dxa"/>
          </w:tcPr>
          <w:p w14:paraId="599AB560" w14:textId="4E65DD7B" w:rsidR="008D38B6" w:rsidRPr="00A43B9C" w:rsidRDefault="008D38B6" w:rsidP="00446A37">
            <w:pPr>
              <w:spacing w:after="0" w:line="240" w:lineRule="auto"/>
              <w:jc w:val="center"/>
              <w:rPr>
                <w:rFonts w:ascii="Times New Roman" w:hAnsi="Times New Roman" w:cs="Times New Roman"/>
                <w:sz w:val="28"/>
                <w:szCs w:val="28"/>
              </w:rPr>
            </w:pPr>
            <w:r w:rsidRPr="00A43B9C">
              <w:rPr>
                <w:noProof/>
                <w:lang w:eastAsia="ru-RU"/>
              </w:rPr>
              <w:drawing>
                <wp:inline distT="0" distB="0" distL="0" distR="0" wp14:anchorId="34EE9F4F" wp14:editId="41627B8E">
                  <wp:extent cx="2160000" cy="2160000"/>
                  <wp:effectExtent l="0" t="0" r="12065" b="12065"/>
                  <wp:docPr id="77" name="Диаграмма 77">
                    <a:extLst xmlns:a="http://schemas.openxmlformats.org/drawingml/2006/main">
                      <a:ext uri="{FF2B5EF4-FFF2-40B4-BE49-F238E27FC236}">
                        <a16:creationId xmlns:a16="http://schemas.microsoft.com/office/drawing/2014/main" id="{5C9289B1-BFB0-4ED4-9B25-12ACD86378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1"/>
                    </a:graphicData>
                  </a:graphic>
                </wp:inline>
              </w:drawing>
            </w:r>
          </w:p>
        </w:tc>
        <w:tc>
          <w:tcPr>
            <w:tcW w:w="3636" w:type="dxa"/>
          </w:tcPr>
          <w:p w14:paraId="1F2D0A4E" w14:textId="70EB5A0C" w:rsidR="008D38B6" w:rsidRPr="00A43B9C" w:rsidRDefault="008D38B6" w:rsidP="00446A37">
            <w:pPr>
              <w:spacing w:after="0" w:line="240" w:lineRule="auto"/>
              <w:jc w:val="center"/>
              <w:rPr>
                <w:rFonts w:ascii="Times New Roman" w:hAnsi="Times New Roman" w:cs="Times New Roman"/>
                <w:sz w:val="28"/>
                <w:szCs w:val="28"/>
              </w:rPr>
            </w:pPr>
            <w:r w:rsidRPr="00A43B9C">
              <w:rPr>
                <w:noProof/>
                <w:lang w:eastAsia="ru-RU"/>
              </w:rPr>
              <w:drawing>
                <wp:inline distT="0" distB="0" distL="0" distR="0" wp14:anchorId="0FEA7294" wp14:editId="303A40C1">
                  <wp:extent cx="2160000" cy="2160000"/>
                  <wp:effectExtent l="0" t="0" r="12065" b="12065"/>
                  <wp:docPr id="78" name="Диаграмма 78">
                    <a:extLst xmlns:a="http://schemas.openxmlformats.org/drawingml/2006/main">
                      <a:ext uri="{FF2B5EF4-FFF2-40B4-BE49-F238E27FC236}">
                        <a16:creationId xmlns:a16="http://schemas.microsoft.com/office/drawing/2014/main" id="{A3995CC7-648E-4FAB-99DA-A19F41448E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2"/>
                    </a:graphicData>
                  </a:graphic>
                </wp:inline>
              </w:drawing>
            </w:r>
          </w:p>
        </w:tc>
      </w:tr>
      <w:tr w:rsidR="00316240" w:rsidRPr="00A43B9C" w14:paraId="30D323C8" w14:textId="77777777" w:rsidTr="008D38B6">
        <w:tc>
          <w:tcPr>
            <w:tcW w:w="3636" w:type="dxa"/>
          </w:tcPr>
          <w:p w14:paraId="44365A30" w14:textId="61A00F0C" w:rsidR="00316240" w:rsidRPr="00B25E66" w:rsidRDefault="00316240" w:rsidP="00316240">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а)</w:t>
            </w:r>
            <w:r w:rsidR="00B25E66">
              <w:rPr>
                <w:rFonts w:ascii="Times New Roman" w:hAnsi="Times New Roman" w:cs="Times New Roman"/>
                <w:sz w:val="24"/>
                <w:szCs w:val="24"/>
              </w:rPr>
              <w:t xml:space="preserve"> Локализация </w:t>
            </w:r>
            <w:r w:rsidR="00B25E66">
              <w:rPr>
                <w:rFonts w:ascii="Times New Roman" w:hAnsi="Times New Roman" w:cs="Times New Roman"/>
                <w:sz w:val="24"/>
                <w:szCs w:val="24"/>
                <w:lang w:val="en-US"/>
              </w:rPr>
              <w:t>RE</w:t>
            </w:r>
          </w:p>
        </w:tc>
        <w:tc>
          <w:tcPr>
            <w:tcW w:w="3636" w:type="dxa"/>
          </w:tcPr>
          <w:p w14:paraId="742ECA3C" w14:textId="42036ABD" w:rsidR="00316240" w:rsidRPr="00B25E66" w:rsidRDefault="00316240" w:rsidP="00316240">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б)</w:t>
            </w:r>
            <w:r w:rsidR="00B25E66">
              <w:rPr>
                <w:rFonts w:ascii="Times New Roman" w:hAnsi="Times New Roman" w:cs="Times New Roman"/>
                <w:sz w:val="24"/>
                <w:szCs w:val="24"/>
              </w:rPr>
              <w:t xml:space="preserve"> Локализация</w:t>
            </w:r>
            <w:r w:rsidR="00B25E66">
              <w:rPr>
                <w:rFonts w:ascii="Times New Roman" w:hAnsi="Times New Roman" w:cs="Times New Roman"/>
                <w:sz w:val="24"/>
                <w:szCs w:val="24"/>
                <w:lang w:val="en-US"/>
              </w:rPr>
              <w:t xml:space="preserve"> RLH</w:t>
            </w:r>
          </w:p>
        </w:tc>
        <w:tc>
          <w:tcPr>
            <w:tcW w:w="3636" w:type="dxa"/>
          </w:tcPr>
          <w:p w14:paraId="42116817" w14:textId="60D6BE0D" w:rsidR="00316240" w:rsidRPr="00B25E66" w:rsidRDefault="00316240" w:rsidP="00316240">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в)</w:t>
            </w:r>
            <w:r w:rsidR="00B25E66">
              <w:rPr>
                <w:rFonts w:ascii="Times New Roman" w:hAnsi="Times New Roman" w:cs="Times New Roman"/>
                <w:sz w:val="24"/>
                <w:szCs w:val="24"/>
              </w:rPr>
              <w:t xml:space="preserve"> Локализация</w:t>
            </w:r>
            <w:r w:rsidR="00B25E66">
              <w:rPr>
                <w:rFonts w:ascii="Times New Roman" w:hAnsi="Times New Roman" w:cs="Times New Roman"/>
                <w:sz w:val="24"/>
                <w:szCs w:val="24"/>
                <w:lang w:val="en-US"/>
              </w:rPr>
              <w:t xml:space="preserve"> RRL</w:t>
            </w:r>
          </w:p>
        </w:tc>
      </w:tr>
    </w:tbl>
    <w:p w14:paraId="127041D2" w14:textId="77777777" w:rsidR="00B25E66" w:rsidRDefault="00B25E66" w:rsidP="00B25E66">
      <w:pPr>
        <w:spacing w:after="0" w:line="240" w:lineRule="auto"/>
        <w:rPr>
          <w:rFonts w:ascii="Times New Roman" w:hAnsi="Times New Roman" w:cs="Times New Roman"/>
          <w:sz w:val="28"/>
          <w:szCs w:val="28"/>
        </w:rPr>
      </w:pPr>
    </w:p>
    <w:p w14:paraId="0DA6ED4F" w14:textId="39128D55" w:rsidR="00B25E66" w:rsidRPr="00B25E66" w:rsidRDefault="00B25E66" w:rsidP="00B25E66">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4</w:t>
      </w:r>
      <w:r>
        <w:rPr>
          <w:rFonts w:ascii="Times New Roman" w:hAnsi="Times New Roman" w:cs="Times New Roman"/>
          <w:sz w:val="28"/>
          <w:szCs w:val="28"/>
        </w:rPr>
        <w:t>3</w:t>
      </w:r>
      <w:r w:rsidRPr="00A43B9C">
        <w:rPr>
          <w:rFonts w:ascii="Times New Roman" w:hAnsi="Times New Roman" w:cs="Times New Roman"/>
          <w:sz w:val="28"/>
          <w:szCs w:val="28"/>
        </w:rPr>
        <w:t xml:space="preserve"> - График регрессионной функции уровня накопления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w:t>
      </w:r>
      <w:r w:rsidRPr="00A43B9C">
        <w:rPr>
          <w:rFonts w:ascii="Times New Roman" w:eastAsia="NewtonC" w:hAnsi="Times New Roman" w:cs="Times New Roman"/>
          <w:sz w:val="28"/>
          <w:szCs w:val="28"/>
        </w:rPr>
        <w:t>по локализациям</w:t>
      </w:r>
      <w:r>
        <w:rPr>
          <w:rFonts w:ascii="Times New Roman" w:eastAsia="NewtonC" w:hAnsi="Times New Roman" w:cs="Times New Roman"/>
          <w:sz w:val="28"/>
          <w:szCs w:val="28"/>
        </w:rPr>
        <w:t>, лист 1</w:t>
      </w:r>
      <w:r w:rsidRPr="00B25E66">
        <w:rPr>
          <w:rFonts w:ascii="Times New Roman" w:hAnsi="Times New Roman" w:cs="Times New Roman"/>
          <w:sz w:val="28"/>
          <w:szCs w:val="28"/>
        </w:rPr>
        <w:br w:type="page"/>
      </w:r>
    </w:p>
    <w:tbl>
      <w:tblPr>
        <w:tblStyle w:val="ad"/>
        <w:tblW w:w="10908"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6"/>
        <w:gridCol w:w="3636"/>
        <w:gridCol w:w="3636"/>
      </w:tblGrid>
      <w:tr w:rsidR="008D38B6" w:rsidRPr="00A43B9C" w14:paraId="1BB6E646" w14:textId="77777777" w:rsidTr="008D38B6">
        <w:tc>
          <w:tcPr>
            <w:tcW w:w="3636" w:type="dxa"/>
          </w:tcPr>
          <w:p w14:paraId="2F1078F0" w14:textId="018DD388" w:rsidR="008D38B6" w:rsidRPr="00A43B9C" w:rsidRDefault="008D38B6" w:rsidP="00446A37">
            <w:pPr>
              <w:spacing w:after="0" w:line="240" w:lineRule="auto"/>
              <w:jc w:val="center"/>
              <w:rPr>
                <w:rFonts w:ascii="Times New Roman" w:hAnsi="Times New Roman" w:cs="Times New Roman"/>
                <w:sz w:val="28"/>
                <w:szCs w:val="28"/>
              </w:rPr>
            </w:pPr>
            <w:r w:rsidRPr="00A43B9C">
              <w:rPr>
                <w:noProof/>
                <w:lang w:eastAsia="ru-RU"/>
              </w:rPr>
              <w:lastRenderedPageBreak/>
              <w:drawing>
                <wp:inline distT="0" distB="0" distL="0" distR="0" wp14:anchorId="38F8BF54" wp14:editId="24D27875">
                  <wp:extent cx="2160000" cy="2124000"/>
                  <wp:effectExtent l="0" t="0" r="12065" b="10160"/>
                  <wp:docPr id="79" name="Диаграмма 79">
                    <a:extLst xmlns:a="http://schemas.openxmlformats.org/drawingml/2006/main">
                      <a:ext uri="{FF2B5EF4-FFF2-40B4-BE49-F238E27FC236}">
                        <a16:creationId xmlns:a16="http://schemas.microsoft.com/office/drawing/2014/main" id="{B49D8152-3B99-4C3C-8245-2DEE487425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3"/>
                    </a:graphicData>
                  </a:graphic>
                </wp:inline>
              </w:drawing>
            </w:r>
          </w:p>
        </w:tc>
        <w:tc>
          <w:tcPr>
            <w:tcW w:w="3636" w:type="dxa"/>
          </w:tcPr>
          <w:p w14:paraId="25FC5B64" w14:textId="77D08CBD" w:rsidR="008D38B6" w:rsidRPr="00A43B9C" w:rsidRDefault="008D38B6" w:rsidP="00446A37">
            <w:pPr>
              <w:spacing w:after="0" w:line="240" w:lineRule="auto"/>
              <w:jc w:val="center"/>
              <w:rPr>
                <w:rFonts w:ascii="Times New Roman" w:hAnsi="Times New Roman" w:cs="Times New Roman"/>
                <w:sz w:val="28"/>
                <w:szCs w:val="28"/>
              </w:rPr>
            </w:pPr>
            <w:r w:rsidRPr="00A43B9C">
              <w:rPr>
                <w:noProof/>
                <w:lang w:eastAsia="ru-RU"/>
              </w:rPr>
              <w:drawing>
                <wp:inline distT="0" distB="0" distL="0" distR="0" wp14:anchorId="16B43130" wp14:editId="52ACB11A">
                  <wp:extent cx="2160000" cy="2124000"/>
                  <wp:effectExtent l="0" t="0" r="12065" b="10160"/>
                  <wp:docPr id="80" name="Диаграмма 80">
                    <a:extLst xmlns:a="http://schemas.openxmlformats.org/drawingml/2006/main">
                      <a:ext uri="{FF2B5EF4-FFF2-40B4-BE49-F238E27FC236}">
                        <a16:creationId xmlns:a16="http://schemas.microsoft.com/office/drawing/2014/main" id="{A3937363-605B-4CFE-8740-EEA1EB8F3F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4"/>
                    </a:graphicData>
                  </a:graphic>
                </wp:inline>
              </w:drawing>
            </w:r>
          </w:p>
        </w:tc>
        <w:tc>
          <w:tcPr>
            <w:tcW w:w="3636" w:type="dxa"/>
          </w:tcPr>
          <w:p w14:paraId="5D4ADAC0" w14:textId="5930D74B" w:rsidR="008D38B6" w:rsidRPr="00A43B9C" w:rsidRDefault="008D38B6" w:rsidP="00446A37">
            <w:pPr>
              <w:spacing w:after="0" w:line="240" w:lineRule="auto"/>
              <w:jc w:val="center"/>
              <w:rPr>
                <w:rFonts w:ascii="Times New Roman" w:hAnsi="Times New Roman" w:cs="Times New Roman"/>
                <w:sz w:val="28"/>
                <w:szCs w:val="28"/>
              </w:rPr>
            </w:pPr>
            <w:r w:rsidRPr="00A43B9C">
              <w:rPr>
                <w:noProof/>
                <w:lang w:eastAsia="ru-RU"/>
              </w:rPr>
              <w:drawing>
                <wp:inline distT="0" distB="0" distL="0" distR="0" wp14:anchorId="41C04737" wp14:editId="6CAB9BD8">
                  <wp:extent cx="2160000" cy="2124000"/>
                  <wp:effectExtent l="0" t="0" r="12065" b="10160"/>
                  <wp:docPr id="81" name="Диаграмма 81">
                    <a:extLst xmlns:a="http://schemas.openxmlformats.org/drawingml/2006/main">
                      <a:ext uri="{FF2B5EF4-FFF2-40B4-BE49-F238E27FC236}">
                        <a16:creationId xmlns:a16="http://schemas.microsoft.com/office/drawing/2014/main" id="{6F56B303-19A7-4E98-810F-EE2DAA3019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5"/>
                    </a:graphicData>
                  </a:graphic>
                </wp:inline>
              </w:drawing>
            </w:r>
          </w:p>
        </w:tc>
      </w:tr>
      <w:tr w:rsidR="00316240" w:rsidRPr="00A43B9C" w14:paraId="1AB15DD2" w14:textId="77777777" w:rsidTr="008D38B6">
        <w:tc>
          <w:tcPr>
            <w:tcW w:w="3636" w:type="dxa"/>
          </w:tcPr>
          <w:p w14:paraId="52ACBBD5" w14:textId="67DE2684" w:rsidR="00316240" w:rsidRPr="00B25E66" w:rsidRDefault="00316240" w:rsidP="00316240">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г)</w:t>
            </w:r>
            <w:r w:rsidR="00B25E66">
              <w:rPr>
                <w:rFonts w:ascii="Times New Roman" w:hAnsi="Times New Roman" w:cs="Times New Roman"/>
                <w:sz w:val="24"/>
                <w:szCs w:val="24"/>
              </w:rPr>
              <w:t xml:space="preserve"> Локализация</w:t>
            </w:r>
            <w:r w:rsidR="00B25E66">
              <w:rPr>
                <w:rFonts w:ascii="Times New Roman" w:hAnsi="Times New Roman" w:cs="Times New Roman"/>
                <w:sz w:val="24"/>
                <w:szCs w:val="24"/>
                <w:lang w:val="en-US"/>
              </w:rPr>
              <w:t xml:space="preserve"> RU</w:t>
            </w:r>
          </w:p>
        </w:tc>
        <w:tc>
          <w:tcPr>
            <w:tcW w:w="3636" w:type="dxa"/>
          </w:tcPr>
          <w:p w14:paraId="47AEC141" w14:textId="67792E53" w:rsidR="00316240" w:rsidRPr="00B25E66" w:rsidRDefault="00316240" w:rsidP="00316240">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д)</w:t>
            </w:r>
            <w:r w:rsidR="00B25E66">
              <w:rPr>
                <w:rFonts w:ascii="Times New Roman" w:hAnsi="Times New Roman" w:cs="Times New Roman"/>
                <w:sz w:val="24"/>
                <w:szCs w:val="24"/>
              </w:rPr>
              <w:t xml:space="preserve"> Локализация</w:t>
            </w:r>
            <w:r w:rsidR="00B25E66">
              <w:rPr>
                <w:rFonts w:ascii="Times New Roman" w:hAnsi="Times New Roman" w:cs="Times New Roman"/>
                <w:sz w:val="24"/>
                <w:szCs w:val="24"/>
                <w:lang w:val="en-US"/>
              </w:rPr>
              <w:t xml:space="preserve"> RLL</w:t>
            </w:r>
          </w:p>
        </w:tc>
        <w:tc>
          <w:tcPr>
            <w:tcW w:w="3636" w:type="dxa"/>
          </w:tcPr>
          <w:p w14:paraId="1638C384" w14:textId="085E2B9A" w:rsidR="00316240" w:rsidRPr="00B25E66" w:rsidRDefault="00316240" w:rsidP="00316240">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е)</w:t>
            </w:r>
            <w:r w:rsidR="00B25E66">
              <w:rPr>
                <w:rFonts w:ascii="Times New Roman" w:hAnsi="Times New Roman" w:cs="Times New Roman"/>
                <w:sz w:val="24"/>
                <w:szCs w:val="24"/>
              </w:rPr>
              <w:t xml:space="preserve"> Локализация</w:t>
            </w:r>
            <w:r w:rsidR="00B25E66">
              <w:rPr>
                <w:rFonts w:ascii="Times New Roman" w:hAnsi="Times New Roman" w:cs="Times New Roman"/>
                <w:sz w:val="24"/>
                <w:szCs w:val="24"/>
                <w:lang w:val="en-US"/>
              </w:rPr>
              <w:t xml:space="preserve"> RRI</w:t>
            </w:r>
          </w:p>
        </w:tc>
      </w:tr>
      <w:tr w:rsidR="008D38B6" w:rsidRPr="00A43B9C" w14:paraId="0782BC98" w14:textId="77777777" w:rsidTr="008D38B6">
        <w:tc>
          <w:tcPr>
            <w:tcW w:w="3636" w:type="dxa"/>
          </w:tcPr>
          <w:p w14:paraId="216903FA" w14:textId="7CFC3D4B" w:rsidR="008D38B6" w:rsidRPr="00A43B9C" w:rsidRDefault="008D38B6" w:rsidP="00446A37">
            <w:pPr>
              <w:spacing w:after="0" w:line="240" w:lineRule="auto"/>
              <w:jc w:val="center"/>
              <w:rPr>
                <w:rFonts w:ascii="Times New Roman" w:hAnsi="Times New Roman" w:cs="Times New Roman"/>
                <w:sz w:val="28"/>
                <w:szCs w:val="28"/>
              </w:rPr>
            </w:pPr>
            <w:r w:rsidRPr="00A43B9C">
              <w:rPr>
                <w:noProof/>
                <w:lang w:eastAsia="ru-RU"/>
              </w:rPr>
              <w:drawing>
                <wp:inline distT="0" distB="0" distL="0" distR="0" wp14:anchorId="73C86566" wp14:editId="6A421EE3">
                  <wp:extent cx="2160000" cy="2124000"/>
                  <wp:effectExtent l="0" t="0" r="12065" b="10160"/>
                  <wp:docPr id="82" name="Диаграмма 82">
                    <a:extLst xmlns:a="http://schemas.openxmlformats.org/drawingml/2006/main">
                      <a:ext uri="{FF2B5EF4-FFF2-40B4-BE49-F238E27FC236}">
                        <a16:creationId xmlns:a16="http://schemas.microsoft.com/office/drawing/2014/main" id="{9F3EFFB7-9FA8-4A7E-9C57-E2876D690C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6"/>
                    </a:graphicData>
                  </a:graphic>
                </wp:inline>
              </w:drawing>
            </w:r>
          </w:p>
        </w:tc>
        <w:tc>
          <w:tcPr>
            <w:tcW w:w="3636" w:type="dxa"/>
          </w:tcPr>
          <w:p w14:paraId="54CA5A9F" w14:textId="62396291" w:rsidR="008D38B6" w:rsidRPr="00A43B9C" w:rsidRDefault="008D38B6" w:rsidP="00446A37">
            <w:pPr>
              <w:spacing w:after="0" w:line="240" w:lineRule="auto"/>
              <w:jc w:val="center"/>
              <w:rPr>
                <w:rFonts w:ascii="Times New Roman" w:hAnsi="Times New Roman" w:cs="Times New Roman"/>
                <w:sz w:val="28"/>
                <w:szCs w:val="28"/>
              </w:rPr>
            </w:pPr>
            <w:r w:rsidRPr="00A43B9C">
              <w:rPr>
                <w:noProof/>
                <w:lang w:eastAsia="ru-RU"/>
              </w:rPr>
              <w:drawing>
                <wp:inline distT="0" distB="0" distL="0" distR="0" wp14:anchorId="4E875135" wp14:editId="29D8624A">
                  <wp:extent cx="2160000" cy="2124000"/>
                  <wp:effectExtent l="0" t="0" r="12065" b="10160"/>
                  <wp:docPr id="83" name="Диаграмма 83">
                    <a:extLst xmlns:a="http://schemas.openxmlformats.org/drawingml/2006/main">
                      <a:ext uri="{FF2B5EF4-FFF2-40B4-BE49-F238E27FC236}">
                        <a16:creationId xmlns:a16="http://schemas.microsoft.com/office/drawing/2014/main" id="{ED3F7BDA-88BB-4702-B99E-962BBCAFD6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7"/>
                    </a:graphicData>
                  </a:graphic>
                </wp:inline>
              </w:drawing>
            </w:r>
          </w:p>
        </w:tc>
        <w:tc>
          <w:tcPr>
            <w:tcW w:w="3636" w:type="dxa"/>
          </w:tcPr>
          <w:p w14:paraId="72036691" w14:textId="7ECBE071" w:rsidR="008D38B6" w:rsidRPr="00A43B9C" w:rsidRDefault="008D38B6" w:rsidP="00446A37">
            <w:pPr>
              <w:spacing w:after="0" w:line="240" w:lineRule="auto"/>
              <w:jc w:val="center"/>
              <w:rPr>
                <w:rFonts w:ascii="Times New Roman" w:hAnsi="Times New Roman" w:cs="Times New Roman"/>
                <w:sz w:val="28"/>
                <w:szCs w:val="28"/>
              </w:rPr>
            </w:pPr>
            <w:r w:rsidRPr="00A43B9C">
              <w:rPr>
                <w:noProof/>
                <w:lang w:eastAsia="ru-RU"/>
              </w:rPr>
              <w:drawing>
                <wp:inline distT="0" distB="0" distL="0" distR="0" wp14:anchorId="6E6E5518" wp14:editId="631066EB">
                  <wp:extent cx="2160000" cy="2124000"/>
                  <wp:effectExtent l="0" t="0" r="12065" b="10160"/>
                  <wp:docPr id="84" name="Диаграмма 84">
                    <a:extLst xmlns:a="http://schemas.openxmlformats.org/drawingml/2006/main">
                      <a:ext uri="{FF2B5EF4-FFF2-40B4-BE49-F238E27FC236}">
                        <a16:creationId xmlns:a16="http://schemas.microsoft.com/office/drawing/2014/main" id="{E9A63DD1-6BF3-4220-AE96-A1D39DF0A0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8"/>
                    </a:graphicData>
                  </a:graphic>
                </wp:inline>
              </w:drawing>
            </w:r>
          </w:p>
        </w:tc>
      </w:tr>
      <w:tr w:rsidR="00316240" w:rsidRPr="00A43B9C" w14:paraId="49CF2D14" w14:textId="77777777" w:rsidTr="008D38B6">
        <w:tc>
          <w:tcPr>
            <w:tcW w:w="3636" w:type="dxa"/>
          </w:tcPr>
          <w:p w14:paraId="3D89C6B2" w14:textId="0F510075" w:rsidR="00316240" w:rsidRPr="00B25E66" w:rsidRDefault="00316240" w:rsidP="00316240">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ж)</w:t>
            </w:r>
            <w:r w:rsidR="00B25E66">
              <w:rPr>
                <w:rFonts w:ascii="Times New Roman" w:hAnsi="Times New Roman" w:cs="Times New Roman"/>
                <w:sz w:val="24"/>
                <w:szCs w:val="24"/>
              </w:rPr>
              <w:t xml:space="preserve"> Локализация</w:t>
            </w:r>
            <w:r w:rsidR="00B25E66">
              <w:rPr>
                <w:rFonts w:ascii="Times New Roman" w:hAnsi="Times New Roman" w:cs="Times New Roman"/>
                <w:sz w:val="24"/>
                <w:szCs w:val="24"/>
                <w:lang w:val="en-US"/>
              </w:rPr>
              <w:t xml:space="preserve"> RP</w:t>
            </w:r>
          </w:p>
        </w:tc>
        <w:tc>
          <w:tcPr>
            <w:tcW w:w="3636" w:type="dxa"/>
          </w:tcPr>
          <w:p w14:paraId="69986C55" w14:textId="0D19A331" w:rsidR="00316240" w:rsidRPr="00B25E66" w:rsidRDefault="00316240" w:rsidP="00316240">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к)</w:t>
            </w:r>
            <w:r w:rsidR="00B25E66">
              <w:rPr>
                <w:rFonts w:ascii="Times New Roman" w:hAnsi="Times New Roman" w:cs="Times New Roman"/>
                <w:sz w:val="24"/>
                <w:szCs w:val="24"/>
              </w:rPr>
              <w:t xml:space="preserve"> Локализация</w:t>
            </w:r>
            <w:r w:rsidR="00B25E66">
              <w:rPr>
                <w:rFonts w:ascii="Times New Roman" w:hAnsi="Times New Roman" w:cs="Times New Roman"/>
                <w:sz w:val="24"/>
                <w:szCs w:val="24"/>
                <w:lang w:val="en-US"/>
              </w:rPr>
              <w:t xml:space="preserve"> RLI</w:t>
            </w:r>
          </w:p>
        </w:tc>
        <w:tc>
          <w:tcPr>
            <w:tcW w:w="3636" w:type="dxa"/>
          </w:tcPr>
          <w:p w14:paraId="1780F8A2" w14:textId="4136CFE9" w:rsidR="00316240" w:rsidRPr="00B25E66" w:rsidRDefault="00316240" w:rsidP="00316240">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л)</w:t>
            </w:r>
            <w:r w:rsidR="00B25E66">
              <w:rPr>
                <w:rFonts w:ascii="Times New Roman" w:hAnsi="Times New Roman" w:cs="Times New Roman"/>
                <w:sz w:val="24"/>
                <w:szCs w:val="24"/>
              </w:rPr>
              <w:t xml:space="preserve"> Локализация</w:t>
            </w:r>
            <w:r w:rsidR="00B25E66">
              <w:rPr>
                <w:rFonts w:ascii="Times New Roman" w:hAnsi="Times New Roman" w:cs="Times New Roman"/>
                <w:sz w:val="24"/>
                <w:szCs w:val="24"/>
                <w:lang w:val="en-US"/>
              </w:rPr>
              <w:t xml:space="preserve"> P</w:t>
            </w:r>
          </w:p>
        </w:tc>
      </w:tr>
      <w:bookmarkEnd w:id="86"/>
    </w:tbl>
    <w:p w14:paraId="68436EB9" w14:textId="77777777" w:rsidR="00B25E66" w:rsidRDefault="00B25E66" w:rsidP="008D38B6">
      <w:pPr>
        <w:spacing w:after="0" w:line="240" w:lineRule="auto"/>
        <w:jc w:val="center"/>
        <w:rPr>
          <w:rFonts w:ascii="Times New Roman" w:hAnsi="Times New Roman" w:cs="Times New Roman"/>
          <w:sz w:val="28"/>
          <w:szCs w:val="28"/>
        </w:rPr>
      </w:pPr>
    </w:p>
    <w:p w14:paraId="2D257077" w14:textId="541B6E76" w:rsidR="00B25E66" w:rsidRPr="00B25E66" w:rsidRDefault="008D38B6" w:rsidP="008D38B6">
      <w:pPr>
        <w:spacing w:after="0" w:line="240" w:lineRule="auto"/>
        <w:jc w:val="center"/>
        <w:rPr>
          <w:rFonts w:ascii="Times New Roman" w:eastAsia="NewtonC" w:hAnsi="Times New Roman" w:cs="Times New Roman"/>
          <w:sz w:val="28"/>
          <w:szCs w:val="28"/>
        </w:rPr>
      </w:pPr>
      <w:r w:rsidRPr="00A43B9C">
        <w:rPr>
          <w:rFonts w:ascii="Times New Roman" w:hAnsi="Times New Roman" w:cs="Times New Roman"/>
          <w:sz w:val="28"/>
          <w:szCs w:val="28"/>
        </w:rPr>
        <w:t>Рисунок 4</w:t>
      </w:r>
      <w:r w:rsidR="001A1D98">
        <w:rPr>
          <w:rFonts w:ascii="Times New Roman" w:hAnsi="Times New Roman" w:cs="Times New Roman"/>
          <w:sz w:val="28"/>
          <w:szCs w:val="28"/>
        </w:rPr>
        <w:t>3</w:t>
      </w:r>
      <w:r w:rsidR="001D33E2" w:rsidRPr="00A43B9C">
        <w:rPr>
          <w:rFonts w:ascii="Times New Roman" w:hAnsi="Times New Roman" w:cs="Times New Roman"/>
          <w:sz w:val="28"/>
          <w:szCs w:val="28"/>
        </w:rPr>
        <w:t xml:space="preserve"> </w:t>
      </w:r>
      <w:r w:rsidR="004D5D0F">
        <w:rPr>
          <w:rFonts w:ascii="Times New Roman" w:hAnsi="Times New Roman" w:cs="Times New Roman"/>
          <w:sz w:val="28"/>
          <w:szCs w:val="28"/>
        </w:rPr>
        <w:t>-</w:t>
      </w:r>
      <w:r w:rsidRPr="00A43B9C">
        <w:rPr>
          <w:rFonts w:ascii="Times New Roman" w:hAnsi="Times New Roman" w:cs="Times New Roman"/>
          <w:sz w:val="28"/>
          <w:szCs w:val="28"/>
        </w:rPr>
        <w:t xml:space="preserve"> </w:t>
      </w:r>
      <w:r w:rsidR="00B25E66">
        <w:rPr>
          <w:rFonts w:ascii="Times New Roman" w:hAnsi="Times New Roman" w:cs="Times New Roman"/>
          <w:sz w:val="28"/>
          <w:szCs w:val="28"/>
        </w:rPr>
        <w:t>лист 2</w:t>
      </w:r>
    </w:p>
    <w:p w14:paraId="2C012405" w14:textId="402079F7" w:rsidR="008D38B6" w:rsidRPr="00A43B9C" w:rsidRDefault="008D38B6" w:rsidP="008D38B6">
      <w:pPr>
        <w:spacing w:after="0" w:line="240" w:lineRule="auto"/>
        <w:jc w:val="center"/>
        <w:rPr>
          <w:rFonts w:ascii="Times New Roman" w:hAnsi="Times New Roman" w:cs="Times New Roman"/>
          <w:sz w:val="28"/>
          <w:szCs w:val="28"/>
        </w:rPr>
      </w:pPr>
    </w:p>
    <w:p w14:paraId="113D3F41" w14:textId="2D0BC6DA" w:rsidR="00677963" w:rsidRPr="00AB2535" w:rsidRDefault="00040E82" w:rsidP="00A120D6">
      <w:pPr>
        <w:pStyle w:val="31"/>
        <w:spacing w:before="0" w:line="240" w:lineRule="auto"/>
        <w:ind w:firstLine="709"/>
        <w:jc w:val="both"/>
        <w:rPr>
          <w:rFonts w:ascii="Times New Roman" w:eastAsia="Times New Roman" w:hAnsi="Times New Roman" w:cs="Times New Roman"/>
          <w:color w:val="auto"/>
          <w:sz w:val="28"/>
          <w:szCs w:val="28"/>
          <w:lang w:eastAsia="ru-RU"/>
        </w:rPr>
      </w:pPr>
      <w:bookmarkStart w:id="87" w:name="_Toc94105262"/>
      <w:bookmarkStart w:id="88" w:name="_Toc101432341"/>
      <w:bookmarkStart w:id="89" w:name="_Toc101861824"/>
      <w:bookmarkStart w:id="90" w:name="_Toc102937627"/>
      <w:bookmarkEnd w:id="82"/>
      <w:r w:rsidRPr="00AB2535">
        <w:rPr>
          <w:rFonts w:ascii="Times New Roman" w:eastAsia="Times New Roman" w:hAnsi="Times New Roman" w:cs="Times New Roman"/>
          <w:color w:val="auto"/>
          <w:sz w:val="28"/>
          <w:szCs w:val="28"/>
          <w:lang w:eastAsia="ru-RU"/>
        </w:rPr>
        <w:t>3</w:t>
      </w:r>
      <w:r w:rsidR="00677963" w:rsidRPr="00AB2535">
        <w:rPr>
          <w:rFonts w:ascii="Times New Roman" w:eastAsia="Times New Roman" w:hAnsi="Times New Roman" w:cs="Times New Roman"/>
          <w:color w:val="auto"/>
          <w:sz w:val="28"/>
          <w:szCs w:val="28"/>
          <w:lang w:eastAsia="ru-RU"/>
        </w:rPr>
        <w:t>.</w:t>
      </w:r>
      <w:r w:rsidRPr="00AB2535">
        <w:rPr>
          <w:rFonts w:ascii="Times New Roman" w:eastAsia="Times New Roman" w:hAnsi="Times New Roman" w:cs="Times New Roman"/>
          <w:color w:val="auto"/>
          <w:sz w:val="28"/>
          <w:szCs w:val="28"/>
          <w:lang w:eastAsia="ru-RU"/>
        </w:rPr>
        <w:t>2.</w:t>
      </w:r>
      <w:r w:rsidR="00B674B1" w:rsidRPr="00AB2535">
        <w:rPr>
          <w:rFonts w:ascii="Times New Roman" w:eastAsia="Times New Roman" w:hAnsi="Times New Roman" w:cs="Times New Roman"/>
          <w:color w:val="auto"/>
          <w:sz w:val="28"/>
          <w:szCs w:val="28"/>
          <w:lang w:eastAsia="ru-RU"/>
        </w:rPr>
        <w:t>3</w:t>
      </w:r>
      <w:r w:rsidR="00677963" w:rsidRPr="00AB2535">
        <w:rPr>
          <w:rFonts w:ascii="Times New Roman" w:eastAsia="Times New Roman" w:hAnsi="Times New Roman" w:cs="Times New Roman"/>
          <w:color w:val="auto"/>
          <w:sz w:val="28"/>
          <w:szCs w:val="28"/>
          <w:lang w:eastAsia="ru-RU"/>
        </w:rPr>
        <w:t xml:space="preserve"> </w:t>
      </w:r>
      <w:bookmarkEnd w:id="87"/>
      <w:bookmarkEnd w:id="88"/>
      <w:r w:rsidR="0075659D" w:rsidRPr="00AB2535">
        <w:rPr>
          <w:rFonts w:ascii="Times New Roman" w:hAnsi="Times New Roman" w:cs="Times New Roman"/>
          <w:color w:val="auto"/>
          <w:sz w:val="28"/>
          <w:szCs w:val="28"/>
          <w:lang w:eastAsia="ru-RU"/>
        </w:rPr>
        <w:t xml:space="preserve">Динамика уровня накопления </w:t>
      </w:r>
      <w:r w:rsidR="0075659D" w:rsidRPr="00AB2535">
        <w:rPr>
          <w:rFonts w:ascii="Times New Roman" w:hAnsi="Times New Roman" w:cs="Times New Roman"/>
          <w:color w:val="auto"/>
          <w:sz w:val="28"/>
          <w:szCs w:val="28"/>
          <w:lang w:val="en-US" w:eastAsia="ru-RU"/>
        </w:rPr>
        <w:t>SUV</w:t>
      </w:r>
      <w:r w:rsidR="0075659D" w:rsidRPr="00AB2535">
        <w:rPr>
          <w:rFonts w:ascii="Times New Roman" w:hAnsi="Times New Roman" w:cs="Times New Roman"/>
          <w:color w:val="auto"/>
          <w:sz w:val="28"/>
          <w:szCs w:val="28"/>
          <w:vertAlign w:val="subscript"/>
          <w:lang w:val="en-US" w:eastAsia="ru-RU"/>
        </w:rPr>
        <w:t>max</w:t>
      </w:r>
      <w:r w:rsidR="0075659D" w:rsidRPr="00AB2535">
        <w:rPr>
          <w:rFonts w:ascii="Times New Roman" w:hAnsi="Times New Roman" w:cs="Times New Roman"/>
          <w:color w:val="auto"/>
          <w:sz w:val="28"/>
          <w:szCs w:val="28"/>
          <w:lang w:eastAsia="ru-RU"/>
        </w:rPr>
        <w:t xml:space="preserve"> в висцеральном жире в зависимости от </w:t>
      </w:r>
      <w:r w:rsidR="00FD338B" w:rsidRPr="00AB2535">
        <w:rPr>
          <w:rFonts w:ascii="Times New Roman" w:hAnsi="Times New Roman" w:cs="Times New Roman"/>
          <w:color w:val="auto"/>
          <w:sz w:val="28"/>
          <w:szCs w:val="28"/>
          <w:lang w:eastAsia="ru-RU"/>
        </w:rPr>
        <w:t>метастатического поражения брюшины</w:t>
      </w:r>
      <w:bookmarkEnd w:id="89"/>
      <w:bookmarkEnd w:id="90"/>
    </w:p>
    <w:p w14:paraId="75B06193" w14:textId="7D1D00E0" w:rsidR="00677963" w:rsidRPr="00A43B9C" w:rsidRDefault="004413BC" w:rsidP="00677963">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П</w:t>
      </w:r>
      <w:r w:rsidR="00677963" w:rsidRPr="00A43B9C">
        <w:rPr>
          <w:rFonts w:ascii="Times New Roman" w:hAnsi="Times New Roman" w:cs="Times New Roman"/>
          <w:sz w:val="28"/>
          <w:szCs w:val="28"/>
        </w:rPr>
        <w:t>роведённ</w:t>
      </w:r>
      <w:r w:rsidRPr="00A43B9C">
        <w:rPr>
          <w:rFonts w:ascii="Times New Roman" w:hAnsi="Times New Roman" w:cs="Times New Roman"/>
          <w:sz w:val="28"/>
          <w:szCs w:val="28"/>
        </w:rPr>
        <w:t>ый</w:t>
      </w:r>
      <w:r w:rsidR="00677963" w:rsidRPr="00A43B9C">
        <w:rPr>
          <w:rFonts w:ascii="Times New Roman" w:hAnsi="Times New Roman" w:cs="Times New Roman"/>
          <w:sz w:val="28"/>
          <w:szCs w:val="28"/>
        </w:rPr>
        <w:t xml:space="preserve"> анализ показа</w:t>
      </w:r>
      <w:r w:rsidRPr="00A43B9C">
        <w:rPr>
          <w:rFonts w:ascii="Times New Roman" w:hAnsi="Times New Roman" w:cs="Times New Roman"/>
          <w:sz w:val="28"/>
          <w:szCs w:val="28"/>
        </w:rPr>
        <w:t>л</w:t>
      </w:r>
      <w:r w:rsidR="00677963" w:rsidRPr="00A43B9C">
        <w:rPr>
          <w:rFonts w:ascii="Times New Roman" w:hAnsi="Times New Roman" w:cs="Times New Roman"/>
          <w:sz w:val="28"/>
          <w:szCs w:val="28"/>
        </w:rPr>
        <w:t xml:space="preserve"> динамик</w:t>
      </w:r>
      <w:r w:rsidRPr="00A43B9C">
        <w:rPr>
          <w:rFonts w:ascii="Times New Roman" w:hAnsi="Times New Roman" w:cs="Times New Roman"/>
          <w:sz w:val="28"/>
          <w:szCs w:val="28"/>
        </w:rPr>
        <w:t>у</w:t>
      </w:r>
      <w:r w:rsidR="00677963" w:rsidRPr="00A43B9C">
        <w:rPr>
          <w:rFonts w:ascii="Times New Roman" w:hAnsi="Times New Roman" w:cs="Times New Roman"/>
          <w:sz w:val="28"/>
          <w:szCs w:val="28"/>
        </w:rPr>
        <w:t xml:space="preserve"> уровня накоплени</w:t>
      </w:r>
      <w:r w:rsidR="00B336CA" w:rsidRPr="00A43B9C">
        <w:rPr>
          <w:rFonts w:ascii="Times New Roman" w:hAnsi="Times New Roman" w:cs="Times New Roman"/>
          <w:sz w:val="28"/>
          <w:szCs w:val="28"/>
        </w:rPr>
        <w:t>я</w:t>
      </w:r>
      <w:r w:rsidR="00677963" w:rsidRPr="00A43B9C">
        <w:rPr>
          <w:rFonts w:ascii="Times New Roman" w:hAnsi="Times New Roman" w:cs="Times New Roman"/>
          <w:sz w:val="28"/>
          <w:szCs w:val="28"/>
        </w:rPr>
        <w:t xml:space="preserve"> </w:t>
      </w:r>
      <w:r w:rsidR="00677963" w:rsidRPr="00A43B9C">
        <w:rPr>
          <w:rFonts w:ascii="Times New Roman" w:eastAsia="Times New Roman" w:hAnsi="Times New Roman" w:cs="Times New Roman"/>
          <w:sz w:val="28"/>
          <w:szCs w:val="28"/>
          <w:lang w:val="en-US" w:eastAsia="ru-RU"/>
        </w:rPr>
        <w:t>SUV</w:t>
      </w:r>
      <w:r w:rsidR="00677963" w:rsidRPr="00A43B9C">
        <w:rPr>
          <w:rFonts w:ascii="Times New Roman" w:eastAsia="Times New Roman" w:hAnsi="Times New Roman" w:cs="Times New Roman"/>
          <w:sz w:val="28"/>
          <w:szCs w:val="28"/>
          <w:vertAlign w:val="subscript"/>
          <w:lang w:val="en-US" w:eastAsia="ru-RU"/>
        </w:rPr>
        <w:t>max</w:t>
      </w:r>
      <w:r w:rsidR="00677963" w:rsidRPr="00A43B9C">
        <w:rPr>
          <w:rFonts w:ascii="Times New Roman" w:eastAsia="Times New Roman" w:hAnsi="Times New Roman" w:cs="Times New Roman"/>
          <w:sz w:val="28"/>
          <w:szCs w:val="28"/>
          <w:lang w:eastAsia="ru-RU"/>
        </w:rPr>
        <w:t xml:space="preserve"> </w:t>
      </w:r>
      <w:r w:rsidR="00A120D6" w:rsidRPr="00A43B9C">
        <w:rPr>
          <w:rFonts w:ascii="Times New Roman" w:eastAsia="Times New Roman" w:hAnsi="Times New Roman" w:cs="Times New Roman"/>
          <w:sz w:val="28"/>
          <w:szCs w:val="28"/>
          <w:lang w:eastAsia="ru-RU"/>
        </w:rPr>
        <w:t xml:space="preserve">в </w:t>
      </w:r>
      <w:r w:rsidR="00A120D6" w:rsidRPr="00A43B9C">
        <w:rPr>
          <w:rFonts w:ascii="Times New Roman" w:eastAsia="Times New Roman" w:hAnsi="Times New Roman" w:cs="Times New Roman"/>
          <w:sz w:val="28"/>
          <w:szCs w:val="28"/>
          <w:lang w:val="en-US" w:eastAsia="ru-RU"/>
        </w:rPr>
        <w:t>VAT</w:t>
      </w:r>
      <w:r w:rsidR="00677963" w:rsidRPr="00A43B9C">
        <w:rPr>
          <w:rFonts w:ascii="Times New Roman" w:eastAsia="Times New Roman" w:hAnsi="Times New Roman" w:cs="Times New Roman"/>
          <w:sz w:val="28"/>
          <w:szCs w:val="28"/>
          <w:lang w:eastAsia="ru-RU"/>
        </w:rPr>
        <w:t xml:space="preserve"> при различных локализациях </w:t>
      </w:r>
      <w:r w:rsidR="00336C46" w:rsidRPr="00A43B9C">
        <w:rPr>
          <w:rFonts w:ascii="Times New Roman" w:eastAsia="Times New Roman" w:hAnsi="Times New Roman" w:cs="Times New Roman"/>
          <w:sz w:val="28"/>
          <w:szCs w:val="28"/>
          <w:lang w:eastAsia="ru-RU"/>
        </w:rPr>
        <w:t xml:space="preserve">опухоли в </w:t>
      </w:r>
      <w:r w:rsidR="00677963" w:rsidRPr="00A43B9C">
        <w:rPr>
          <w:rFonts w:ascii="Times New Roman" w:eastAsia="Times New Roman" w:hAnsi="Times New Roman" w:cs="Times New Roman"/>
          <w:sz w:val="28"/>
          <w:szCs w:val="28"/>
          <w:lang w:eastAsia="ru-RU"/>
        </w:rPr>
        <w:t xml:space="preserve">брюшной полости и малого таза </w:t>
      </w:r>
      <w:r w:rsidR="00677963" w:rsidRPr="00A43B9C">
        <w:rPr>
          <w:rFonts w:ascii="Times New Roman" w:hAnsi="Times New Roman" w:cs="Times New Roman"/>
          <w:sz w:val="28"/>
          <w:szCs w:val="28"/>
        </w:rPr>
        <w:t xml:space="preserve">в зависимости от статуса </w:t>
      </w:r>
      <w:r w:rsidR="000874C1" w:rsidRPr="00A43B9C">
        <w:rPr>
          <w:rFonts w:ascii="Times New Roman" w:hAnsi="Times New Roman" w:cs="Times New Roman"/>
          <w:sz w:val="28"/>
          <w:szCs w:val="28"/>
          <w:lang w:val="en-US"/>
        </w:rPr>
        <w:t>LM</w:t>
      </w:r>
      <w:r w:rsidR="00677963" w:rsidRPr="00A43B9C">
        <w:rPr>
          <w:rFonts w:ascii="Times New Roman" w:hAnsi="Times New Roman" w:cs="Times New Roman"/>
          <w:sz w:val="28"/>
          <w:szCs w:val="28"/>
        </w:rPr>
        <w:t xml:space="preserve"> </w:t>
      </w:r>
      <w:r w:rsidR="00860F19" w:rsidRPr="00A43B9C">
        <w:rPr>
          <w:rFonts w:ascii="Times New Roman" w:hAnsi="Times New Roman" w:cs="Times New Roman"/>
          <w:sz w:val="28"/>
          <w:szCs w:val="28"/>
        </w:rPr>
        <w:t xml:space="preserve">(таблица 33) </w:t>
      </w:r>
      <w:r w:rsidR="00677963" w:rsidRPr="00A43B9C">
        <w:rPr>
          <w:rFonts w:ascii="Times New Roman" w:hAnsi="Times New Roman" w:cs="Times New Roman"/>
          <w:sz w:val="28"/>
          <w:szCs w:val="28"/>
        </w:rPr>
        <w:t>в сравнении с базовым (</w:t>
      </w:r>
      <w:r w:rsidR="00677963" w:rsidRPr="00A43B9C">
        <w:rPr>
          <w:rFonts w:ascii="Times New Roman" w:hAnsi="Times New Roman" w:cs="Times New Roman"/>
          <w:sz w:val="28"/>
          <w:szCs w:val="28"/>
          <w:lang w:val="en-US"/>
        </w:rPr>
        <w:t>I</w:t>
      </w:r>
      <w:r w:rsidR="00677963" w:rsidRPr="00A43B9C">
        <w:rPr>
          <w:rFonts w:ascii="Times New Roman" w:hAnsi="Times New Roman" w:cs="Times New Roman"/>
          <w:sz w:val="28"/>
          <w:szCs w:val="28"/>
        </w:rPr>
        <w:t>) и результатами последующего (</w:t>
      </w:r>
      <w:r w:rsidR="00677963" w:rsidRPr="00A43B9C">
        <w:rPr>
          <w:rFonts w:ascii="Times New Roman" w:hAnsi="Times New Roman" w:cs="Times New Roman"/>
          <w:sz w:val="28"/>
          <w:szCs w:val="28"/>
          <w:lang w:val="en-US"/>
        </w:rPr>
        <w:t>II</w:t>
      </w:r>
      <w:r w:rsidR="00677963" w:rsidRPr="00A43B9C">
        <w:rPr>
          <w:rFonts w:ascii="Times New Roman" w:hAnsi="Times New Roman" w:cs="Times New Roman"/>
          <w:sz w:val="28"/>
          <w:szCs w:val="28"/>
        </w:rPr>
        <w:t xml:space="preserve">) </w:t>
      </w:r>
      <w:r w:rsidR="00677963" w:rsidRPr="00A43B9C">
        <w:rPr>
          <w:rFonts w:ascii="Times New Roman" w:hAnsi="Times New Roman" w:cs="Times New Roman"/>
          <w:sz w:val="28"/>
          <w:szCs w:val="28"/>
          <w:vertAlign w:val="superscript"/>
        </w:rPr>
        <w:t>18</w:t>
      </w:r>
      <w:r w:rsidR="00677963" w:rsidRPr="00A43B9C">
        <w:rPr>
          <w:rFonts w:ascii="Times New Roman" w:hAnsi="Times New Roman" w:cs="Times New Roman"/>
          <w:sz w:val="28"/>
          <w:szCs w:val="28"/>
          <w:lang w:val="en-US"/>
        </w:rPr>
        <w:t>F</w:t>
      </w:r>
      <w:r w:rsidR="00677963" w:rsidRPr="00A43B9C">
        <w:rPr>
          <w:rFonts w:ascii="Times New Roman" w:hAnsi="Times New Roman" w:cs="Times New Roman"/>
          <w:sz w:val="28"/>
          <w:szCs w:val="28"/>
        </w:rPr>
        <w:t>-</w:t>
      </w:r>
      <w:r w:rsidR="00677963" w:rsidRPr="00A43B9C">
        <w:rPr>
          <w:rFonts w:ascii="Times New Roman" w:hAnsi="Times New Roman" w:cs="Times New Roman"/>
          <w:sz w:val="28"/>
          <w:szCs w:val="28"/>
          <w:lang w:val="en-US"/>
        </w:rPr>
        <w:t>FDG</w:t>
      </w:r>
      <w:r w:rsidR="00677963" w:rsidRPr="00A43B9C">
        <w:rPr>
          <w:rFonts w:ascii="Times New Roman" w:hAnsi="Times New Roman" w:cs="Times New Roman"/>
          <w:sz w:val="28"/>
          <w:szCs w:val="28"/>
        </w:rPr>
        <w:t xml:space="preserve"> ПЭТ/КТ исследовани</w:t>
      </w:r>
      <w:r w:rsidR="00336C46" w:rsidRPr="00A43B9C">
        <w:rPr>
          <w:rFonts w:ascii="Times New Roman" w:hAnsi="Times New Roman" w:cs="Times New Roman"/>
          <w:sz w:val="28"/>
          <w:szCs w:val="28"/>
        </w:rPr>
        <w:t>й</w:t>
      </w:r>
      <w:r w:rsidR="00860F19" w:rsidRPr="00A43B9C">
        <w:rPr>
          <w:rFonts w:ascii="Times New Roman" w:hAnsi="Times New Roman" w:cs="Times New Roman"/>
          <w:sz w:val="28"/>
          <w:szCs w:val="28"/>
        </w:rPr>
        <w:t xml:space="preserve"> (рисунок 4</w:t>
      </w:r>
      <w:r w:rsidR="00E81502">
        <w:rPr>
          <w:rFonts w:ascii="Times New Roman" w:hAnsi="Times New Roman" w:cs="Times New Roman"/>
          <w:sz w:val="28"/>
          <w:szCs w:val="28"/>
        </w:rPr>
        <w:t>4</w:t>
      </w:r>
      <w:r w:rsidR="00860F19" w:rsidRPr="00A43B9C">
        <w:rPr>
          <w:rFonts w:ascii="Times New Roman" w:hAnsi="Times New Roman" w:cs="Times New Roman"/>
          <w:sz w:val="28"/>
          <w:szCs w:val="28"/>
        </w:rPr>
        <w:t>)</w:t>
      </w:r>
      <w:r w:rsidR="00C716BD">
        <w:rPr>
          <w:rFonts w:ascii="Times New Roman" w:hAnsi="Times New Roman" w:cs="Times New Roman"/>
          <w:sz w:val="28"/>
          <w:szCs w:val="28"/>
        </w:rPr>
        <w:t xml:space="preserve">, для </w:t>
      </w:r>
      <w:r w:rsidR="00C716BD">
        <w:rPr>
          <w:rFonts w:ascii="Times New Roman" w:hAnsi="Times New Roman" w:cs="Times New Roman"/>
          <w:sz w:val="28"/>
          <w:szCs w:val="28"/>
          <w:lang w:val="en-US"/>
        </w:rPr>
        <w:t>nLM</w:t>
      </w:r>
      <w:r w:rsidR="00C716BD" w:rsidRPr="00B46227">
        <w:rPr>
          <w:rFonts w:ascii="Times New Roman" w:hAnsi="Times New Roman" w:cs="Times New Roman"/>
          <w:sz w:val="28"/>
          <w:szCs w:val="28"/>
        </w:rPr>
        <w:t xml:space="preserve"> </w:t>
      </w:r>
      <w:r w:rsidR="00C716BD">
        <w:rPr>
          <w:rFonts w:ascii="Times New Roman" w:hAnsi="Times New Roman" w:cs="Times New Roman"/>
          <w:sz w:val="28"/>
          <w:szCs w:val="28"/>
          <w:lang w:val="en-US"/>
        </w:rPr>
        <w:t>n</w:t>
      </w:r>
      <w:r w:rsidR="00C716BD" w:rsidRPr="00B46227">
        <w:rPr>
          <w:rFonts w:ascii="Times New Roman" w:hAnsi="Times New Roman" w:cs="Times New Roman"/>
          <w:sz w:val="28"/>
          <w:szCs w:val="28"/>
        </w:rPr>
        <w:t xml:space="preserve"> = 44, </w:t>
      </w:r>
      <w:r w:rsidR="00C716BD">
        <w:rPr>
          <w:rFonts w:ascii="Times New Roman" w:hAnsi="Times New Roman" w:cs="Times New Roman"/>
          <w:sz w:val="28"/>
          <w:szCs w:val="28"/>
        </w:rPr>
        <w:t xml:space="preserve">для </w:t>
      </w:r>
      <w:r w:rsidR="00C716BD">
        <w:rPr>
          <w:rFonts w:ascii="Times New Roman" w:hAnsi="Times New Roman" w:cs="Times New Roman"/>
          <w:sz w:val="28"/>
          <w:szCs w:val="28"/>
          <w:lang w:val="en-US"/>
        </w:rPr>
        <w:t>pLM</w:t>
      </w:r>
      <w:r w:rsidR="00C716BD" w:rsidRPr="00B46227">
        <w:rPr>
          <w:rFonts w:ascii="Times New Roman" w:hAnsi="Times New Roman" w:cs="Times New Roman"/>
          <w:sz w:val="28"/>
          <w:szCs w:val="28"/>
        </w:rPr>
        <w:t xml:space="preserve"> </w:t>
      </w:r>
      <w:r w:rsidR="00C716BD">
        <w:rPr>
          <w:rFonts w:ascii="Times New Roman" w:hAnsi="Times New Roman" w:cs="Times New Roman"/>
          <w:sz w:val="28"/>
          <w:szCs w:val="28"/>
          <w:lang w:val="en-US"/>
        </w:rPr>
        <w:t>n</w:t>
      </w:r>
      <w:r w:rsidR="00C716BD" w:rsidRPr="00B46227">
        <w:rPr>
          <w:rFonts w:ascii="Times New Roman" w:hAnsi="Times New Roman" w:cs="Times New Roman"/>
          <w:sz w:val="28"/>
          <w:szCs w:val="28"/>
        </w:rPr>
        <w:t xml:space="preserve"> = 16</w:t>
      </w:r>
      <w:r w:rsidR="00677963" w:rsidRPr="00A43B9C">
        <w:rPr>
          <w:rFonts w:ascii="Times New Roman" w:hAnsi="Times New Roman" w:cs="Times New Roman"/>
          <w:sz w:val="28"/>
          <w:szCs w:val="28"/>
        </w:rPr>
        <w:t>.</w:t>
      </w:r>
    </w:p>
    <w:p w14:paraId="0A9C30C1" w14:textId="77777777" w:rsidR="00677963" w:rsidRPr="00A43B9C" w:rsidRDefault="00677963" w:rsidP="00677963">
      <w:pPr>
        <w:spacing w:after="0" w:line="240" w:lineRule="auto"/>
        <w:ind w:firstLine="709"/>
        <w:jc w:val="both"/>
        <w:rPr>
          <w:rFonts w:ascii="Times New Roman" w:hAnsi="Times New Roman" w:cs="Times New Roman"/>
          <w:sz w:val="28"/>
          <w:szCs w:val="28"/>
        </w:rPr>
      </w:pPr>
    </w:p>
    <w:p w14:paraId="25070267" w14:textId="51E01AA9" w:rsidR="00677963"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33 -</w:t>
      </w:r>
      <w:r w:rsidR="00677963" w:rsidRPr="00A43B9C">
        <w:rPr>
          <w:rFonts w:ascii="Times New Roman" w:hAnsi="Times New Roman" w:cs="Times New Roman"/>
          <w:sz w:val="28"/>
          <w:szCs w:val="28"/>
        </w:rPr>
        <w:t xml:space="preserve"> Динамика </w:t>
      </w:r>
      <w:r w:rsidR="00677963" w:rsidRPr="00A43B9C">
        <w:rPr>
          <w:rFonts w:ascii="Times New Roman" w:eastAsia="Times New Roman" w:hAnsi="Times New Roman" w:cs="Times New Roman"/>
          <w:sz w:val="28"/>
          <w:szCs w:val="28"/>
          <w:lang w:eastAsia="ru-RU"/>
        </w:rPr>
        <w:t>уровня накоплени</w:t>
      </w:r>
      <w:r w:rsidR="00B336CA" w:rsidRPr="00A43B9C">
        <w:rPr>
          <w:rFonts w:ascii="Times New Roman" w:eastAsia="Times New Roman" w:hAnsi="Times New Roman" w:cs="Times New Roman"/>
          <w:sz w:val="28"/>
          <w:szCs w:val="28"/>
          <w:lang w:eastAsia="ru-RU"/>
        </w:rPr>
        <w:t>я</w:t>
      </w:r>
      <w:r w:rsidR="00677963" w:rsidRPr="00A43B9C">
        <w:rPr>
          <w:rFonts w:ascii="Times New Roman" w:eastAsia="Times New Roman" w:hAnsi="Times New Roman" w:cs="Times New Roman"/>
          <w:sz w:val="28"/>
          <w:szCs w:val="28"/>
          <w:lang w:eastAsia="ru-RU"/>
        </w:rPr>
        <w:t xml:space="preserve"> </w:t>
      </w:r>
      <w:r w:rsidR="00677963" w:rsidRPr="00A43B9C">
        <w:rPr>
          <w:rFonts w:ascii="Times New Roman" w:eastAsia="Times New Roman" w:hAnsi="Times New Roman" w:cs="Times New Roman"/>
          <w:sz w:val="28"/>
          <w:szCs w:val="28"/>
          <w:lang w:val="en-US" w:eastAsia="ru-RU"/>
        </w:rPr>
        <w:t>SUV</w:t>
      </w:r>
      <w:r w:rsidR="00677963" w:rsidRPr="00A43B9C">
        <w:rPr>
          <w:rFonts w:ascii="Times New Roman" w:eastAsia="Times New Roman" w:hAnsi="Times New Roman" w:cs="Times New Roman"/>
          <w:sz w:val="28"/>
          <w:szCs w:val="28"/>
          <w:vertAlign w:val="subscript"/>
          <w:lang w:val="en-US" w:eastAsia="ru-RU"/>
        </w:rPr>
        <w:t>max</w:t>
      </w:r>
      <w:r w:rsidR="00677963" w:rsidRPr="00A43B9C">
        <w:rPr>
          <w:rFonts w:ascii="Times New Roman" w:eastAsia="Times New Roman" w:hAnsi="Times New Roman" w:cs="Times New Roman"/>
          <w:sz w:val="28"/>
          <w:szCs w:val="28"/>
          <w:lang w:eastAsia="ru-RU"/>
        </w:rPr>
        <w:t xml:space="preserve"> в зависимости от статуса</w:t>
      </w:r>
      <w:r w:rsidR="00677963" w:rsidRPr="00A43B9C">
        <w:rPr>
          <w:rFonts w:ascii="Times New Roman" w:hAnsi="Times New Roman" w:cs="Times New Roman"/>
          <w:sz w:val="28"/>
          <w:szCs w:val="28"/>
        </w:rPr>
        <w:t xml:space="preserve"> </w:t>
      </w:r>
      <w:r w:rsidR="000874C1" w:rsidRPr="00A43B9C">
        <w:rPr>
          <w:rFonts w:ascii="Times New Roman" w:hAnsi="Times New Roman" w:cs="Times New Roman"/>
          <w:sz w:val="28"/>
          <w:szCs w:val="28"/>
          <w:lang w:val="en-US"/>
        </w:rPr>
        <w:t>LM</w:t>
      </w:r>
    </w:p>
    <w:p w14:paraId="74CAFB3B" w14:textId="77777777" w:rsidR="00834DAA" w:rsidRPr="00A43B9C" w:rsidRDefault="00834DAA" w:rsidP="000B6935">
      <w:pPr>
        <w:spacing w:after="0" w:line="240" w:lineRule="auto"/>
        <w:jc w:val="both"/>
        <w:rPr>
          <w:rFonts w:ascii="Times New Roman" w:hAnsi="Times New Roman" w:cs="Times New Roman"/>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0"/>
        <w:gridCol w:w="776"/>
        <w:gridCol w:w="1427"/>
        <w:gridCol w:w="1484"/>
        <w:gridCol w:w="1351"/>
        <w:gridCol w:w="1560"/>
        <w:gridCol w:w="986"/>
      </w:tblGrid>
      <w:tr w:rsidR="00677963" w:rsidRPr="00A43B9C" w14:paraId="7DAC4843" w14:textId="77777777" w:rsidTr="00B25E66">
        <w:trPr>
          <w:jc w:val="center"/>
        </w:trPr>
        <w:tc>
          <w:tcPr>
            <w:tcW w:w="942" w:type="pct"/>
            <w:vMerge w:val="restart"/>
            <w:vAlign w:val="center"/>
          </w:tcPr>
          <w:p w14:paraId="18F3FC4B"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Локализация</w:t>
            </w:r>
          </w:p>
        </w:tc>
        <w:tc>
          <w:tcPr>
            <w:tcW w:w="415" w:type="pct"/>
            <w:vMerge w:val="restart"/>
            <w:vAlign w:val="center"/>
          </w:tcPr>
          <w:p w14:paraId="632278AD"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LM</w:t>
            </w:r>
          </w:p>
        </w:tc>
        <w:tc>
          <w:tcPr>
            <w:tcW w:w="3115" w:type="pct"/>
            <w:gridSpan w:val="4"/>
            <w:vAlign w:val="center"/>
          </w:tcPr>
          <w:p w14:paraId="3C7C5DDD" w14:textId="336E93D6"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Этапы наблюдения по уровню накоплени</w:t>
            </w:r>
            <w:r w:rsid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p>
        </w:tc>
        <w:tc>
          <w:tcPr>
            <w:tcW w:w="528" w:type="pct"/>
            <w:vMerge w:val="restart"/>
            <w:vAlign w:val="center"/>
          </w:tcPr>
          <w:p w14:paraId="0A29B909"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w:t>
            </w:r>
          </w:p>
        </w:tc>
      </w:tr>
      <w:tr w:rsidR="00677963" w:rsidRPr="00A43B9C" w14:paraId="1DF9C8B5" w14:textId="77777777" w:rsidTr="00CD7C27">
        <w:trPr>
          <w:jc w:val="center"/>
        </w:trPr>
        <w:tc>
          <w:tcPr>
            <w:tcW w:w="942" w:type="pct"/>
            <w:vMerge/>
          </w:tcPr>
          <w:p w14:paraId="555D22CE" w14:textId="77777777" w:rsidR="00677963" w:rsidRPr="00A43B9C" w:rsidRDefault="00677963" w:rsidP="007E4204">
            <w:pPr>
              <w:spacing w:after="0" w:line="240" w:lineRule="auto"/>
              <w:rPr>
                <w:rFonts w:ascii="Times New Roman" w:hAnsi="Times New Roman" w:cs="Times New Roman"/>
                <w:sz w:val="28"/>
                <w:szCs w:val="28"/>
              </w:rPr>
            </w:pPr>
          </w:p>
        </w:tc>
        <w:tc>
          <w:tcPr>
            <w:tcW w:w="415" w:type="pct"/>
            <w:vMerge/>
          </w:tcPr>
          <w:p w14:paraId="710D2B66" w14:textId="77777777" w:rsidR="00677963" w:rsidRPr="00A43B9C" w:rsidRDefault="00677963" w:rsidP="007E4204">
            <w:pPr>
              <w:spacing w:after="0" w:line="240" w:lineRule="auto"/>
              <w:rPr>
                <w:rFonts w:ascii="Times New Roman" w:hAnsi="Times New Roman" w:cs="Times New Roman"/>
                <w:sz w:val="28"/>
                <w:szCs w:val="28"/>
              </w:rPr>
            </w:pPr>
          </w:p>
        </w:tc>
        <w:tc>
          <w:tcPr>
            <w:tcW w:w="1557" w:type="pct"/>
            <w:gridSpan w:val="2"/>
            <w:vAlign w:val="center"/>
          </w:tcPr>
          <w:p w14:paraId="2146DDD8"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w:t>
            </w:r>
          </w:p>
        </w:tc>
        <w:tc>
          <w:tcPr>
            <w:tcW w:w="1558" w:type="pct"/>
            <w:gridSpan w:val="2"/>
            <w:vAlign w:val="center"/>
          </w:tcPr>
          <w:p w14:paraId="36B96FA0"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w:t>
            </w:r>
          </w:p>
        </w:tc>
        <w:tc>
          <w:tcPr>
            <w:tcW w:w="528" w:type="pct"/>
            <w:vMerge/>
          </w:tcPr>
          <w:p w14:paraId="02FC23E5" w14:textId="77777777" w:rsidR="00677963" w:rsidRPr="00A43B9C" w:rsidRDefault="00677963" w:rsidP="007E4204">
            <w:pPr>
              <w:spacing w:after="0" w:line="240" w:lineRule="auto"/>
              <w:rPr>
                <w:rFonts w:ascii="Times New Roman" w:hAnsi="Times New Roman" w:cs="Times New Roman"/>
                <w:sz w:val="28"/>
                <w:szCs w:val="28"/>
              </w:rPr>
            </w:pPr>
          </w:p>
        </w:tc>
      </w:tr>
      <w:tr w:rsidR="00677963" w:rsidRPr="00A43B9C" w14:paraId="1AEBB336" w14:textId="77777777" w:rsidTr="00CD7C27">
        <w:trPr>
          <w:jc w:val="center"/>
        </w:trPr>
        <w:tc>
          <w:tcPr>
            <w:tcW w:w="942" w:type="pct"/>
            <w:vMerge/>
          </w:tcPr>
          <w:p w14:paraId="12958A4C" w14:textId="77777777" w:rsidR="00677963" w:rsidRPr="00A43B9C" w:rsidRDefault="00677963" w:rsidP="007E4204">
            <w:pPr>
              <w:spacing w:after="0" w:line="240" w:lineRule="auto"/>
              <w:rPr>
                <w:rFonts w:ascii="Times New Roman" w:hAnsi="Times New Roman" w:cs="Times New Roman"/>
                <w:sz w:val="28"/>
                <w:szCs w:val="28"/>
              </w:rPr>
            </w:pPr>
          </w:p>
        </w:tc>
        <w:tc>
          <w:tcPr>
            <w:tcW w:w="415" w:type="pct"/>
            <w:vMerge/>
          </w:tcPr>
          <w:p w14:paraId="0DE7351E" w14:textId="77777777" w:rsidR="00677963" w:rsidRPr="00A43B9C" w:rsidRDefault="00677963" w:rsidP="007E4204">
            <w:pPr>
              <w:spacing w:after="0" w:line="240" w:lineRule="auto"/>
              <w:rPr>
                <w:rFonts w:ascii="Times New Roman" w:hAnsi="Times New Roman" w:cs="Times New Roman"/>
                <w:sz w:val="28"/>
                <w:szCs w:val="28"/>
              </w:rPr>
            </w:pPr>
          </w:p>
        </w:tc>
        <w:tc>
          <w:tcPr>
            <w:tcW w:w="764" w:type="pct"/>
            <w:vAlign w:val="center"/>
          </w:tcPr>
          <w:p w14:paraId="79ED7984"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Me</w:t>
            </w:r>
          </w:p>
        </w:tc>
        <w:tc>
          <w:tcPr>
            <w:tcW w:w="794" w:type="pct"/>
            <w:vAlign w:val="center"/>
          </w:tcPr>
          <w:p w14:paraId="265BB0F2"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Q₁ – Q₃</w:t>
            </w:r>
          </w:p>
        </w:tc>
        <w:tc>
          <w:tcPr>
            <w:tcW w:w="723" w:type="pct"/>
            <w:vAlign w:val="center"/>
          </w:tcPr>
          <w:p w14:paraId="269FEE49"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Me</w:t>
            </w:r>
          </w:p>
        </w:tc>
        <w:tc>
          <w:tcPr>
            <w:tcW w:w="835" w:type="pct"/>
            <w:vAlign w:val="center"/>
          </w:tcPr>
          <w:p w14:paraId="60852D1A"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Q₁ – Q₃</w:t>
            </w:r>
          </w:p>
        </w:tc>
        <w:tc>
          <w:tcPr>
            <w:tcW w:w="528" w:type="pct"/>
            <w:vMerge/>
          </w:tcPr>
          <w:p w14:paraId="70201C54" w14:textId="77777777" w:rsidR="00677963" w:rsidRPr="00A43B9C" w:rsidRDefault="00677963" w:rsidP="007E4204">
            <w:pPr>
              <w:spacing w:after="0" w:line="240" w:lineRule="auto"/>
              <w:rPr>
                <w:rFonts w:ascii="Times New Roman" w:hAnsi="Times New Roman" w:cs="Times New Roman"/>
                <w:sz w:val="28"/>
                <w:szCs w:val="28"/>
              </w:rPr>
            </w:pPr>
          </w:p>
        </w:tc>
      </w:tr>
      <w:tr w:rsidR="00452443" w:rsidRPr="00A43B9C" w14:paraId="05994CEF" w14:textId="77777777" w:rsidTr="00CD7C27">
        <w:trPr>
          <w:jc w:val="center"/>
        </w:trPr>
        <w:tc>
          <w:tcPr>
            <w:tcW w:w="942" w:type="pct"/>
            <w:vAlign w:val="center"/>
          </w:tcPr>
          <w:p w14:paraId="4612E343" w14:textId="3129D01E" w:rsidR="00452443" w:rsidRPr="00A43B9C" w:rsidRDefault="00452443" w:rsidP="00CD7C2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415" w:type="pct"/>
            <w:vAlign w:val="center"/>
          </w:tcPr>
          <w:p w14:paraId="5DA559E7" w14:textId="2C21D269" w:rsidR="00452443" w:rsidRPr="00A43B9C" w:rsidRDefault="00452443" w:rsidP="00CD7C2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764" w:type="pct"/>
            <w:vAlign w:val="center"/>
          </w:tcPr>
          <w:p w14:paraId="2B76E795" w14:textId="2891D2DF" w:rsidR="00452443" w:rsidRPr="00A43B9C" w:rsidRDefault="00452443" w:rsidP="00CD7C2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794" w:type="pct"/>
            <w:vAlign w:val="center"/>
          </w:tcPr>
          <w:p w14:paraId="0B9F11DA" w14:textId="7D538ED9" w:rsidR="00452443" w:rsidRPr="00A43B9C" w:rsidRDefault="00452443" w:rsidP="00CD7C2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723" w:type="pct"/>
            <w:vAlign w:val="center"/>
          </w:tcPr>
          <w:p w14:paraId="707CA00D" w14:textId="099C12DF" w:rsidR="00452443" w:rsidRPr="00A43B9C" w:rsidRDefault="00452443" w:rsidP="00CD7C2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835" w:type="pct"/>
            <w:vAlign w:val="center"/>
          </w:tcPr>
          <w:p w14:paraId="7814F3FA" w14:textId="32B8D62D" w:rsidR="00452443" w:rsidRPr="00A43B9C" w:rsidRDefault="00CD7C27" w:rsidP="00CD7C2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c>
          <w:tcPr>
            <w:tcW w:w="528" w:type="pct"/>
          </w:tcPr>
          <w:p w14:paraId="56E0B554" w14:textId="77FD452D" w:rsidR="00452443" w:rsidRPr="00A43B9C" w:rsidRDefault="00CD7C27" w:rsidP="00CD7C2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w:t>
            </w:r>
          </w:p>
        </w:tc>
      </w:tr>
      <w:tr w:rsidR="00452443" w:rsidRPr="00A43B9C" w14:paraId="0F7B69BD" w14:textId="77777777" w:rsidTr="00CD7C27">
        <w:trPr>
          <w:jc w:val="center"/>
        </w:trPr>
        <w:tc>
          <w:tcPr>
            <w:tcW w:w="942" w:type="pct"/>
            <w:vMerge w:val="restart"/>
            <w:vAlign w:val="center"/>
          </w:tcPr>
          <w:p w14:paraId="5F46D949" w14:textId="77777777" w:rsidR="00452443" w:rsidRPr="00A43B9C" w:rsidRDefault="00452443" w:rsidP="00452443">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RE</w:t>
            </w:r>
          </w:p>
        </w:tc>
        <w:tc>
          <w:tcPr>
            <w:tcW w:w="415" w:type="pct"/>
            <w:vAlign w:val="center"/>
          </w:tcPr>
          <w:p w14:paraId="3C0AA7F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rPr>
              <w:t>LM</w:t>
            </w:r>
          </w:p>
        </w:tc>
        <w:tc>
          <w:tcPr>
            <w:tcW w:w="764" w:type="pct"/>
            <w:vAlign w:val="center"/>
          </w:tcPr>
          <w:p w14:paraId="7FDAEF38" w14:textId="598DC566"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0,75</w:t>
            </w:r>
          </w:p>
        </w:tc>
        <w:tc>
          <w:tcPr>
            <w:tcW w:w="794" w:type="pct"/>
            <w:vAlign w:val="center"/>
          </w:tcPr>
          <w:p w14:paraId="0D18298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0,55 – 1,02</w:t>
            </w:r>
          </w:p>
        </w:tc>
        <w:tc>
          <w:tcPr>
            <w:tcW w:w="723" w:type="pct"/>
            <w:vAlign w:val="center"/>
          </w:tcPr>
          <w:p w14:paraId="72FE3FB6" w14:textId="6D0CA548"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0,98</w:t>
            </w:r>
          </w:p>
        </w:tc>
        <w:tc>
          <w:tcPr>
            <w:tcW w:w="835" w:type="pct"/>
            <w:vAlign w:val="center"/>
          </w:tcPr>
          <w:p w14:paraId="1EDF2C3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0,66 – 1,24</w:t>
            </w:r>
          </w:p>
        </w:tc>
        <w:tc>
          <w:tcPr>
            <w:tcW w:w="528" w:type="pct"/>
            <w:vAlign w:val="center"/>
          </w:tcPr>
          <w:p w14:paraId="72B11B9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0,020*</w:t>
            </w:r>
          </w:p>
        </w:tc>
      </w:tr>
      <w:tr w:rsidR="00452443" w:rsidRPr="00A43B9C" w14:paraId="57C3553F" w14:textId="77777777" w:rsidTr="00CD7C27">
        <w:trPr>
          <w:jc w:val="center"/>
        </w:trPr>
        <w:tc>
          <w:tcPr>
            <w:tcW w:w="942" w:type="pct"/>
            <w:vMerge/>
            <w:vAlign w:val="center"/>
          </w:tcPr>
          <w:p w14:paraId="0C94260B" w14:textId="77777777" w:rsidR="00452443" w:rsidRPr="00A43B9C" w:rsidRDefault="00452443" w:rsidP="00452443">
            <w:pPr>
              <w:spacing w:after="0" w:line="240" w:lineRule="auto"/>
              <w:jc w:val="center"/>
              <w:rPr>
                <w:rFonts w:ascii="Times New Roman" w:hAnsi="Times New Roman" w:cs="Times New Roman"/>
                <w:sz w:val="28"/>
                <w:szCs w:val="28"/>
                <w:lang w:val="en-US"/>
              </w:rPr>
            </w:pPr>
          </w:p>
        </w:tc>
        <w:tc>
          <w:tcPr>
            <w:tcW w:w="415" w:type="pct"/>
            <w:vAlign w:val="center"/>
          </w:tcPr>
          <w:p w14:paraId="2A84382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p</w:t>
            </w:r>
            <w:r w:rsidRPr="00A43B9C">
              <w:rPr>
                <w:rFonts w:ascii="Times New Roman" w:hAnsi="Times New Roman" w:cs="Times New Roman"/>
                <w:sz w:val="28"/>
                <w:szCs w:val="28"/>
              </w:rPr>
              <w:t>LM</w:t>
            </w:r>
          </w:p>
        </w:tc>
        <w:tc>
          <w:tcPr>
            <w:tcW w:w="764" w:type="pct"/>
            <w:vAlign w:val="center"/>
          </w:tcPr>
          <w:p w14:paraId="2D6C21CA" w14:textId="42079C26"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0,92</w:t>
            </w:r>
          </w:p>
        </w:tc>
        <w:tc>
          <w:tcPr>
            <w:tcW w:w="794" w:type="pct"/>
            <w:vAlign w:val="center"/>
          </w:tcPr>
          <w:p w14:paraId="28591D7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0,73 – 1,10</w:t>
            </w:r>
          </w:p>
        </w:tc>
        <w:tc>
          <w:tcPr>
            <w:tcW w:w="723" w:type="pct"/>
            <w:vAlign w:val="center"/>
          </w:tcPr>
          <w:p w14:paraId="7DCD662D" w14:textId="4366BD8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0,98</w:t>
            </w:r>
          </w:p>
        </w:tc>
        <w:tc>
          <w:tcPr>
            <w:tcW w:w="835" w:type="pct"/>
            <w:vAlign w:val="center"/>
          </w:tcPr>
          <w:p w14:paraId="4BD5D2C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0,75 – 1,15</w:t>
            </w:r>
          </w:p>
        </w:tc>
        <w:tc>
          <w:tcPr>
            <w:tcW w:w="528" w:type="pct"/>
            <w:vAlign w:val="center"/>
          </w:tcPr>
          <w:p w14:paraId="6503A44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0,980</w:t>
            </w:r>
          </w:p>
        </w:tc>
      </w:tr>
      <w:tr w:rsidR="00452443" w:rsidRPr="00A43B9C" w14:paraId="305FFBE9" w14:textId="77777777" w:rsidTr="00CD7C27">
        <w:trPr>
          <w:jc w:val="center"/>
        </w:trPr>
        <w:tc>
          <w:tcPr>
            <w:tcW w:w="942" w:type="pct"/>
            <w:vMerge/>
            <w:tcBorders>
              <w:bottom w:val="nil"/>
            </w:tcBorders>
            <w:vAlign w:val="center"/>
          </w:tcPr>
          <w:p w14:paraId="7BAA36F6"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415" w:type="pct"/>
            <w:tcBorders>
              <w:bottom w:val="nil"/>
            </w:tcBorders>
            <w:vAlign w:val="center"/>
          </w:tcPr>
          <w:p w14:paraId="4C0B7CD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w:t>
            </w:r>
          </w:p>
        </w:tc>
        <w:tc>
          <w:tcPr>
            <w:tcW w:w="1557" w:type="pct"/>
            <w:gridSpan w:val="2"/>
            <w:tcBorders>
              <w:bottom w:val="nil"/>
            </w:tcBorders>
            <w:vAlign w:val="center"/>
          </w:tcPr>
          <w:p w14:paraId="6FC13F8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0,187</w:t>
            </w:r>
          </w:p>
        </w:tc>
        <w:tc>
          <w:tcPr>
            <w:tcW w:w="1558" w:type="pct"/>
            <w:gridSpan w:val="2"/>
            <w:tcBorders>
              <w:bottom w:val="nil"/>
            </w:tcBorders>
            <w:vAlign w:val="center"/>
          </w:tcPr>
          <w:p w14:paraId="63AE64A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0,907</w:t>
            </w:r>
          </w:p>
        </w:tc>
        <w:tc>
          <w:tcPr>
            <w:tcW w:w="528" w:type="pct"/>
            <w:tcBorders>
              <w:bottom w:val="nil"/>
            </w:tcBorders>
            <w:vAlign w:val="center"/>
          </w:tcPr>
          <w:p w14:paraId="3458090D"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37CE20E4" w14:textId="77777777" w:rsidTr="00B25E66">
        <w:trPr>
          <w:jc w:val="center"/>
        </w:trPr>
        <w:tc>
          <w:tcPr>
            <w:tcW w:w="5000" w:type="pct"/>
            <w:gridSpan w:val="7"/>
            <w:tcBorders>
              <w:top w:val="nil"/>
              <w:left w:val="nil"/>
              <w:bottom w:val="single" w:sz="4" w:space="0" w:color="auto"/>
              <w:right w:val="nil"/>
            </w:tcBorders>
            <w:vAlign w:val="center"/>
          </w:tcPr>
          <w:p w14:paraId="5F5B4937" w14:textId="77777777" w:rsidR="00452443" w:rsidRDefault="00452443" w:rsidP="00452443">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33</w:t>
            </w:r>
          </w:p>
          <w:p w14:paraId="5EB3EE69" w14:textId="3F6AC04B" w:rsidR="00452443" w:rsidRPr="00A43B9C" w:rsidRDefault="00452443" w:rsidP="00452443">
            <w:pPr>
              <w:spacing w:after="0" w:line="240" w:lineRule="auto"/>
              <w:rPr>
                <w:rFonts w:ascii="Times New Roman" w:hAnsi="Times New Roman" w:cs="Times New Roman"/>
                <w:sz w:val="28"/>
                <w:szCs w:val="28"/>
              </w:rPr>
            </w:pPr>
          </w:p>
        </w:tc>
      </w:tr>
      <w:tr w:rsidR="00CD7C27" w:rsidRPr="00A43B9C" w14:paraId="72524A91" w14:textId="77777777" w:rsidTr="00CD7C27">
        <w:trPr>
          <w:jc w:val="center"/>
        </w:trPr>
        <w:tc>
          <w:tcPr>
            <w:tcW w:w="942" w:type="pct"/>
            <w:tcBorders>
              <w:top w:val="single" w:sz="4" w:space="0" w:color="auto"/>
            </w:tcBorders>
            <w:vAlign w:val="center"/>
          </w:tcPr>
          <w:p w14:paraId="78B53ACB" w14:textId="4C14B94B" w:rsidR="00CD7C27" w:rsidRPr="00A43B9C" w:rsidRDefault="00CD7C27"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415" w:type="pct"/>
            <w:tcBorders>
              <w:top w:val="single" w:sz="4" w:space="0" w:color="auto"/>
            </w:tcBorders>
            <w:vAlign w:val="center"/>
          </w:tcPr>
          <w:p w14:paraId="5B9D68AB" w14:textId="521544D1" w:rsidR="00CD7C27" w:rsidRPr="00A43B9C" w:rsidRDefault="00CD7C27"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764" w:type="pct"/>
            <w:tcBorders>
              <w:top w:val="single" w:sz="4" w:space="0" w:color="auto"/>
            </w:tcBorders>
            <w:vAlign w:val="center"/>
          </w:tcPr>
          <w:p w14:paraId="4F1A4677" w14:textId="77777777" w:rsidR="00CD7C27" w:rsidRPr="00A43B9C" w:rsidRDefault="00CD7C27"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794" w:type="pct"/>
            <w:tcBorders>
              <w:top w:val="single" w:sz="4" w:space="0" w:color="auto"/>
            </w:tcBorders>
            <w:vAlign w:val="center"/>
          </w:tcPr>
          <w:p w14:paraId="40C549C1" w14:textId="491274F2" w:rsidR="00CD7C27" w:rsidRPr="00A43B9C" w:rsidRDefault="00CD7C27"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723" w:type="pct"/>
            <w:tcBorders>
              <w:top w:val="single" w:sz="4" w:space="0" w:color="auto"/>
            </w:tcBorders>
            <w:vAlign w:val="center"/>
          </w:tcPr>
          <w:p w14:paraId="1C508367" w14:textId="4FCF8D89" w:rsidR="00CD7C27" w:rsidRPr="00A43B9C" w:rsidRDefault="00CD7C27"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835" w:type="pct"/>
            <w:tcBorders>
              <w:top w:val="single" w:sz="4" w:space="0" w:color="auto"/>
            </w:tcBorders>
            <w:vAlign w:val="center"/>
          </w:tcPr>
          <w:p w14:paraId="6BAB3E96" w14:textId="38FDAB3F" w:rsidR="00CD7C27" w:rsidRPr="00A43B9C" w:rsidRDefault="00CD7C27"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c>
          <w:tcPr>
            <w:tcW w:w="528" w:type="pct"/>
            <w:tcBorders>
              <w:top w:val="single" w:sz="4" w:space="0" w:color="auto"/>
            </w:tcBorders>
            <w:vAlign w:val="center"/>
          </w:tcPr>
          <w:p w14:paraId="238CF9A7" w14:textId="5D402F63" w:rsidR="00CD7C27" w:rsidRPr="00A43B9C" w:rsidRDefault="00CD7C27" w:rsidP="004524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w:t>
            </w:r>
          </w:p>
        </w:tc>
      </w:tr>
      <w:tr w:rsidR="00452443" w:rsidRPr="00A43B9C" w14:paraId="7377E469" w14:textId="77777777" w:rsidTr="00CD7C27">
        <w:trPr>
          <w:jc w:val="center"/>
        </w:trPr>
        <w:tc>
          <w:tcPr>
            <w:tcW w:w="942" w:type="pct"/>
            <w:vMerge w:val="restart"/>
            <w:vAlign w:val="center"/>
          </w:tcPr>
          <w:p w14:paraId="6D4FD85B" w14:textId="77777777" w:rsidR="00452443" w:rsidRPr="00A43B9C" w:rsidRDefault="00452443" w:rsidP="00452443">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RLH</w:t>
            </w:r>
          </w:p>
        </w:tc>
        <w:tc>
          <w:tcPr>
            <w:tcW w:w="415" w:type="pct"/>
            <w:vAlign w:val="center"/>
          </w:tcPr>
          <w:p w14:paraId="2B2C1C89" w14:textId="77777777" w:rsidR="00452443" w:rsidRPr="00A43B9C" w:rsidRDefault="00452443" w:rsidP="00452443">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rPr>
              <w:t>LM</w:t>
            </w:r>
          </w:p>
        </w:tc>
        <w:tc>
          <w:tcPr>
            <w:tcW w:w="764" w:type="pct"/>
            <w:vAlign w:val="center"/>
          </w:tcPr>
          <w:p w14:paraId="564F88D0" w14:textId="0B81B059"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0,65</w:t>
            </w:r>
          </w:p>
        </w:tc>
        <w:tc>
          <w:tcPr>
            <w:tcW w:w="794" w:type="pct"/>
            <w:vAlign w:val="center"/>
          </w:tcPr>
          <w:p w14:paraId="4440739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0,52 – 0,89</w:t>
            </w:r>
          </w:p>
        </w:tc>
        <w:tc>
          <w:tcPr>
            <w:tcW w:w="723" w:type="pct"/>
            <w:vAlign w:val="center"/>
          </w:tcPr>
          <w:p w14:paraId="77A06F5A" w14:textId="6B8A19F8"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0,81</w:t>
            </w:r>
          </w:p>
        </w:tc>
        <w:tc>
          <w:tcPr>
            <w:tcW w:w="835" w:type="pct"/>
            <w:vAlign w:val="center"/>
          </w:tcPr>
          <w:p w14:paraId="60DCD2A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0,65 – 1,12</w:t>
            </w:r>
          </w:p>
        </w:tc>
        <w:tc>
          <w:tcPr>
            <w:tcW w:w="528" w:type="pct"/>
            <w:vAlign w:val="center"/>
          </w:tcPr>
          <w:p w14:paraId="128AD77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0,049*</w:t>
            </w:r>
          </w:p>
        </w:tc>
      </w:tr>
      <w:tr w:rsidR="00452443" w:rsidRPr="00A43B9C" w14:paraId="29386E94" w14:textId="77777777" w:rsidTr="00CD7C27">
        <w:trPr>
          <w:jc w:val="center"/>
        </w:trPr>
        <w:tc>
          <w:tcPr>
            <w:tcW w:w="942" w:type="pct"/>
            <w:vMerge/>
            <w:vAlign w:val="center"/>
          </w:tcPr>
          <w:p w14:paraId="59829298" w14:textId="77777777" w:rsidR="00452443" w:rsidRPr="00A43B9C" w:rsidRDefault="00452443" w:rsidP="00452443">
            <w:pPr>
              <w:spacing w:after="0" w:line="240" w:lineRule="auto"/>
              <w:jc w:val="center"/>
              <w:rPr>
                <w:rFonts w:ascii="Times New Roman" w:hAnsi="Times New Roman" w:cs="Times New Roman"/>
                <w:sz w:val="28"/>
                <w:szCs w:val="28"/>
                <w:lang w:val="en-US"/>
              </w:rPr>
            </w:pPr>
          </w:p>
        </w:tc>
        <w:tc>
          <w:tcPr>
            <w:tcW w:w="415" w:type="pct"/>
            <w:vAlign w:val="center"/>
          </w:tcPr>
          <w:p w14:paraId="013EB43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p</w:t>
            </w:r>
            <w:r w:rsidRPr="00A43B9C">
              <w:rPr>
                <w:rFonts w:ascii="Times New Roman" w:hAnsi="Times New Roman" w:cs="Times New Roman"/>
                <w:sz w:val="28"/>
                <w:szCs w:val="28"/>
              </w:rPr>
              <w:t>LM</w:t>
            </w:r>
          </w:p>
        </w:tc>
        <w:tc>
          <w:tcPr>
            <w:tcW w:w="764" w:type="pct"/>
            <w:vAlign w:val="center"/>
          </w:tcPr>
          <w:p w14:paraId="5D93E058" w14:textId="0734B13C"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0,96</w:t>
            </w:r>
          </w:p>
        </w:tc>
        <w:tc>
          <w:tcPr>
            <w:tcW w:w="794" w:type="pct"/>
            <w:vAlign w:val="center"/>
          </w:tcPr>
          <w:p w14:paraId="0D12655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0,69 – 1,49</w:t>
            </w:r>
          </w:p>
        </w:tc>
        <w:tc>
          <w:tcPr>
            <w:tcW w:w="723" w:type="pct"/>
            <w:vAlign w:val="center"/>
          </w:tcPr>
          <w:p w14:paraId="15C58F19" w14:textId="6001980B"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0,99</w:t>
            </w:r>
          </w:p>
        </w:tc>
        <w:tc>
          <w:tcPr>
            <w:tcW w:w="835" w:type="pct"/>
            <w:vAlign w:val="center"/>
          </w:tcPr>
          <w:p w14:paraId="570F6E2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0,83 – 1,30</w:t>
            </w:r>
          </w:p>
        </w:tc>
        <w:tc>
          <w:tcPr>
            <w:tcW w:w="528" w:type="pct"/>
            <w:vAlign w:val="center"/>
          </w:tcPr>
          <w:p w14:paraId="060281C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0,632</w:t>
            </w:r>
          </w:p>
        </w:tc>
      </w:tr>
      <w:tr w:rsidR="00452443" w:rsidRPr="00A43B9C" w14:paraId="44752684" w14:textId="77777777" w:rsidTr="00CD7C27">
        <w:trPr>
          <w:jc w:val="center"/>
        </w:trPr>
        <w:tc>
          <w:tcPr>
            <w:tcW w:w="942" w:type="pct"/>
            <w:vMerge/>
            <w:vAlign w:val="center"/>
          </w:tcPr>
          <w:p w14:paraId="74F6F6B5"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415" w:type="pct"/>
            <w:vAlign w:val="center"/>
          </w:tcPr>
          <w:p w14:paraId="416380E1" w14:textId="77777777" w:rsidR="00452443" w:rsidRPr="00A43B9C" w:rsidRDefault="00452443" w:rsidP="00452443">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p</w:t>
            </w:r>
          </w:p>
        </w:tc>
        <w:tc>
          <w:tcPr>
            <w:tcW w:w="1557" w:type="pct"/>
            <w:gridSpan w:val="2"/>
            <w:vAlign w:val="center"/>
          </w:tcPr>
          <w:p w14:paraId="21540CC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0,049*</w:t>
            </w:r>
          </w:p>
        </w:tc>
        <w:tc>
          <w:tcPr>
            <w:tcW w:w="1558" w:type="pct"/>
            <w:gridSpan w:val="2"/>
            <w:vAlign w:val="center"/>
          </w:tcPr>
          <w:p w14:paraId="307B34B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0,088</w:t>
            </w:r>
          </w:p>
        </w:tc>
        <w:tc>
          <w:tcPr>
            <w:tcW w:w="528" w:type="pct"/>
            <w:vAlign w:val="center"/>
          </w:tcPr>
          <w:p w14:paraId="01A22514"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55C09D11" w14:textId="77777777" w:rsidTr="00CD7C27">
        <w:trPr>
          <w:jc w:val="center"/>
        </w:trPr>
        <w:tc>
          <w:tcPr>
            <w:tcW w:w="942" w:type="pct"/>
            <w:vMerge w:val="restart"/>
            <w:vAlign w:val="center"/>
          </w:tcPr>
          <w:p w14:paraId="5D535CE9" w14:textId="77777777" w:rsidR="00452443" w:rsidRPr="00A43B9C" w:rsidRDefault="00452443" w:rsidP="00452443">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RRL</w:t>
            </w:r>
          </w:p>
        </w:tc>
        <w:tc>
          <w:tcPr>
            <w:tcW w:w="415" w:type="pct"/>
            <w:vAlign w:val="center"/>
          </w:tcPr>
          <w:p w14:paraId="62203C78" w14:textId="77777777" w:rsidR="00452443" w:rsidRPr="00A43B9C" w:rsidRDefault="00452443" w:rsidP="00452443">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rPr>
              <w:t>LM</w:t>
            </w:r>
          </w:p>
        </w:tc>
        <w:tc>
          <w:tcPr>
            <w:tcW w:w="764" w:type="pct"/>
            <w:vAlign w:val="center"/>
          </w:tcPr>
          <w:p w14:paraId="09BCC208" w14:textId="4A4631AD"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0,82</w:t>
            </w:r>
          </w:p>
        </w:tc>
        <w:tc>
          <w:tcPr>
            <w:tcW w:w="794" w:type="pct"/>
            <w:vAlign w:val="center"/>
          </w:tcPr>
          <w:p w14:paraId="296C58B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0,69 – 1,02</w:t>
            </w:r>
          </w:p>
        </w:tc>
        <w:tc>
          <w:tcPr>
            <w:tcW w:w="723" w:type="pct"/>
            <w:vAlign w:val="center"/>
          </w:tcPr>
          <w:p w14:paraId="3C952E77" w14:textId="519448E8"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0,90</w:t>
            </w:r>
          </w:p>
        </w:tc>
        <w:tc>
          <w:tcPr>
            <w:tcW w:w="835" w:type="pct"/>
            <w:vAlign w:val="center"/>
          </w:tcPr>
          <w:p w14:paraId="422462F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0,78 – 1,31</w:t>
            </w:r>
          </w:p>
        </w:tc>
        <w:tc>
          <w:tcPr>
            <w:tcW w:w="528" w:type="pct"/>
            <w:vAlign w:val="center"/>
          </w:tcPr>
          <w:p w14:paraId="08F5B8D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0,047*</w:t>
            </w:r>
          </w:p>
        </w:tc>
      </w:tr>
      <w:tr w:rsidR="00452443" w:rsidRPr="00A43B9C" w14:paraId="2093190D" w14:textId="77777777" w:rsidTr="00CD7C27">
        <w:trPr>
          <w:jc w:val="center"/>
        </w:trPr>
        <w:tc>
          <w:tcPr>
            <w:tcW w:w="942" w:type="pct"/>
            <w:vMerge/>
            <w:vAlign w:val="center"/>
          </w:tcPr>
          <w:p w14:paraId="59567F46" w14:textId="77777777" w:rsidR="00452443" w:rsidRPr="00A43B9C" w:rsidRDefault="00452443" w:rsidP="00452443">
            <w:pPr>
              <w:spacing w:after="0" w:line="240" w:lineRule="auto"/>
              <w:jc w:val="center"/>
              <w:rPr>
                <w:rFonts w:ascii="Times New Roman" w:hAnsi="Times New Roman" w:cs="Times New Roman"/>
                <w:sz w:val="28"/>
                <w:szCs w:val="28"/>
                <w:lang w:val="en-US"/>
              </w:rPr>
            </w:pPr>
          </w:p>
        </w:tc>
        <w:tc>
          <w:tcPr>
            <w:tcW w:w="415" w:type="pct"/>
            <w:vAlign w:val="center"/>
          </w:tcPr>
          <w:p w14:paraId="665D820F" w14:textId="77777777" w:rsidR="00452443" w:rsidRPr="00A43B9C" w:rsidRDefault="00452443" w:rsidP="00452443">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p</w:t>
            </w:r>
            <w:r w:rsidRPr="00A43B9C">
              <w:rPr>
                <w:rFonts w:ascii="Times New Roman" w:hAnsi="Times New Roman" w:cs="Times New Roman"/>
                <w:sz w:val="28"/>
                <w:szCs w:val="28"/>
              </w:rPr>
              <w:t>LM</w:t>
            </w:r>
          </w:p>
        </w:tc>
        <w:tc>
          <w:tcPr>
            <w:tcW w:w="764" w:type="pct"/>
            <w:vAlign w:val="center"/>
          </w:tcPr>
          <w:p w14:paraId="2C536D4A" w14:textId="65AFAFA8"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1,29</w:t>
            </w:r>
          </w:p>
        </w:tc>
        <w:tc>
          <w:tcPr>
            <w:tcW w:w="794" w:type="pct"/>
            <w:vAlign w:val="center"/>
          </w:tcPr>
          <w:p w14:paraId="179482A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0,78 – 1,52</w:t>
            </w:r>
          </w:p>
        </w:tc>
        <w:tc>
          <w:tcPr>
            <w:tcW w:w="723" w:type="pct"/>
            <w:vAlign w:val="center"/>
          </w:tcPr>
          <w:p w14:paraId="37661C09" w14:textId="76E4E19F"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1,34</w:t>
            </w:r>
          </w:p>
        </w:tc>
        <w:tc>
          <w:tcPr>
            <w:tcW w:w="835" w:type="pct"/>
            <w:vAlign w:val="center"/>
          </w:tcPr>
          <w:p w14:paraId="634E626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1,01 – 1,60</w:t>
            </w:r>
          </w:p>
        </w:tc>
        <w:tc>
          <w:tcPr>
            <w:tcW w:w="528" w:type="pct"/>
            <w:vAlign w:val="center"/>
          </w:tcPr>
          <w:p w14:paraId="5122012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0,632</w:t>
            </w:r>
          </w:p>
        </w:tc>
      </w:tr>
      <w:tr w:rsidR="00452443" w:rsidRPr="00A43B9C" w14:paraId="03D48813" w14:textId="77777777" w:rsidTr="00CD7C27">
        <w:trPr>
          <w:jc w:val="center"/>
        </w:trPr>
        <w:tc>
          <w:tcPr>
            <w:tcW w:w="942" w:type="pct"/>
            <w:vMerge/>
            <w:vAlign w:val="center"/>
          </w:tcPr>
          <w:p w14:paraId="4634C012"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415" w:type="pct"/>
            <w:vAlign w:val="center"/>
          </w:tcPr>
          <w:p w14:paraId="70B93CCA" w14:textId="77777777" w:rsidR="00452443" w:rsidRPr="00A43B9C" w:rsidRDefault="00452443" w:rsidP="00452443">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p</w:t>
            </w:r>
          </w:p>
        </w:tc>
        <w:tc>
          <w:tcPr>
            <w:tcW w:w="1557" w:type="pct"/>
            <w:gridSpan w:val="2"/>
            <w:vAlign w:val="center"/>
          </w:tcPr>
          <w:p w14:paraId="0D5E11D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0,032*</w:t>
            </w:r>
          </w:p>
        </w:tc>
        <w:tc>
          <w:tcPr>
            <w:tcW w:w="1558" w:type="pct"/>
            <w:gridSpan w:val="2"/>
            <w:vAlign w:val="center"/>
          </w:tcPr>
          <w:p w14:paraId="6CDE18E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0,079</w:t>
            </w:r>
          </w:p>
        </w:tc>
        <w:tc>
          <w:tcPr>
            <w:tcW w:w="528" w:type="pct"/>
            <w:vAlign w:val="center"/>
          </w:tcPr>
          <w:p w14:paraId="1F6F1710"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1C50318A" w14:textId="77777777" w:rsidTr="00CD7C27">
        <w:trPr>
          <w:jc w:val="center"/>
        </w:trPr>
        <w:tc>
          <w:tcPr>
            <w:tcW w:w="942" w:type="pct"/>
            <w:vMerge w:val="restart"/>
            <w:vAlign w:val="center"/>
          </w:tcPr>
          <w:p w14:paraId="0B74EA6B" w14:textId="77777777" w:rsidR="00452443" w:rsidRPr="00A43B9C" w:rsidRDefault="00452443" w:rsidP="00452443">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RU</w:t>
            </w:r>
          </w:p>
        </w:tc>
        <w:tc>
          <w:tcPr>
            <w:tcW w:w="415" w:type="pct"/>
            <w:vAlign w:val="center"/>
          </w:tcPr>
          <w:p w14:paraId="1F51B01D" w14:textId="77777777" w:rsidR="00452443" w:rsidRPr="00A43B9C" w:rsidRDefault="00452443" w:rsidP="00452443">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nLM</w:t>
            </w:r>
          </w:p>
        </w:tc>
        <w:tc>
          <w:tcPr>
            <w:tcW w:w="764" w:type="pct"/>
            <w:vAlign w:val="center"/>
          </w:tcPr>
          <w:p w14:paraId="1BDE0694" w14:textId="3CB58548"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0,73</w:t>
            </w:r>
          </w:p>
        </w:tc>
        <w:tc>
          <w:tcPr>
            <w:tcW w:w="794" w:type="pct"/>
            <w:vAlign w:val="center"/>
          </w:tcPr>
          <w:p w14:paraId="2FAF1E8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0,57 – 1,07</w:t>
            </w:r>
          </w:p>
        </w:tc>
        <w:tc>
          <w:tcPr>
            <w:tcW w:w="723" w:type="pct"/>
            <w:vAlign w:val="center"/>
          </w:tcPr>
          <w:p w14:paraId="6C32F4CF" w14:textId="6BF5F9B0"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0,87</w:t>
            </w:r>
          </w:p>
        </w:tc>
        <w:tc>
          <w:tcPr>
            <w:tcW w:w="835" w:type="pct"/>
            <w:vAlign w:val="center"/>
          </w:tcPr>
          <w:p w14:paraId="79E6AC3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0,64 – 1,17</w:t>
            </w:r>
          </w:p>
        </w:tc>
        <w:tc>
          <w:tcPr>
            <w:tcW w:w="528" w:type="pct"/>
            <w:vAlign w:val="center"/>
          </w:tcPr>
          <w:p w14:paraId="216AE14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0,042*</w:t>
            </w:r>
          </w:p>
        </w:tc>
      </w:tr>
      <w:tr w:rsidR="00452443" w:rsidRPr="00A43B9C" w14:paraId="130B73BE" w14:textId="77777777" w:rsidTr="00CD7C27">
        <w:trPr>
          <w:jc w:val="center"/>
        </w:trPr>
        <w:tc>
          <w:tcPr>
            <w:tcW w:w="942" w:type="pct"/>
            <w:vMerge/>
            <w:vAlign w:val="center"/>
          </w:tcPr>
          <w:p w14:paraId="4B893414" w14:textId="77777777" w:rsidR="00452443" w:rsidRPr="00A43B9C" w:rsidRDefault="00452443" w:rsidP="00452443">
            <w:pPr>
              <w:spacing w:after="0" w:line="240" w:lineRule="auto"/>
              <w:jc w:val="center"/>
              <w:rPr>
                <w:rFonts w:ascii="Times New Roman" w:hAnsi="Times New Roman" w:cs="Times New Roman"/>
                <w:sz w:val="28"/>
                <w:szCs w:val="28"/>
                <w:lang w:val="en-US"/>
              </w:rPr>
            </w:pPr>
          </w:p>
        </w:tc>
        <w:tc>
          <w:tcPr>
            <w:tcW w:w="415" w:type="pct"/>
            <w:vAlign w:val="center"/>
          </w:tcPr>
          <w:p w14:paraId="699FBEE7" w14:textId="77777777" w:rsidR="00452443" w:rsidRPr="00A43B9C" w:rsidRDefault="00452443" w:rsidP="00452443">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p</w:t>
            </w:r>
            <w:r w:rsidRPr="00A43B9C">
              <w:rPr>
                <w:rFonts w:ascii="Times New Roman" w:hAnsi="Times New Roman" w:cs="Times New Roman"/>
                <w:sz w:val="28"/>
                <w:szCs w:val="28"/>
              </w:rPr>
              <w:t>LM</w:t>
            </w:r>
          </w:p>
        </w:tc>
        <w:tc>
          <w:tcPr>
            <w:tcW w:w="764" w:type="pct"/>
            <w:vAlign w:val="center"/>
          </w:tcPr>
          <w:p w14:paraId="306B8361" w14:textId="27488F38"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1,00</w:t>
            </w:r>
          </w:p>
        </w:tc>
        <w:tc>
          <w:tcPr>
            <w:tcW w:w="794" w:type="pct"/>
            <w:vAlign w:val="center"/>
          </w:tcPr>
          <w:p w14:paraId="279BE37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0,68 – 1,47</w:t>
            </w:r>
          </w:p>
        </w:tc>
        <w:tc>
          <w:tcPr>
            <w:tcW w:w="723" w:type="pct"/>
            <w:vAlign w:val="center"/>
          </w:tcPr>
          <w:p w14:paraId="227189FF" w14:textId="79D5B81C"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1,01</w:t>
            </w:r>
          </w:p>
        </w:tc>
        <w:tc>
          <w:tcPr>
            <w:tcW w:w="835" w:type="pct"/>
            <w:vAlign w:val="center"/>
          </w:tcPr>
          <w:p w14:paraId="78C7BF9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0,83 – 1,44</w:t>
            </w:r>
          </w:p>
        </w:tc>
        <w:tc>
          <w:tcPr>
            <w:tcW w:w="528" w:type="pct"/>
            <w:vAlign w:val="center"/>
          </w:tcPr>
          <w:p w14:paraId="220E20C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0,375</w:t>
            </w:r>
          </w:p>
        </w:tc>
      </w:tr>
      <w:tr w:rsidR="00452443" w:rsidRPr="00A43B9C" w14:paraId="2977395E" w14:textId="77777777" w:rsidTr="00CD7C27">
        <w:trPr>
          <w:jc w:val="center"/>
        </w:trPr>
        <w:tc>
          <w:tcPr>
            <w:tcW w:w="942" w:type="pct"/>
            <w:vMerge/>
            <w:vAlign w:val="center"/>
          </w:tcPr>
          <w:p w14:paraId="3963FB84"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415" w:type="pct"/>
            <w:vAlign w:val="center"/>
          </w:tcPr>
          <w:p w14:paraId="4BB4D955" w14:textId="77777777" w:rsidR="00452443" w:rsidRPr="00A43B9C" w:rsidRDefault="00452443" w:rsidP="00452443">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p</w:t>
            </w:r>
          </w:p>
        </w:tc>
        <w:tc>
          <w:tcPr>
            <w:tcW w:w="1557" w:type="pct"/>
            <w:gridSpan w:val="2"/>
            <w:vAlign w:val="center"/>
          </w:tcPr>
          <w:p w14:paraId="74027EA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0,043*</w:t>
            </w:r>
          </w:p>
        </w:tc>
        <w:tc>
          <w:tcPr>
            <w:tcW w:w="1558" w:type="pct"/>
            <w:gridSpan w:val="2"/>
            <w:vAlign w:val="center"/>
          </w:tcPr>
          <w:p w14:paraId="1EC282C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0,064</w:t>
            </w:r>
          </w:p>
        </w:tc>
        <w:tc>
          <w:tcPr>
            <w:tcW w:w="528" w:type="pct"/>
            <w:vAlign w:val="center"/>
          </w:tcPr>
          <w:p w14:paraId="27209EC2"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6BDBF6B0" w14:textId="77777777" w:rsidTr="00CD7C27">
        <w:trPr>
          <w:jc w:val="center"/>
        </w:trPr>
        <w:tc>
          <w:tcPr>
            <w:tcW w:w="942" w:type="pct"/>
            <w:vMerge w:val="restart"/>
            <w:vAlign w:val="center"/>
          </w:tcPr>
          <w:p w14:paraId="5DE08A29" w14:textId="77777777" w:rsidR="00452443" w:rsidRPr="00A43B9C" w:rsidRDefault="00452443" w:rsidP="00452443">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RLL</w:t>
            </w:r>
          </w:p>
        </w:tc>
        <w:tc>
          <w:tcPr>
            <w:tcW w:w="415" w:type="pct"/>
            <w:vAlign w:val="center"/>
          </w:tcPr>
          <w:p w14:paraId="0A213DE2" w14:textId="77777777" w:rsidR="00452443" w:rsidRPr="00A43B9C" w:rsidRDefault="00452443" w:rsidP="00452443">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nLM</w:t>
            </w:r>
          </w:p>
        </w:tc>
        <w:tc>
          <w:tcPr>
            <w:tcW w:w="764" w:type="pct"/>
            <w:vAlign w:val="center"/>
          </w:tcPr>
          <w:p w14:paraId="384FCBA9" w14:textId="56BA3532"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0,86</w:t>
            </w:r>
          </w:p>
        </w:tc>
        <w:tc>
          <w:tcPr>
            <w:tcW w:w="794" w:type="pct"/>
            <w:vAlign w:val="center"/>
          </w:tcPr>
          <w:p w14:paraId="6844F3F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0,64 – 1,03</w:t>
            </w:r>
          </w:p>
        </w:tc>
        <w:tc>
          <w:tcPr>
            <w:tcW w:w="723" w:type="pct"/>
            <w:vAlign w:val="center"/>
          </w:tcPr>
          <w:p w14:paraId="384F9E26" w14:textId="5BF333F1"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0,97</w:t>
            </w:r>
          </w:p>
        </w:tc>
        <w:tc>
          <w:tcPr>
            <w:tcW w:w="835" w:type="pct"/>
            <w:vAlign w:val="center"/>
          </w:tcPr>
          <w:p w14:paraId="6172EEB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0,73 – 1,23</w:t>
            </w:r>
          </w:p>
        </w:tc>
        <w:tc>
          <w:tcPr>
            <w:tcW w:w="528" w:type="pct"/>
            <w:vAlign w:val="center"/>
          </w:tcPr>
          <w:p w14:paraId="113CFDA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0,038*</w:t>
            </w:r>
          </w:p>
        </w:tc>
      </w:tr>
      <w:tr w:rsidR="00452443" w:rsidRPr="00A43B9C" w14:paraId="2E6951DB" w14:textId="77777777" w:rsidTr="00CD7C27">
        <w:trPr>
          <w:jc w:val="center"/>
        </w:trPr>
        <w:tc>
          <w:tcPr>
            <w:tcW w:w="942" w:type="pct"/>
            <w:vMerge/>
            <w:vAlign w:val="center"/>
          </w:tcPr>
          <w:p w14:paraId="7093A3EA" w14:textId="77777777" w:rsidR="00452443" w:rsidRPr="00A43B9C" w:rsidRDefault="00452443" w:rsidP="00452443">
            <w:pPr>
              <w:spacing w:after="0" w:line="240" w:lineRule="auto"/>
              <w:jc w:val="center"/>
              <w:rPr>
                <w:rFonts w:ascii="Times New Roman" w:hAnsi="Times New Roman" w:cs="Times New Roman"/>
                <w:sz w:val="28"/>
                <w:szCs w:val="28"/>
                <w:lang w:val="en-US"/>
              </w:rPr>
            </w:pPr>
          </w:p>
        </w:tc>
        <w:tc>
          <w:tcPr>
            <w:tcW w:w="415" w:type="pct"/>
            <w:vAlign w:val="center"/>
          </w:tcPr>
          <w:p w14:paraId="6B042A16" w14:textId="77777777" w:rsidR="00452443" w:rsidRPr="00A43B9C" w:rsidRDefault="00452443" w:rsidP="00452443">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p</w:t>
            </w:r>
            <w:r w:rsidRPr="00A43B9C">
              <w:rPr>
                <w:rFonts w:ascii="Times New Roman" w:hAnsi="Times New Roman" w:cs="Times New Roman"/>
                <w:sz w:val="28"/>
                <w:szCs w:val="28"/>
              </w:rPr>
              <w:t>LM</w:t>
            </w:r>
          </w:p>
        </w:tc>
        <w:tc>
          <w:tcPr>
            <w:tcW w:w="764" w:type="pct"/>
            <w:vAlign w:val="center"/>
          </w:tcPr>
          <w:p w14:paraId="19CF855B" w14:textId="1841B80B"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0,94</w:t>
            </w:r>
          </w:p>
        </w:tc>
        <w:tc>
          <w:tcPr>
            <w:tcW w:w="794" w:type="pct"/>
            <w:vAlign w:val="center"/>
          </w:tcPr>
          <w:p w14:paraId="493BB52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0,65 – 1,17</w:t>
            </w:r>
          </w:p>
        </w:tc>
        <w:tc>
          <w:tcPr>
            <w:tcW w:w="723" w:type="pct"/>
            <w:vAlign w:val="center"/>
          </w:tcPr>
          <w:p w14:paraId="12A22CE8" w14:textId="133FB6E0"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1,13</w:t>
            </w:r>
          </w:p>
        </w:tc>
        <w:tc>
          <w:tcPr>
            <w:tcW w:w="835" w:type="pct"/>
            <w:vAlign w:val="center"/>
          </w:tcPr>
          <w:p w14:paraId="72A1848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0,71 – 1,35</w:t>
            </w:r>
          </w:p>
        </w:tc>
        <w:tc>
          <w:tcPr>
            <w:tcW w:w="528" w:type="pct"/>
            <w:vAlign w:val="center"/>
          </w:tcPr>
          <w:p w14:paraId="39668E2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0,632</w:t>
            </w:r>
          </w:p>
        </w:tc>
      </w:tr>
      <w:tr w:rsidR="00452443" w:rsidRPr="00A43B9C" w14:paraId="4324D474" w14:textId="77777777" w:rsidTr="00CD7C27">
        <w:trPr>
          <w:jc w:val="center"/>
        </w:trPr>
        <w:tc>
          <w:tcPr>
            <w:tcW w:w="942" w:type="pct"/>
            <w:vMerge/>
            <w:vAlign w:val="center"/>
          </w:tcPr>
          <w:p w14:paraId="1975FB8E"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415" w:type="pct"/>
            <w:vAlign w:val="center"/>
          </w:tcPr>
          <w:p w14:paraId="5E402484" w14:textId="77777777" w:rsidR="00452443" w:rsidRPr="00A43B9C" w:rsidRDefault="00452443" w:rsidP="00452443">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p</w:t>
            </w:r>
          </w:p>
        </w:tc>
        <w:tc>
          <w:tcPr>
            <w:tcW w:w="1557" w:type="pct"/>
            <w:gridSpan w:val="2"/>
            <w:vAlign w:val="center"/>
          </w:tcPr>
          <w:p w14:paraId="5DC5C30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0,472</w:t>
            </w:r>
          </w:p>
        </w:tc>
        <w:tc>
          <w:tcPr>
            <w:tcW w:w="1558" w:type="pct"/>
            <w:gridSpan w:val="2"/>
            <w:vAlign w:val="center"/>
          </w:tcPr>
          <w:p w14:paraId="06D8C78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0,437</w:t>
            </w:r>
          </w:p>
        </w:tc>
        <w:tc>
          <w:tcPr>
            <w:tcW w:w="528" w:type="pct"/>
            <w:vAlign w:val="center"/>
          </w:tcPr>
          <w:p w14:paraId="456B5EE8"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24ED36C1" w14:textId="77777777" w:rsidTr="00CD7C27">
        <w:trPr>
          <w:jc w:val="center"/>
        </w:trPr>
        <w:tc>
          <w:tcPr>
            <w:tcW w:w="942" w:type="pct"/>
            <w:vMerge w:val="restart"/>
            <w:vAlign w:val="center"/>
          </w:tcPr>
          <w:p w14:paraId="76F74EBD" w14:textId="77777777" w:rsidR="00452443" w:rsidRPr="00A43B9C" w:rsidRDefault="00452443" w:rsidP="00452443">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RRI</w:t>
            </w:r>
          </w:p>
        </w:tc>
        <w:tc>
          <w:tcPr>
            <w:tcW w:w="415" w:type="pct"/>
            <w:vAlign w:val="center"/>
          </w:tcPr>
          <w:p w14:paraId="08949862" w14:textId="77777777" w:rsidR="00452443" w:rsidRPr="00A43B9C" w:rsidRDefault="00452443" w:rsidP="00452443">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nLM</w:t>
            </w:r>
          </w:p>
        </w:tc>
        <w:tc>
          <w:tcPr>
            <w:tcW w:w="764" w:type="pct"/>
            <w:vAlign w:val="center"/>
          </w:tcPr>
          <w:p w14:paraId="47A6947C" w14:textId="29BA1E11"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0,73</w:t>
            </w:r>
          </w:p>
        </w:tc>
        <w:tc>
          <w:tcPr>
            <w:tcW w:w="794" w:type="pct"/>
            <w:vAlign w:val="center"/>
          </w:tcPr>
          <w:p w14:paraId="5C9B2B51"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0,53 – 1,02</w:t>
            </w:r>
          </w:p>
        </w:tc>
        <w:tc>
          <w:tcPr>
            <w:tcW w:w="723" w:type="pct"/>
            <w:vAlign w:val="center"/>
          </w:tcPr>
          <w:p w14:paraId="47D9AD33" w14:textId="788AA809"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0,75</w:t>
            </w:r>
          </w:p>
        </w:tc>
        <w:tc>
          <w:tcPr>
            <w:tcW w:w="835" w:type="pct"/>
            <w:vAlign w:val="center"/>
          </w:tcPr>
          <w:p w14:paraId="04D6512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0,67 – 0,94</w:t>
            </w:r>
          </w:p>
        </w:tc>
        <w:tc>
          <w:tcPr>
            <w:tcW w:w="528" w:type="pct"/>
            <w:vAlign w:val="center"/>
          </w:tcPr>
          <w:p w14:paraId="2CF3ED8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0,448</w:t>
            </w:r>
          </w:p>
        </w:tc>
      </w:tr>
      <w:tr w:rsidR="00452443" w:rsidRPr="00A43B9C" w14:paraId="29A57EE2" w14:textId="77777777" w:rsidTr="00CD7C27">
        <w:trPr>
          <w:jc w:val="center"/>
        </w:trPr>
        <w:tc>
          <w:tcPr>
            <w:tcW w:w="942" w:type="pct"/>
            <w:vMerge/>
            <w:vAlign w:val="center"/>
          </w:tcPr>
          <w:p w14:paraId="3B5A5F9B" w14:textId="77777777" w:rsidR="00452443" w:rsidRPr="00A43B9C" w:rsidRDefault="00452443" w:rsidP="00452443">
            <w:pPr>
              <w:spacing w:after="0" w:line="240" w:lineRule="auto"/>
              <w:jc w:val="center"/>
              <w:rPr>
                <w:rFonts w:ascii="Times New Roman" w:hAnsi="Times New Roman" w:cs="Times New Roman"/>
                <w:sz w:val="28"/>
                <w:szCs w:val="28"/>
                <w:lang w:val="en-US"/>
              </w:rPr>
            </w:pPr>
          </w:p>
        </w:tc>
        <w:tc>
          <w:tcPr>
            <w:tcW w:w="415" w:type="pct"/>
            <w:vAlign w:val="center"/>
          </w:tcPr>
          <w:p w14:paraId="1512A0D1" w14:textId="77777777" w:rsidR="00452443" w:rsidRPr="00A43B9C" w:rsidRDefault="00452443" w:rsidP="00452443">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p</w:t>
            </w:r>
            <w:r w:rsidRPr="00A43B9C">
              <w:rPr>
                <w:rFonts w:ascii="Times New Roman" w:hAnsi="Times New Roman" w:cs="Times New Roman"/>
                <w:sz w:val="28"/>
                <w:szCs w:val="28"/>
              </w:rPr>
              <w:t>LM</w:t>
            </w:r>
          </w:p>
        </w:tc>
        <w:tc>
          <w:tcPr>
            <w:tcW w:w="764" w:type="pct"/>
            <w:vAlign w:val="center"/>
          </w:tcPr>
          <w:p w14:paraId="06B02DCC" w14:textId="6C804C16"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0,90</w:t>
            </w:r>
          </w:p>
        </w:tc>
        <w:tc>
          <w:tcPr>
            <w:tcW w:w="794" w:type="pct"/>
            <w:vAlign w:val="center"/>
          </w:tcPr>
          <w:p w14:paraId="2FD9A39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0,64 – 1,19</w:t>
            </w:r>
          </w:p>
        </w:tc>
        <w:tc>
          <w:tcPr>
            <w:tcW w:w="723" w:type="pct"/>
            <w:vAlign w:val="center"/>
          </w:tcPr>
          <w:p w14:paraId="4B664980" w14:textId="6A7D534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0,95</w:t>
            </w:r>
          </w:p>
        </w:tc>
        <w:tc>
          <w:tcPr>
            <w:tcW w:w="835" w:type="pct"/>
            <w:vAlign w:val="center"/>
          </w:tcPr>
          <w:p w14:paraId="2E1E855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0,76 – 1,12</w:t>
            </w:r>
          </w:p>
        </w:tc>
        <w:tc>
          <w:tcPr>
            <w:tcW w:w="528" w:type="pct"/>
            <w:vAlign w:val="center"/>
          </w:tcPr>
          <w:p w14:paraId="63ED821D"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0,744</w:t>
            </w:r>
          </w:p>
        </w:tc>
      </w:tr>
      <w:tr w:rsidR="00452443" w:rsidRPr="00A43B9C" w14:paraId="33EE03C6" w14:textId="77777777" w:rsidTr="00CD7C27">
        <w:trPr>
          <w:jc w:val="center"/>
        </w:trPr>
        <w:tc>
          <w:tcPr>
            <w:tcW w:w="942" w:type="pct"/>
            <w:vMerge/>
            <w:vAlign w:val="center"/>
          </w:tcPr>
          <w:p w14:paraId="4D01709A"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415" w:type="pct"/>
            <w:vAlign w:val="center"/>
          </w:tcPr>
          <w:p w14:paraId="4B49AF3E" w14:textId="77777777" w:rsidR="00452443" w:rsidRPr="00A43B9C" w:rsidRDefault="00452443" w:rsidP="00452443">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p</w:t>
            </w:r>
          </w:p>
        </w:tc>
        <w:tc>
          <w:tcPr>
            <w:tcW w:w="1557" w:type="pct"/>
            <w:gridSpan w:val="2"/>
            <w:vAlign w:val="center"/>
          </w:tcPr>
          <w:p w14:paraId="64D4BB8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0,170</w:t>
            </w:r>
          </w:p>
        </w:tc>
        <w:tc>
          <w:tcPr>
            <w:tcW w:w="1558" w:type="pct"/>
            <w:gridSpan w:val="2"/>
            <w:vAlign w:val="center"/>
          </w:tcPr>
          <w:p w14:paraId="502C3537"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0,035*</w:t>
            </w:r>
          </w:p>
        </w:tc>
        <w:tc>
          <w:tcPr>
            <w:tcW w:w="528" w:type="pct"/>
            <w:vAlign w:val="center"/>
          </w:tcPr>
          <w:p w14:paraId="4B0257C5"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5EE680A1" w14:textId="77777777" w:rsidTr="00CD7C27">
        <w:trPr>
          <w:jc w:val="center"/>
        </w:trPr>
        <w:tc>
          <w:tcPr>
            <w:tcW w:w="942" w:type="pct"/>
            <w:vMerge w:val="restart"/>
            <w:vAlign w:val="center"/>
          </w:tcPr>
          <w:p w14:paraId="4D138949" w14:textId="77777777" w:rsidR="00452443" w:rsidRPr="00A43B9C" w:rsidRDefault="00452443" w:rsidP="00452443">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RP</w:t>
            </w:r>
          </w:p>
        </w:tc>
        <w:tc>
          <w:tcPr>
            <w:tcW w:w="415" w:type="pct"/>
            <w:vAlign w:val="center"/>
          </w:tcPr>
          <w:p w14:paraId="0186A4DE" w14:textId="77777777" w:rsidR="00452443" w:rsidRPr="00A43B9C" w:rsidRDefault="00452443" w:rsidP="00452443">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rPr>
              <w:t>LM</w:t>
            </w:r>
          </w:p>
        </w:tc>
        <w:tc>
          <w:tcPr>
            <w:tcW w:w="764" w:type="pct"/>
            <w:vAlign w:val="center"/>
          </w:tcPr>
          <w:p w14:paraId="256F88FB" w14:textId="6103C9BA"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0,89</w:t>
            </w:r>
          </w:p>
        </w:tc>
        <w:tc>
          <w:tcPr>
            <w:tcW w:w="794" w:type="pct"/>
            <w:vAlign w:val="center"/>
          </w:tcPr>
          <w:p w14:paraId="42E6BEB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0,63 – 1,19</w:t>
            </w:r>
          </w:p>
        </w:tc>
        <w:tc>
          <w:tcPr>
            <w:tcW w:w="723" w:type="pct"/>
            <w:vAlign w:val="center"/>
          </w:tcPr>
          <w:p w14:paraId="292FDE18" w14:textId="7B6BD8B1"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0,97</w:t>
            </w:r>
          </w:p>
        </w:tc>
        <w:tc>
          <w:tcPr>
            <w:tcW w:w="835" w:type="pct"/>
            <w:vAlign w:val="center"/>
          </w:tcPr>
          <w:p w14:paraId="2C680BE5"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0,77 – 1,11</w:t>
            </w:r>
          </w:p>
        </w:tc>
        <w:tc>
          <w:tcPr>
            <w:tcW w:w="528" w:type="pct"/>
            <w:vAlign w:val="center"/>
          </w:tcPr>
          <w:p w14:paraId="2E9D2D7B"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0,591</w:t>
            </w:r>
          </w:p>
        </w:tc>
      </w:tr>
      <w:tr w:rsidR="00452443" w:rsidRPr="00A43B9C" w14:paraId="4FA75886" w14:textId="77777777" w:rsidTr="00CD7C27">
        <w:trPr>
          <w:jc w:val="center"/>
        </w:trPr>
        <w:tc>
          <w:tcPr>
            <w:tcW w:w="942" w:type="pct"/>
            <w:vMerge/>
            <w:vAlign w:val="center"/>
          </w:tcPr>
          <w:p w14:paraId="4BE17C20" w14:textId="77777777" w:rsidR="00452443" w:rsidRPr="00A43B9C" w:rsidRDefault="00452443" w:rsidP="00452443">
            <w:pPr>
              <w:spacing w:after="0" w:line="240" w:lineRule="auto"/>
              <w:jc w:val="center"/>
              <w:rPr>
                <w:rFonts w:ascii="Times New Roman" w:hAnsi="Times New Roman" w:cs="Times New Roman"/>
                <w:sz w:val="28"/>
                <w:szCs w:val="28"/>
                <w:lang w:val="en-US"/>
              </w:rPr>
            </w:pPr>
          </w:p>
        </w:tc>
        <w:tc>
          <w:tcPr>
            <w:tcW w:w="415" w:type="pct"/>
            <w:vAlign w:val="center"/>
          </w:tcPr>
          <w:p w14:paraId="2463B716" w14:textId="77777777" w:rsidR="00452443" w:rsidRPr="00A43B9C" w:rsidRDefault="00452443" w:rsidP="00452443">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p</w:t>
            </w:r>
            <w:r w:rsidRPr="00A43B9C">
              <w:rPr>
                <w:rFonts w:ascii="Times New Roman" w:hAnsi="Times New Roman" w:cs="Times New Roman"/>
                <w:sz w:val="28"/>
                <w:szCs w:val="28"/>
              </w:rPr>
              <w:t>LM</w:t>
            </w:r>
          </w:p>
        </w:tc>
        <w:tc>
          <w:tcPr>
            <w:tcW w:w="764" w:type="pct"/>
            <w:vAlign w:val="center"/>
          </w:tcPr>
          <w:p w14:paraId="20738A35" w14:textId="486EA87D"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0,89</w:t>
            </w:r>
          </w:p>
        </w:tc>
        <w:tc>
          <w:tcPr>
            <w:tcW w:w="794" w:type="pct"/>
            <w:vAlign w:val="center"/>
          </w:tcPr>
          <w:p w14:paraId="0B89C41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0,74 – 1,20</w:t>
            </w:r>
          </w:p>
        </w:tc>
        <w:tc>
          <w:tcPr>
            <w:tcW w:w="723" w:type="pct"/>
            <w:vAlign w:val="center"/>
          </w:tcPr>
          <w:p w14:paraId="3F352A22" w14:textId="74DD211C"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1,19</w:t>
            </w:r>
          </w:p>
        </w:tc>
        <w:tc>
          <w:tcPr>
            <w:tcW w:w="835" w:type="pct"/>
            <w:vAlign w:val="center"/>
          </w:tcPr>
          <w:p w14:paraId="759E2A8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0,94 – 1,38</w:t>
            </w:r>
          </w:p>
        </w:tc>
        <w:tc>
          <w:tcPr>
            <w:tcW w:w="528" w:type="pct"/>
            <w:vAlign w:val="center"/>
          </w:tcPr>
          <w:p w14:paraId="4FD23E28"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0,252</w:t>
            </w:r>
          </w:p>
        </w:tc>
      </w:tr>
      <w:tr w:rsidR="00452443" w:rsidRPr="00A43B9C" w14:paraId="2AE0E37A" w14:textId="77777777" w:rsidTr="00CD7C27">
        <w:trPr>
          <w:jc w:val="center"/>
        </w:trPr>
        <w:tc>
          <w:tcPr>
            <w:tcW w:w="942" w:type="pct"/>
            <w:vMerge/>
            <w:vAlign w:val="center"/>
          </w:tcPr>
          <w:p w14:paraId="61FBFE45"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415" w:type="pct"/>
            <w:vAlign w:val="center"/>
          </w:tcPr>
          <w:p w14:paraId="1B5684FF" w14:textId="77777777" w:rsidR="00452443" w:rsidRPr="00A43B9C" w:rsidRDefault="00452443" w:rsidP="00452443">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p</w:t>
            </w:r>
          </w:p>
        </w:tc>
        <w:tc>
          <w:tcPr>
            <w:tcW w:w="1557" w:type="pct"/>
            <w:gridSpan w:val="2"/>
            <w:vAlign w:val="center"/>
          </w:tcPr>
          <w:p w14:paraId="6138DBA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0,828</w:t>
            </w:r>
          </w:p>
        </w:tc>
        <w:tc>
          <w:tcPr>
            <w:tcW w:w="1558" w:type="pct"/>
            <w:gridSpan w:val="2"/>
            <w:vAlign w:val="center"/>
          </w:tcPr>
          <w:p w14:paraId="5D4EF47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0,059</w:t>
            </w:r>
          </w:p>
        </w:tc>
        <w:tc>
          <w:tcPr>
            <w:tcW w:w="528" w:type="pct"/>
            <w:vAlign w:val="center"/>
          </w:tcPr>
          <w:p w14:paraId="3905B441"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7B588581" w14:textId="77777777" w:rsidTr="00CD7C27">
        <w:trPr>
          <w:jc w:val="center"/>
        </w:trPr>
        <w:tc>
          <w:tcPr>
            <w:tcW w:w="942" w:type="pct"/>
            <w:vMerge w:val="restart"/>
            <w:vAlign w:val="center"/>
          </w:tcPr>
          <w:p w14:paraId="10838C33" w14:textId="77777777" w:rsidR="00452443" w:rsidRPr="00A43B9C" w:rsidRDefault="00452443" w:rsidP="00452443">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RLI</w:t>
            </w:r>
          </w:p>
        </w:tc>
        <w:tc>
          <w:tcPr>
            <w:tcW w:w="415" w:type="pct"/>
            <w:vAlign w:val="center"/>
          </w:tcPr>
          <w:p w14:paraId="21A641F1" w14:textId="77777777" w:rsidR="00452443" w:rsidRPr="00A43B9C" w:rsidRDefault="00452443" w:rsidP="00452443">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rPr>
              <w:t>LM</w:t>
            </w:r>
          </w:p>
        </w:tc>
        <w:tc>
          <w:tcPr>
            <w:tcW w:w="764" w:type="pct"/>
            <w:vAlign w:val="center"/>
          </w:tcPr>
          <w:p w14:paraId="023C83FC" w14:textId="7D086018"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0,66</w:t>
            </w:r>
          </w:p>
        </w:tc>
        <w:tc>
          <w:tcPr>
            <w:tcW w:w="794" w:type="pct"/>
            <w:vAlign w:val="center"/>
          </w:tcPr>
          <w:p w14:paraId="66A00E5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0,53 – 0,86</w:t>
            </w:r>
          </w:p>
        </w:tc>
        <w:tc>
          <w:tcPr>
            <w:tcW w:w="723" w:type="pct"/>
            <w:vAlign w:val="center"/>
          </w:tcPr>
          <w:p w14:paraId="25524D57" w14:textId="13D40F03"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0,78</w:t>
            </w:r>
          </w:p>
        </w:tc>
        <w:tc>
          <w:tcPr>
            <w:tcW w:w="835" w:type="pct"/>
            <w:vAlign w:val="center"/>
          </w:tcPr>
          <w:p w14:paraId="616DBC26"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0,62 – 1,01</w:t>
            </w:r>
          </w:p>
        </w:tc>
        <w:tc>
          <w:tcPr>
            <w:tcW w:w="528" w:type="pct"/>
            <w:vAlign w:val="center"/>
          </w:tcPr>
          <w:p w14:paraId="49D7EAD3"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0,191</w:t>
            </w:r>
          </w:p>
        </w:tc>
      </w:tr>
      <w:tr w:rsidR="00452443" w:rsidRPr="00A43B9C" w14:paraId="7844D219" w14:textId="77777777" w:rsidTr="00CD7C27">
        <w:trPr>
          <w:jc w:val="center"/>
        </w:trPr>
        <w:tc>
          <w:tcPr>
            <w:tcW w:w="942" w:type="pct"/>
            <w:vMerge/>
            <w:vAlign w:val="center"/>
          </w:tcPr>
          <w:p w14:paraId="0E069270" w14:textId="77777777" w:rsidR="00452443" w:rsidRPr="00A43B9C" w:rsidRDefault="00452443" w:rsidP="00452443">
            <w:pPr>
              <w:spacing w:after="0" w:line="240" w:lineRule="auto"/>
              <w:jc w:val="center"/>
              <w:rPr>
                <w:rFonts w:ascii="Times New Roman" w:hAnsi="Times New Roman" w:cs="Times New Roman"/>
                <w:sz w:val="28"/>
                <w:szCs w:val="28"/>
                <w:lang w:val="en-US"/>
              </w:rPr>
            </w:pPr>
          </w:p>
        </w:tc>
        <w:tc>
          <w:tcPr>
            <w:tcW w:w="415" w:type="pct"/>
            <w:vAlign w:val="center"/>
          </w:tcPr>
          <w:p w14:paraId="2D2C8DCF" w14:textId="77777777" w:rsidR="00452443" w:rsidRPr="00A43B9C" w:rsidRDefault="00452443" w:rsidP="00452443">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p</w:t>
            </w:r>
            <w:r w:rsidRPr="00A43B9C">
              <w:rPr>
                <w:rFonts w:ascii="Times New Roman" w:hAnsi="Times New Roman" w:cs="Times New Roman"/>
                <w:sz w:val="28"/>
                <w:szCs w:val="28"/>
              </w:rPr>
              <w:t>LM</w:t>
            </w:r>
          </w:p>
        </w:tc>
        <w:tc>
          <w:tcPr>
            <w:tcW w:w="764" w:type="pct"/>
            <w:vAlign w:val="center"/>
          </w:tcPr>
          <w:p w14:paraId="2148FDBE" w14:textId="29D3D051"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0,71</w:t>
            </w:r>
          </w:p>
        </w:tc>
        <w:tc>
          <w:tcPr>
            <w:tcW w:w="794" w:type="pct"/>
            <w:vAlign w:val="center"/>
          </w:tcPr>
          <w:p w14:paraId="083B16B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0,50 – 0,98</w:t>
            </w:r>
          </w:p>
        </w:tc>
        <w:tc>
          <w:tcPr>
            <w:tcW w:w="723" w:type="pct"/>
            <w:vAlign w:val="center"/>
          </w:tcPr>
          <w:p w14:paraId="5DE29F1A" w14:textId="7412C4DE"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0,85</w:t>
            </w:r>
          </w:p>
        </w:tc>
        <w:tc>
          <w:tcPr>
            <w:tcW w:w="835" w:type="pct"/>
            <w:vAlign w:val="center"/>
          </w:tcPr>
          <w:p w14:paraId="59FE8CA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0,71 – 1,05</w:t>
            </w:r>
          </w:p>
        </w:tc>
        <w:tc>
          <w:tcPr>
            <w:tcW w:w="528" w:type="pct"/>
            <w:vAlign w:val="center"/>
          </w:tcPr>
          <w:p w14:paraId="1565AA5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0,464</w:t>
            </w:r>
          </w:p>
        </w:tc>
      </w:tr>
      <w:tr w:rsidR="00452443" w:rsidRPr="00A43B9C" w14:paraId="552FD79B" w14:textId="77777777" w:rsidTr="00CD7C27">
        <w:trPr>
          <w:jc w:val="center"/>
        </w:trPr>
        <w:tc>
          <w:tcPr>
            <w:tcW w:w="942" w:type="pct"/>
            <w:vMerge/>
            <w:vAlign w:val="center"/>
          </w:tcPr>
          <w:p w14:paraId="033D0B03"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415" w:type="pct"/>
            <w:vAlign w:val="center"/>
          </w:tcPr>
          <w:p w14:paraId="57DC245E" w14:textId="77777777" w:rsidR="00452443" w:rsidRPr="00A43B9C" w:rsidRDefault="00452443" w:rsidP="00452443">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p</w:t>
            </w:r>
          </w:p>
        </w:tc>
        <w:tc>
          <w:tcPr>
            <w:tcW w:w="1557" w:type="pct"/>
            <w:gridSpan w:val="2"/>
            <w:vAlign w:val="center"/>
          </w:tcPr>
          <w:p w14:paraId="336BFF6C"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0,688</w:t>
            </w:r>
          </w:p>
        </w:tc>
        <w:tc>
          <w:tcPr>
            <w:tcW w:w="1558" w:type="pct"/>
            <w:gridSpan w:val="2"/>
            <w:vAlign w:val="center"/>
          </w:tcPr>
          <w:p w14:paraId="5132917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0,358</w:t>
            </w:r>
          </w:p>
        </w:tc>
        <w:tc>
          <w:tcPr>
            <w:tcW w:w="528" w:type="pct"/>
            <w:vAlign w:val="center"/>
          </w:tcPr>
          <w:p w14:paraId="1C03B47D" w14:textId="77777777" w:rsidR="00452443" w:rsidRPr="00A43B9C" w:rsidRDefault="00452443" w:rsidP="00452443">
            <w:pPr>
              <w:spacing w:after="0" w:line="240" w:lineRule="auto"/>
              <w:jc w:val="center"/>
              <w:rPr>
                <w:rFonts w:ascii="Times New Roman" w:hAnsi="Times New Roman" w:cs="Times New Roman"/>
                <w:sz w:val="28"/>
                <w:szCs w:val="28"/>
              </w:rPr>
            </w:pPr>
          </w:p>
        </w:tc>
      </w:tr>
      <w:tr w:rsidR="00452443" w:rsidRPr="00A43B9C" w14:paraId="2E7651D2" w14:textId="77777777" w:rsidTr="00CD7C27">
        <w:trPr>
          <w:jc w:val="center"/>
        </w:trPr>
        <w:tc>
          <w:tcPr>
            <w:tcW w:w="942" w:type="pct"/>
            <w:vMerge w:val="restart"/>
            <w:vAlign w:val="center"/>
          </w:tcPr>
          <w:p w14:paraId="276F37FE" w14:textId="77777777" w:rsidR="00452443" w:rsidRPr="00A43B9C" w:rsidRDefault="00452443" w:rsidP="00452443">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P</w:t>
            </w:r>
          </w:p>
        </w:tc>
        <w:tc>
          <w:tcPr>
            <w:tcW w:w="415" w:type="pct"/>
            <w:vAlign w:val="center"/>
          </w:tcPr>
          <w:p w14:paraId="70C3C737" w14:textId="77777777" w:rsidR="00452443" w:rsidRPr="00A43B9C" w:rsidRDefault="00452443" w:rsidP="00452443">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rPr>
              <w:t>LM</w:t>
            </w:r>
          </w:p>
        </w:tc>
        <w:tc>
          <w:tcPr>
            <w:tcW w:w="764" w:type="pct"/>
            <w:vAlign w:val="center"/>
          </w:tcPr>
          <w:p w14:paraId="21BE6ECF" w14:textId="510DB0BF"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0,75</w:t>
            </w:r>
          </w:p>
        </w:tc>
        <w:tc>
          <w:tcPr>
            <w:tcW w:w="794" w:type="pct"/>
            <w:vAlign w:val="center"/>
          </w:tcPr>
          <w:p w14:paraId="21ADCF5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0,62 – 1,02</w:t>
            </w:r>
          </w:p>
        </w:tc>
        <w:tc>
          <w:tcPr>
            <w:tcW w:w="723" w:type="pct"/>
            <w:vAlign w:val="center"/>
          </w:tcPr>
          <w:p w14:paraId="23F83C23" w14:textId="11E36C04"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0,95</w:t>
            </w:r>
          </w:p>
        </w:tc>
        <w:tc>
          <w:tcPr>
            <w:tcW w:w="835" w:type="pct"/>
            <w:vAlign w:val="center"/>
          </w:tcPr>
          <w:p w14:paraId="0527C40A"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0,77 – 1,11</w:t>
            </w:r>
          </w:p>
        </w:tc>
        <w:tc>
          <w:tcPr>
            <w:tcW w:w="528" w:type="pct"/>
            <w:vAlign w:val="center"/>
          </w:tcPr>
          <w:p w14:paraId="61986562"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0,129</w:t>
            </w:r>
          </w:p>
        </w:tc>
      </w:tr>
      <w:tr w:rsidR="00452443" w:rsidRPr="00A43B9C" w14:paraId="1935EE6A" w14:textId="77777777" w:rsidTr="00CD7C27">
        <w:trPr>
          <w:jc w:val="center"/>
        </w:trPr>
        <w:tc>
          <w:tcPr>
            <w:tcW w:w="942" w:type="pct"/>
            <w:vMerge/>
          </w:tcPr>
          <w:p w14:paraId="0C2DAA60" w14:textId="77777777" w:rsidR="00452443" w:rsidRPr="00A43B9C" w:rsidRDefault="00452443" w:rsidP="00452443">
            <w:pPr>
              <w:spacing w:after="0" w:line="240" w:lineRule="auto"/>
              <w:jc w:val="center"/>
              <w:rPr>
                <w:rFonts w:ascii="Times New Roman" w:hAnsi="Times New Roman" w:cs="Times New Roman"/>
                <w:sz w:val="28"/>
                <w:szCs w:val="28"/>
                <w:lang w:val="en-US"/>
              </w:rPr>
            </w:pPr>
          </w:p>
        </w:tc>
        <w:tc>
          <w:tcPr>
            <w:tcW w:w="415" w:type="pct"/>
            <w:vAlign w:val="center"/>
          </w:tcPr>
          <w:p w14:paraId="4EEDEA7C" w14:textId="77777777" w:rsidR="00452443" w:rsidRPr="00A43B9C" w:rsidRDefault="00452443" w:rsidP="00452443">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p</w:t>
            </w:r>
            <w:r w:rsidRPr="00A43B9C">
              <w:rPr>
                <w:rFonts w:ascii="Times New Roman" w:hAnsi="Times New Roman" w:cs="Times New Roman"/>
                <w:sz w:val="28"/>
                <w:szCs w:val="28"/>
              </w:rPr>
              <w:t>LM</w:t>
            </w:r>
          </w:p>
        </w:tc>
        <w:tc>
          <w:tcPr>
            <w:tcW w:w="764" w:type="pct"/>
            <w:vAlign w:val="center"/>
          </w:tcPr>
          <w:p w14:paraId="18496713" w14:textId="35AAF604"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0,90</w:t>
            </w:r>
          </w:p>
        </w:tc>
        <w:tc>
          <w:tcPr>
            <w:tcW w:w="794" w:type="pct"/>
            <w:vAlign w:val="center"/>
          </w:tcPr>
          <w:p w14:paraId="5303F714"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0,76 – 1,22</w:t>
            </w:r>
          </w:p>
        </w:tc>
        <w:tc>
          <w:tcPr>
            <w:tcW w:w="723" w:type="pct"/>
            <w:vAlign w:val="center"/>
          </w:tcPr>
          <w:p w14:paraId="5A2A966D" w14:textId="2C0211CE"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1,03</w:t>
            </w:r>
          </w:p>
        </w:tc>
        <w:tc>
          <w:tcPr>
            <w:tcW w:w="835" w:type="pct"/>
            <w:vAlign w:val="center"/>
          </w:tcPr>
          <w:p w14:paraId="2ED9BD79"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0,92 – 1,20</w:t>
            </w:r>
          </w:p>
        </w:tc>
        <w:tc>
          <w:tcPr>
            <w:tcW w:w="528" w:type="pct"/>
            <w:vAlign w:val="center"/>
          </w:tcPr>
          <w:p w14:paraId="724697AE"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0,433</w:t>
            </w:r>
          </w:p>
        </w:tc>
      </w:tr>
      <w:tr w:rsidR="00452443" w:rsidRPr="00A43B9C" w14:paraId="1145B382" w14:textId="77777777" w:rsidTr="00CD7C27">
        <w:trPr>
          <w:jc w:val="center"/>
        </w:trPr>
        <w:tc>
          <w:tcPr>
            <w:tcW w:w="942" w:type="pct"/>
            <w:vMerge/>
          </w:tcPr>
          <w:p w14:paraId="45082A41" w14:textId="77777777" w:rsidR="00452443" w:rsidRPr="00A43B9C" w:rsidRDefault="00452443" w:rsidP="00452443">
            <w:pPr>
              <w:spacing w:after="0" w:line="240" w:lineRule="auto"/>
              <w:jc w:val="center"/>
              <w:rPr>
                <w:rFonts w:ascii="Times New Roman" w:hAnsi="Times New Roman" w:cs="Times New Roman"/>
                <w:sz w:val="28"/>
                <w:szCs w:val="28"/>
              </w:rPr>
            </w:pPr>
          </w:p>
        </w:tc>
        <w:tc>
          <w:tcPr>
            <w:tcW w:w="415" w:type="pct"/>
            <w:vAlign w:val="center"/>
          </w:tcPr>
          <w:p w14:paraId="6549DFF8" w14:textId="77777777" w:rsidR="00452443" w:rsidRPr="00A43B9C" w:rsidRDefault="00452443" w:rsidP="00452443">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p</w:t>
            </w:r>
          </w:p>
        </w:tc>
        <w:tc>
          <w:tcPr>
            <w:tcW w:w="1557" w:type="pct"/>
            <w:gridSpan w:val="2"/>
            <w:vAlign w:val="center"/>
          </w:tcPr>
          <w:p w14:paraId="5E221D8F"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0,128</w:t>
            </w:r>
          </w:p>
        </w:tc>
        <w:tc>
          <w:tcPr>
            <w:tcW w:w="1558" w:type="pct"/>
            <w:gridSpan w:val="2"/>
            <w:vAlign w:val="center"/>
          </w:tcPr>
          <w:p w14:paraId="5DD4E970" w14:textId="77777777" w:rsidR="00452443" w:rsidRPr="00A43B9C" w:rsidRDefault="00452443" w:rsidP="0045244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0,132</w:t>
            </w:r>
          </w:p>
        </w:tc>
        <w:tc>
          <w:tcPr>
            <w:tcW w:w="528" w:type="pct"/>
            <w:vAlign w:val="center"/>
          </w:tcPr>
          <w:p w14:paraId="4C0C5C82" w14:textId="77777777" w:rsidR="00452443" w:rsidRPr="00A43B9C" w:rsidRDefault="00452443" w:rsidP="00452443">
            <w:pPr>
              <w:spacing w:after="0" w:line="240" w:lineRule="auto"/>
              <w:jc w:val="center"/>
              <w:rPr>
                <w:rFonts w:ascii="Times New Roman" w:hAnsi="Times New Roman" w:cs="Times New Roman"/>
                <w:sz w:val="28"/>
                <w:szCs w:val="28"/>
              </w:rPr>
            </w:pPr>
          </w:p>
        </w:tc>
      </w:tr>
    </w:tbl>
    <w:p w14:paraId="12EE1439" w14:textId="77777777" w:rsidR="00AB7088" w:rsidRPr="00A43B9C" w:rsidRDefault="00AB7088" w:rsidP="00677963">
      <w:pPr>
        <w:spacing w:after="0" w:line="240" w:lineRule="auto"/>
        <w:ind w:firstLine="709"/>
        <w:rPr>
          <w:rFonts w:ascii="Times New Roman" w:hAnsi="Times New Roman" w:cs="Times New Roman"/>
          <w:sz w:val="28"/>
          <w:szCs w:val="28"/>
        </w:rPr>
      </w:pPr>
    </w:p>
    <w:tbl>
      <w:tblPr>
        <w:tblStyle w:val="ad"/>
        <w:tblW w:w="873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6"/>
      </w:tblGrid>
      <w:tr w:rsidR="00105031" w:rsidRPr="00A43B9C" w14:paraId="4FC1FDB4" w14:textId="77777777" w:rsidTr="00A120D6">
        <w:tc>
          <w:tcPr>
            <w:tcW w:w="8736" w:type="dxa"/>
            <w:vAlign w:val="center"/>
          </w:tcPr>
          <w:p w14:paraId="55614E12" w14:textId="77777777" w:rsidR="00105031" w:rsidRPr="00A43B9C" w:rsidRDefault="00105031"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37A97B88" wp14:editId="4DB9A601">
                      <wp:extent cx="5400000" cy="1800000"/>
                      <wp:effectExtent l="0" t="0" r="10795" b="10160"/>
                      <wp:docPr id="478" name="Диаграмма 478">
                        <a:extLst xmlns:a="http://schemas.openxmlformats.org/drawingml/2006/main">
                          <a:ext uri="{FF2B5EF4-FFF2-40B4-BE49-F238E27FC236}">
                            <a16:creationId xmlns:a16="http://schemas.microsoft.com/office/drawing/2014/main" id="{63707A83-2250-4BA1-997D-BCBD4AFB3E41}"/>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99"/>
                        </a:graphicData>
                      </a:graphic>
                    </wp:inline>
                  </w:drawing>
                </mc:Choice>
                <mc:Fallback>
                  <w:drawing>
                    <wp:inline distT="0" distB="0" distL="0" distR="0" wp14:anchorId="37A97B88" wp14:editId="4DB9A601">
                      <wp:extent cx="5400000" cy="1800000"/>
                      <wp:effectExtent l="0" t="0" r="10795" b="10160"/>
                      <wp:docPr id="478" name="Диаграмма 478">
                        <a:extLst xmlns:a="http://schemas.openxmlformats.org/drawingml/2006/main">
                          <a:ext uri="{FF2B5EF4-FFF2-40B4-BE49-F238E27FC236}">
                            <a16:creationId xmlns:a16="http://schemas.microsoft.com/office/drawing/2014/main" id="{63707A83-2250-4BA1-997D-BCBD4AFB3E41}"/>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78" name="Диаграмма 478">
                                <a:extLst>
                                  <a:ext uri="{FF2B5EF4-FFF2-40B4-BE49-F238E27FC236}">
                                    <a16:creationId xmlns:a16="http://schemas.microsoft.com/office/drawing/2014/main" id="{63707A83-2250-4BA1-997D-BCBD4AFB3E41}"/>
                                  </a:ext>
                                </a:extLst>
                              </pic:cNvPr>
                              <pic:cNvPicPr>
                                <a:picLocks noGrp="1" noRot="1" noChangeAspect="1" noMove="1" noResize="1" noEditPoints="1" noAdjustHandles="1" noChangeArrowheads="1" noChangeShapeType="1"/>
                              </pic:cNvPicPr>
                            </pic:nvPicPr>
                            <pic:blipFill>
                              <a:blip r:embed="rId300"/>
                              <a:stretch>
                                <a:fillRect/>
                              </a:stretch>
                            </pic:blipFill>
                            <pic:spPr>
                              <a:xfrm>
                                <a:off x="0" y="0"/>
                                <a:ext cx="5399405" cy="1799590"/>
                              </a:xfrm>
                              <a:prstGeom prst="rect">
                                <a:avLst/>
                              </a:prstGeom>
                            </pic:spPr>
                          </pic:pic>
                        </a:graphicData>
                      </a:graphic>
                    </wp:inline>
                  </w:drawing>
                </mc:Fallback>
              </mc:AlternateContent>
            </w:r>
          </w:p>
        </w:tc>
      </w:tr>
      <w:tr w:rsidR="00105031" w:rsidRPr="00A43B9C" w14:paraId="36EE0FA9" w14:textId="77777777" w:rsidTr="00A120D6">
        <w:tc>
          <w:tcPr>
            <w:tcW w:w="8736" w:type="dxa"/>
            <w:vAlign w:val="center"/>
          </w:tcPr>
          <w:p w14:paraId="5D355BF0" w14:textId="179D5338" w:rsidR="00105031" w:rsidRPr="00B25E66" w:rsidRDefault="00316240" w:rsidP="00446A37">
            <w:pPr>
              <w:spacing w:after="0" w:line="240" w:lineRule="auto"/>
              <w:jc w:val="center"/>
              <w:rPr>
                <w:rFonts w:ascii="Times New Roman" w:hAnsi="Times New Roman" w:cs="Times New Roman"/>
                <w:noProof/>
                <w:lang w:val="en-US" w:eastAsia="ru-RU"/>
              </w:rPr>
            </w:pPr>
            <w:r w:rsidRPr="00B25E66">
              <w:rPr>
                <w:rFonts w:ascii="Times New Roman" w:hAnsi="Times New Roman" w:cs="Times New Roman"/>
                <w:sz w:val="24"/>
                <w:szCs w:val="24"/>
              </w:rPr>
              <w:t>а)</w:t>
            </w:r>
            <w:r w:rsidR="00B25E66" w:rsidRPr="00B25E66">
              <w:rPr>
                <w:rFonts w:ascii="Times New Roman" w:hAnsi="Times New Roman" w:cs="Times New Roman"/>
                <w:sz w:val="24"/>
                <w:szCs w:val="24"/>
              </w:rPr>
              <w:t xml:space="preserve"> Локализация </w:t>
            </w:r>
            <w:r w:rsidR="00B25E66" w:rsidRPr="00B25E66">
              <w:rPr>
                <w:rFonts w:ascii="Times New Roman" w:hAnsi="Times New Roman" w:cs="Times New Roman"/>
                <w:sz w:val="24"/>
                <w:szCs w:val="24"/>
                <w:lang w:val="en-US"/>
              </w:rPr>
              <w:t>RE</w:t>
            </w:r>
          </w:p>
        </w:tc>
      </w:tr>
    </w:tbl>
    <w:p w14:paraId="6F70CBBF" w14:textId="77777777" w:rsidR="00B25E66" w:rsidRDefault="00B25E66" w:rsidP="00B25E66">
      <w:pPr>
        <w:spacing w:after="0" w:line="240" w:lineRule="auto"/>
        <w:rPr>
          <w:rFonts w:ascii="Times New Roman" w:hAnsi="Times New Roman" w:cs="Times New Roman"/>
          <w:sz w:val="28"/>
          <w:szCs w:val="28"/>
        </w:rPr>
      </w:pPr>
    </w:p>
    <w:p w14:paraId="222C221D" w14:textId="155B4B3A" w:rsidR="00B25E66" w:rsidRPr="00B25E66" w:rsidRDefault="00B25E66" w:rsidP="00B25E66">
      <w:pPr>
        <w:spacing w:after="0" w:line="240" w:lineRule="auto"/>
        <w:ind w:firstLine="709"/>
        <w:jc w:val="center"/>
        <w:rPr>
          <w:rFonts w:ascii="Times New Roman" w:hAnsi="Times New Roman" w:cs="Times New Roman"/>
          <w:sz w:val="28"/>
          <w:szCs w:val="28"/>
        </w:rPr>
      </w:pPr>
      <w:r w:rsidRPr="00A43B9C">
        <w:rPr>
          <w:rFonts w:ascii="Times New Roman" w:hAnsi="Times New Roman" w:cs="Times New Roman"/>
          <w:sz w:val="28"/>
          <w:szCs w:val="28"/>
        </w:rPr>
        <w:t>Рисунок 4</w:t>
      </w:r>
      <w:r>
        <w:rPr>
          <w:rFonts w:ascii="Times New Roman" w:hAnsi="Times New Roman" w:cs="Times New Roman"/>
          <w:sz w:val="28"/>
          <w:szCs w:val="28"/>
        </w:rPr>
        <w:t>4</w:t>
      </w:r>
      <w:r w:rsidRPr="00A43B9C">
        <w:rPr>
          <w:rFonts w:ascii="Times New Roman" w:hAnsi="Times New Roman" w:cs="Times New Roman"/>
          <w:sz w:val="28"/>
          <w:szCs w:val="28"/>
        </w:rPr>
        <w:t xml:space="preserve"> - Динамика уровня накопления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зависимости от </w:t>
      </w:r>
      <w:r w:rsidRPr="00A43B9C">
        <w:rPr>
          <w:rFonts w:ascii="Times New Roman" w:hAnsi="Times New Roman" w:cs="Times New Roman"/>
          <w:sz w:val="28"/>
          <w:szCs w:val="28"/>
          <w:lang w:val="en-US"/>
        </w:rPr>
        <w:t>LM</w:t>
      </w:r>
      <w:r w:rsidRPr="00A43B9C">
        <w:rPr>
          <w:rFonts w:ascii="Times New Roman" w:hAnsi="Times New Roman" w:cs="Times New Roman"/>
          <w:sz w:val="28"/>
          <w:szCs w:val="28"/>
        </w:rPr>
        <w:t xml:space="preserve"> по локализациям</w:t>
      </w:r>
      <w:r>
        <w:rPr>
          <w:rFonts w:ascii="Times New Roman" w:hAnsi="Times New Roman" w:cs="Times New Roman"/>
          <w:sz w:val="28"/>
          <w:szCs w:val="28"/>
        </w:rPr>
        <w:t>, лист 1</w:t>
      </w:r>
      <w:r w:rsidRPr="00B25E66">
        <w:rPr>
          <w:rFonts w:ascii="Times New Roman" w:hAnsi="Times New Roman" w:cs="Times New Roman"/>
          <w:sz w:val="28"/>
          <w:szCs w:val="28"/>
        </w:rPr>
        <w:br w:type="page"/>
      </w:r>
    </w:p>
    <w:tbl>
      <w:tblPr>
        <w:tblStyle w:val="ad"/>
        <w:tblW w:w="873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6"/>
      </w:tblGrid>
      <w:tr w:rsidR="00105031" w:rsidRPr="00A43B9C" w14:paraId="0FC4F1CD" w14:textId="77777777" w:rsidTr="00A120D6">
        <w:tc>
          <w:tcPr>
            <w:tcW w:w="8736" w:type="dxa"/>
            <w:vAlign w:val="center"/>
          </w:tcPr>
          <w:p w14:paraId="602EC778" w14:textId="77777777" w:rsidR="00105031" w:rsidRPr="00A43B9C" w:rsidRDefault="00105031" w:rsidP="00446A37">
            <w:pPr>
              <w:spacing w:after="0" w:line="240" w:lineRule="auto"/>
              <w:jc w:val="center"/>
              <w:rPr>
                <w:rFonts w:ascii="Times New Roman" w:hAnsi="Times New Roman" w:cs="Times New Roman"/>
                <w:sz w:val="28"/>
                <w:szCs w:val="28"/>
              </w:rPr>
            </w:pPr>
            <w:r w:rsidRPr="00A43B9C">
              <w:rPr>
                <w:noProof/>
                <w:lang w:eastAsia="ru-RU"/>
              </w:rPr>
              <w:lastRenderedPageBreak/>
              <mc:AlternateContent>
                <mc:Choice Requires="cx1">
                  <w:drawing>
                    <wp:inline distT="0" distB="0" distL="0" distR="0" wp14:anchorId="7E9D1B1D" wp14:editId="115E423E">
                      <wp:extent cx="5400000" cy="1800000"/>
                      <wp:effectExtent l="0" t="0" r="10795" b="10160"/>
                      <wp:docPr id="479" name="Диаграмма 479">
                        <a:extLst xmlns:a="http://schemas.openxmlformats.org/drawingml/2006/main">
                          <a:ext uri="{FF2B5EF4-FFF2-40B4-BE49-F238E27FC236}">
                            <a16:creationId xmlns:a16="http://schemas.microsoft.com/office/drawing/2014/main" id="{36FE3452-E433-43B7-AD7C-FC018253BC04}"/>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01"/>
                        </a:graphicData>
                      </a:graphic>
                    </wp:inline>
                  </w:drawing>
                </mc:Choice>
                <mc:Fallback>
                  <w:drawing>
                    <wp:inline distT="0" distB="0" distL="0" distR="0" wp14:anchorId="7E9D1B1D" wp14:editId="115E423E">
                      <wp:extent cx="5400000" cy="1800000"/>
                      <wp:effectExtent l="0" t="0" r="10795" b="10160"/>
                      <wp:docPr id="479" name="Диаграмма 479">
                        <a:extLst xmlns:a="http://schemas.openxmlformats.org/drawingml/2006/main">
                          <a:ext uri="{FF2B5EF4-FFF2-40B4-BE49-F238E27FC236}">
                            <a16:creationId xmlns:a16="http://schemas.microsoft.com/office/drawing/2014/main" id="{36FE3452-E433-43B7-AD7C-FC018253BC04}"/>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79" name="Диаграмма 479">
                                <a:extLst>
                                  <a:ext uri="{FF2B5EF4-FFF2-40B4-BE49-F238E27FC236}">
                                    <a16:creationId xmlns:a16="http://schemas.microsoft.com/office/drawing/2014/main" id="{36FE3452-E433-43B7-AD7C-FC018253BC04}"/>
                                  </a:ext>
                                </a:extLst>
                              </pic:cNvPr>
                              <pic:cNvPicPr>
                                <a:picLocks noGrp="1" noRot="1" noChangeAspect="1" noMove="1" noResize="1" noEditPoints="1" noAdjustHandles="1" noChangeArrowheads="1" noChangeShapeType="1"/>
                              </pic:cNvPicPr>
                            </pic:nvPicPr>
                            <pic:blipFill>
                              <a:blip r:embed="rId302"/>
                              <a:stretch>
                                <a:fillRect/>
                              </a:stretch>
                            </pic:blipFill>
                            <pic:spPr>
                              <a:xfrm>
                                <a:off x="0" y="0"/>
                                <a:ext cx="5399405" cy="1799590"/>
                              </a:xfrm>
                              <a:prstGeom prst="rect">
                                <a:avLst/>
                              </a:prstGeom>
                            </pic:spPr>
                          </pic:pic>
                        </a:graphicData>
                      </a:graphic>
                    </wp:inline>
                  </w:drawing>
                </mc:Fallback>
              </mc:AlternateContent>
            </w:r>
          </w:p>
        </w:tc>
      </w:tr>
      <w:tr w:rsidR="00105031" w:rsidRPr="00B25E66" w14:paraId="1684C0C7" w14:textId="77777777" w:rsidTr="00A120D6">
        <w:tc>
          <w:tcPr>
            <w:tcW w:w="8736" w:type="dxa"/>
            <w:vAlign w:val="center"/>
          </w:tcPr>
          <w:p w14:paraId="4C7B629B" w14:textId="28E76325" w:rsidR="00105031" w:rsidRPr="00B25E66" w:rsidRDefault="00316240" w:rsidP="00446A37">
            <w:pPr>
              <w:spacing w:after="0" w:line="240" w:lineRule="auto"/>
              <w:jc w:val="center"/>
              <w:rPr>
                <w:noProof/>
                <w:sz w:val="24"/>
                <w:szCs w:val="24"/>
                <w:lang w:val="en-US" w:eastAsia="ru-RU"/>
              </w:rPr>
            </w:pPr>
            <w:r w:rsidRPr="00B25E66">
              <w:rPr>
                <w:rFonts w:ascii="Times New Roman" w:hAnsi="Times New Roman" w:cs="Times New Roman"/>
                <w:sz w:val="24"/>
                <w:szCs w:val="24"/>
              </w:rPr>
              <w:t>б)</w:t>
            </w:r>
            <w:r w:rsidR="00B25E66" w:rsidRPr="00B25E66">
              <w:rPr>
                <w:rFonts w:ascii="Times New Roman" w:hAnsi="Times New Roman" w:cs="Times New Roman"/>
                <w:sz w:val="24"/>
                <w:szCs w:val="24"/>
              </w:rPr>
              <w:t xml:space="preserve"> Локализация </w:t>
            </w:r>
            <w:r w:rsidR="00B25E66" w:rsidRPr="00B25E66">
              <w:rPr>
                <w:rFonts w:ascii="Times New Roman" w:hAnsi="Times New Roman" w:cs="Times New Roman"/>
                <w:sz w:val="24"/>
                <w:szCs w:val="24"/>
                <w:lang w:val="en-US"/>
              </w:rPr>
              <w:t>RLH</w:t>
            </w:r>
          </w:p>
        </w:tc>
      </w:tr>
      <w:tr w:rsidR="00105031" w:rsidRPr="00A43B9C" w14:paraId="0027297D" w14:textId="77777777" w:rsidTr="00A120D6">
        <w:tc>
          <w:tcPr>
            <w:tcW w:w="8736" w:type="dxa"/>
            <w:vAlign w:val="center"/>
          </w:tcPr>
          <w:p w14:paraId="117CFF3F" w14:textId="77777777" w:rsidR="00105031" w:rsidRPr="00A43B9C" w:rsidRDefault="00105031"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0FA9C595" wp14:editId="1A8AD122">
                      <wp:extent cx="5400000" cy="1872000"/>
                      <wp:effectExtent l="0" t="0" r="10795" b="13970"/>
                      <wp:docPr id="480" name="Диаграмма 480">
                        <a:extLst xmlns:a="http://schemas.openxmlformats.org/drawingml/2006/main">
                          <a:ext uri="{FF2B5EF4-FFF2-40B4-BE49-F238E27FC236}">
                            <a16:creationId xmlns:a16="http://schemas.microsoft.com/office/drawing/2014/main" id="{7BBE150F-C202-4C8B-B555-F8BBA8963E45}"/>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03"/>
                        </a:graphicData>
                      </a:graphic>
                    </wp:inline>
                  </w:drawing>
                </mc:Choice>
                <mc:Fallback>
                  <w:drawing>
                    <wp:inline distT="0" distB="0" distL="0" distR="0" wp14:anchorId="0FA9C595" wp14:editId="1A8AD122">
                      <wp:extent cx="5400000" cy="1872000"/>
                      <wp:effectExtent l="0" t="0" r="10795" b="13970"/>
                      <wp:docPr id="480" name="Диаграмма 480">
                        <a:extLst xmlns:a="http://schemas.openxmlformats.org/drawingml/2006/main">
                          <a:ext uri="{FF2B5EF4-FFF2-40B4-BE49-F238E27FC236}">
                            <a16:creationId xmlns:a16="http://schemas.microsoft.com/office/drawing/2014/main" id="{7BBE150F-C202-4C8B-B555-F8BBA8963E45}"/>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80" name="Диаграмма 480">
                                <a:extLst>
                                  <a:ext uri="{FF2B5EF4-FFF2-40B4-BE49-F238E27FC236}">
                                    <a16:creationId xmlns:a16="http://schemas.microsoft.com/office/drawing/2014/main" id="{7BBE150F-C202-4C8B-B555-F8BBA8963E45}"/>
                                  </a:ext>
                                </a:extLst>
                              </pic:cNvPr>
                              <pic:cNvPicPr>
                                <a:picLocks noGrp="1" noRot="1" noChangeAspect="1" noMove="1" noResize="1" noEditPoints="1" noAdjustHandles="1" noChangeArrowheads="1" noChangeShapeType="1"/>
                              </pic:cNvPicPr>
                            </pic:nvPicPr>
                            <pic:blipFill>
                              <a:blip r:embed="rId304"/>
                              <a:stretch>
                                <a:fillRect/>
                              </a:stretch>
                            </pic:blipFill>
                            <pic:spPr>
                              <a:xfrm>
                                <a:off x="0" y="0"/>
                                <a:ext cx="5399405" cy="1871980"/>
                              </a:xfrm>
                              <a:prstGeom prst="rect">
                                <a:avLst/>
                              </a:prstGeom>
                            </pic:spPr>
                          </pic:pic>
                        </a:graphicData>
                      </a:graphic>
                    </wp:inline>
                  </w:drawing>
                </mc:Fallback>
              </mc:AlternateContent>
            </w:r>
          </w:p>
        </w:tc>
      </w:tr>
      <w:tr w:rsidR="00105031" w:rsidRPr="00B25E66" w14:paraId="08690EEA" w14:textId="77777777" w:rsidTr="00A120D6">
        <w:tc>
          <w:tcPr>
            <w:tcW w:w="8736" w:type="dxa"/>
            <w:vAlign w:val="center"/>
          </w:tcPr>
          <w:p w14:paraId="2541D24B" w14:textId="414BBBB3" w:rsidR="00105031" w:rsidRPr="00B25E66" w:rsidRDefault="00316240" w:rsidP="00105031">
            <w:pPr>
              <w:spacing w:after="0" w:line="240" w:lineRule="auto"/>
              <w:jc w:val="center"/>
              <w:rPr>
                <w:noProof/>
                <w:sz w:val="24"/>
                <w:szCs w:val="24"/>
                <w:lang w:val="en-US" w:eastAsia="ru-RU"/>
              </w:rPr>
            </w:pPr>
            <w:r w:rsidRPr="00B25E66">
              <w:rPr>
                <w:rFonts w:ascii="Times New Roman" w:hAnsi="Times New Roman" w:cs="Times New Roman"/>
                <w:sz w:val="24"/>
                <w:szCs w:val="24"/>
              </w:rPr>
              <w:t>в)</w:t>
            </w:r>
            <w:r w:rsidR="00B25E66" w:rsidRPr="00B25E66">
              <w:rPr>
                <w:rFonts w:ascii="Times New Roman" w:hAnsi="Times New Roman" w:cs="Times New Roman"/>
                <w:sz w:val="24"/>
                <w:szCs w:val="24"/>
              </w:rPr>
              <w:t xml:space="preserve"> Локализация</w:t>
            </w:r>
            <w:r w:rsidR="00B25E66" w:rsidRPr="00B25E66">
              <w:rPr>
                <w:rFonts w:ascii="Times New Roman" w:hAnsi="Times New Roman" w:cs="Times New Roman"/>
                <w:sz w:val="24"/>
                <w:szCs w:val="24"/>
                <w:lang w:val="en-US"/>
              </w:rPr>
              <w:t xml:space="preserve"> RRL</w:t>
            </w:r>
          </w:p>
        </w:tc>
      </w:tr>
      <w:tr w:rsidR="00105031" w:rsidRPr="00A43B9C" w14:paraId="7E98E491" w14:textId="77777777" w:rsidTr="00A120D6">
        <w:tc>
          <w:tcPr>
            <w:tcW w:w="8736" w:type="dxa"/>
            <w:vAlign w:val="center"/>
          </w:tcPr>
          <w:p w14:paraId="796F4160" w14:textId="77777777" w:rsidR="00105031" w:rsidRPr="00A43B9C" w:rsidRDefault="00105031" w:rsidP="00105031">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47AFC377" wp14:editId="3E4D88EB">
                      <wp:extent cx="5400000" cy="1800000"/>
                      <wp:effectExtent l="0" t="0" r="10795" b="10160"/>
                      <wp:docPr id="481" name="Диаграмма 481">
                        <a:extLst xmlns:a="http://schemas.openxmlformats.org/drawingml/2006/main">
                          <a:ext uri="{FF2B5EF4-FFF2-40B4-BE49-F238E27FC236}">
                            <a16:creationId xmlns:a16="http://schemas.microsoft.com/office/drawing/2014/main" id="{9B949E29-F071-4E7A-9649-1D6B7E2E477C}"/>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05"/>
                        </a:graphicData>
                      </a:graphic>
                    </wp:inline>
                  </w:drawing>
                </mc:Choice>
                <mc:Fallback>
                  <w:drawing>
                    <wp:inline distT="0" distB="0" distL="0" distR="0" wp14:anchorId="47AFC377" wp14:editId="3E4D88EB">
                      <wp:extent cx="5400000" cy="1800000"/>
                      <wp:effectExtent l="0" t="0" r="10795" b="10160"/>
                      <wp:docPr id="481" name="Диаграмма 481">
                        <a:extLst xmlns:a="http://schemas.openxmlformats.org/drawingml/2006/main">
                          <a:ext uri="{FF2B5EF4-FFF2-40B4-BE49-F238E27FC236}">
                            <a16:creationId xmlns:a16="http://schemas.microsoft.com/office/drawing/2014/main" id="{9B949E29-F071-4E7A-9649-1D6B7E2E477C}"/>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81" name="Диаграмма 481">
                                <a:extLst>
                                  <a:ext uri="{FF2B5EF4-FFF2-40B4-BE49-F238E27FC236}">
                                    <a16:creationId xmlns:a16="http://schemas.microsoft.com/office/drawing/2014/main" id="{9B949E29-F071-4E7A-9649-1D6B7E2E477C}"/>
                                  </a:ext>
                                </a:extLst>
                              </pic:cNvPr>
                              <pic:cNvPicPr>
                                <a:picLocks noGrp="1" noRot="1" noChangeAspect="1" noMove="1" noResize="1" noEditPoints="1" noAdjustHandles="1" noChangeArrowheads="1" noChangeShapeType="1"/>
                              </pic:cNvPicPr>
                            </pic:nvPicPr>
                            <pic:blipFill>
                              <a:blip r:embed="rId306"/>
                              <a:stretch>
                                <a:fillRect/>
                              </a:stretch>
                            </pic:blipFill>
                            <pic:spPr>
                              <a:xfrm>
                                <a:off x="0" y="0"/>
                                <a:ext cx="5399405" cy="1799590"/>
                              </a:xfrm>
                              <a:prstGeom prst="rect">
                                <a:avLst/>
                              </a:prstGeom>
                            </pic:spPr>
                          </pic:pic>
                        </a:graphicData>
                      </a:graphic>
                    </wp:inline>
                  </w:drawing>
                </mc:Fallback>
              </mc:AlternateContent>
            </w:r>
          </w:p>
        </w:tc>
      </w:tr>
      <w:tr w:rsidR="00105031" w:rsidRPr="00B25E66" w14:paraId="2B4D7E41" w14:textId="77777777" w:rsidTr="00A120D6">
        <w:tc>
          <w:tcPr>
            <w:tcW w:w="8736" w:type="dxa"/>
            <w:vAlign w:val="center"/>
          </w:tcPr>
          <w:p w14:paraId="02E029C9" w14:textId="3CB50198" w:rsidR="00105031" w:rsidRPr="00B25E66" w:rsidRDefault="00316240" w:rsidP="00105031">
            <w:pPr>
              <w:spacing w:after="0" w:line="240" w:lineRule="auto"/>
              <w:jc w:val="center"/>
              <w:rPr>
                <w:noProof/>
                <w:sz w:val="24"/>
                <w:szCs w:val="24"/>
                <w:lang w:val="en-US" w:eastAsia="ru-RU"/>
              </w:rPr>
            </w:pPr>
            <w:r w:rsidRPr="00B25E66">
              <w:rPr>
                <w:rFonts w:ascii="Times New Roman" w:hAnsi="Times New Roman" w:cs="Times New Roman"/>
                <w:sz w:val="24"/>
                <w:szCs w:val="24"/>
              </w:rPr>
              <w:t>г)</w:t>
            </w:r>
            <w:r w:rsidR="00B25E66" w:rsidRPr="00B25E66">
              <w:rPr>
                <w:rFonts w:ascii="Times New Roman" w:hAnsi="Times New Roman" w:cs="Times New Roman"/>
                <w:sz w:val="24"/>
                <w:szCs w:val="24"/>
              </w:rPr>
              <w:t xml:space="preserve"> Локализация</w:t>
            </w:r>
            <w:r w:rsidR="00B25E66" w:rsidRPr="00B25E66">
              <w:rPr>
                <w:rFonts w:ascii="Times New Roman" w:hAnsi="Times New Roman" w:cs="Times New Roman"/>
                <w:sz w:val="24"/>
                <w:szCs w:val="24"/>
                <w:lang w:val="en-US"/>
              </w:rPr>
              <w:t xml:space="preserve"> RU</w:t>
            </w:r>
          </w:p>
        </w:tc>
      </w:tr>
      <w:tr w:rsidR="00105031" w:rsidRPr="00A43B9C" w14:paraId="5434FB24" w14:textId="77777777" w:rsidTr="00A120D6">
        <w:tc>
          <w:tcPr>
            <w:tcW w:w="8736" w:type="dxa"/>
            <w:vAlign w:val="center"/>
          </w:tcPr>
          <w:p w14:paraId="4A859BFD" w14:textId="77777777" w:rsidR="00105031" w:rsidRPr="00A43B9C" w:rsidRDefault="00105031" w:rsidP="00105031">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09A24F2F" wp14:editId="3C39BD95">
                      <wp:extent cx="5400000" cy="1800000"/>
                      <wp:effectExtent l="0" t="0" r="10795" b="10160"/>
                      <wp:docPr id="482" name="Диаграмма 482">
                        <a:extLst xmlns:a="http://schemas.openxmlformats.org/drawingml/2006/main">
                          <a:ext uri="{FF2B5EF4-FFF2-40B4-BE49-F238E27FC236}">
                            <a16:creationId xmlns:a16="http://schemas.microsoft.com/office/drawing/2014/main" id="{48E97F37-4945-44D1-87D5-3C20D86F6808}"/>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07"/>
                        </a:graphicData>
                      </a:graphic>
                    </wp:inline>
                  </w:drawing>
                </mc:Choice>
                <mc:Fallback>
                  <w:drawing>
                    <wp:inline distT="0" distB="0" distL="0" distR="0" wp14:anchorId="09A24F2F" wp14:editId="3C39BD95">
                      <wp:extent cx="5400000" cy="1800000"/>
                      <wp:effectExtent l="0" t="0" r="10795" b="10160"/>
                      <wp:docPr id="482" name="Диаграмма 482">
                        <a:extLst xmlns:a="http://schemas.openxmlformats.org/drawingml/2006/main">
                          <a:ext uri="{FF2B5EF4-FFF2-40B4-BE49-F238E27FC236}">
                            <a16:creationId xmlns:a16="http://schemas.microsoft.com/office/drawing/2014/main" id="{48E97F37-4945-44D1-87D5-3C20D86F6808}"/>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82" name="Диаграмма 482">
                                <a:extLst>
                                  <a:ext uri="{FF2B5EF4-FFF2-40B4-BE49-F238E27FC236}">
                                    <a16:creationId xmlns:a16="http://schemas.microsoft.com/office/drawing/2014/main" id="{48E97F37-4945-44D1-87D5-3C20D86F6808}"/>
                                  </a:ext>
                                </a:extLst>
                              </pic:cNvPr>
                              <pic:cNvPicPr>
                                <a:picLocks noGrp="1" noRot="1" noChangeAspect="1" noMove="1" noResize="1" noEditPoints="1" noAdjustHandles="1" noChangeArrowheads="1" noChangeShapeType="1"/>
                              </pic:cNvPicPr>
                            </pic:nvPicPr>
                            <pic:blipFill>
                              <a:blip r:embed="rId308"/>
                              <a:stretch>
                                <a:fillRect/>
                              </a:stretch>
                            </pic:blipFill>
                            <pic:spPr>
                              <a:xfrm>
                                <a:off x="0" y="0"/>
                                <a:ext cx="5399405" cy="1799590"/>
                              </a:xfrm>
                              <a:prstGeom prst="rect">
                                <a:avLst/>
                              </a:prstGeom>
                            </pic:spPr>
                          </pic:pic>
                        </a:graphicData>
                      </a:graphic>
                    </wp:inline>
                  </w:drawing>
                </mc:Fallback>
              </mc:AlternateContent>
            </w:r>
          </w:p>
        </w:tc>
      </w:tr>
      <w:tr w:rsidR="00105031" w:rsidRPr="00B25E66" w14:paraId="7C98C979" w14:textId="77777777" w:rsidTr="00A120D6">
        <w:tc>
          <w:tcPr>
            <w:tcW w:w="8736" w:type="dxa"/>
            <w:vAlign w:val="center"/>
          </w:tcPr>
          <w:p w14:paraId="5B09D315" w14:textId="025ED01F" w:rsidR="00105031" w:rsidRPr="00B25E66" w:rsidRDefault="00316240" w:rsidP="00105031">
            <w:pPr>
              <w:spacing w:after="0" w:line="240" w:lineRule="auto"/>
              <w:jc w:val="center"/>
              <w:rPr>
                <w:noProof/>
                <w:sz w:val="24"/>
                <w:szCs w:val="24"/>
                <w:lang w:val="en-US" w:eastAsia="ru-RU"/>
              </w:rPr>
            </w:pPr>
            <w:r w:rsidRPr="00B25E66">
              <w:rPr>
                <w:rFonts w:ascii="Times New Roman" w:hAnsi="Times New Roman" w:cs="Times New Roman"/>
                <w:sz w:val="24"/>
                <w:szCs w:val="24"/>
              </w:rPr>
              <w:t>д)</w:t>
            </w:r>
            <w:r w:rsidR="00B25E66" w:rsidRPr="00B25E66">
              <w:rPr>
                <w:rFonts w:ascii="Times New Roman" w:hAnsi="Times New Roman" w:cs="Times New Roman"/>
                <w:sz w:val="24"/>
                <w:szCs w:val="24"/>
              </w:rPr>
              <w:t xml:space="preserve"> Локализация</w:t>
            </w:r>
            <w:r w:rsidR="00B25E66" w:rsidRPr="00B25E66">
              <w:rPr>
                <w:rFonts w:ascii="Times New Roman" w:hAnsi="Times New Roman" w:cs="Times New Roman"/>
                <w:sz w:val="24"/>
                <w:szCs w:val="24"/>
                <w:lang w:val="en-US"/>
              </w:rPr>
              <w:t xml:space="preserve"> RLL</w:t>
            </w:r>
          </w:p>
        </w:tc>
      </w:tr>
    </w:tbl>
    <w:p w14:paraId="3F64B39A" w14:textId="77777777" w:rsidR="00B25E66" w:rsidRDefault="00B25E66" w:rsidP="00B25E66">
      <w:pPr>
        <w:spacing w:after="0" w:line="240" w:lineRule="auto"/>
        <w:rPr>
          <w:rFonts w:ascii="Times New Roman" w:hAnsi="Times New Roman" w:cs="Times New Roman"/>
          <w:sz w:val="28"/>
          <w:szCs w:val="28"/>
        </w:rPr>
      </w:pPr>
    </w:p>
    <w:p w14:paraId="4D4EDEF5" w14:textId="5346971A" w:rsidR="00B25E66" w:rsidRPr="00B25E66" w:rsidRDefault="00B25E66" w:rsidP="00B25E66">
      <w:pPr>
        <w:spacing w:after="0" w:line="240" w:lineRule="auto"/>
        <w:ind w:firstLine="709"/>
        <w:jc w:val="center"/>
        <w:rPr>
          <w:rFonts w:ascii="Times New Roman" w:hAnsi="Times New Roman" w:cs="Times New Roman"/>
          <w:sz w:val="28"/>
          <w:szCs w:val="28"/>
        </w:rPr>
      </w:pPr>
      <w:r w:rsidRPr="00A43B9C">
        <w:rPr>
          <w:rFonts w:ascii="Times New Roman" w:hAnsi="Times New Roman" w:cs="Times New Roman"/>
          <w:sz w:val="28"/>
          <w:szCs w:val="28"/>
        </w:rPr>
        <w:t>Рисунок 4</w:t>
      </w:r>
      <w:r>
        <w:rPr>
          <w:rFonts w:ascii="Times New Roman" w:hAnsi="Times New Roman" w:cs="Times New Roman"/>
          <w:sz w:val="28"/>
          <w:szCs w:val="28"/>
        </w:rPr>
        <w:t>4</w:t>
      </w:r>
      <w:r w:rsidRPr="00A43B9C">
        <w:rPr>
          <w:rFonts w:ascii="Times New Roman" w:hAnsi="Times New Roman" w:cs="Times New Roman"/>
          <w:sz w:val="28"/>
          <w:szCs w:val="28"/>
        </w:rPr>
        <w:t xml:space="preserve"> </w:t>
      </w:r>
      <w:r w:rsidR="004D5D0F">
        <w:rPr>
          <w:rFonts w:ascii="Times New Roman" w:hAnsi="Times New Roman" w:cs="Times New Roman"/>
          <w:sz w:val="28"/>
          <w:szCs w:val="28"/>
        </w:rPr>
        <w:t>-</w:t>
      </w:r>
      <w:r w:rsidRPr="00A43B9C">
        <w:rPr>
          <w:rFonts w:ascii="Times New Roman" w:hAnsi="Times New Roman" w:cs="Times New Roman"/>
          <w:sz w:val="28"/>
          <w:szCs w:val="28"/>
        </w:rPr>
        <w:t xml:space="preserve"> </w:t>
      </w:r>
      <w:r>
        <w:rPr>
          <w:rFonts w:ascii="Times New Roman" w:hAnsi="Times New Roman" w:cs="Times New Roman"/>
          <w:sz w:val="28"/>
          <w:szCs w:val="28"/>
        </w:rPr>
        <w:t>лист 2</w:t>
      </w:r>
      <w:r w:rsidRPr="00B25E66">
        <w:rPr>
          <w:rFonts w:ascii="Times New Roman" w:hAnsi="Times New Roman" w:cs="Times New Roman"/>
          <w:sz w:val="28"/>
          <w:szCs w:val="28"/>
        </w:rPr>
        <w:br w:type="page"/>
      </w:r>
    </w:p>
    <w:tbl>
      <w:tblPr>
        <w:tblStyle w:val="ad"/>
        <w:tblW w:w="873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6"/>
      </w:tblGrid>
      <w:tr w:rsidR="00105031" w:rsidRPr="00A43B9C" w14:paraId="3C785AF8" w14:textId="77777777" w:rsidTr="00A120D6">
        <w:tc>
          <w:tcPr>
            <w:tcW w:w="8736" w:type="dxa"/>
            <w:vAlign w:val="center"/>
          </w:tcPr>
          <w:p w14:paraId="0F937544" w14:textId="77777777" w:rsidR="00105031" w:rsidRPr="00A43B9C" w:rsidRDefault="00105031" w:rsidP="00105031">
            <w:pPr>
              <w:spacing w:after="0" w:line="240" w:lineRule="auto"/>
              <w:jc w:val="center"/>
              <w:rPr>
                <w:rFonts w:ascii="Times New Roman" w:hAnsi="Times New Roman" w:cs="Times New Roman"/>
                <w:sz w:val="28"/>
                <w:szCs w:val="28"/>
              </w:rPr>
            </w:pPr>
            <w:r w:rsidRPr="00A43B9C">
              <w:rPr>
                <w:noProof/>
                <w:lang w:eastAsia="ru-RU"/>
              </w:rPr>
              <w:lastRenderedPageBreak/>
              <mc:AlternateContent>
                <mc:Choice Requires="cx1">
                  <w:drawing>
                    <wp:inline distT="0" distB="0" distL="0" distR="0" wp14:anchorId="358FBC88" wp14:editId="14AA553A">
                      <wp:extent cx="5400000" cy="1800000"/>
                      <wp:effectExtent l="0" t="0" r="10795" b="10160"/>
                      <wp:docPr id="483" name="Диаграмма 483">
                        <a:extLst xmlns:a="http://schemas.openxmlformats.org/drawingml/2006/main">
                          <a:ext uri="{FF2B5EF4-FFF2-40B4-BE49-F238E27FC236}">
                            <a16:creationId xmlns:a16="http://schemas.microsoft.com/office/drawing/2014/main" id="{87DF8325-22F3-4225-BBC1-E54D69566C0A}"/>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09"/>
                        </a:graphicData>
                      </a:graphic>
                    </wp:inline>
                  </w:drawing>
                </mc:Choice>
                <mc:Fallback>
                  <w:drawing>
                    <wp:inline distT="0" distB="0" distL="0" distR="0" wp14:anchorId="358FBC88" wp14:editId="14AA553A">
                      <wp:extent cx="5400000" cy="1800000"/>
                      <wp:effectExtent l="0" t="0" r="10795" b="10160"/>
                      <wp:docPr id="483" name="Диаграмма 483">
                        <a:extLst xmlns:a="http://schemas.openxmlformats.org/drawingml/2006/main">
                          <a:ext uri="{FF2B5EF4-FFF2-40B4-BE49-F238E27FC236}">
                            <a16:creationId xmlns:a16="http://schemas.microsoft.com/office/drawing/2014/main" id="{87DF8325-22F3-4225-BBC1-E54D69566C0A}"/>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83" name="Диаграмма 483">
                                <a:extLst>
                                  <a:ext uri="{FF2B5EF4-FFF2-40B4-BE49-F238E27FC236}">
                                    <a16:creationId xmlns:a16="http://schemas.microsoft.com/office/drawing/2014/main" id="{87DF8325-22F3-4225-BBC1-E54D69566C0A}"/>
                                  </a:ext>
                                </a:extLst>
                              </pic:cNvPr>
                              <pic:cNvPicPr>
                                <a:picLocks noGrp="1" noRot="1" noChangeAspect="1" noMove="1" noResize="1" noEditPoints="1" noAdjustHandles="1" noChangeArrowheads="1" noChangeShapeType="1"/>
                              </pic:cNvPicPr>
                            </pic:nvPicPr>
                            <pic:blipFill>
                              <a:blip r:embed="rId310"/>
                              <a:stretch>
                                <a:fillRect/>
                              </a:stretch>
                            </pic:blipFill>
                            <pic:spPr>
                              <a:xfrm>
                                <a:off x="0" y="0"/>
                                <a:ext cx="5399405" cy="1799590"/>
                              </a:xfrm>
                              <a:prstGeom prst="rect">
                                <a:avLst/>
                              </a:prstGeom>
                            </pic:spPr>
                          </pic:pic>
                        </a:graphicData>
                      </a:graphic>
                    </wp:inline>
                  </w:drawing>
                </mc:Fallback>
              </mc:AlternateContent>
            </w:r>
          </w:p>
        </w:tc>
      </w:tr>
      <w:tr w:rsidR="00105031" w:rsidRPr="00B25E66" w14:paraId="3D73E0E2" w14:textId="77777777" w:rsidTr="00A120D6">
        <w:tc>
          <w:tcPr>
            <w:tcW w:w="8736" w:type="dxa"/>
            <w:vAlign w:val="center"/>
          </w:tcPr>
          <w:p w14:paraId="29F41F74" w14:textId="6F7F9BF8" w:rsidR="00105031" w:rsidRPr="00B25E66" w:rsidRDefault="00316240" w:rsidP="00105031">
            <w:pPr>
              <w:spacing w:after="0" w:line="240" w:lineRule="auto"/>
              <w:jc w:val="center"/>
              <w:rPr>
                <w:noProof/>
                <w:sz w:val="24"/>
                <w:szCs w:val="24"/>
                <w:lang w:val="en-US" w:eastAsia="ru-RU"/>
              </w:rPr>
            </w:pPr>
            <w:r w:rsidRPr="00B25E66">
              <w:rPr>
                <w:rFonts w:ascii="Times New Roman" w:hAnsi="Times New Roman" w:cs="Times New Roman"/>
                <w:sz w:val="24"/>
                <w:szCs w:val="24"/>
              </w:rPr>
              <w:t>е)</w:t>
            </w:r>
            <w:r w:rsidR="00B25E66" w:rsidRPr="00B25E66">
              <w:rPr>
                <w:rFonts w:ascii="Times New Roman" w:hAnsi="Times New Roman" w:cs="Times New Roman"/>
                <w:sz w:val="24"/>
                <w:szCs w:val="24"/>
              </w:rPr>
              <w:t xml:space="preserve"> Локализация</w:t>
            </w:r>
            <w:r w:rsidR="00B25E66" w:rsidRPr="00B25E66">
              <w:rPr>
                <w:rFonts w:ascii="Times New Roman" w:hAnsi="Times New Roman" w:cs="Times New Roman"/>
                <w:sz w:val="24"/>
                <w:szCs w:val="24"/>
                <w:lang w:val="en-US"/>
              </w:rPr>
              <w:t xml:space="preserve"> RRI</w:t>
            </w:r>
          </w:p>
        </w:tc>
      </w:tr>
      <w:tr w:rsidR="00105031" w:rsidRPr="00A43B9C" w14:paraId="18532EAE" w14:textId="77777777" w:rsidTr="00A120D6">
        <w:tc>
          <w:tcPr>
            <w:tcW w:w="8736" w:type="dxa"/>
            <w:vAlign w:val="center"/>
          </w:tcPr>
          <w:p w14:paraId="7046A97E" w14:textId="77777777" w:rsidR="00105031" w:rsidRPr="00A43B9C" w:rsidRDefault="00105031" w:rsidP="00105031">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55B0C0A0" wp14:editId="4A7FECE9">
                      <wp:extent cx="5400000" cy="1800000"/>
                      <wp:effectExtent l="0" t="0" r="10795" b="10160"/>
                      <wp:docPr id="484" name="Диаграмма 484">
                        <a:extLst xmlns:a="http://schemas.openxmlformats.org/drawingml/2006/main">
                          <a:ext uri="{FF2B5EF4-FFF2-40B4-BE49-F238E27FC236}">
                            <a16:creationId xmlns:a16="http://schemas.microsoft.com/office/drawing/2014/main" id="{03BCC031-A75C-463B-9D1F-6D6ADB273B2E}"/>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11"/>
                        </a:graphicData>
                      </a:graphic>
                    </wp:inline>
                  </w:drawing>
                </mc:Choice>
                <mc:Fallback>
                  <w:drawing>
                    <wp:inline distT="0" distB="0" distL="0" distR="0" wp14:anchorId="55B0C0A0" wp14:editId="4A7FECE9">
                      <wp:extent cx="5400000" cy="1800000"/>
                      <wp:effectExtent l="0" t="0" r="10795" b="10160"/>
                      <wp:docPr id="484" name="Диаграмма 484">
                        <a:extLst xmlns:a="http://schemas.openxmlformats.org/drawingml/2006/main">
                          <a:ext uri="{FF2B5EF4-FFF2-40B4-BE49-F238E27FC236}">
                            <a16:creationId xmlns:a16="http://schemas.microsoft.com/office/drawing/2014/main" id="{03BCC031-A75C-463B-9D1F-6D6ADB273B2E}"/>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84" name="Диаграмма 484">
                                <a:extLst>
                                  <a:ext uri="{FF2B5EF4-FFF2-40B4-BE49-F238E27FC236}">
                                    <a16:creationId xmlns:a16="http://schemas.microsoft.com/office/drawing/2014/main" id="{03BCC031-A75C-463B-9D1F-6D6ADB273B2E}"/>
                                  </a:ext>
                                </a:extLst>
                              </pic:cNvPr>
                              <pic:cNvPicPr>
                                <a:picLocks noGrp="1" noRot="1" noChangeAspect="1" noMove="1" noResize="1" noEditPoints="1" noAdjustHandles="1" noChangeArrowheads="1" noChangeShapeType="1"/>
                              </pic:cNvPicPr>
                            </pic:nvPicPr>
                            <pic:blipFill>
                              <a:blip r:embed="rId312"/>
                              <a:stretch>
                                <a:fillRect/>
                              </a:stretch>
                            </pic:blipFill>
                            <pic:spPr>
                              <a:xfrm>
                                <a:off x="0" y="0"/>
                                <a:ext cx="5399405" cy="1799590"/>
                              </a:xfrm>
                              <a:prstGeom prst="rect">
                                <a:avLst/>
                              </a:prstGeom>
                            </pic:spPr>
                          </pic:pic>
                        </a:graphicData>
                      </a:graphic>
                    </wp:inline>
                  </w:drawing>
                </mc:Fallback>
              </mc:AlternateContent>
            </w:r>
          </w:p>
        </w:tc>
      </w:tr>
      <w:tr w:rsidR="00105031" w:rsidRPr="00B25E66" w14:paraId="249EBD92" w14:textId="77777777" w:rsidTr="00A120D6">
        <w:tc>
          <w:tcPr>
            <w:tcW w:w="8736" w:type="dxa"/>
            <w:vAlign w:val="center"/>
          </w:tcPr>
          <w:p w14:paraId="35D02287" w14:textId="08D76B33" w:rsidR="00105031" w:rsidRPr="00B25E66" w:rsidRDefault="00316240" w:rsidP="00105031">
            <w:pPr>
              <w:spacing w:after="0" w:line="240" w:lineRule="auto"/>
              <w:jc w:val="center"/>
              <w:rPr>
                <w:noProof/>
                <w:sz w:val="24"/>
                <w:szCs w:val="24"/>
                <w:lang w:val="en-US" w:eastAsia="ru-RU"/>
              </w:rPr>
            </w:pPr>
            <w:r w:rsidRPr="00B25E66">
              <w:rPr>
                <w:rFonts w:ascii="Times New Roman" w:hAnsi="Times New Roman" w:cs="Times New Roman"/>
                <w:sz w:val="24"/>
                <w:szCs w:val="24"/>
              </w:rPr>
              <w:t>ж)</w:t>
            </w:r>
            <w:r w:rsidR="00B25E66" w:rsidRPr="00B25E66">
              <w:rPr>
                <w:rFonts w:ascii="Times New Roman" w:hAnsi="Times New Roman" w:cs="Times New Roman"/>
                <w:sz w:val="24"/>
                <w:szCs w:val="24"/>
              </w:rPr>
              <w:t xml:space="preserve"> Локализация</w:t>
            </w:r>
            <w:r w:rsidR="00B25E66" w:rsidRPr="00B25E66">
              <w:rPr>
                <w:rFonts w:ascii="Times New Roman" w:hAnsi="Times New Roman" w:cs="Times New Roman"/>
                <w:sz w:val="24"/>
                <w:szCs w:val="24"/>
                <w:lang w:val="en-US"/>
              </w:rPr>
              <w:t xml:space="preserve"> RP</w:t>
            </w:r>
          </w:p>
        </w:tc>
      </w:tr>
      <w:tr w:rsidR="00105031" w:rsidRPr="00A43B9C" w14:paraId="219084CD" w14:textId="77777777" w:rsidTr="00A120D6">
        <w:tc>
          <w:tcPr>
            <w:tcW w:w="8736" w:type="dxa"/>
            <w:vAlign w:val="center"/>
          </w:tcPr>
          <w:p w14:paraId="4A327F9C" w14:textId="77777777" w:rsidR="00105031" w:rsidRPr="00A43B9C" w:rsidRDefault="00105031" w:rsidP="00105031">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75D56C1B" wp14:editId="613244F4">
                      <wp:extent cx="5400000" cy="1800000"/>
                      <wp:effectExtent l="0" t="0" r="10795" b="10160"/>
                      <wp:docPr id="485" name="Диаграмма 485">
                        <a:extLst xmlns:a="http://schemas.openxmlformats.org/drawingml/2006/main">
                          <a:ext uri="{FF2B5EF4-FFF2-40B4-BE49-F238E27FC236}">
                            <a16:creationId xmlns:a16="http://schemas.microsoft.com/office/drawing/2014/main" id="{44F4EF32-327A-4DF3-A097-D794CAAEE12E}"/>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13"/>
                        </a:graphicData>
                      </a:graphic>
                    </wp:inline>
                  </w:drawing>
                </mc:Choice>
                <mc:Fallback>
                  <w:drawing>
                    <wp:inline distT="0" distB="0" distL="0" distR="0" wp14:anchorId="75D56C1B" wp14:editId="613244F4">
                      <wp:extent cx="5400000" cy="1800000"/>
                      <wp:effectExtent l="0" t="0" r="10795" b="10160"/>
                      <wp:docPr id="485" name="Диаграмма 485">
                        <a:extLst xmlns:a="http://schemas.openxmlformats.org/drawingml/2006/main">
                          <a:ext uri="{FF2B5EF4-FFF2-40B4-BE49-F238E27FC236}">
                            <a16:creationId xmlns:a16="http://schemas.microsoft.com/office/drawing/2014/main" id="{44F4EF32-327A-4DF3-A097-D794CAAEE12E}"/>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85" name="Диаграмма 485">
                                <a:extLst>
                                  <a:ext uri="{FF2B5EF4-FFF2-40B4-BE49-F238E27FC236}">
                                    <a16:creationId xmlns:a16="http://schemas.microsoft.com/office/drawing/2014/main" id="{44F4EF32-327A-4DF3-A097-D794CAAEE12E}"/>
                                  </a:ext>
                                </a:extLst>
                              </pic:cNvPr>
                              <pic:cNvPicPr>
                                <a:picLocks noGrp="1" noRot="1" noChangeAspect="1" noMove="1" noResize="1" noEditPoints="1" noAdjustHandles="1" noChangeArrowheads="1" noChangeShapeType="1"/>
                              </pic:cNvPicPr>
                            </pic:nvPicPr>
                            <pic:blipFill>
                              <a:blip r:embed="rId314"/>
                              <a:stretch>
                                <a:fillRect/>
                              </a:stretch>
                            </pic:blipFill>
                            <pic:spPr>
                              <a:xfrm>
                                <a:off x="0" y="0"/>
                                <a:ext cx="5399405" cy="1799590"/>
                              </a:xfrm>
                              <a:prstGeom prst="rect">
                                <a:avLst/>
                              </a:prstGeom>
                            </pic:spPr>
                          </pic:pic>
                        </a:graphicData>
                      </a:graphic>
                    </wp:inline>
                  </w:drawing>
                </mc:Fallback>
              </mc:AlternateContent>
            </w:r>
          </w:p>
        </w:tc>
      </w:tr>
      <w:tr w:rsidR="00105031" w:rsidRPr="00B25E66" w14:paraId="2A0F09A5" w14:textId="77777777" w:rsidTr="00A120D6">
        <w:tc>
          <w:tcPr>
            <w:tcW w:w="8736" w:type="dxa"/>
            <w:vAlign w:val="center"/>
          </w:tcPr>
          <w:p w14:paraId="024982D5" w14:textId="5E54DF23" w:rsidR="00105031" w:rsidRPr="00B25E66" w:rsidRDefault="00316240" w:rsidP="00105031">
            <w:pPr>
              <w:spacing w:after="0" w:line="240" w:lineRule="auto"/>
              <w:jc w:val="center"/>
              <w:rPr>
                <w:noProof/>
                <w:sz w:val="24"/>
                <w:szCs w:val="24"/>
                <w:lang w:val="en-US" w:eastAsia="ru-RU"/>
              </w:rPr>
            </w:pPr>
            <w:r w:rsidRPr="00B25E66">
              <w:rPr>
                <w:rFonts w:ascii="Times New Roman" w:hAnsi="Times New Roman" w:cs="Times New Roman"/>
                <w:sz w:val="24"/>
                <w:szCs w:val="24"/>
              </w:rPr>
              <w:t>к)</w:t>
            </w:r>
            <w:r w:rsidR="00B25E66" w:rsidRPr="00B25E66">
              <w:rPr>
                <w:rFonts w:ascii="Times New Roman" w:hAnsi="Times New Roman" w:cs="Times New Roman"/>
                <w:sz w:val="24"/>
                <w:szCs w:val="24"/>
              </w:rPr>
              <w:t xml:space="preserve"> Локализация</w:t>
            </w:r>
            <w:r w:rsidR="00B25E66" w:rsidRPr="00B25E66">
              <w:rPr>
                <w:rFonts w:ascii="Times New Roman" w:hAnsi="Times New Roman" w:cs="Times New Roman"/>
                <w:sz w:val="24"/>
                <w:szCs w:val="24"/>
                <w:lang w:val="en-US"/>
              </w:rPr>
              <w:t xml:space="preserve"> RLI</w:t>
            </w:r>
          </w:p>
        </w:tc>
      </w:tr>
      <w:tr w:rsidR="00105031" w:rsidRPr="00A43B9C" w14:paraId="18DED54C" w14:textId="77777777" w:rsidTr="00A120D6">
        <w:tc>
          <w:tcPr>
            <w:tcW w:w="8736" w:type="dxa"/>
            <w:vAlign w:val="center"/>
          </w:tcPr>
          <w:p w14:paraId="404362F2" w14:textId="47D0CB89" w:rsidR="001C40D1" w:rsidRPr="00A43B9C" w:rsidRDefault="001C40D1" w:rsidP="00105031">
            <w:pPr>
              <w:spacing w:after="0" w:line="240" w:lineRule="auto"/>
              <w:jc w:val="center"/>
              <w:rPr>
                <w:rFonts w:ascii="Times New Roman" w:hAnsi="Times New Roman" w:cs="Times New Roman"/>
                <w:sz w:val="28"/>
                <w:szCs w:val="28"/>
              </w:rPr>
            </w:pPr>
            <w:r w:rsidRPr="00A43B9C">
              <w:rPr>
                <w:noProof/>
              </w:rPr>
              <mc:AlternateContent>
                <mc:Choice Requires="cx1">
                  <w:drawing>
                    <wp:inline distT="0" distB="0" distL="0" distR="0" wp14:anchorId="301D246E" wp14:editId="20BC6C44">
                      <wp:extent cx="5400000" cy="1800000"/>
                      <wp:effectExtent l="0" t="0" r="10795" b="10160"/>
                      <wp:docPr id="48" name="Диаграмма 48">
                        <a:extLst xmlns:a="http://schemas.openxmlformats.org/drawingml/2006/main">
                          <a:ext uri="{FF2B5EF4-FFF2-40B4-BE49-F238E27FC236}">
                            <a16:creationId xmlns:a16="http://schemas.microsoft.com/office/drawing/2014/main" id="{50139353-05CE-4D0C-8349-1759F6C4A0FA}"/>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15"/>
                        </a:graphicData>
                      </a:graphic>
                    </wp:inline>
                  </w:drawing>
                </mc:Choice>
                <mc:Fallback>
                  <w:drawing>
                    <wp:inline distT="0" distB="0" distL="0" distR="0" wp14:anchorId="301D246E" wp14:editId="20BC6C44">
                      <wp:extent cx="5400000" cy="1800000"/>
                      <wp:effectExtent l="0" t="0" r="10795" b="10160"/>
                      <wp:docPr id="48" name="Диаграмма 48">
                        <a:extLst xmlns:a="http://schemas.openxmlformats.org/drawingml/2006/main">
                          <a:ext uri="{FF2B5EF4-FFF2-40B4-BE49-F238E27FC236}">
                            <a16:creationId xmlns:a16="http://schemas.microsoft.com/office/drawing/2014/main" id="{50139353-05CE-4D0C-8349-1759F6C4A0FA}"/>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8" name="Диаграмма 48">
                                <a:extLst>
                                  <a:ext uri="{FF2B5EF4-FFF2-40B4-BE49-F238E27FC236}">
                                    <a16:creationId xmlns:a16="http://schemas.microsoft.com/office/drawing/2014/main" id="{50139353-05CE-4D0C-8349-1759F6C4A0FA}"/>
                                  </a:ext>
                                </a:extLst>
                              </pic:cNvPr>
                              <pic:cNvPicPr>
                                <a:picLocks noGrp="1" noRot="1" noChangeAspect="1" noMove="1" noResize="1" noEditPoints="1" noAdjustHandles="1" noChangeArrowheads="1" noChangeShapeType="1"/>
                              </pic:cNvPicPr>
                            </pic:nvPicPr>
                            <pic:blipFill>
                              <a:blip r:embed="rId316"/>
                              <a:stretch>
                                <a:fillRect/>
                              </a:stretch>
                            </pic:blipFill>
                            <pic:spPr>
                              <a:xfrm>
                                <a:off x="0" y="0"/>
                                <a:ext cx="5399405" cy="1799590"/>
                              </a:xfrm>
                              <a:prstGeom prst="rect">
                                <a:avLst/>
                              </a:prstGeom>
                            </pic:spPr>
                          </pic:pic>
                        </a:graphicData>
                      </a:graphic>
                    </wp:inline>
                  </w:drawing>
                </mc:Fallback>
              </mc:AlternateContent>
            </w:r>
          </w:p>
        </w:tc>
      </w:tr>
      <w:tr w:rsidR="00105031" w:rsidRPr="00B25E66" w14:paraId="67624210" w14:textId="77777777" w:rsidTr="00A120D6">
        <w:tc>
          <w:tcPr>
            <w:tcW w:w="8736" w:type="dxa"/>
            <w:vAlign w:val="center"/>
          </w:tcPr>
          <w:p w14:paraId="72B817C4" w14:textId="41DD8218" w:rsidR="00105031" w:rsidRPr="00B25E66" w:rsidRDefault="00316240" w:rsidP="00105031">
            <w:pPr>
              <w:spacing w:after="0" w:line="240" w:lineRule="auto"/>
              <w:jc w:val="center"/>
              <w:rPr>
                <w:noProof/>
                <w:sz w:val="24"/>
                <w:szCs w:val="24"/>
                <w:lang w:val="en-US" w:eastAsia="ru-RU"/>
              </w:rPr>
            </w:pPr>
            <w:r w:rsidRPr="00B25E66">
              <w:rPr>
                <w:rFonts w:ascii="Times New Roman" w:hAnsi="Times New Roman" w:cs="Times New Roman"/>
                <w:sz w:val="24"/>
                <w:szCs w:val="24"/>
              </w:rPr>
              <w:t>л)</w:t>
            </w:r>
            <w:r w:rsidR="00B25E66" w:rsidRPr="00B25E66">
              <w:rPr>
                <w:rFonts w:ascii="Times New Roman" w:hAnsi="Times New Roman" w:cs="Times New Roman"/>
                <w:sz w:val="24"/>
                <w:szCs w:val="24"/>
              </w:rPr>
              <w:t xml:space="preserve"> Локализация</w:t>
            </w:r>
            <w:r w:rsidR="00B25E66" w:rsidRPr="00B25E66">
              <w:rPr>
                <w:rFonts w:ascii="Times New Roman" w:hAnsi="Times New Roman" w:cs="Times New Roman"/>
                <w:sz w:val="24"/>
                <w:szCs w:val="24"/>
                <w:lang w:val="en-US"/>
              </w:rPr>
              <w:t xml:space="preserve"> P</w:t>
            </w:r>
          </w:p>
        </w:tc>
      </w:tr>
    </w:tbl>
    <w:p w14:paraId="6D5DA40D" w14:textId="77777777" w:rsidR="00B25E66" w:rsidRDefault="00B25E66" w:rsidP="00AB7088">
      <w:pPr>
        <w:spacing w:after="0" w:line="240" w:lineRule="auto"/>
        <w:ind w:firstLine="709"/>
        <w:jc w:val="center"/>
        <w:rPr>
          <w:rFonts w:ascii="Times New Roman" w:hAnsi="Times New Roman" w:cs="Times New Roman"/>
          <w:sz w:val="28"/>
          <w:szCs w:val="28"/>
        </w:rPr>
      </w:pPr>
    </w:p>
    <w:p w14:paraId="6B8E54F6" w14:textId="3F689299" w:rsidR="00645396" w:rsidRPr="00A43B9C" w:rsidRDefault="00B25E66" w:rsidP="00AB7088">
      <w:pPr>
        <w:spacing w:after="0" w:line="240" w:lineRule="auto"/>
        <w:ind w:firstLine="709"/>
        <w:jc w:val="center"/>
        <w:rPr>
          <w:rFonts w:ascii="Times New Roman" w:hAnsi="Times New Roman" w:cs="Times New Roman"/>
          <w:sz w:val="28"/>
          <w:szCs w:val="28"/>
        </w:rPr>
      </w:pPr>
      <w:r w:rsidRPr="00A43B9C">
        <w:rPr>
          <w:rFonts w:ascii="Times New Roman" w:hAnsi="Times New Roman" w:cs="Times New Roman"/>
          <w:sz w:val="28"/>
          <w:szCs w:val="28"/>
        </w:rPr>
        <w:t>Рисунок 4</w:t>
      </w:r>
      <w:r>
        <w:rPr>
          <w:rFonts w:ascii="Times New Roman" w:hAnsi="Times New Roman" w:cs="Times New Roman"/>
          <w:sz w:val="28"/>
          <w:szCs w:val="28"/>
        </w:rPr>
        <w:t>4</w:t>
      </w:r>
      <w:r w:rsidRPr="00A43B9C">
        <w:rPr>
          <w:rFonts w:ascii="Times New Roman" w:hAnsi="Times New Roman" w:cs="Times New Roman"/>
          <w:sz w:val="28"/>
          <w:szCs w:val="28"/>
        </w:rPr>
        <w:t xml:space="preserve"> </w:t>
      </w:r>
      <w:r w:rsidR="004D5D0F">
        <w:rPr>
          <w:rFonts w:ascii="Times New Roman" w:hAnsi="Times New Roman" w:cs="Times New Roman"/>
          <w:sz w:val="28"/>
          <w:szCs w:val="28"/>
        </w:rPr>
        <w:t>-</w:t>
      </w:r>
      <w:r w:rsidRPr="00A43B9C">
        <w:rPr>
          <w:rFonts w:ascii="Times New Roman" w:hAnsi="Times New Roman" w:cs="Times New Roman"/>
          <w:sz w:val="28"/>
          <w:szCs w:val="28"/>
        </w:rPr>
        <w:t xml:space="preserve"> </w:t>
      </w:r>
      <w:r>
        <w:rPr>
          <w:rFonts w:ascii="Times New Roman" w:hAnsi="Times New Roman" w:cs="Times New Roman"/>
          <w:sz w:val="28"/>
          <w:szCs w:val="28"/>
        </w:rPr>
        <w:t>лист 3</w:t>
      </w:r>
    </w:p>
    <w:p w14:paraId="26B69111" w14:textId="77777777" w:rsidR="00645396" w:rsidRPr="00A43B9C" w:rsidRDefault="00645396" w:rsidP="00677963">
      <w:pPr>
        <w:spacing w:after="0" w:line="240" w:lineRule="auto"/>
        <w:ind w:firstLine="709"/>
        <w:rPr>
          <w:rFonts w:ascii="Times New Roman" w:hAnsi="Times New Roman" w:cs="Times New Roman"/>
          <w:sz w:val="28"/>
          <w:szCs w:val="28"/>
        </w:rPr>
      </w:pPr>
    </w:p>
    <w:p w14:paraId="0889981F" w14:textId="438C41CD" w:rsidR="00677963" w:rsidRPr="00A43B9C" w:rsidRDefault="00336C46" w:rsidP="00677963">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Анализ </w:t>
      </w:r>
      <w:r w:rsidR="00677963" w:rsidRPr="00A43B9C">
        <w:rPr>
          <w:rFonts w:ascii="Times New Roman" w:hAnsi="Times New Roman" w:cs="Times New Roman"/>
          <w:sz w:val="28"/>
          <w:szCs w:val="28"/>
        </w:rPr>
        <w:t xml:space="preserve">по статусу </w:t>
      </w:r>
      <w:r w:rsidR="00677963" w:rsidRPr="00A43B9C">
        <w:rPr>
          <w:rFonts w:ascii="Times New Roman" w:hAnsi="Times New Roman" w:cs="Times New Roman"/>
          <w:sz w:val="28"/>
          <w:szCs w:val="28"/>
          <w:lang w:val="en-US"/>
        </w:rPr>
        <w:t>LM</w:t>
      </w:r>
      <w:r w:rsidR="00677963" w:rsidRPr="00A43B9C">
        <w:rPr>
          <w:rFonts w:ascii="Times New Roman" w:hAnsi="Times New Roman" w:cs="Times New Roman"/>
          <w:sz w:val="28"/>
          <w:szCs w:val="28"/>
        </w:rPr>
        <w:t xml:space="preserve"> в локализации RE I </w:t>
      </w:r>
      <w:r w:rsidRPr="00A43B9C">
        <w:rPr>
          <w:rFonts w:ascii="Times New Roman" w:hAnsi="Times New Roman" w:cs="Times New Roman"/>
          <w:sz w:val="28"/>
          <w:szCs w:val="28"/>
        </w:rPr>
        <w:t xml:space="preserve">и </w:t>
      </w:r>
      <w:r w:rsidRPr="00A43B9C">
        <w:rPr>
          <w:rFonts w:ascii="Times New Roman" w:hAnsi="Times New Roman" w:cs="Times New Roman"/>
          <w:sz w:val="28"/>
          <w:szCs w:val="28"/>
          <w:lang w:val="en-US"/>
        </w:rPr>
        <w:t>RE</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II</w:t>
      </w:r>
      <w:r w:rsidRPr="00A43B9C">
        <w:rPr>
          <w:rFonts w:ascii="Times New Roman" w:hAnsi="Times New Roman" w:cs="Times New Roman"/>
          <w:sz w:val="28"/>
          <w:szCs w:val="28"/>
        </w:rPr>
        <w:t xml:space="preserve"> </w:t>
      </w:r>
      <w:r w:rsidR="00677963" w:rsidRPr="00A43B9C">
        <w:rPr>
          <w:rFonts w:ascii="Times New Roman" w:hAnsi="Times New Roman" w:cs="Times New Roman"/>
          <w:sz w:val="28"/>
          <w:szCs w:val="28"/>
        </w:rPr>
        <w:t>не выяви</w:t>
      </w:r>
      <w:r w:rsidRPr="00A43B9C">
        <w:rPr>
          <w:rFonts w:ascii="Times New Roman" w:hAnsi="Times New Roman" w:cs="Times New Roman"/>
          <w:sz w:val="28"/>
          <w:szCs w:val="28"/>
        </w:rPr>
        <w:t>л</w:t>
      </w:r>
      <w:r w:rsidR="00677963" w:rsidRPr="00A43B9C">
        <w:rPr>
          <w:rFonts w:ascii="Times New Roman" w:hAnsi="Times New Roman" w:cs="Times New Roman"/>
          <w:sz w:val="28"/>
          <w:szCs w:val="28"/>
        </w:rPr>
        <w:t xml:space="preserve"> значимы</w:t>
      </w:r>
      <w:r w:rsidR="004413BC" w:rsidRPr="00A43B9C">
        <w:rPr>
          <w:rFonts w:ascii="Times New Roman" w:hAnsi="Times New Roman" w:cs="Times New Roman"/>
          <w:sz w:val="28"/>
          <w:szCs w:val="28"/>
        </w:rPr>
        <w:t>х</w:t>
      </w:r>
      <w:r w:rsidR="00677963" w:rsidRPr="00A43B9C">
        <w:rPr>
          <w:rFonts w:ascii="Times New Roman" w:hAnsi="Times New Roman" w:cs="Times New Roman"/>
          <w:sz w:val="28"/>
          <w:szCs w:val="28"/>
        </w:rPr>
        <w:t xml:space="preserve"> различи</w:t>
      </w:r>
      <w:r w:rsidR="004413BC" w:rsidRPr="00A43B9C">
        <w:rPr>
          <w:rFonts w:ascii="Times New Roman" w:hAnsi="Times New Roman" w:cs="Times New Roman"/>
          <w:sz w:val="28"/>
          <w:szCs w:val="28"/>
        </w:rPr>
        <w:t>й</w:t>
      </w:r>
      <w:r w:rsidR="00677963" w:rsidRPr="00A43B9C">
        <w:rPr>
          <w:rFonts w:ascii="Times New Roman" w:hAnsi="Times New Roman" w:cs="Times New Roman"/>
          <w:sz w:val="28"/>
          <w:szCs w:val="28"/>
        </w:rPr>
        <w:t xml:space="preserve"> (p = 0,187</w:t>
      </w:r>
      <w:r w:rsidRPr="00A43B9C">
        <w:rPr>
          <w:rFonts w:ascii="Times New Roman" w:hAnsi="Times New Roman" w:cs="Times New Roman"/>
          <w:sz w:val="28"/>
          <w:szCs w:val="28"/>
        </w:rPr>
        <w:t xml:space="preserve"> и </w:t>
      </w:r>
      <w:r w:rsidRPr="00A43B9C">
        <w:rPr>
          <w:rFonts w:ascii="Times New Roman" w:hAnsi="Times New Roman" w:cs="Times New Roman"/>
          <w:sz w:val="28"/>
          <w:szCs w:val="28"/>
          <w:lang w:val="en-US"/>
        </w:rPr>
        <w:t>p</w:t>
      </w:r>
      <w:r w:rsidRPr="00A43B9C">
        <w:rPr>
          <w:rFonts w:ascii="Times New Roman" w:hAnsi="Times New Roman" w:cs="Times New Roman"/>
          <w:sz w:val="28"/>
          <w:szCs w:val="28"/>
        </w:rPr>
        <w:t xml:space="preserve"> = 0,907</w:t>
      </w:r>
      <w:r w:rsidR="00677963" w:rsidRPr="00A43B9C">
        <w:rPr>
          <w:rFonts w:ascii="Times New Roman" w:hAnsi="Times New Roman" w:cs="Times New Roman"/>
          <w:sz w:val="28"/>
          <w:szCs w:val="28"/>
        </w:rPr>
        <w:t>).</w:t>
      </w:r>
      <w:r w:rsidR="00AB7088" w:rsidRPr="00A43B9C">
        <w:rPr>
          <w:rFonts w:ascii="Times New Roman" w:hAnsi="Times New Roman" w:cs="Times New Roman"/>
          <w:sz w:val="28"/>
          <w:szCs w:val="28"/>
        </w:rPr>
        <w:t xml:space="preserve"> </w:t>
      </w:r>
      <w:r w:rsidR="00677963" w:rsidRPr="00A43B9C">
        <w:rPr>
          <w:rFonts w:ascii="Times New Roman" w:hAnsi="Times New Roman" w:cs="Times New Roman"/>
          <w:sz w:val="28"/>
          <w:szCs w:val="28"/>
        </w:rPr>
        <w:t xml:space="preserve">Анализ в группе nLM </w:t>
      </w:r>
      <w:r w:rsidRPr="00A43B9C">
        <w:rPr>
          <w:rFonts w:ascii="Times New Roman" w:hAnsi="Times New Roman" w:cs="Times New Roman"/>
          <w:sz w:val="28"/>
          <w:szCs w:val="28"/>
        </w:rPr>
        <w:t>показал</w:t>
      </w:r>
      <w:r w:rsidR="00677963" w:rsidRPr="00A43B9C">
        <w:rPr>
          <w:rFonts w:ascii="Times New Roman" w:hAnsi="Times New Roman" w:cs="Times New Roman"/>
          <w:sz w:val="28"/>
          <w:szCs w:val="28"/>
        </w:rPr>
        <w:t xml:space="preserve"> статистически значимые изменения (p = 0,020)</w:t>
      </w:r>
      <w:r w:rsidRPr="00A43B9C">
        <w:rPr>
          <w:rFonts w:ascii="Times New Roman" w:hAnsi="Times New Roman" w:cs="Times New Roman"/>
          <w:sz w:val="28"/>
          <w:szCs w:val="28"/>
        </w:rPr>
        <w:t xml:space="preserve">, в то время как </w:t>
      </w:r>
      <w:r w:rsidR="00677963" w:rsidRPr="00A43B9C">
        <w:rPr>
          <w:rFonts w:ascii="Times New Roman" w:hAnsi="Times New Roman" w:cs="Times New Roman"/>
          <w:sz w:val="28"/>
          <w:szCs w:val="28"/>
        </w:rPr>
        <w:t xml:space="preserve">в группе </w:t>
      </w:r>
      <w:r w:rsidR="00677963" w:rsidRPr="00A43B9C">
        <w:rPr>
          <w:rFonts w:ascii="Times New Roman" w:hAnsi="Times New Roman" w:cs="Times New Roman"/>
          <w:sz w:val="28"/>
          <w:szCs w:val="28"/>
          <w:lang w:val="en-US"/>
        </w:rPr>
        <w:t>pLM</w:t>
      </w:r>
      <w:r w:rsidR="00677963" w:rsidRPr="00A43B9C">
        <w:rPr>
          <w:rFonts w:ascii="Times New Roman" w:hAnsi="Times New Roman" w:cs="Times New Roman"/>
          <w:sz w:val="28"/>
          <w:szCs w:val="28"/>
        </w:rPr>
        <w:t xml:space="preserve"> нам не удалось </w:t>
      </w:r>
      <w:r w:rsidR="00677963" w:rsidRPr="00A43B9C">
        <w:rPr>
          <w:rFonts w:ascii="Times New Roman" w:hAnsi="Times New Roman" w:cs="Times New Roman"/>
          <w:sz w:val="28"/>
          <w:szCs w:val="28"/>
        </w:rPr>
        <w:lastRenderedPageBreak/>
        <w:t>установить статистически значимы</w:t>
      </w:r>
      <w:r w:rsidR="002C6721" w:rsidRPr="00A43B9C">
        <w:rPr>
          <w:rFonts w:ascii="Times New Roman" w:hAnsi="Times New Roman" w:cs="Times New Roman"/>
          <w:sz w:val="28"/>
          <w:szCs w:val="28"/>
        </w:rPr>
        <w:t>е</w:t>
      </w:r>
      <w:r w:rsidR="00677963" w:rsidRPr="00A43B9C">
        <w:rPr>
          <w:rFonts w:ascii="Times New Roman" w:hAnsi="Times New Roman" w:cs="Times New Roman"/>
          <w:sz w:val="28"/>
          <w:szCs w:val="28"/>
        </w:rPr>
        <w:t xml:space="preserve"> изменени</w:t>
      </w:r>
      <w:r w:rsidR="002C6721" w:rsidRPr="00A43B9C">
        <w:rPr>
          <w:rFonts w:ascii="Times New Roman" w:hAnsi="Times New Roman" w:cs="Times New Roman"/>
          <w:sz w:val="28"/>
          <w:szCs w:val="28"/>
        </w:rPr>
        <w:t>я</w:t>
      </w:r>
      <w:r w:rsidR="00677963" w:rsidRPr="00A43B9C">
        <w:rPr>
          <w:rFonts w:ascii="Times New Roman" w:hAnsi="Times New Roman" w:cs="Times New Roman"/>
          <w:sz w:val="28"/>
          <w:szCs w:val="28"/>
        </w:rPr>
        <w:t xml:space="preserve"> (p = 0,980).</w:t>
      </w:r>
      <w:r w:rsidR="002C6721" w:rsidRPr="00A43B9C">
        <w:rPr>
          <w:rFonts w:ascii="Times New Roman" w:hAnsi="Times New Roman" w:cs="Times New Roman"/>
          <w:sz w:val="28"/>
          <w:szCs w:val="28"/>
        </w:rPr>
        <w:t xml:space="preserve"> </w:t>
      </w:r>
      <w:r w:rsidRPr="00A43B9C">
        <w:rPr>
          <w:rFonts w:ascii="Times New Roman" w:hAnsi="Times New Roman" w:cs="Times New Roman"/>
          <w:sz w:val="28"/>
          <w:szCs w:val="28"/>
        </w:rPr>
        <w:t>П</w:t>
      </w:r>
      <w:r w:rsidR="00677963" w:rsidRPr="00A43B9C">
        <w:rPr>
          <w:rFonts w:ascii="Times New Roman" w:hAnsi="Times New Roman" w:cs="Times New Roman"/>
          <w:sz w:val="28"/>
          <w:szCs w:val="28"/>
        </w:rPr>
        <w:t xml:space="preserve">о статусу </w:t>
      </w:r>
      <w:r w:rsidR="00677963" w:rsidRPr="00A43B9C">
        <w:rPr>
          <w:rFonts w:ascii="Times New Roman" w:hAnsi="Times New Roman" w:cs="Times New Roman"/>
          <w:sz w:val="28"/>
          <w:szCs w:val="28"/>
          <w:lang w:val="en-US"/>
        </w:rPr>
        <w:t>LM</w:t>
      </w:r>
      <w:r w:rsidR="00677963" w:rsidRPr="00A43B9C">
        <w:rPr>
          <w:rFonts w:ascii="Times New Roman" w:hAnsi="Times New Roman" w:cs="Times New Roman"/>
          <w:sz w:val="28"/>
          <w:szCs w:val="28"/>
        </w:rPr>
        <w:t xml:space="preserve"> в локализации RLH I </w:t>
      </w:r>
      <w:r w:rsidRPr="00A43B9C">
        <w:rPr>
          <w:rFonts w:ascii="Times New Roman" w:hAnsi="Times New Roman" w:cs="Times New Roman"/>
          <w:sz w:val="28"/>
          <w:szCs w:val="28"/>
        </w:rPr>
        <w:t xml:space="preserve">анализ </w:t>
      </w:r>
      <w:r w:rsidR="00677963" w:rsidRPr="00A43B9C">
        <w:rPr>
          <w:rFonts w:ascii="Times New Roman" w:hAnsi="Times New Roman" w:cs="Times New Roman"/>
          <w:sz w:val="28"/>
          <w:szCs w:val="28"/>
        </w:rPr>
        <w:t>выяви</w:t>
      </w:r>
      <w:r w:rsidRPr="00A43B9C">
        <w:rPr>
          <w:rFonts w:ascii="Times New Roman" w:hAnsi="Times New Roman" w:cs="Times New Roman"/>
          <w:sz w:val="28"/>
          <w:szCs w:val="28"/>
        </w:rPr>
        <w:t>л</w:t>
      </w:r>
      <w:r w:rsidR="00677963" w:rsidRPr="00A43B9C">
        <w:rPr>
          <w:rFonts w:ascii="Times New Roman" w:hAnsi="Times New Roman" w:cs="Times New Roman"/>
          <w:sz w:val="28"/>
          <w:szCs w:val="28"/>
        </w:rPr>
        <w:t xml:space="preserve"> статистически значимы</w:t>
      </w:r>
      <w:r w:rsidRPr="00A43B9C">
        <w:rPr>
          <w:rFonts w:ascii="Times New Roman" w:hAnsi="Times New Roman" w:cs="Times New Roman"/>
          <w:sz w:val="28"/>
          <w:szCs w:val="28"/>
        </w:rPr>
        <w:t>е</w:t>
      </w:r>
      <w:r w:rsidR="00677963" w:rsidRPr="00A43B9C">
        <w:rPr>
          <w:rFonts w:ascii="Times New Roman" w:hAnsi="Times New Roman" w:cs="Times New Roman"/>
          <w:sz w:val="28"/>
          <w:szCs w:val="28"/>
        </w:rPr>
        <w:t xml:space="preserve"> различи</w:t>
      </w:r>
      <w:r w:rsidRPr="00A43B9C">
        <w:rPr>
          <w:rFonts w:ascii="Times New Roman" w:hAnsi="Times New Roman" w:cs="Times New Roman"/>
          <w:sz w:val="28"/>
          <w:szCs w:val="28"/>
        </w:rPr>
        <w:t>я</w:t>
      </w:r>
      <w:r w:rsidR="00677963" w:rsidRPr="00A43B9C">
        <w:rPr>
          <w:rFonts w:ascii="Times New Roman" w:hAnsi="Times New Roman" w:cs="Times New Roman"/>
          <w:sz w:val="28"/>
          <w:szCs w:val="28"/>
        </w:rPr>
        <w:t xml:space="preserve"> (p = 0,049)</w:t>
      </w:r>
      <w:r w:rsidRPr="00A43B9C">
        <w:rPr>
          <w:rFonts w:ascii="Times New Roman" w:hAnsi="Times New Roman" w:cs="Times New Roman"/>
          <w:sz w:val="28"/>
          <w:szCs w:val="28"/>
        </w:rPr>
        <w:t xml:space="preserve">, тогда как </w:t>
      </w:r>
      <w:r w:rsidR="00677963" w:rsidRPr="00A43B9C">
        <w:rPr>
          <w:rFonts w:ascii="Times New Roman" w:hAnsi="Times New Roman" w:cs="Times New Roman"/>
          <w:sz w:val="28"/>
          <w:szCs w:val="28"/>
        </w:rPr>
        <w:t xml:space="preserve">в локализации RLH II </w:t>
      </w:r>
      <w:r w:rsidR="004413BC" w:rsidRPr="00A43B9C">
        <w:rPr>
          <w:rFonts w:ascii="Times New Roman" w:hAnsi="Times New Roman" w:cs="Times New Roman"/>
          <w:sz w:val="28"/>
          <w:szCs w:val="28"/>
        </w:rPr>
        <w:t xml:space="preserve">статистически значимые различия </w:t>
      </w:r>
      <w:r w:rsidR="00677963" w:rsidRPr="00A43B9C">
        <w:rPr>
          <w:rFonts w:ascii="Times New Roman" w:hAnsi="Times New Roman" w:cs="Times New Roman"/>
          <w:sz w:val="28"/>
          <w:szCs w:val="28"/>
        </w:rPr>
        <w:t xml:space="preserve">не </w:t>
      </w:r>
      <w:r w:rsidR="004413BC" w:rsidRPr="00A43B9C">
        <w:rPr>
          <w:rFonts w:ascii="Times New Roman" w:hAnsi="Times New Roman" w:cs="Times New Roman"/>
          <w:sz w:val="28"/>
          <w:szCs w:val="28"/>
        </w:rPr>
        <w:t xml:space="preserve">выявлены </w:t>
      </w:r>
      <w:r w:rsidR="00677963" w:rsidRPr="00A43B9C">
        <w:rPr>
          <w:rFonts w:ascii="Times New Roman" w:hAnsi="Times New Roman" w:cs="Times New Roman"/>
          <w:sz w:val="28"/>
          <w:szCs w:val="28"/>
        </w:rPr>
        <w:t>(p = 0,088).</w:t>
      </w:r>
      <w:r w:rsidR="00AB7088" w:rsidRPr="00A43B9C">
        <w:rPr>
          <w:rFonts w:ascii="Times New Roman" w:hAnsi="Times New Roman" w:cs="Times New Roman"/>
          <w:sz w:val="28"/>
          <w:szCs w:val="28"/>
        </w:rPr>
        <w:t xml:space="preserve"> </w:t>
      </w:r>
      <w:r w:rsidRPr="00A43B9C">
        <w:rPr>
          <w:rFonts w:ascii="Times New Roman" w:hAnsi="Times New Roman" w:cs="Times New Roman"/>
          <w:sz w:val="28"/>
          <w:szCs w:val="28"/>
        </w:rPr>
        <w:t>В то же время а</w:t>
      </w:r>
      <w:r w:rsidR="00677963" w:rsidRPr="00A43B9C">
        <w:rPr>
          <w:rFonts w:ascii="Times New Roman" w:hAnsi="Times New Roman" w:cs="Times New Roman"/>
          <w:sz w:val="28"/>
          <w:szCs w:val="28"/>
        </w:rPr>
        <w:t>нализ групп</w:t>
      </w:r>
      <w:r w:rsidRPr="00A43B9C">
        <w:rPr>
          <w:rFonts w:ascii="Times New Roman" w:hAnsi="Times New Roman" w:cs="Times New Roman"/>
          <w:sz w:val="28"/>
          <w:szCs w:val="28"/>
        </w:rPr>
        <w:t>ы</w:t>
      </w:r>
      <w:r w:rsidR="00677963" w:rsidRPr="00A43B9C">
        <w:rPr>
          <w:rFonts w:ascii="Times New Roman" w:hAnsi="Times New Roman" w:cs="Times New Roman"/>
          <w:sz w:val="28"/>
          <w:szCs w:val="28"/>
        </w:rPr>
        <w:t xml:space="preserve"> nLM выяв</w:t>
      </w:r>
      <w:r w:rsidRPr="00A43B9C">
        <w:rPr>
          <w:rFonts w:ascii="Times New Roman" w:hAnsi="Times New Roman" w:cs="Times New Roman"/>
          <w:sz w:val="28"/>
          <w:szCs w:val="28"/>
        </w:rPr>
        <w:t>и</w:t>
      </w:r>
      <w:r w:rsidR="00677963" w:rsidRPr="00A43B9C">
        <w:rPr>
          <w:rFonts w:ascii="Times New Roman" w:hAnsi="Times New Roman" w:cs="Times New Roman"/>
          <w:sz w:val="28"/>
          <w:szCs w:val="28"/>
        </w:rPr>
        <w:t>л статистически значимые изменения (p = 0,049)</w:t>
      </w:r>
      <w:r w:rsidRPr="00A43B9C">
        <w:rPr>
          <w:rFonts w:ascii="Times New Roman" w:hAnsi="Times New Roman" w:cs="Times New Roman"/>
          <w:sz w:val="28"/>
          <w:szCs w:val="28"/>
        </w:rPr>
        <w:t xml:space="preserve">, но </w:t>
      </w:r>
      <w:r w:rsidR="00677963" w:rsidRPr="00A43B9C">
        <w:rPr>
          <w:rFonts w:ascii="Times New Roman" w:hAnsi="Times New Roman" w:cs="Times New Roman"/>
          <w:sz w:val="28"/>
          <w:szCs w:val="28"/>
        </w:rPr>
        <w:t xml:space="preserve">в группе pLM статистически значимые изменения </w:t>
      </w:r>
      <w:r w:rsidRPr="00A43B9C">
        <w:rPr>
          <w:rFonts w:ascii="Times New Roman" w:hAnsi="Times New Roman" w:cs="Times New Roman"/>
          <w:sz w:val="28"/>
          <w:szCs w:val="28"/>
        </w:rPr>
        <w:t xml:space="preserve">не подтвердились </w:t>
      </w:r>
      <w:r w:rsidR="00677963" w:rsidRPr="00A43B9C">
        <w:rPr>
          <w:rFonts w:ascii="Times New Roman" w:hAnsi="Times New Roman" w:cs="Times New Roman"/>
          <w:sz w:val="28"/>
          <w:szCs w:val="28"/>
        </w:rPr>
        <w:t>(p = 0,632).</w:t>
      </w:r>
      <w:r w:rsidR="002C6721" w:rsidRPr="00A43B9C">
        <w:rPr>
          <w:rFonts w:ascii="Times New Roman" w:hAnsi="Times New Roman" w:cs="Times New Roman"/>
          <w:sz w:val="28"/>
          <w:szCs w:val="28"/>
        </w:rPr>
        <w:t xml:space="preserve"> </w:t>
      </w:r>
      <w:r w:rsidR="00630FD9" w:rsidRPr="00A43B9C">
        <w:rPr>
          <w:rFonts w:ascii="Times New Roman" w:hAnsi="Times New Roman" w:cs="Times New Roman"/>
          <w:sz w:val="28"/>
          <w:szCs w:val="28"/>
        </w:rPr>
        <w:t>Идентичные результаты подтвердились для локализаци</w:t>
      </w:r>
      <w:r w:rsidR="002C6721" w:rsidRPr="00A43B9C">
        <w:rPr>
          <w:rFonts w:ascii="Times New Roman" w:hAnsi="Times New Roman" w:cs="Times New Roman"/>
          <w:sz w:val="28"/>
          <w:szCs w:val="28"/>
        </w:rPr>
        <w:t>й</w:t>
      </w:r>
      <w:r w:rsidR="00630FD9" w:rsidRPr="00A43B9C">
        <w:rPr>
          <w:rFonts w:ascii="Times New Roman" w:hAnsi="Times New Roman" w:cs="Times New Roman"/>
          <w:sz w:val="28"/>
          <w:szCs w:val="28"/>
        </w:rPr>
        <w:t xml:space="preserve"> </w:t>
      </w:r>
      <w:r w:rsidR="00630FD9" w:rsidRPr="00A43B9C">
        <w:rPr>
          <w:rFonts w:ascii="Times New Roman" w:hAnsi="Times New Roman" w:cs="Times New Roman"/>
          <w:sz w:val="28"/>
          <w:szCs w:val="28"/>
          <w:lang w:val="en-US"/>
        </w:rPr>
        <w:t>RRL</w:t>
      </w:r>
      <w:r w:rsidR="002C6721" w:rsidRPr="00A43B9C">
        <w:rPr>
          <w:rFonts w:ascii="Times New Roman" w:hAnsi="Times New Roman" w:cs="Times New Roman"/>
          <w:sz w:val="28"/>
          <w:szCs w:val="28"/>
        </w:rPr>
        <w:t xml:space="preserve"> и </w:t>
      </w:r>
      <w:r w:rsidR="00F93294" w:rsidRPr="00A43B9C">
        <w:rPr>
          <w:rFonts w:ascii="Times New Roman" w:hAnsi="Times New Roman" w:cs="Times New Roman"/>
          <w:sz w:val="28"/>
          <w:szCs w:val="28"/>
          <w:lang w:val="en-US"/>
        </w:rPr>
        <w:t>RU</w:t>
      </w:r>
      <w:r w:rsidR="00F93294" w:rsidRPr="00A43B9C">
        <w:rPr>
          <w:rFonts w:ascii="Times New Roman" w:hAnsi="Times New Roman" w:cs="Times New Roman"/>
          <w:sz w:val="28"/>
          <w:szCs w:val="28"/>
        </w:rPr>
        <w:t xml:space="preserve">. По </w:t>
      </w:r>
      <w:r w:rsidR="00677963" w:rsidRPr="00A43B9C">
        <w:rPr>
          <w:rFonts w:ascii="Times New Roman" w:hAnsi="Times New Roman" w:cs="Times New Roman"/>
          <w:sz w:val="28"/>
          <w:szCs w:val="28"/>
        </w:rPr>
        <w:t xml:space="preserve">статусу </w:t>
      </w:r>
      <w:r w:rsidR="00677963" w:rsidRPr="00A43B9C">
        <w:rPr>
          <w:rFonts w:ascii="Times New Roman" w:hAnsi="Times New Roman" w:cs="Times New Roman"/>
          <w:sz w:val="28"/>
          <w:szCs w:val="28"/>
          <w:lang w:val="en-US"/>
        </w:rPr>
        <w:t>LM</w:t>
      </w:r>
      <w:r w:rsidR="00677963" w:rsidRPr="00A43B9C">
        <w:rPr>
          <w:rFonts w:ascii="Times New Roman" w:hAnsi="Times New Roman" w:cs="Times New Roman"/>
          <w:sz w:val="28"/>
          <w:szCs w:val="28"/>
        </w:rPr>
        <w:t xml:space="preserve"> в локализации RRL I </w:t>
      </w:r>
      <w:r w:rsidR="00630FD9" w:rsidRPr="00A43B9C">
        <w:rPr>
          <w:rFonts w:ascii="Times New Roman" w:hAnsi="Times New Roman" w:cs="Times New Roman"/>
          <w:sz w:val="28"/>
          <w:szCs w:val="28"/>
        </w:rPr>
        <w:t xml:space="preserve">были </w:t>
      </w:r>
      <w:r w:rsidR="00677963" w:rsidRPr="00A43B9C">
        <w:rPr>
          <w:rFonts w:ascii="Times New Roman" w:hAnsi="Times New Roman" w:cs="Times New Roman"/>
          <w:sz w:val="28"/>
          <w:szCs w:val="28"/>
        </w:rPr>
        <w:t>установ</w:t>
      </w:r>
      <w:r w:rsidR="00630FD9" w:rsidRPr="00A43B9C">
        <w:rPr>
          <w:rFonts w:ascii="Times New Roman" w:hAnsi="Times New Roman" w:cs="Times New Roman"/>
          <w:sz w:val="28"/>
          <w:szCs w:val="28"/>
        </w:rPr>
        <w:t xml:space="preserve">лены </w:t>
      </w:r>
      <w:r w:rsidR="00677963" w:rsidRPr="00A43B9C">
        <w:rPr>
          <w:rFonts w:ascii="Times New Roman" w:hAnsi="Times New Roman" w:cs="Times New Roman"/>
          <w:sz w:val="28"/>
          <w:szCs w:val="28"/>
        </w:rPr>
        <w:t>статистически значимы</w:t>
      </w:r>
      <w:r w:rsidR="00630FD9" w:rsidRPr="00A43B9C">
        <w:rPr>
          <w:rFonts w:ascii="Times New Roman" w:hAnsi="Times New Roman" w:cs="Times New Roman"/>
          <w:sz w:val="28"/>
          <w:szCs w:val="28"/>
        </w:rPr>
        <w:t>е</w:t>
      </w:r>
      <w:r w:rsidR="00677963" w:rsidRPr="00A43B9C">
        <w:rPr>
          <w:rFonts w:ascii="Times New Roman" w:hAnsi="Times New Roman" w:cs="Times New Roman"/>
          <w:sz w:val="28"/>
          <w:szCs w:val="28"/>
        </w:rPr>
        <w:t xml:space="preserve"> различи</w:t>
      </w:r>
      <w:r w:rsidR="00630FD9" w:rsidRPr="00A43B9C">
        <w:rPr>
          <w:rFonts w:ascii="Times New Roman" w:hAnsi="Times New Roman" w:cs="Times New Roman"/>
          <w:sz w:val="28"/>
          <w:szCs w:val="28"/>
        </w:rPr>
        <w:t>я</w:t>
      </w:r>
      <w:r w:rsidR="00677963" w:rsidRPr="00A43B9C">
        <w:rPr>
          <w:rFonts w:ascii="Times New Roman" w:hAnsi="Times New Roman" w:cs="Times New Roman"/>
          <w:sz w:val="28"/>
          <w:szCs w:val="28"/>
        </w:rPr>
        <w:t xml:space="preserve"> (p = 0,032)</w:t>
      </w:r>
      <w:r w:rsidR="00630FD9" w:rsidRPr="00A43B9C">
        <w:rPr>
          <w:rFonts w:ascii="Times New Roman" w:hAnsi="Times New Roman" w:cs="Times New Roman"/>
          <w:sz w:val="28"/>
          <w:szCs w:val="28"/>
        </w:rPr>
        <w:t xml:space="preserve">, для </w:t>
      </w:r>
      <w:r w:rsidR="00677963" w:rsidRPr="00A43B9C">
        <w:rPr>
          <w:rFonts w:ascii="Times New Roman" w:hAnsi="Times New Roman" w:cs="Times New Roman"/>
          <w:sz w:val="28"/>
          <w:szCs w:val="28"/>
        </w:rPr>
        <w:t>локализации RRL II статистически значимы</w:t>
      </w:r>
      <w:r w:rsidR="00630FD9" w:rsidRPr="00A43B9C">
        <w:rPr>
          <w:rFonts w:ascii="Times New Roman" w:hAnsi="Times New Roman" w:cs="Times New Roman"/>
          <w:sz w:val="28"/>
          <w:szCs w:val="28"/>
        </w:rPr>
        <w:t>е</w:t>
      </w:r>
      <w:r w:rsidR="00677963" w:rsidRPr="00A43B9C">
        <w:rPr>
          <w:rFonts w:ascii="Times New Roman" w:hAnsi="Times New Roman" w:cs="Times New Roman"/>
          <w:sz w:val="28"/>
          <w:szCs w:val="28"/>
        </w:rPr>
        <w:t xml:space="preserve"> различи</w:t>
      </w:r>
      <w:r w:rsidR="00630FD9" w:rsidRPr="00A43B9C">
        <w:rPr>
          <w:rFonts w:ascii="Times New Roman" w:hAnsi="Times New Roman" w:cs="Times New Roman"/>
          <w:sz w:val="28"/>
          <w:szCs w:val="28"/>
        </w:rPr>
        <w:t>я</w:t>
      </w:r>
      <w:r w:rsidR="00677963" w:rsidRPr="00A43B9C">
        <w:rPr>
          <w:rFonts w:ascii="Times New Roman" w:hAnsi="Times New Roman" w:cs="Times New Roman"/>
          <w:sz w:val="28"/>
          <w:szCs w:val="28"/>
        </w:rPr>
        <w:t xml:space="preserve"> </w:t>
      </w:r>
      <w:r w:rsidR="00630FD9" w:rsidRPr="00A43B9C">
        <w:rPr>
          <w:rFonts w:ascii="Times New Roman" w:hAnsi="Times New Roman" w:cs="Times New Roman"/>
          <w:sz w:val="28"/>
          <w:szCs w:val="28"/>
        </w:rPr>
        <w:t xml:space="preserve">не подтвердились </w:t>
      </w:r>
      <w:r w:rsidR="00677963" w:rsidRPr="00A43B9C">
        <w:rPr>
          <w:rFonts w:ascii="Times New Roman" w:hAnsi="Times New Roman" w:cs="Times New Roman"/>
          <w:sz w:val="28"/>
          <w:szCs w:val="28"/>
        </w:rPr>
        <w:t>(p = 0,079).</w:t>
      </w:r>
      <w:r w:rsidR="00AB7088" w:rsidRPr="00A43B9C">
        <w:rPr>
          <w:rFonts w:ascii="Times New Roman" w:hAnsi="Times New Roman" w:cs="Times New Roman"/>
          <w:sz w:val="28"/>
          <w:szCs w:val="28"/>
        </w:rPr>
        <w:t xml:space="preserve"> </w:t>
      </w:r>
      <w:r w:rsidR="00630FD9" w:rsidRPr="00A43B9C">
        <w:rPr>
          <w:rFonts w:ascii="Times New Roman" w:hAnsi="Times New Roman" w:cs="Times New Roman"/>
          <w:sz w:val="28"/>
          <w:szCs w:val="28"/>
        </w:rPr>
        <w:t>А</w:t>
      </w:r>
      <w:r w:rsidR="00677963" w:rsidRPr="00A43B9C">
        <w:rPr>
          <w:rFonts w:ascii="Times New Roman" w:hAnsi="Times New Roman" w:cs="Times New Roman"/>
          <w:sz w:val="28"/>
          <w:szCs w:val="28"/>
        </w:rPr>
        <w:t>нализ групп</w:t>
      </w:r>
      <w:r w:rsidR="00630FD9" w:rsidRPr="00A43B9C">
        <w:rPr>
          <w:rFonts w:ascii="Times New Roman" w:hAnsi="Times New Roman" w:cs="Times New Roman"/>
          <w:sz w:val="28"/>
          <w:szCs w:val="28"/>
        </w:rPr>
        <w:t>ы</w:t>
      </w:r>
      <w:r w:rsidR="00677963" w:rsidRPr="00A43B9C">
        <w:rPr>
          <w:rFonts w:ascii="Times New Roman" w:hAnsi="Times New Roman" w:cs="Times New Roman"/>
          <w:sz w:val="28"/>
          <w:szCs w:val="28"/>
        </w:rPr>
        <w:t xml:space="preserve"> nLM установ</w:t>
      </w:r>
      <w:r w:rsidR="00630FD9" w:rsidRPr="00A43B9C">
        <w:rPr>
          <w:rFonts w:ascii="Times New Roman" w:hAnsi="Times New Roman" w:cs="Times New Roman"/>
          <w:sz w:val="28"/>
          <w:szCs w:val="28"/>
        </w:rPr>
        <w:t>и</w:t>
      </w:r>
      <w:r w:rsidR="00677963" w:rsidRPr="00A43B9C">
        <w:rPr>
          <w:rFonts w:ascii="Times New Roman" w:hAnsi="Times New Roman" w:cs="Times New Roman"/>
          <w:sz w:val="28"/>
          <w:szCs w:val="28"/>
        </w:rPr>
        <w:t>л статистически значимые изменения (p = 0,047)</w:t>
      </w:r>
      <w:r w:rsidR="00630FD9" w:rsidRPr="00A43B9C">
        <w:rPr>
          <w:rFonts w:ascii="Times New Roman" w:hAnsi="Times New Roman" w:cs="Times New Roman"/>
          <w:sz w:val="28"/>
          <w:szCs w:val="28"/>
        </w:rPr>
        <w:t xml:space="preserve">, а для </w:t>
      </w:r>
      <w:r w:rsidR="00677963" w:rsidRPr="00A43B9C">
        <w:rPr>
          <w:rFonts w:ascii="Times New Roman" w:hAnsi="Times New Roman" w:cs="Times New Roman"/>
          <w:sz w:val="28"/>
          <w:szCs w:val="28"/>
        </w:rPr>
        <w:t>групп</w:t>
      </w:r>
      <w:r w:rsidR="00630FD9" w:rsidRPr="00A43B9C">
        <w:rPr>
          <w:rFonts w:ascii="Times New Roman" w:hAnsi="Times New Roman" w:cs="Times New Roman"/>
          <w:sz w:val="28"/>
          <w:szCs w:val="28"/>
        </w:rPr>
        <w:t>ы</w:t>
      </w:r>
      <w:r w:rsidR="00677963" w:rsidRPr="00A43B9C">
        <w:rPr>
          <w:rFonts w:ascii="Times New Roman" w:hAnsi="Times New Roman" w:cs="Times New Roman"/>
          <w:sz w:val="28"/>
          <w:szCs w:val="28"/>
        </w:rPr>
        <w:t xml:space="preserve"> pLM статистически значимые изменения </w:t>
      </w:r>
      <w:r w:rsidR="00630FD9" w:rsidRPr="00A43B9C">
        <w:rPr>
          <w:rFonts w:ascii="Times New Roman" w:hAnsi="Times New Roman" w:cs="Times New Roman"/>
          <w:sz w:val="28"/>
          <w:szCs w:val="28"/>
        </w:rPr>
        <w:t xml:space="preserve">не подтвердились </w:t>
      </w:r>
      <w:r w:rsidR="00677963" w:rsidRPr="00A43B9C">
        <w:rPr>
          <w:rFonts w:ascii="Times New Roman" w:hAnsi="Times New Roman" w:cs="Times New Roman"/>
          <w:sz w:val="28"/>
          <w:szCs w:val="28"/>
        </w:rPr>
        <w:t>(p = 0,632).</w:t>
      </w:r>
      <w:r w:rsidR="002C6721" w:rsidRPr="00A43B9C">
        <w:rPr>
          <w:rFonts w:ascii="Times New Roman" w:hAnsi="Times New Roman" w:cs="Times New Roman"/>
          <w:sz w:val="28"/>
          <w:szCs w:val="28"/>
        </w:rPr>
        <w:t xml:space="preserve"> </w:t>
      </w:r>
      <w:r w:rsidR="00F93294" w:rsidRPr="00A43B9C">
        <w:rPr>
          <w:rFonts w:ascii="Times New Roman" w:hAnsi="Times New Roman" w:cs="Times New Roman"/>
          <w:sz w:val="28"/>
          <w:szCs w:val="28"/>
        </w:rPr>
        <w:t>Д</w:t>
      </w:r>
      <w:r w:rsidR="00677963" w:rsidRPr="00A43B9C">
        <w:rPr>
          <w:rFonts w:ascii="Times New Roman" w:hAnsi="Times New Roman" w:cs="Times New Roman"/>
          <w:sz w:val="28"/>
          <w:szCs w:val="28"/>
        </w:rPr>
        <w:t>анны</w:t>
      </w:r>
      <w:r w:rsidR="00F93294" w:rsidRPr="00A43B9C">
        <w:rPr>
          <w:rFonts w:ascii="Times New Roman" w:hAnsi="Times New Roman" w:cs="Times New Roman"/>
          <w:sz w:val="28"/>
          <w:szCs w:val="28"/>
        </w:rPr>
        <w:t>е</w:t>
      </w:r>
      <w:r w:rsidR="00677963" w:rsidRPr="00A43B9C">
        <w:rPr>
          <w:rFonts w:ascii="Times New Roman" w:hAnsi="Times New Roman" w:cs="Times New Roman"/>
          <w:sz w:val="28"/>
          <w:szCs w:val="28"/>
        </w:rPr>
        <w:t xml:space="preserve"> статус</w:t>
      </w:r>
      <w:r w:rsidR="00F93294" w:rsidRPr="00A43B9C">
        <w:rPr>
          <w:rFonts w:ascii="Times New Roman" w:hAnsi="Times New Roman" w:cs="Times New Roman"/>
          <w:sz w:val="28"/>
          <w:szCs w:val="28"/>
        </w:rPr>
        <w:t>а</w:t>
      </w:r>
      <w:r w:rsidR="00677963" w:rsidRPr="00A43B9C">
        <w:rPr>
          <w:rFonts w:ascii="Times New Roman" w:hAnsi="Times New Roman" w:cs="Times New Roman"/>
          <w:sz w:val="28"/>
          <w:szCs w:val="28"/>
        </w:rPr>
        <w:t xml:space="preserve"> </w:t>
      </w:r>
      <w:r w:rsidR="00677963" w:rsidRPr="00A43B9C">
        <w:rPr>
          <w:rFonts w:ascii="Times New Roman" w:hAnsi="Times New Roman" w:cs="Times New Roman"/>
          <w:sz w:val="28"/>
          <w:szCs w:val="28"/>
          <w:lang w:val="en-US"/>
        </w:rPr>
        <w:t>LM</w:t>
      </w:r>
      <w:r w:rsidR="00677963" w:rsidRPr="00A43B9C">
        <w:rPr>
          <w:rFonts w:ascii="Times New Roman" w:hAnsi="Times New Roman" w:cs="Times New Roman"/>
          <w:sz w:val="28"/>
          <w:szCs w:val="28"/>
        </w:rPr>
        <w:t xml:space="preserve"> в локализации RU I установи</w:t>
      </w:r>
      <w:r w:rsidR="00F93294" w:rsidRPr="00A43B9C">
        <w:rPr>
          <w:rFonts w:ascii="Times New Roman" w:hAnsi="Times New Roman" w:cs="Times New Roman"/>
          <w:sz w:val="28"/>
          <w:szCs w:val="28"/>
        </w:rPr>
        <w:t>ли</w:t>
      </w:r>
      <w:r w:rsidR="00677963" w:rsidRPr="00A43B9C">
        <w:rPr>
          <w:rFonts w:ascii="Times New Roman" w:hAnsi="Times New Roman" w:cs="Times New Roman"/>
          <w:sz w:val="28"/>
          <w:szCs w:val="28"/>
        </w:rPr>
        <w:t xml:space="preserve"> статистически значимы</w:t>
      </w:r>
      <w:r w:rsidR="00F93294" w:rsidRPr="00A43B9C">
        <w:rPr>
          <w:rFonts w:ascii="Times New Roman" w:hAnsi="Times New Roman" w:cs="Times New Roman"/>
          <w:sz w:val="28"/>
          <w:szCs w:val="28"/>
        </w:rPr>
        <w:t>е</w:t>
      </w:r>
      <w:r w:rsidR="00677963" w:rsidRPr="00A43B9C">
        <w:rPr>
          <w:rFonts w:ascii="Times New Roman" w:hAnsi="Times New Roman" w:cs="Times New Roman"/>
          <w:sz w:val="28"/>
          <w:szCs w:val="28"/>
        </w:rPr>
        <w:t xml:space="preserve"> различи</w:t>
      </w:r>
      <w:r w:rsidR="00F93294" w:rsidRPr="00A43B9C">
        <w:rPr>
          <w:rFonts w:ascii="Times New Roman" w:hAnsi="Times New Roman" w:cs="Times New Roman"/>
          <w:sz w:val="28"/>
          <w:szCs w:val="28"/>
        </w:rPr>
        <w:t>я</w:t>
      </w:r>
      <w:r w:rsidR="00677963" w:rsidRPr="00A43B9C">
        <w:rPr>
          <w:rFonts w:ascii="Times New Roman" w:hAnsi="Times New Roman" w:cs="Times New Roman"/>
          <w:sz w:val="28"/>
          <w:szCs w:val="28"/>
        </w:rPr>
        <w:t xml:space="preserve"> (p = 0,043)</w:t>
      </w:r>
      <w:r w:rsidR="00F93294" w:rsidRPr="00A43B9C">
        <w:rPr>
          <w:rFonts w:ascii="Times New Roman" w:hAnsi="Times New Roman" w:cs="Times New Roman"/>
          <w:sz w:val="28"/>
          <w:szCs w:val="28"/>
        </w:rPr>
        <w:t xml:space="preserve">, </w:t>
      </w:r>
      <w:r w:rsidR="002C6721" w:rsidRPr="00A43B9C">
        <w:rPr>
          <w:rFonts w:ascii="Times New Roman" w:hAnsi="Times New Roman" w:cs="Times New Roman"/>
          <w:sz w:val="28"/>
          <w:szCs w:val="28"/>
        </w:rPr>
        <w:t xml:space="preserve">а </w:t>
      </w:r>
      <w:r w:rsidR="00F93294" w:rsidRPr="00A43B9C">
        <w:rPr>
          <w:rFonts w:ascii="Times New Roman" w:hAnsi="Times New Roman" w:cs="Times New Roman"/>
          <w:sz w:val="28"/>
          <w:szCs w:val="28"/>
        </w:rPr>
        <w:t xml:space="preserve">для </w:t>
      </w:r>
      <w:r w:rsidR="00677963" w:rsidRPr="00A43B9C">
        <w:rPr>
          <w:rFonts w:ascii="Times New Roman" w:hAnsi="Times New Roman" w:cs="Times New Roman"/>
          <w:sz w:val="28"/>
          <w:szCs w:val="28"/>
        </w:rPr>
        <w:t xml:space="preserve">локализации RU II </w:t>
      </w:r>
      <w:r w:rsidR="00F93294" w:rsidRPr="00A43B9C">
        <w:rPr>
          <w:rFonts w:ascii="Times New Roman" w:hAnsi="Times New Roman" w:cs="Times New Roman"/>
          <w:sz w:val="28"/>
          <w:szCs w:val="28"/>
        </w:rPr>
        <w:t xml:space="preserve">статистически </w:t>
      </w:r>
      <w:r w:rsidR="00677963" w:rsidRPr="00A43B9C">
        <w:rPr>
          <w:rFonts w:ascii="Times New Roman" w:hAnsi="Times New Roman" w:cs="Times New Roman"/>
          <w:sz w:val="28"/>
          <w:szCs w:val="28"/>
        </w:rPr>
        <w:t>значимы</w:t>
      </w:r>
      <w:r w:rsidR="00F93294" w:rsidRPr="00A43B9C">
        <w:rPr>
          <w:rFonts w:ascii="Times New Roman" w:hAnsi="Times New Roman" w:cs="Times New Roman"/>
          <w:sz w:val="28"/>
          <w:szCs w:val="28"/>
        </w:rPr>
        <w:t>е</w:t>
      </w:r>
      <w:r w:rsidR="00677963" w:rsidRPr="00A43B9C">
        <w:rPr>
          <w:rFonts w:ascii="Times New Roman" w:hAnsi="Times New Roman" w:cs="Times New Roman"/>
          <w:sz w:val="28"/>
          <w:szCs w:val="28"/>
        </w:rPr>
        <w:t xml:space="preserve"> различи</w:t>
      </w:r>
      <w:r w:rsidR="00F93294" w:rsidRPr="00A43B9C">
        <w:rPr>
          <w:rFonts w:ascii="Times New Roman" w:hAnsi="Times New Roman" w:cs="Times New Roman"/>
          <w:sz w:val="28"/>
          <w:szCs w:val="28"/>
        </w:rPr>
        <w:t>я</w:t>
      </w:r>
      <w:r w:rsidR="00677963" w:rsidRPr="00A43B9C">
        <w:rPr>
          <w:rFonts w:ascii="Times New Roman" w:hAnsi="Times New Roman" w:cs="Times New Roman"/>
          <w:sz w:val="28"/>
          <w:szCs w:val="28"/>
        </w:rPr>
        <w:t xml:space="preserve"> </w:t>
      </w:r>
      <w:r w:rsidR="00F93294" w:rsidRPr="00A43B9C">
        <w:rPr>
          <w:rFonts w:ascii="Times New Roman" w:hAnsi="Times New Roman" w:cs="Times New Roman"/>
          <w:sz w:val="28"/>
          <w:szCs w:val="28"/>
        </w:rPr>
        <w:t>не установ</w:t>
      </w:r>
      <w:r w:rsidR="002C6721" w:rsidRPr="00A43B9C">
        <w:rPr>
          <w:rFonts w:ascii="Times New Roman" w:hAnsi="Times New Roman" w:cs="Times New Roman"/>
          <w:sz w:val="28"/>
          <w:szCs w:val="28"/>
        </w:rPr>
        <w:t>и</w:t>
      </w:r>
      <w:r w:rsidR="00F93294" w:rsidRPr="00A43B9C">
        <w:rPr>
          <w:rFonts w:ascii="Times New Roman" w:hAnsi="Times New Roman" w:cs="Times New Roman"/>
          <w:sz w:val="28"/>
          <w:szCs w:val="28"/>
        </w:rPr>
        <w:t>л</w:t>
      </w:r>
      <w:r w:rsidR="002C6721" w:rsidRPr="00A43B9C">
        <w:rPr>
          <w:rFonts w:ascii="Times New Roman" w:hAnsi="Times New Roman" w:cs="Times New Roman"/>
          <w:sz w:val="28"/>
          <w:szCs w:val="28"/>
        </w:rPr>
        <w:t>и</w:t>
      </w:r>
      <w:r w:rsidR="00F93294" w:rsidRPr="00A43B9C">
        <w:rPr>
          <w:rFonts w:ascii="Times New Roman" w:hAnsi="Times New Roman" w:cs="Times New Roman"/>
          <w:sz w:val="28"/>
          <w:szCs w:val="28"/>
        </w:rPr>
        <w:t xml:space="preserve"> </w:t>
      </w:r>
      <w:r w:rsidR="00677963" w:rsidRPr="00A43B9C">
        <w:rPr>
          <w:rFonts w:ascii="Times New Roman" w:hAnsi="Times New Roman" w:cs="Times New Roman"/>
          <w:sz w:val="28"/>
          <w:szCs w:val="28"/>
        </w:rPr>
        <w:t>(p = 0,064).</w:t>
      </w:r>
      <w:r w:rsidR="00AB7088" w:rsidRPr="00A43B9C">
        <w:rPr>
          <w:rFonts w:ascii="Times New Roman" w:hAnsi="Times New Roman" w:cs="Times New Roman"/>
          <w:sz w:val="28"/>
          <w:szCs w:val="28"/>
        </w:rPr>
        <w:t xml:space="preserve"> </w:t>
      </w:r>
      <w:r w:rsidR="00F93294" w:rsidRPr="00A43B9C">
        <w:rPr>
          <w:rFonts w:ascii="Times New Roman" w:hAnsi="Times New Roman" w:cs="Times New Roman"/>
          <w:sz w:val="28"/>
          <w:szCs w:val="28"/>
        </w:rPr>
        <w:t>А</w:t>
      </w:r>
      <w:r w:rsidR="00677963" w:rsidRPr="00A43B9C">
        <w:rPr>
          <w:rFonts w:ascii="Times New Roman" w:hAnsi="Times New Roman" w:cs="Times New Roman"/>
          <w:sz w:val="28"/>
          <w:szCs w:val="28"/>
        </w:rPr>
        <w:t>нализ групп</w:t>
      </w:r>
      <w:r w:rsidR="00F93294" w:rsidRPr="00A43B9C">
        <w:rPr>
          <w:rFonts w:ascii="Times New Roman" w:hAnsi="Times New Roman" w:cs="Times New Roman"/>
          <w:sz w:val="28"/>
          <w:szCs w:val="28"/>
        </w:rPr>
        <w:t>ы</w:t>
      </w:r>
      <w:r w:rsidR="00677963" w:rsidRPr="00A43B9C">
        <w:rPr>
          <w:rFonts w:ascii="Times New Roman" w:hAnsi="Times New Roman" w:cs="Times New Roman"/>
          <w:sz w:val="28"/>
          <w:szCs w:val="28"/>
        </w:rPr>
        <w:t xml:space="preserve"> nLM </w:t>
      </w:r>
      <w:r w:rsidR="00F93294" w:rsidRPr="00A43B9C">
        <w:rPr>
          <w:rFonts w:ascii="Times New Roman" w:hAnsi="Times New Roman" w:cs="Times New Roman"/>
          <w:sz w:val="28"/>
          <w:szCs w:val="28"/>
        </w:rPr>
        <w:t xml:space="preserve">выявил </w:t>
      </w:r>
      <w:r w:rsidR="00677963" w:rsidRPr="00A43B9C">
        <w:rPr>
          <w:rFonts w:ascii="Times New Roman" w:hAnsi="Times New Roman" w:cs="Times New Roman"/>
          <w:sz w:val="28"/>
          <w:szCs w:val="28"/>
        </w:rPr>
        <w:t>статистически значимые изменения (p = 0,042)</w:t>
      </w:r>
      <w:r w:rsidR="00F93294" w:rsidRPr="00A43B9C">
        <w:rPr>
          <w:rFonts w:ascii="Times New Roman" w:hAnsi="Times New Roman" w:cs="Times New Roman"/>
          <w:sz w:val="28"/>
          <w:szCs w:val="28"/>
        </w:rPr>
        <w:t xml:space="preserve">, но </w:t>
      </w:r>
      <w:r w:rsidR="00677963" w:rsidRPr="00A43B9C">
        <w:rPr>
          <w:rFonts w:ascii="Times New Roman" w:hAnsi="Times New Roman" w:cs="Times New Roman"/>
          <w:sz w:val="28"/>
          <w:szCs w:val="28"/>
        </w:rPr>
        <w:t>в группе pLM статистически значимы</w:t>
      </w:r>
      <w:r w:rsidR="002C6721" w:rsidRPr="00A43B9C">
        <w:rPr>
          <w:rFonts w:ascii="Times New Roman" w:hAnsi="Times New Roman" w:cs="Times New Roman"/>
          <w:sz w:val="28"/>
          <w:szCs w:val="28"/>
        </w:rPr>
        <w:t>е</w:t>
      </w:r>
      <w:r w:rsidR="00677963" w:rsidRPr="00A43B9C">
        <w:rPr>
          <w:rFonts w:ascii="Times New Roman" w:hAnsi="Times New Roman" w:cs="Times New Roman"/>
          <w:sz w:val="28"/>
          <w:szCs w:val="28"/>
        </w:rPr>
        <w:t xml:space="preserve"> изменени</w:t>
      </w:r>
      <w:r w:rsidR="002C6721" w:rsidRPr="00A43B9C">
        <w:rPr>
          <w:rFonts w:ascii="Times New Roman" w:hAnsi="Times New Roman" w:cs="Times New Roman"/>
          <w:sz w:val="28"/>
          <w:szCs w:val="28"/>
        </w:rPr>
        <w:t>я</w:t>
      </w:r>
      <w:r w:rsidR="00677963" w:rsidRPr="00A43B9C">
        <w:rPr>
          <w:rFonts w:ascii="Times New Roman" w:hAnsi="Times New Roman" w:cs="Times New Roman"/>
          <w:sz w:val="28"/>
          <w:szCs w:val="28"/>
        </w:rPr>
        <w:t xml:space="preserve"> </w:t>
      </w:r>
      <w:r w:rsidR="00F93294" w:rsidRPr="00A43B9C">
        <w:rPr>
          <w:rFonts w:ascii="Times New Roman" w:hAnsi="Times New Roman" w:cs="Times New Roman"/>
          <w:sz w:val="28"/>
          <w:szCs w:val="28"/>
        </w:rPr>
        <w:t>не подтвердил</w:t>
      </w:r>
      <w:r w:rsidR="00C40B6D" w:rsidRPr="00A43B9C">
        <w:rPr>
          <w:rFonts w:ascii="Times New Roman" w:hAnsi="Times New Roman" w:cs="Times New Roman"/>
          <w:sz w:val="28"/>
          <w:szCs w:val="28"/>
        </w:rPr>
        <w:t>ись</w:t>
      </w:r>
      <w:r w:rsidR="00F93294" w:rsidRPr="00A43B9C">
        <w:rPr>
          <w:rFonts w:ascii="Times New Roman" w:hAnsi="Times New Roman" w:cs="Times New Roman"/>
          <w:sz w:val="28"/>
          <w:szCs w:val="28"/>
        </w:rPr>
        <w:t xml:space="preserve"> </w:t>
      </w:r>
      <w:r w:rsidR="00677963" w:rsidRPr="00A43B9C">
        <w:rPr>
          <w:rFonts w:ascii="Times New Roman" w:hAnsi="Times New Roman" w:cs="Times New Roman"/>
          <w:sz w:val="28"/>
          <w:szCs w:val="28"/>
        </w:rPr>
        <w:t>(p = 0,375).</w:t>
      </w:r>
      <w:r w:rsidR="002C6721" w:rsidRPr="00A43B9C">
        <w:rPr>
          <w:rFonts w:ascii="Times New Roman" w:hAnsi="Times New Roman" w:cs="Times New Roman"/>
          <w:sz w:val="28"/>
          <w:szCs w:val="28"/>
        </w:rPr>
        <w:t xml:space="preserve"> </w:t>
      </w:r>
      <w:r w:rsidR="00C40B6D" w:rsidRPr="00A43B9C">
        <w:rPr>
          <w:rFonts w:ascii="Times New Roman" w:hAnsi="Times New Roman" w:cs="Times New Roman"/>
          <w:sz w:val="28"/>
          <w:szCs w:val="28"/>
        </w:rPr>
        <w:t>Более того</w:t>
      </w:r>
      <w:r w:rsidR="002C6721" w:rsidRPr="00A43B9C">
        <w:rPr>
          <w:rFonts w:ascii="Times New Roman" w:hAnsi="Times New Roman" w:cs="Times New Roman"/>
          <w:sz w:val="28"/>
          <w:szCs w:val="28"/>
        </w:rPr>
        <w:t>,</w:t>
      </w:r>
      <w:r w:rsidR="00CC606C" w:rsidRPr="00A43B9C">
        <w:rPr>
          <w:rFonts w:ascii="Times New Roman" w:hAnsi="Times New Roman" w:cs="Times New Roman"/>
          <w:sz w:val="28"/>
          <w:szCs w:val="28"/>
        </w:rPr>
        <w:t xml:space="preserve"> </w:t>
      </w:r>
      <w:r w:rsidR="00677963" w:rsidRPr="00A43B9C">
        <w:rPr>
          <w:rFonts w:ascii="Times New Roman" w:hAnsi="Times New Roman" w:cs="Times New Roman"/>
          <w:sz w:val="28"/>
          <w:szCs w:val="28"/>
        </w:rPr>
        <w:t xml:space="preserve">анализ по статусу </w:t>
      </w:r>
      <w:r w:rsidR="00677963" w:rsidRPr="00A43B9C">
        <w:rPr>
          <w:rFonts w:ascii="Times New Roman" w:hAnsi="Times New Roman" w:cs="Times New Roman"/>
          <w:sz w:val="28"/>
          <w:szCs w:val="28"/>
          <w:lang w:val="en-US"/>
        </w:rPr>
        <w:t>LM</w:t>
      </w:r>
      <w:r w:rsidR="00677963" w:rsidRPr="00A43B9C">
        <w:rPr>
          <w:rFonts w:ascii="Times New Roman" w:hAnsi="Times New Roman" w:cs="Times New Roman"/>
          <w:sz w:val="28"/>
          <w:szCs w:val="28"/>
        </w:rPr>
        <w:t xml:space="preserve"> в локализации RLL I не выяви</w:t>
      </w:r>
      <w:r w:rsidR="00CC606C" w:rsidRPr="00A43B9C">
        <w:rPr>
          <w:rFonts w:ascii="Times New Roman" w:hAnsi="Times New Roman" w:cs="Times New Roman"/>
          <w:sz w:val="28"/>
          <w:szCs w:val="28"/>
        </w:rPr>
        <w:t>л</w:t>
      </w:r>
      <w:r w:rsidR="00677963" w:rsidRPr="00A43B9C">
        <w:rPr>
          <w:rFonts w:ascii="Times New Roman" w:hAnsi="Times New Roman" w:cs="Times New Roman"/>
          <w:sz w:val="28"/>
          <w:szCs w:val="28"/>
        </w:rPr>
        <w:t xml:space="preserve"> значимы</w:t>
      </w:r>
      <w:r w:rsidR="00C40B6D" w:rsidRPr="00A43B9C">
        <w:rPr>
          <w:rFonts w:ascii="Times New Roman" w:hAnsi="Times New Roman" w:cs="Times New Roman"/>
          <w:sz w:val="28"/>
          <w:szCs w:val="28"/>
        </w:rPr>
        <w:t>х</w:t>
      </w:r>
      <w:r w:rsidR="00677963" w:rsidRPr="00A43B9C">
        <w:rPr>
          <w:rFonts w:ascii="Times New Roman" w:hAnsi="Times New Roman" w:cs="Times New Roman"/>
          <w:sz w:val="28"/>
          <w:szCs w:val="28"/>
        </w:rPr>
        <w:t xml:space="preserve"> различи</w:t>
      </w:r>
      <w:r w:rsidR="00C40B6D" w:rsidRPr="00A43B9C">
        <w:rPr>
          <w:rFonts w:ascii="Times New Roman" w:hAnsi="Times New Roman" w:cs="Times New Roman"/>
          <w:sz w:val="28"/>
          <w:szCs w:val="28"/>
        </w:rPr>
        <w:t>й</w:t>
      </w:r>
      <w:r w:rsidR="00677963" w:rsidRPr="00A43B9C">
        <w:rPr>
          <w:rFonts w:ascii="Times New Roman" w:hAnsi="Times New Roman" w:cs="Times New Roman"/>
          <w:sz w:val="28"/>
          <w:szCs w:val="28"/>
        </w:rPr>
        <w:t xml:space="preserve"> (p = 0,472)</w:t>
      </w:r>
      <w:r w:rsidR="00CC606C" w:rsidRPr="00A43B9C">
        <w:rPr>
          <w:rFonts w:ascii="Times New Roman" w:hAnsi="Times New Roman" w:cs="Times New Roman"/>
          <w:sz w:val="28"/>
          <w:szCs w:val="28"/>
        </w:rPr>
        <w:t xml:space="preserve">, равно как и </w:t>
      </w:r>
      <w:r w:rsidR="00677963" w:rsidRPr="00A43B9C">
        <w:rPr>
          <w:rFonts w:ascii="Times New Roman" w:hAnsi="Times New Roman" w:cs="Times New Roman"/>
          <w:sz w:val="28"/>
          <w:szCs w:val="28"/>
        </w:rPr>
        <w:t>в локализации RLL II (p = 0,437).</w:t>
      </w:r>
      <w:r w:rsidR="00AB7088" w:rsidRPr="00A43B9C">
        <w:rPr>
          <w:rFonts w:ascii="Times New Roman" w:hAnsi="Times New Roman" w:cs="Times New Roman"/>
          <w:sz w:val="28"/>
          <w:szCs w:val="28"/>
        </w:rPr>
        <w:t xml:space="preserve"> </w:t>
      </w:r>
      <w:r w:rsidR="00CC606C" w:rsidRPr="00A43B9C">
        <w:rPr>
          <w:rFonts w:ascii="Times New Roman" w:hAnsi="Times New Roman" w:cs="Times New Roman"/>
          <w:sz w:val="28"/>
          <w:szCs w:val="28"/>
        </w:rPr>
        <w:t xml:space="preserve">При этом </w:t>
      </w:r>
      <w:r w:rsidR="00C40B6D" w:rsidRPr="00A43B9C">
        <w:rPr>
          <w:rFonts w:ascii="Times New Roman" w:hAnsi="Times New Roman" w:cs="Times New Roman"/>
          <w:sz w:val="28"/>
          <w:szCs w:val="28"/>
        </w:rPr>
        <w:t xml:space="preserve">сравнение </w:t>
      </w:r>
      <w:r w:rsidR="00677963" w:rsidRPr="00A43B9C">
        <w:rPr>
          <w:rFonts w:ascii="Times New Roman" w:hAnsi="Times New Roman" w:cs="Times New Roman"/>
          <w:sz w:val="28"/>
          <w:szCs w:val="28"/>
        </w:rPr>
        <w:t>в группе nLM выяви</w:t>
      </w:r>
      <w:r w:rsidR="00CC606C" w:rsidRPr="00A43B9C">
        <w:rPr>
          <w:rFonts w:ascii="Times New Roman" w:hAnsi="Times New Roman" w:cs="Times New Roman"/>
          <w:sz w:val="28"/>
          <w:szCs w:val="28"/>
        </w:rPr>
        <w:t>л</w:t>
      </w:r>
      <w:r w:rsidR="00C40B6D" w:rsidRPr="00A43B9C">
        <w:rPr>
          <w:rFonts w:ascii="Times New Roman" w:hAnsi="Times New Roman" w:cs="Times New Roman"/>
          <w:sz w:val="28"/>
          <w:szCs w:val="28"/>
        </w:rPr>
        <w:t>о</w:t>
      </w:r>
      <w:r w:rsidR="00677963" w:rsidRPr="00A43B9C">
        <w:rPr>
          <w:rFonts w:ascii="Times New Roman" w:hAnsi="Times New Roman" w:cs="Times New Roman"/>
          <w:sz w:val="28"/>
          <w:szCs w:val="28"/>
        </w:rPr>
        <w:t xml:space="preserve"> статистически значимы</w:t>
      </w:r>
      <w:r w:rsidR="00CC606C" w:rsidRPr="00A43B9C">
        <w:rPr>
          <w:rFonts w:ascii="Times New Roman" w:hAnsi="Times New Roman" w:cs="Times New Roman"/>
          <w:sz w:val="28"/>
          <w:szCs w:val="28"/>
        </w:rPr>
        <w:t>е</w:t>
      </w:r>
      <w:r w:rsidR="00677963" w:rsidRPr="00A43B9C">
        <w:rPr>
          <w:rFonts w:ascii="Times New Roman" w:hAnsi="Times New Roman" w:cs="Times New Roman"/>
          <w:sz w:val="28"/>
          <w:szCs w:val="28"/>
        </w:rPr>
        <w:t xml:space="preserve"> изменени</w:t>
      </w:r>
      <w:r w:rsidR="00CC606C" w:rsidRPr="00A43B9C">
        <w:rPr>
          <w:rFonts w:ascii="Times New Roman" w:hAnsi="Times New Roman" w:cs="Times New Roman"/>
          <w:sz w:val="28"/>
          <w:szCs w:val="28"/>
        </w:rPr>
        <w:t>я</w:t>
      </w:r>
      <w:r w:rsidR="00677963" w:rsidRPr="00A43B9C">
        <w:rPr>
          <w:rFonts w:ascii="Times New Roman" w:hAnsi="Times New Roman" w:cs="Times New Roman"/>
          <w:sz w:val="28"/>
          <w:szCs w:val="28"/>
        </w:rPr>
        <w:t xml:space="preserve"> (p = 0,038)</w:t>
      </w:r>
      <w:r w:rsidR="00FD1564" w:rsidRPr="00A43B9C">
        <w:rPr>
          <w:rFonts w:ascii="Times New Roman" w:hAnsi="Times New Roman" w:cs="Times New Roman"/>
          <w:sz w:val="28"/>
          <w:szCs w:val="28"/>
        </w:rPr>
        <w:t>, но а</w:t>
      </w:r>
      <w:r w:rsidR="00677963" w:rsidRPr="00A43B9C">
        <w:rPr>
          <w:rFonts w:ascii="Times New Roman" w:hAnsi="Times New Roman" w:cs="Times New Roman"/>
          <w:sz w:val="28"/>
          <w:szCs w:val="28"/>
        </w:rPr>
        <w:t xml:space="preserve">нализ в группе pLM статистически значимые изменения </w:t>
      </w:r>
      <w:r w:rsidR="00FD1564" w:rsidRPr="00A43B9C">
        <w:rPr>
          <w:rFonts w:ascii="Times New Roman" w:hAnsi="Times New Roman" w:cs="Times New Roman"/>
          <w:sz w:val="28"/>
          <w:szCs w:val="28"/>
        </w:rPr>
        <w:t xml:space="preserve">не установил </w:t>
      </w:r>
      <w:r w:rsidR="00677963" w:rsidRPr="00A43B9C">
        <w:rPr>
          <w:rFonts w:ascii="Times New Roman" w:hAnsi="Times New Roman" w:cs="Times New Roman"/>
          <w:sz w:val="28"/>
          <w:szCs w:val="28"/>
        </w:rPr>
        <w:t>(p = 0,632).</w:t>
      </w:r>
      <w:r w:rsidR="002C6721" w:rsidRPr="00A43B9C">
        <w:rPr>
          <w:rFonts w:ascii="Times New Roman" w:hAnsi="Times New Roman" w:cs="Times New Roman"/>
          <w:sz w:val="28"/>
          <w:szCs w:val="28"/>
        </w:rPr>
        <w:t xml:space="preserve"> </w:t>
      </w:r>
      <w:r w:rsidR="00B9622A" w:rsidRPr="00A43B9C">
        <w:rPr>
          <w:rFonts w:ascii="Times New Roman" w:hAnsi="Times New Roman" w:cs="Times New Roman"/>
          <w:sz w:val="28"/>
          <w:szCs w:val="28"/>
        </w:rPr>
        <w:t>А</w:t>
      </w:r>
      <w:r w:rsidR="00677963" w:rsidRPr="00A43B9C">
        <w:rPr>
          <w:rFonts w:ascii="Times New Roman" w:hAnsi="Times New Roman" w:cs="Times New Roman"/>
          <w:sz w:val="28"/>
          <w:szCs w:val="28"/>
        </w:rPr>
        <w:t xml:space="preserve">нализ по статусу </w:t>
      </w:r>
      <w:r w:rsidR="00677963" w:rsidRPr="00A43B9C">
        <w:rPr>
          <w:rFonts w:ascii="Times New Roman" w:hAnsi="Times New Roman" w:cs="Times New Roman"/>
          <w:sz w:val="28"/>
          <w:szCs w:val="28"/>
          <w:lang w:val="en-US"/>
        </w:rPr>
        <w:t>LM</w:t>
      </w:r>
      <w:r w:rsidR="00677963" w:rsidRPr="00A43B9C">
        <w:rPr>
          <w:rFonts w:ascii="Times New Roman" w:hAnsi="Times New Roman" w:cs="Times New Roman"/>
          <w:sz w:val="28"/>
          <w:szCs w:val="28"/>
        </w:rPr>
        <w:t xml:space="preserve"> в локализации RRI I</w:t>
      </w:r>
      <w:r w:rsidR="00C40B6D" w:rsidRPr="00A43B9C">
        <w:rPr>
          <w:rFonts w:ascii="Times New Roman" w:hAnsi="Times New Roman" w:cs="Times New Roman"/>
          <w:sz w:val="28"/>
          <w:szCs w:val="28"/>
        </w:rPr>
        <w:t>,</w:t>
      </w:r>
      <w:r w:rsidR="00677963" w:rsidRPr="00A43B9C">
        <w:rPr>
          <w:rFonts w:ascii="Times New Roman" w:hAnsi="Times New Roman" w:cs="Times New Roman"/>
          <w:sz w:val="28"/>
          <w:szCs w:val="28"/>
        </w:rPr>
        <w:t xml:space="preserve"> </w:t>
      </w:r>
      <w:r w:rsidR="00B9622A" w:rsidRPr="00A43B9C">
        <w:rPr>
          <w:rFonts w:ascii="Times New Roman" w:hAnsi="Times New Roman" w:cs="Times New Roman"/>
          <w:sz w:val="28"/>
          <w:szCs w:val="28"/>
        </w:rPr>
        <w:t>на</w:t>
      </w:r>
      <w:r w:rsidR="00C40B6D" w:rsidRPr="00A43B9C">
        <w:rPr>
          <w:rFonts w:ascii="Times New Roman" w:hAnsi="Times New Roman" w:cs="Times New Roman"/>
          <w:sz w:val="28"/>
          <w:szCs w:val="28"/>
        </w:rPr>
        <w:t>против,</w:t>
      </w:r>
      <w:r w:rsidR="00B9622A" w:rsidRPr="00A43B9C">
        <w:rPr>
          <w:rFonts w:ascii="Times New Roman" w:hAnsi="Times New Roman" w:cs="Times New Roman"/>
          <w:sz w:val="28"/>
          <w:szCs w:val="28"/>
        </w:rPr>
        <w:t xml:space="preserve"> </w:t>
      </w:r>
      <w:r w:rsidR="00677963" w:rsidRPr="00A43B9C">
        <w:rPr>
          <w:rFonts w:ascii="Times New Roman" w:hAnsi="Times New Roman" w:cs="Times New Roman"/>
          <w:sz w:val="28"/>
          <w:szCs w:val="28"/>
        </w:rPr>
        <w:t>не выяви</w:t>
      </w:r>
      <w:r w:rsidR="00B9622A" w:rsidRPr="00A43B9C">
        <w:rPr>
          <w:rFonts w:ascii="Times New Roman" w:hAnsi="Times New Roman" w:cs="Times New Roman"/>
          <w:sz w:val="28"/>
          <w:szCs w:val="28"/>
        </w:rPr>
        <w:t>л</w:t>
      </w:r>
      <w:r w:rsidR="00677963" w:rsidRPr="00A43B9C">
        <w:rPr>
          <w:rFonts w:ascii="Times New Roman" w:hAnsi="Times New Roman" w:cs="Times New Roman"/>
          <w:sz w:val="28"/>
          <w:szCs w:val="28"/>
        </w:rPr>
        <w:t xml:space="preserve"> статистически значимы</w:t>
      </w:r>
      <w:r w:rsidR="00C40B6D" w:rsidRPr="00A43B9C">
        <w:rPr>
          <w:rFonts w:ascii="Times New Roman" w:hAnsi="Times New Roman" w:cs="Times New Roman"/>
          <w:sz w:val="28"/>
          <w:szCs w:val="28"/>
        </w:rPr>
        <w:t>х</w:t>
      </w:r>
      <w:r w:rsidR="00677963" w:rsidRPr="00A43B9C">
        <w:rPr>
          <w:rFonts w:ascii="Times New Roman" w:hAnsi="Times New Roman" w:cs="Times New Roman"/>
          <w:sz w:val="28"/>
          <w:szCs w:val="28"/>
        </w:rPr>
        <w:t xml:space="preserve"> различи</w:t>
      </w:r>
      <w:r w:rsidR="00C40B6D" w:rsidRPr="00A43B9C">
        <w:rPr>
          <w:rFonts w:ascii="Times New Roman" w:hAnsi="Times New Roman" w:cs="Times New Roman"/>
          <w:sz w:val="28"/>
          <w:szCs w:val="28"/>
        </w:rPr>
        <w:t>й</w:t>
      </w:r>
      <w:r w:rsidR="00677963" w:rsidRPr="00A43B9C">
        <w:rPr>
          <w:rFonts w:ascii="Times New Roman" w:hAnsi="Times New Roman" w:cs="Times New Roman"/>
          <w:sz w:val="28"/>
          <w:szCs w:val="28"/>
        </w:rPr>
        <w:t xml:space="preserve"> (p = 0,170)</w:t>
      </w:r>
      <w:r w:rsidR="00B9622A" w:rsidRPr="00A43B9C">
        <w:rPr>
          <w:rFonts w:ascii="Times New Roman" w:hAnsi="Times New Roman" w:cs="Times New Roman"/>
          <w:sz w:val="28"/>
          <w:szCs w:val="28"/>
        </w:rPr>
        <w:t xml:space="preserve">, но </w:t>
      </w:r>
      <w:r w:rsidR="00677963" w:rsidRPr="00A43B9C">
        <w:rPr>
          <w:rFonts w:ascii="Times New Roman" w:hAnsi="Times New Roman" w:cs="Times New Roman"/>
          <w:sz w:val="28"/>
          <w:szCs w:val="28"/>
        </w:rPr>
        <w:t>в локализации RRI II значимы</w:t>
      </w:r>
      <w:r w:rsidR="00B9622A" w:rsidRPr="00A43B9C">
        <w:rPr>
          <w:rFonts w:ascii="Times New Roman" w:hAnsi="Times New Roman" w:cs="Times New Roman"/>
          <w:sz w:val="28"/>
          <w:szCs w:val="28"/>
        </w:rPr>
        <w:t>е</w:t>
      </w:r>
      <w:r w:rsidR="00677963" w:rsidRPr="00A43B9C">
        <w:rPr>
          <w:rFonts w:ascii="Times New Roman" w:hAnsi="Times New Roman" w:cs="Times New Roman"/>
          <w:sz w:val="28"/>
          <w:szCs w:val="28"/>
        </w:rPr>
        <w:t xml:space="preserve"> различи</w:t>
      </w:r>
      <w:r w:rsidR="00B9622A" w:rsidRPr="00A43B9C">
        <w:rPr>
          <w:rFonts w:ascii="Times New Roman" w:hAnsi="Times New Roman" w:cs="Times New Roman"/>
          <w:sz w:val="28"/>
          <w:szCs w:val="28"/>
        </w:rPr>
        <w:t>я</w:t>
      </w:r>
      <w:r w:rsidR="00677963" w:rsidRPr="00A43B9C">
        <w:rPr>
          <w:rFonts w:ascii="Times New Roman" w:hAnsi="Times New Roman" w:cs="Times New Roman"/>
          <w:sz w:val="28"/>
          <w:szCs w:val="28"/>
        </w:rPr>
        <w:t xml:space="preserve"> </w:t>
      </w:r>
      <w:r w:rsidR="00C40B6D" w:rsidRPr="00A43B9C">
        <w:rPr>
          <w:rFonts w:ascii="Times New Roman" w:hAnsi="Times New Roman" w:cs="Times New Roman"/>
          <w:sz w:val="28"/>
          <w:szCs w:val="28"/>
        </w:rPr>
        <w:t xml:space="preserve">были обнаружены </w:t>
      </w:r>
      <w:r w:rsidR="00677963" w:rsidRPr="00A43B9C">
        <w:rPr>
          <w:rFonts w:ascii="Times New Roman" w:hAnsi="Times New Roman" w:cs="Times New Roman"/>
          <w:sz w:val="28"/>
          <w:szCs w:val="28"/>
        </w:rPr>
        <w:t>(p = 0,035).</w:t>
      </w:r>
      <w:r w:rsidR="00AB7088" w:rsidRPr="00A43B9C">
        <w:rPr>
          <w:rFonts w:ascii="Times New Roman" w:hAnsi="Times New Roman" w:cs="Times New Roman"/>
          <w:sz w:val="28"/>
          <w:szCs w:val="28"/>
        </w:rPr>
        <w:t xml:space="preserve"> </w:t>
      </w:r>
      <w:r w:rsidR="00677963" w:rsidRPr="00A43B9C">
        <w:rPr>
          <w:rFonts w:ascii="Times New Roman" w:hAnsi="Times New Roman" w:cs="Times New Roman"/>
          <w:sz w:val="28"/>
          <w:szCs w:val="28"/>
        </w:rPr>
        <w:t>Пр</w:t>
      </w:r>
      <w:r w:rsidR="00B9622A" w:rsidRPr="00A43B9C">
        <w:rPr>
          <w:rFonts w:ascii="Times New Roman" w:hAnsi="Times New Roman" w:cs="Times New Roman"/>
          <w:sz w:val="28"/>
          <w:szCs w:val="28"/>
        </w:rPr>
        <w:t xml:space="preserve">и этом </w:t>
      </w:r>
      <w:r w:rsidR="00677963" w:rsidRPr="00A43B9C">
        <w:rPr>
          <w:rFonts w:ascii="Times New Roman" w:hAnsi="Times New Roman" w:cs="Times New Roman"/>
          <w:sz w:val="28"/>
          <w:szCs w:val="28"/>
        </w:rPr>
        <w:t xml:space="preserve">в группе nLM </w:t>
      </w:r>
      <w:r w:rsidR="00B9622A" w:rsidRPr="00A43B9C">
        <w:rPr>
          <w:rFonts w:ascii="Times New Roman" w:hAnsi="Times New Roman" w:cs="Times New Roman"/>
          <w:sz w:val="28"/>
          <w:szCs w:val="28"/>
        </w:rPr>
        <w:t xml:space="preserve">анализ также не </w:t>
      </w:r>
      <w:r w:rsidR="00677963" w:rsidRPr="00A43B9C">
        <w:rPr>
          <w:rFonts w:ascii="Times New Roman" w:hAnsi="Times New Roman" w:cs="Times New Roman"/>
          <w:sz w:val="28"/>
          <w:szCs w:val="28"/>
        </w:rPr>
        <w:t>установ</w:t>
      </w:r>
      <w:r w:rsidR="00B9622A" w:rsidRPr="00A43B9C">
        <w:rPr>
          <w:rFonts w:ascii="Times New Roman" w:hAnsi="Times New Roman" w:cs="Times New Roman"/>
          <w:sz w:val="28"/>
          <w:szCs w:val="28"/>
        </w:rPr>
        <w:t>и</w:t>
      </w:r>
      <w:r w:rsidR="00677963" w:rsidRPr="00A43B9C">
        <w:rPr>
          <w:rFonts w:ascii="Times New Roman" w:hAnsi="Times New Roman" w:cs="Times New Roman"/>
          <w:sz w:val="28"/>
          <w:szCs w:val="28"/>
        </w:rPr>
        <w:t>л статистически значимы</w:t>
      </w:r>
      <w:r w:rsidR="00C40B6D" w:rsidRPr="00A43B9C">
        <w:rPr>
          <w:rFonts w:ascii="Times New Roman" w:hAnsi="Times New Roman" w:cs="Times New Roman"/>
          <w:sz w:val="28"/>
          <w:szCs w:val="28"/>
        </w:rPr>
        <w:t>х</w:t>
      </w:r>
      <w:r w:rsidR="00677963" w:rsidRPr="00A43B9C">
        <w:rPr>
          <w:rFonts w:ascii="Times New Roman" w:hAnsi="Times New Roman" w:cs="Times New Roman"/>
          <w:sz w:val="28"/>
          <w:szCs w:val="28"/>
        </w:rPr>
        <w:t xml:space="preserve"> изменени</w:t>
      </w:r>
      <w:r w:rsidR="00C40B6D" w:rsidRPr="00A43B9C">
        <w:rPr>
          <w:rFonts w:ascii="Times New Roman" w:hAnsi="Times New Roman" w:cs="Times New Roman"/>
          <w:sz w:val="28"/>
          <w:szCs w:val="28"/>
        </w:rPr>
        <w:t>й</w:t>
      </w:r>
      <w:r w:rsidR="00677963" w:rsidRPr="00A43B9C">
        <w:rPr>
          <w:rFonts w:ascii="Times New Roman" w:hAnsi="Times New Roman" w:cs="Times New Roman"/>
          <w:sz w:val="28"/>
          <w:szCs w:val="28"/>
        </w:rPr>
        <w:t xml:space="preserve"> (p = 0,448)</w:t>
      </w:r>
      <w:r w:rsidR="00B9622A" w:rsidRPr="00A43B9C">
        <w:rPr>
          <w:rFonts w:ascii="Times New Roman" w:hAnsi="Times New Roman" w:cs="Times New Roman"/>
          <w:sz w:val="28"/>
          <w:szCs w:val="28"/>
        </w:rPr>
        <w:t>, так</w:t>
      </w:r>
      <w:r w:rsidR="00C40B6D" w:rsidRPr="00A43B9C">
        <w:rPr>
          <w:rFonts w:ascii="Times New Roman" w:hAnsi="Times New Roman" w:cs="Times New Roman"/>
          <w:sz w:val="28"/>
          <w:szCs w:val="28"/>
        </w:rPr>
        <w:t xml:space="preserve"> </w:t>
      </w:r>
      <w:r w:rsidR="009A791E" w:rsidRPr="00A43B9C">
        <w:rPr>
          <w:rFonts w:ascii="Times New Roman" w:hAnsi="Times New Roman" w:cs="Times New Roman"/>
          <w:sz w:val="28"/>
          <w:szCs w:val="28"/>
        </w:rPr>
        <w:t>же,</w:t>
      </w:r>
      <w:r w:rsidR="00B9622A" w:rsidRPr="00A43B9C">
        <w:rPr>
          <w:rFonts w:ascii="Times New Roman" w:hAnsi="Times New Roman" w:cs="Times New Roman"/>
          <w:sz w:val="28"/>
          <w:szCs w:val="28"/>
        </w:rPr>
        <w:t xml:space="preserve"> как и </w:t>
      </w:r>
      <w:r w:rsidR="00677963" w:rsidRPr="00A43B9C">
        <w:rPr>
          <w:rFonts w:ascii="Times New Roman" w:hAnsi="Times New Roman" w:cs="Times New Roman"/>
          <w:sz w:val="28"/>
          <w:szCs w:val="28"/>
        </w:rPr>
        <w:t>в группе pLM (p = 0,744).</w:t>
      </w:r>
      <w:r w:rsidR="002C6721" w:rsidRPr="00A43B9C">
        <w:rPr>
          <w:rFonts w:ascii="Times New Roman" w:hAnsi="Times New Roman" w:cs="Times New Roman"/>
          <w:sz w:val="28"/>
          <w:szCs w:val="28"/>
        </w:rPr>
        <w:t xml:space="preserve"> </w:t>
      </w:r>
      <w:r w:rsidR="00C40B6D" w:rsidRPr="00A43B9C">
        <w:rPr>
          <w:rFonts w:ascii="Times New Roman" w:hAnsi="Times New Roman" w:cs="Times New Roman"/>
          <w:sz w:val="28"/>
          <w:szCs w:val="28"/>
        </w:rPr>
        <w:t xml:space="preserve">Помимо этого, </w:t>
      </w:r>
      <w:r w:rsidR="00B9622A" w:rsidRPr="00A43B9C">
        <w:rPr>
          <w:rFonts w:ascii="Times New Roman" w:hAnsi="Times New Roman" w:cs="Times New Roman"/>
          <w:sz w:val="28"/>
          <w:szCs w:val="28"/>
        </w:rPr>
        <w:t xml:space="preserve">статистически значимые различия ни по статусу </w:t>
      </w:r>
      <w:r w:rsidR="00B9622A" w:rsidRPr="00A43B9C">
        <w:rPr>
          <w:rFonts w:ascii="Times New Roman" w:hAnsi="Times New Roman" w:cs="Times New Roman"/>
          <w:sz w:val="28"/>
          <w:szCs w:val="28"/>
          <w:lang w:val="en-US"/>
        </w:rPr>
        <w:t>LM</w:t>
      </w:r>
      <w:r w:rsidR="00B9622A" w:rsidRPr="00A43B9C">
        <w:rPr>
          <w:rFonts w:ascii="Times New Roman" w:hAnsi="Times New Roman" w:cs="Times New Roman"/>
          <w:sz w:val="28"/>
          <w:szCs w:val="28"/>
        </w:rPr>
        <w:t xml:space="preserve"> ни в группах </w:t>
      </w:r>
      <w:r w:rsidR="00B9622A" w:rsidRPr="00A43B9C">
        <w:rPr>
          <w:rFonts w:ascii="Times New Roman" w:hAnsi="Times New Roman" w:cs="Times New Roman"/>
          <w:sz w:val="28"/>
          <w:szCs w:val="28"/>
          <w:lang w:val="en-US"/>
        </w:rPr>
        <w:t>nLM</w:t>
      </w:r>
      <w:r w:rsidR="00B9622A" w:rsidRPr="00A43B9C">
        <w:rPr>
          <w:rFonts w:ascii="Times New Roman" w:hAnsi="Times New Roman" w:cs="Times New Roman"/>
          <w:sz w:val="28"/>
          <w:szCs w:val="28"/>
        </w:rPr>
        <w:t xml:space="preserve"> и </w:t>
      </w:r>
      <w:r w:rsidR="00B9622A" w:rsidRPr="00A43B9C">
        <w:rPr>
          <w:rFonts w:ascii="Times New Roman" w:hAnsi="Times New Roman" w:cs="Times New Roman"/>
          <w:sz w:val="28"/>
          <w:szCs w:val="28"/>
          <w:lang w:val="en-US"/>
        </w:rPr>
        <w:t>pLM</w:t>
      </w:r>
      <w:r w:rsidR="00B9622A" w:rsidRPr="00A43B9C">
        <w:rPr>
          <w:rFonts w:ascii="Times New Roman" w:hAnsi="Times New Roman" w:cs="Times New Roman"/>
          <w:sz w:val="28"/>
          <w:szCs w:val="28"/>
        </w:rPr>
        <w:t xml:space="preserve"> не были выявлены в оставшихся трех лока</w:t>
      </w:r>
      <w:r w:rsidR="002C6721" w:rsidRPr="00A43B9C">
        <w:rPr>
          <w:rFonts w:ascii="Times New Roman" w:hAnsi="Times New Roman" w:cs="Times New Roman"/>
          <w:sz w:val="28"/>
          <w:szCs w:val="28"/>
        </w:rPr>
        <w:t>л</w:t>
      </w:r>
      <w:r w:rsidR="00B9622A" w:rsidRPr="00A43B9C">
        <w:rPr>
          <w:rFonts w:ascii="Times New Roman" w:hAnsi="Times New Roman" w:cs="Times New Roman"/>
          <w:sz w:val="28"/>
          <w:szCs w:val="28"/>
        </w:rPr>
        <w:t>изациях (</w:t>
      </w:r>
      <w:r w:rsidR="00B9622A" w:rsidRPr="00A43B9C">
        <w:rPr>
          <w:rFonts w:ascii="Times New Roman" w:hAnsi="Times New Roman" w:cs="Times New Roman"/>
          <w:sz w:val="28"/>
          <w:szCs w:val="28"/>
          <w:lang w:val="en-US"/>
        </w:rPr>
        <w:t>RP</w:t>
      </w:r>
      <w:r w:rsidR="00B9622A" w:rsidRPr="00A43B9C">
        <w:rPr>
          <w:rFonts w:ascii="Times New Roman" w:hAnsi="Times New Roman" w:cs="Times New Roman"/>
          <w:sz w:val="28"/>
          <w:szCs w:val="28"/>
        </w:rPr>
        <w:t xml:space="preserve">, </w:t>
      </w:r>
      <w:r w:rsidR="00B9622A" w:rsidRPr="00A43B9C">
        <w:rPr>
          <w:rFonts w:ascii="Times New Roman" w:hAnsi="Times New Roman" w:cs="Times New Roman"/>
          <w:sz w:val="28"/>
          <w:szCs w:val="28"/>
          <w:lang w:val="en-US"/>
        </w:rPr>
        <w:t>RLI</w:t>
      </w:r>
      <w:r w:rsidR="00B9622A" w:rsidRPr="00A43B9C">
        <w:rPr>
          <w:rFonts w:ascii="Times New Roman" w:hAnsi="Times New Roman" w:cs="Times New Roman"/>
          <w:sz w:val="28"/>
          <w:szCs w:val="28"/>
        </w:rPr>
        <w:t xml:space="preserve"> и </w:t>
      </w:r>
      <w:r w:rsidR="00B9622A" w:rsidRPr="00A43B9C">
        <w:rPr>
          <w:rFonts w:ascii="Times New Roman" w:hAnsi="Times New Roman" w:cs="Times New Roman"/>
          <w:sz w:val="28"/>
          <w:szCs w:val="28"/>
          <w:lang w:val="en-US"/>
        </w:rPr>
        <w:t>P</w:t>
      </w:r>
      <w:r w:rsidR="00B9622A" w:rsidRPr="00A43B9C">
        <w:rPr>
          <w:rFonts w:ascii="Times New Roman" w:hAnsi="Times New Roman" w:cs="Times New Roman"/>
          <w:sz w:val="28"/>
          <w:szCs w:val="28"/>
        </w:rPr>
        <w:t xml:space="preserve">). Соответственно результаты </w:t>
      </w:r>
      <w:r w:rsidR="00677963" w:rsidRPr="00A43B9C">
        <w:rPr>
          <w:rFonts w:ascii="Times New Roman" w:hAnsi="Times New Roman" w:cs="Times New Roman"/>
          <w:sz w:val="28"/>
          <w:szCs w:val="28"/>
        </w:rPr>
        <w:t xml:space="preserve">по статусу </w:t>
      </w:r>
      <w:r w:rsidR="00677963" w:rsidRPr="00A43B9C">
        <w:rPr>
          <w:rFonts w:ascii="Times New Roman" w:hAnsi="Times New Roman" w:cs="Times New Roman"/>
          <w:sz w:val="28"/>
          <w:szCs w:val="28"/>
          <w:lang w:val="en-US"/>
        </w:rPr>
        <w:t>LM</w:t>
      </w:r>
      <w:r w:rsidR="00677963" w:rsidRPr="00A43B9C">
        <w:rPr>
          <w:rFonts w:ascii="Times New Roman" w:hAnsi="Times New Roman" w:cs="Times New Roman"/>
          <w:sz w:val="28"/>
          <w:szCs w:val="28"/>
        </w:rPr>
        <w:t xml:space="preserve"> в локализации RP I </w:t>
      </w:r>
      <w:r w:rsidR="00B9622A" w:rsidRPr="00A43B9C">
        <w:rPr>
          <w:rFonts w:ascii="Times New Roman" w:hAnsi="Times New Roman" w:cs="Times New Roman"/>
          <w:sz w:val="28"/>
          <w:szCs w:val="28"/>
        </w:rPr>
        <w:t xml:space="preserve">и </w:t>
      </w:r>
      <w:r w:rsidR="00B9622A" w:rsidRPr="00A43B9C">
        <w:rPr>
          <w:rFonts w:ascii="Times New Roman" w:hAnsi="Times New Roman" w:cs="Times New Roman"/>
          <w:sz w:val="28"/>
          <w:szCs w:val="28"/>
          <w:lang w:val="en-US"/>
        </w:rPr>
        <w:t>RP</w:t>
      </w:r>
      <w:r w:rsidR="00B9622A" w:rsidRPr="00A43B9C">
        <w:rPr>
          <w:rFonts w:ascii="Times New Roman" w:hAnsi="Times New Roman" w:cs="Times New Roman"/>
          <w:sz w:val="28"/>
          <w:szCs w:val="28"/>
        </w:rPr>
        <w:t xml:space="preserve"> </w:t>
      </w:r>
      <w:r w:rsidR="00B9622A" w:rsidRPr="00A43B9C">
        <w:rPr>
          <w:rFonts w:ascii="Times New Roman" w:hAnsi="Times New Roman" w:cs="Times New Roman"/>
          <w:sz w:val="28"/>
          <w:szCs w:val="28"/>
          <w:lang w:val="en-US"/>
        </w:rPr>
        <w:t>II</w:t>
      </w:r>
      <w:r w:rsidR="00B9622A" w:rsidRPr="00A43B9C">
        <w:rPr>
          <w:rFonts w:ascii="Times New Roman" w:hAnsi="Times New Roman" w:cs="Times New Roman"/>
          <w:sz w:val="28"/>
          <w:szCs w:val="28"/>
        </w:rPr>
        <w:t xml:space="preserve"> </w:t>
      </w:r>
      <w:r w:rsidR="00677963" w:rsidRPr="00A43B9C">
        <w:rPr>
          <w:rFonts w:ascii="Times New Roman" w:hAnsi="Times New Roman" w:cs="Times New Roman"/>
          <w:sz w:val="28"/>
          <w:szCs w:val="28"/>
        </w:rPr>
        <w:t xml:space="preserve">не </w:t>
      </w:r>
      <w:r w:rsidR="00B9622A" w:rsidRPr="00A43B9C">
        <w:rPr>
          <w:rFonts w:ascii="Times New Roman" w:hAnsi="Times New Roman" w:cs="Times New Roman"/>
          <w:sz w:val="28"/>
          <w:szCs w:val="28"/>
        </w:rPr>
        <w:t xml:space="preserve">подтвердили </w:t>
      </w:r>
      <w:r w:rsidR="00677963" w:rsidRPr="00A43B9C">
        <w:rPr>
          <w:rFonts w:ascii="Times New Roman" w:hAnsi="Times New Roman" w:cs="Times New Roman"/>
          <w:sz w:val="28"/>
          <w:szCs w:val="28"/>
        </w:rPr>
        <w:t>статистически значимы</w:t>
      </w:r>
      <w:r w:rsidR="00C40B6D" w:rsidRPr="00A43B9C">
        <w:rPr>
          <w:rFonts w:ascii="Times New Roman" w:hAnsi="Times New Roman" w:cs="Times New Roman"/>
          <w:sz w:val="28"/>
          <w:szCs w:val="28"/>
        </w:rPr>
        <w:t>х</w:t>
      </w:r>
      <w:r w:rsidR="00677963" w:rsidRPr="00A43B9C">
        <w:rPr>
          <w:rFonts w:ascii="Times New Roman" w:hAnsi="Times New Roman" w:cs="Times New Roman"/>
          <w:sz w:val="28"/>
          <w:szCs w:val="28"/>
        </w:rPr>
        <w:t xml:space="preserve"> различи</w:t>
      </w:r>
      <w:r w:rsidR="00C40B6D" w:rsidRPr="00A43B9C">
        <w:rPr>
          <w:rFonts w:ascii="Times New Roman" w:hAnsi="Times New Roman" w:cs="Times New Roman"/>
          <w:sz w:val="28"/>
          <w:szCs w:val="28"/>
        </w:rPr>
        <w:t>й</w:t>
      </w:r>
      <w:r w:rsidR="00677963" w:rsidRPr="00A43B9C">
        <w:rPr>
          <w:rFonts w:ascii="Times New Roman" w:hAnsi="Times New Roman" w:cs="Times New Roman"/>
          <w:sz w:val="28"/>
          <w:szCs w:val="28"/>
        </w:rPr>
        <w:t xml:space="preserve"> (p = 0,828</w:t>
      </w:r>
      <w:r w:rsidR="00B9622A" w:rsidRPr="00A43B9C">
        <w:rPr>
          <w:rFonts w:ascii="Times New Roman" w:hAnsi="Times New Roman" w:cs="Times New Roman"/>
          <w:sz w:val="28"/>
          <w:szCs w:val="28"/>
        </w:rPr>
        <w:t xml:space="preserve"> и </w:t>
      </w:r>
      <w:r w:rsidR="00B9622A" w:rsidRPr="00A43B9C">
        <w:rPr>
          <w:rFonts w:ascii="Times New Roman" w:hAnsi="Times New Roman" w:cs="Times New Roman"/>
          <w:sz w:val="28"/>
          <w:szCs w:val="28"/>
          <w:lang w:val="en-US"/>
        </w:rPr>
        <w:t>p</w:t>
      </w:r>
      <w:r w:rsidR="00B9622A" w:rsidRPr="00A43B9C">
        <w:rPr>
          <w:rFonts w:ascii="Times New Roman" w:hAnsi="Times New Roman" w:cs="Times New Roman"/>
          <w:sz w:val="28"/>
          <w:szCs w:val="28"/>
        </w:rPr>
        <w:t xml:space="preserve"> = 0,059</w:t>
      </w:r>
      <w:r w:rsidR="00677963" w:rsidRPr="00A43B9C">
        <w:rPr>
          <w:rFonts w:ascii="Times New Roman" w:hAnsi="Times New Roman" w:cs="Times New Roman"/>
          <w:sz w:val="28"/>
          <w:szCs w:val="28"/>
        </w:rPr>
        <w:t>)</w:t>
      </w:r>
      <w:r w:rsidR="00B9622A" w:rsidRPr="00A43B9C">
        <w:rPr>
          <w:rFonts w:ascii="Times New Roman" w:hAnsi="Times New Roman" w:cs="Times New Roman"/>
          <w:sz w:val="28"/>
          <w:szCs w:val="28"/>
        </w:rPr>
        <w:t>, равно как и не подтвердили статистически значимы</w:t>
      </w:r>
      <w:r w:rsidR="00C40B6D" w:rsidRPr="00A43B9C">
        <w:rPr>
          <w:rFonts w:ascii="Times New Roman" w:hAnsi="Times New Roman" w:cs="Times New Roman"/>
          <w:sz w:val="28"/>
          <w:szCs w:val="28"/>
        </w:rPr>
        <w:t>х</w:t>
      </w:r>
      <w:r w:rsidR="00B9622A" w:rsidRPr="00A43B9C">
        <w:rPr>
          <w:rFonts w:ascii="Times New Roman" w:hAnsi="Times New Roman" w:cs="Times New Roman"/>
          <w:sz w:val="28"/>
          <w:szCs w:val="28"/>
        </w:rPr>
        <w:t xml:space="preserve"> </w:t>
      </w:r>
      <w:r w:rsidR="00862147" w:rsidRPr="00A43B9C">
        <w:rPr>
          <w:rFonts w:ascii="Times New Roman" w:hAnsi="Times New Roman" w:cs="Times New Roman"/>
          <w:sz w:val="28"/>
          <w:szCs w:val="28"/>
        </w:rPr>
        <w:t>различи</w:t>
      </w:r>
      <w:r w:rsidR="00C40B6D" w:rsidRPr="00A43B9C">
        <w:rPr>
          <w:rFonts w:ascii="Times New Roman" w:hAnsi="Times New Roman" w:cs="Times New Roman"/>
          <w:sz w:val="28"/>
          <w:szCs w:val="28"/>
        </w:rPr>
        <w:t>й</w:t>
      </w:r>
      <w:r w:rsidR="00862147" w:rsidRPr="00A43B9C">
        <w:rPr>
          <w:rFonts w:ascii="Times New Roman" w:hAnsi="Times New Roman" w:cs="Times New Roman"/>
          <w:sz w:val="28"/>
          <w:szCs w:val="28"/>
        </w:rPr>
        <w:t xml:space="preserve"> в</w:t>
      </w:r>
      <w:r w:rsidR="00677963" w:rsidRPr="00A43B9C">
        <w:rPr>
          <w:rFonts w:ascii="Times New Roman" w:hAnsi="Times New Roman" w:cs="Times New Roman"/>
          <w:sz w:val="28"/>
          <w:szCs w:val="28"/>
        </w:rPr>
        <w:t xml:space="preserve"> групп</w:t>
      </w:r>
      <w:r w:rsidR="00B9622A" w:rsidRPr="00A43B9C">
        <w:rPr>
          <w:rFonts w:ascii="Times New Roman" w:hAnsi="Times New Roman" w:cs="Times New Roman"/>
          <w:sz w:val="28"/>
          <w:szCs w:val="28"/>
        </w:rPr>
        <w:t>ах</w:t>
      </w:r>
      <w:r w:rsidR="00677963" w:rsidRPr="00A43B9C">
        <w:rPr>
          <w:rFonts w:ascii="Times New Roman" w:hAnsi="Times New Roman" w:cs="Times New Roman"/>
          <w:sz w:val="28"/>
          <w:szCs w:val="28"/>
        </w:rPr>
        <w:t xml:space="preserve"> nLM </w:t>
      </w:r>
      <w:r w:rsidR="00B9622A" w:rsidRPr="00A43B9C">
        <w:rPr>
          <w:rFonts w:ascii="Times New Roman" w:hAnsi="Times New Roman" w:cs="Times New Roman"/>
          <w:sz w:val="28"/>
          <w:szCs w:val="28"/>
        </w:rPr>
        <w:t xml:space="preserve">(p = 0,591) и </w:t>
      </w:r>
      <w:r w:rsidR="00B9622A" w:rsidRPr="00A43B9C">
        <w:rPr>
          <w:rFonts w:ascii="Times New Roman" w:hAnsi="Times New Roman" w:cs="Times New Roman"/>
          <w:sz w:val="28"/>
          <w:szCs w:val="28"/>
          <w:lang w:val="en-US"/>
        </w:rPr>
        <w:t>pLM</w:t>
      </w:r>
      <w:r w:rsidR="00677963" w:rsidRPr="00A43B9C">
        <w:rPr>
          <w:rFonts w:ascii="Times New Roman" w:hAnsi="Times New Roman" w:cs="Times New Roman"/>
          <w:sz w:val="28"/>
          <w:szCs w:val="28"/>
        </w:rPr>
        <w:t xml:space="preserve"> (p = 0,252).</w:t>
      </w:r>
      <w:r w:rsidR="002C6721" w:rsidRPr="00A43B9C">
        <w:rPr>
          <w:rFonts w:ascii="Times New Roman" w:hAnsi="Times New Roman" w:cs="Times New Roman"/>
          <w:sz w:val="28"/>
          <w:szCs w:val="28"/>
        </w:rPr>
        <w:t xml:space="preserve"> </w:t>
      </w:r>
      <w:r w:rsidR="00B9622A" w:rsidRPr="00A43B9C">
        <w:rPr>
          <w:rFonts w:ascii="Times New Roman" w:hAnsi="Times New Roman" w:cs="Times New Roman"/>
          <w:sz w:val="28"/>
          <w:szCs w:val="28"/>
        </w:rPr>
        <w:t xml:space="preserve">Результаты </w:t>
      </w:r>
      <w:r w:rsidR="00677963" w:rsidRPr="00A43B9C">
        <w:rPr>
          <w:rFonts w:ascii="Times New Roman" w:hAnsi="Times New Roman" w:cs="Times New Roman"/>
          <w:sz w:val="28"/>
          <w:szCs w:val="28"/>
        </w:rPr>
        <w:t xml:space="preserve">по статусу </w:t>
      </w:r>
      <w:r w:rsidR="00677963" w:rsidRPr="00A43B9C">
        <w:rPr>
          <w:rFonts w:ascii="Times New Roman" w:hAnsi="Times New Roman" w:cs="Times New Roman"/>
          <w:sz w:val="28"/>
          <w:szCs w:val="28"/>
          <w:lang w:val="en-US"/>
        </w:rPr>
        <w:t>LM</w:t>
      </w:r>
      <w:r w:rsidR="00677963" w:rsidRPr="00A43B9C">
        <w:rPr>
          <w:rFonts w:ascii="Times New Roman" w:hAnsi="Times New Roman" w:cs="Times New Roman"/>
          <w:sz w:val="28"/>
          <w:szCs w:val="28"/>
        </w:rPr>
        <w:t xml:space="preserve"> в локализации RLI I </w:t>
      </w:r>
      <w:r w:rsidR="00B9622A" w:rsidRPr="00A43B9C">
        <w:rPr>
          <w:rFonts w:ascii="Times New Roman" w:hAnsi="Times New Roman" w:cs="Times New Roman"/>
          <w:sz w:val="28"/>
          <w:szCs w:val="28"/>
        </w:rPr>
        <w:t xml:space="preserve">и </w:t>
      </w:r>
      <w:r w:rsidR="00B9622A" w:rsidRPr="00A43B9C">
        <w:rPr>
          <w:rFonts w:ascii="Times New Roman" w:hAnsi="Times New Roman" w:cs="Times New Roman"/>
          <w:sz w:val="28"/>
          <w:szCs w:val="28"/>
          <w:lang w:val="en-US"/>
        </w:rPr>
        <w:t>RLI</w:t>
      </w:r>
      <w:r w:rsidR="00B9622A" w:rsidRPr="00A43B9C">
        <w:rPr>
          <w:rFonts w:ascii="Times New Roman" w:hAnsi="Times New Roman" w:cs="Times New Roman"/>
          <w:sz w:val="28"/>
          <w:szCs w:val="28"/>
        </w:rPr>
        <w:t xml:space="preserve"> </w:t>
      </w:r>
      <w:r w:rsidR="00B9622A" w:rsidRPr="00A43B9C">
        <w:rPr>
          <w:rFonts w:ascii="Times New Roman" w:hAnsi="Times New Roman" w:cs="Times New Roman"/>
          <w:sz w:val="28"/>
          <w:szCs w:val="28"/>
          <w:lang w:val="en-US"/>
        </w:rPr>
        <w:t>II</w:t>
      </w:r>
      <w:r w:rsidR="00B9622A" w:rsidRPr="00A43B9C">
        <w:rPr>
          <w:rFonts w:ascii="Times New Roman" w:hAnsi="Times New Roman" w:cs="Times New Roman"/>
          <w:sz w:val="28"/>
          <w:szCs w:val="28"/>
        </w:rPr>
        <w:t xml:space="preserve"> </w:t>
      </w:r>
      <w:r w:rsidR="00677963" w:rsidRPr="00A43B9C">
        <w:rPr>
          <w:rFonts w:ascii="Times New Roman" w:hAnsi="Times New Roman" w:cs="Times New Roman"/>
          <w:sz w:val="28"/>
          <w:szCs w:val="28"/>
        </w:rPr>
        <w:t>не выяви</w:t>
      </w:r>
      <w:r w:rsidR="00B9622A" w:rsidRPr="00A43B9C">
        <w:rPr>
          <w:rFonts w:ascii="Times New Roman" w:hAnsi="Times New Roman" w:cs="Times New Roman"/>
          <w:sz w:val="28"/>
          <w:szCs w:val="28"/>
        </w:rPr>
        <w:t xml:space="preserve">ли </w:t>
      </w:r>
      <w:r w:rsidR="00677963" w:rsidRPr="00A43B9C">
        <w:rPr>
          <w:rFonts w:ascii="Times New Roman" w:hAnsi="Times New Roman" w:cs="Times New Roman"/>
          <w:sz w:val="28"/>
          <w:szCs w:val="28"/>
        </w:rPr>
        <w:t>значимы</w:t>
      </w:r>
      <w:r w:rsidR="002C6721" w:rsidRPr="00A43B9C">
        <w:rPr>
          <w:rFonts w:ascii="Times New Roman" w:hAnsi="Times New Roman" w:cs="Times New Roman"/>
          <w:sz w:val="28"/>
          <w:szCs w:val="28"/>
        </w:rPr>
        <w:t>е</w:t>
      </w:r>
      <w:r w:rsidR="00677963" w:rsidRPr="00A43B9C">
        <w:rPr>
          <w:rFonts w:ascii="Times New Roman" w:hAnsi="Times New Roman" w:cs="Times New Roman"/>
          <w:sz w:val="28"/>
          <w:szCs w:val="28"/>
        </w:rPr>
        <w:t xml:space="preserve"> различи</w:t>
      </w:r>
      <w:r w:rsidR="002C6721" w:rsidRPr="00A43B9C">
        <w:rPr>
          <w:rFonts w:ascii="Times New Roman" w:hAnsi="Times New Roman" w:cs="Times New Roman"/>
          <w:sz w:val="28"/>
          <w:szCs w:val="28"/>
        </w:rPr>
        <w:t>я</w:t>
      </w:r>
      <w:r w:rsidR="00677963" w:rsidRPr="00A43B9C">
        <w:rPr>
          <w:rFonts w:ascii="Times New Roman" w:hAnsi="Times New Roman" w:cs="Times New Roman"/>
          <w:sz w:val="28"/>
          <w:szCs w:val="28"/>
        </w:rPr>
        <w:t xml:space="preserve"> (p = 0,688</w:t>
      </w:r>
      <w:r w:rsidR="00B9622A" w:rsidRPr="00A43B9C">
        <w:rPr>
          <w:rFonts w:ascii="Times New Roman" w:hAnsi="Times New Roman" w:cs="Times New Roman"/>
          <w:sz w:val="28"/>
          <w:szCs w:val="28"/>
        </w:rPr>
        <w:t xml:space="preserve"> и </w:t>
      </w:r>
      <w:r w:rsidR="00B9622A" w:rsidRPr="00A43B9C">
        <w:rPr>
          <w:rFonts w:ascii="Times New Roman" w:hAnsi="Times New Roman" w:cs="Times New Roman"/>
          <w:sz w:val="28"/>
          <w:szCs w:val="28"/>
          <w:lang w:val="en-US"/>
        </w:rPr>
        <w:t>p</w:t>
      </w:r>
      <w:r w:rsidR="00B9622A" w:rsidRPr="00A43B9C">
        <w:rPr>
          <w:rFonts w:ascii="Times New Roman" w:hAnsi="Times New Roman" w:cs="Times New Roman"/>
          <w:sz w:val="28"/>
          <w:szCs w:val="28"/>
        </w:rPr>
        <w:t xml:space="preserve"> = 0,358</w:t>
      </w:r>
      <w:r w:rsidR="00677963" w:rsidRPr="00A43B9C">
        <w:rPr>
          <w:rFonts w:ascii="Times New Roman" w:hAnsi="Times New Roman" w:cs="Times New Roman"/>
          <w:sz w:val="28"/>
          <w:szCs w:val="28"/>
        </w:rPr>
        <w:t>)</w:t>
      </w:r>
      <w:r w:rsidR="00B9622A" w:rsidRPr="00A43B9C">
        <w:rPr>
          <w:rFonts w:ascii="Times New Roman" w:hAnsi="Times New Roman" w:cs="Times New Roman"/>
          <w:sz w:val="28"/>
          <w:szCs w:val="28"/>
        </w:rPr>
        <w:t>,</w:t>
      </w:r>
      <w:r w:rsidR="00AB7088" w:rsidRPr="00A43B9C">
        <w:rPr>
          <w:rFonts w:ascii="Times New Roman" w:hAnsi="Times New Roman" w:cs="Times New Roman"/>
          <w:sz w:val="28"/>
          <w:szCs w:val="28"/>
        </w:rPr>
        <w:t xml:space="preserve"> </w:t>
      </w:r>
      <w:r w:rsidR="002C6721" w:rsidRPr="00A43B9C">
        <w:rPr>
          <w:rFonts w:ascii="Times New Roman" w:hAnsi="Times New Roman" w:cs="Times New Roman"/>
          <w:sz w:val="28"/>
          <w:szCs w:val="28"/>
        </w:rPr>
        <w:t>так</w:t>
      </w:r>
      <w:r w:rsidR="00C40B6D" w:rsidRPr="00A43B9C">
        <w:rPr>
          <w:rFonts w:ascii="Times New Roman" w:hAnsi="Times New Roman" w:cs="Times New Roman"/>
          <w:sz w:val="28"/>
          <w:szCs w:val="28"/>
        </w:rPr>
        <w:t xml:space="preserve"> же,</w:t>
      </w:r>
      <w:r w:rsidR="002C6721" w:rsidRPr="00A43B9C">
        <w:rPr>
          <w:rFonts w:ascii="Times New Roman" w:hAnsi="Times New Roman" w:cs="Times New Roman"/>
          <w:sz w:val="28"/>
          <w:szCs w:val="28"/>
        </w:rPr>
        <w:t xml:space="preserve"> как и </w:t>
      </w:r>
      <w:r w:rsidR="00677963" w:rsidRPr="00A43B9C">
        <w:rPr>
          <w:rFonts w:ascii="Times New Roman" w:hAnsi="Times New Roman" w:cs="Times New Roman"/>
          <w:sz w:val="28"/>
          <w:szCs w:val="28"/>
        </w:rPr>
        <w:t>в групп</w:t>
      </w:r>
      <w:r w:rsidR="002C6721" w:rsidRPr="00A43B9C">
        <w:rPr>
          <w:rFonts w:ascii="Times New Roman" w:hAnsi="Times New Roman" w:cs="Times New Roman"/>
          <w:sz w:val="28"/>
          <w:szCs w:val="28"/>
        </w:rPr>
        <w:t>ах</w:t>
      </w:r>
      <w:r w:rsidR="00677963" w:rsidRPr="00A43B9C">
        <w:rPr>
          <w:rFonts w:ascii="Times New Roman" w:hAnsi="Times New Roman" w:cs="Times New Roman"/>
          <w:sz w:val="28"/>
          <w:szCs w:val="28"/>
        </w:rPr>
        <w:t xml:space="preserve"> nLM (p = 0,191)</w:t>
      </w:r>
      <w:r w:rsidR="002C6721" w:rsidRPr="00A43B9C">
        <w:rPr>
          <w:rFonts w:ascii="Times New Roman" w:hAnsi="Times New Roman" w:cs="Times New Roman"/>
          <w:sz w:val="28"/>
          <w:szCs w:val="28"/>
        </w:rPr>
        <w:t xml:space="preserve"> и</w:t>
      </w:r>
      <w:r w:rsidR="00677963" w:rsidRPr="00A43B9C">
        <w:rPr>
          <w:rFonts w:ascii="Times New Roman" w:hAnsi="Times New Roman" w:cs="Times New Roman"/>
          <w:sz w:val="28"/>
          <w:szCs w:val="28"/>
        </w:rPr>
        <w:t xml:space="preserve"> pLM (p = 0,464).</w:t>
      </w:r>
      <w:r w:rsidR="002C6721" w:rsidRPr="00A43B9C">
        <w:rPr>
          <w:rFonts w:ascii="Times New Roman" w:hAnsi="Times New Roman" w:cs="Times New Roman"/>
          <w:sz w:val="28"/>
          <w:szCs w:val="28"/>
        </w:rPr>
        <w:t xml:space="preserve"> </w:t>
      </w:r>
      <w:r w:rsidR="00B9622A" w:rsidRPr="00A43B9C">
        <w:rPr>
          <w:rFonts w:ascii="Times New Roman" w:hAnsi="Times New Roman" w:cs="Times New Roman"/>
          <w:sz w:val="28"/>
          <w:szCs w:val="28"/>
        </w:rPr>
        <w:t xml:space="preserve">Также </w:t>
      </w:r>
      <w:r w:rsidR="00677963" w:rsidRPr="00A43B9C">
        <w:rPr>
          <w:rFonts w:ascii="Times New Roman" w:hAnsi="Times New Roman" w:cs="Times New Roman"/>
          <w:sz w:val="28"/>
          <w:szCs w:val="28"/>
        </w:rPr>
        <w:t xml:space="preserve">по статусу </w:t>
      </w:r>
      <w:r w:rsidR="00677963" w:rsidRPr="00A43B9C">
        <w:rPr>
          <w:rFonts w:ascii="Times New Roman" w:hAnsi="Times New Roman" w:cs="Times New Roman"/>
          <w:sz w:val="28"/>
          <w:szCs w:val="28"/>
          <w:lang w:val="en-US"/>
        </w:rPr>
        <w:t>LM</w:t>
      </w:r>
      <w:r w:rsidR="00677963" w:rsidRPr="00A43B9C">
        <w:rPr>
          <w:rFonts w:ascii="Times New Roman" w:hAnsi="Times New Roman" w:cs="Times New Roman"/>
          <w:sz w:val="28"/>
          <w:szCs w:val="28"/>
        </w:rPr>
        <w:t xml:space="preserve"> в локализации P I </w:t>
      </w:r>
      <w:r w:rsidR="00B9622A" w:rsidRPr="00A43B9C">
        <w:rPr>
          <w:rFonts w:ascii="Times New Roman" w:hAnsi="Times New Roman" w:cs="Times New Roman"/>
          <w:sz w:val="28"/>
          <w:szCs w:val="28"/>
        </w:rPr>
        <w:t xml:space="preserve">и </w:t>
      </w:r>
      <w:r w:rsidR="00B9622A" w:rsidRPr="00A43B9C">
        <w:rPr>
          <w:rFonts w:ascii="Times New Roman" w:hAnsi="Times New Roman" w:cs="Times New Roman"/>
          <w:sz w:val="28"/>
          <w:szCs w:val="28"/>
          <w:lang w:val="en-US"/>
        </w:rPr>
        <w:t>P</w:t>
      </w:r>
      <w:r w:rsidR="00B9622A" w:rsidRPr="00A43B9C">
        <w:rPr>
          <w:rFonts w:ascii="Times New Roman" w:hAnsi="Times New Roman" w:cs="Times New Roman"/>
          <w:sz w:val="28"/>
          <w:szCs w:val="28"/>
        </w:rPr>
        <w:t xml:space="preserve"> </w:t>
      </w:r>
      <w:r w:rsidR="00B9622A" w:rsidRPr="00A43B9C">
        <w:rPr>
          <w:rFonts w:ascii="Times New Roman" w:hAnsi="Times New Roman" w:cs="Times New Roman"/>
          <w:sz w:val="28"/>
          <w:szCs w:val="28"/>
          <w:lang w:val="en-US"/>
        </w:rPr>
        <w:t>II</w:t>
      </w:r>
      <w:r w:rsidR="00B9622A" w:rsidRPr="00A43B9C">
        <w:rPr>
          <w:rFonts w:ascii="Times New Roman" w:hAnsi="Times New Roman" w:cs="Times New Roman"/>
          <w:sz w:val="28"/>
          <w:szCs w:val="28"/>
        </w:rPr>
        <w:t xml:space="preserve"> </w:t>
      </w:r>
      <w:r w:rsidR="00677963" w:rsidRPr="00A43B9C">
        <w:rPr>
          <w:rFonts w:ascii="Times New Roman" w:hAnsi="Times New Roman" w:cs="Times New Roman"/>
          <w:sz w:val="28"/>
          <w:szCs w:val="28"/>
        </w:rPr>
        <w:t>не выяви</w:t>
      </w:r>
      <w:r w:rsidR="00B9622A" w:rsidRPr="00A43B9C">
        <w:rPr>
          <w:rFonts w:ascii="Times New Roman" w:hAnsi="Times New Roman" w:cs="Times New Roman"/>
          <w:sz w:val="28"/>
          <w:szCs w:val="28"/>
        </w:rPr>
        <w:t>ли</w:t>
      </w:r>
      <w:r w:rsidR="00677963" w:rsidRPr="00A43B9C">
        <w:rPr>
          <w:rFonts w:ascii="Times New Roman" w:hAnsi="Times New Roman" w:cs="Times New Roman"/>
          <w:sz w:val="28"/>
          <w:szCs w:val="28"/>
        </w:rPr>
        <w:t xml:space="preserve"> статистически значимы</w:t>
      </w:r>
      <w:r w:rsidR="00C40B6D" w:rsidRPr="00A43B9C">
        <w:rPr>
          <w:rFonts w:ascii="Times New Roman" w:hAnsi="Times New Roman" w:cs="Times New Roman"/>
          <w:sz w:val="28"/>
          <w:szCs w:val="28"/>
        </w:rPr>
        <w:t>х</w:t>
      </w:r>
      <w:r w:rsidR="00677963" w:rsidRPr="00A43B9C">
        <w:rPr>
          <w:rFonts w:ascii="Times New Roman" w:hAnsi="Times New Roman" w:cs="Times New Roman"/>
          <w:sz w:val="28"/>
          <w:szCs w:val="28"/>
        </w:rPr>
        <w:t xml:space="preserve"> различи</w:t>
      </w:r>
      <w:r w:rsidR="00C40B6D" w:rsidRPr="00A43B9C">
        <w:rPr>
          <w:rFonts w:ascii="Times New Roman" w:hAnsi="Times New Roman" w:cs="Times New Roman"/>
          <w:sz w:val="28"/>
          <w:szCs w:val="28"/>
        </w:rPr>
        <w:t>й</w:t>
      </w:r>
      <w:r w:rsidR="00677963" w:rsidRPr="00A43B9C">
        <w:rPr>
          <w:rFonts w:ascii="Times New Roman" w:hAnsi="Times New Roman" w:cs="Times New Roman"/>
          <w:sz w:val="28"/>
          <w:szCs w:val="28"/>
        </w:rPr>
        <w:t xml:space="preserve"> (p = 0,128</w:t>
      </w:r>
      <w:r w:rsidR="00B9622A" w:rsidRPr="00A43B9C">
        <w:rPr>
          <w:rFonts w:ascii="Times New Roman" w:hAnsi="Times New Roman" w:cs="Times New Roman"/>
          <w:sz w:val="28"/>
          <w:szCs w:val="28"/>
        </w:rPr>
        <w:t xml:space="preserve"> и </w:t>
      </w:r>
      <w:r w:rsidR="00B9622A" w:rsidRPr="00A43B9C">
        <w:rPr>
          <w:rFonts w:ascii="Times New Roman" w:hAnsi="Times New Roman" w:cs="Times New Roman"/>
          <w:sz w:val="28"/>
          <w:szCs w:val="28"/>
          <w:lang w:val="en-US"/>
        </w:rPr>
        <w:t>p</w:t>
      </w:r>
      <w:r w:rsidR="00B9622A" w:rsidRPr="00A43B9C">
        <w:rPr>
          <w:rFonts w:ascii="Times New Roman" w:hAnsi="Times New Roman" w:cs="Times New Roman"/>
          <w:sz w:val="28"/>
          <w:szCs w:val="28"/>
        </w:rPr>
        <w:t xml:space="preserve"> = 0,132</w:t>
      </w:r>
      <w:r w:rsidR="00677963" w:rsidRPr="00A43B9C">
        <w:rPr>
          <w:rFonts w:ascii="Times New Roman" w:hAnsi="Times New Roman" w:cs="Times New Roman"/>
          <w:sz w:val="28"/>
          <w:szCs w:val="28"/>
        </w:rPr>
        <w:t>)</w:t>
      </w:r>
      <w:r w:rsidR="00B9622A" w:rsidRPr="00A43B9C">
        <w:rPr>
          <w:rFonts w:ascii="Times New Roman" w:hAnsi="Times New Roman" w:cs="Times New Roman"/>
          <w:sz w:val="28"/>
          <w:szCs w:val="28"/>
        </w:rPr>
        <w:t>,</w:t>
      </w:r>
      <w:r w:rsidR="00AB7088" w:rsidRPr="00A43B9C">
        <w:rPr>
          <w:rFonts w:ascii="Times New Roman" w:hAnsi="Times New Roman" w:cs="Times New Roman"/>
          <w:sz w:val="28"/>
          <w:szCs w:val="28"/>
        </w:rPr>
        <w:t xml:space="preserve"> </w:t>
      </w:r>
      <w:r w:rsidR="002C6721" w:rsidRPr="00A43B9C">
        <w:rPr>
          <w:rFonts w:ascii="Times New Roman" w:hAnsi="Times New Roman" w:cs="Times New Roman"/>
          <w:sz w:val="28"/>
          <w:szCs w:val="28"/>
        </w:rPr>
        <w:t xml:space="preserve">как и </w:t>
      </w:r>
      <w:r w:rsidR="00677963" w:rsidRPr="00A43B9C">
        <w:rPr>
          <w:rFonts w:ascii="Times New Roman" w:hAnsi="Times New Roman" w:cs="Times New Roman"/>
          <w:sz w:val="28"/>
          <w:szCs w:val="28"/>
        </w:rPr>
        <w:t>в групп</w:t>
      </w:r>
      <w:r w:rsidR="002C6721" w:rsidRPr="00A43B9C">
        <w:rPr>
          <w:rFonts w:ascii="Times New Roman" w:hAnsi="Times New Roman" w:cs="Times New Roman"/>
          <w:sz w:val="28"/>
          <w:szCs w:val="28"/>
        </w:rPr>
        <w:t>ах</w:t>
      </w:r>
      <w:r w:rsidR="00677963" w:rsidRPr="00A43B9C">
        <w:rPr>
          <w:rFonts w:ascii="Times New Roman" w:hAnsi="Times New Roman" w:cs="Times New Roman"/>
          <w:sz w:val="28"/>
          <w:szCs w:val="28"/>
        </w:rPr>
        <w:t xml:space="preserve"> nLM (p = 0,129)</w:t>
      </w:r>
      <w:r w:rsidR="002C6721" w:rsidRPr="00A43B9C">
        <w:rPr>
          <w:rFonts w:ascii="Times New Roman" w:hAnsi="Times New Roman" w:cs="Times New Roman"/>
          <w:sz w:val="28"/>
          <w:szCs w:val="28"/>
        </w:rPr>
        <w:t xml:space="preserve"> и </w:t>
      </w:r>
      <w:r w:rsidR="00677963" w:rsidRPr="00A43B9C">
        <w:rPr>
          <w:rFonts w:ascii="Times New Roman" w:hAnsi="Times New Roman" w:cs="Times New Roman"/>
          <w:sz w:val="28"/>
          <w:szCs w:val="28"/>
        </w:rPr>
        <w:t>pLM (p = 0,433).</w:t>
      </w:r>
    </w:p>
    <w:p w14:paraId="219D9263" w14:textId="77777777" w:rsidR="00677963" w:rsidRPr="00A43B9C" w:rsidRDefault="00677963" w:rsidP="00677963">
      <w:pPr>
        <w:spacing w:after="0" w:line="240" w:lineRule="auto"/>
        <w:ind w:firstLine="709"/>
        <w:jc w:val="both"/>
        <w:rPr>
          <w:rFonts w:ascii="Times New Roman" w:hAnsi="Times New Roman" w:cs="Times New Roman"/>
          <w:sz w:val="28"/>
          <w:szCs w:val="28"/>
        </w:rPr>
      </w:pPr>
    </w:p>
    <w:p w14:paraId="3726061E" w14:textId="2F49F0EA" w:rsidR="00677963"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34 -</w:t>
      </w:r>
      <w:r w:rsidR="00677963" w:rsidRPr="00A43B9C">
        <w:rPr>
          <w:rFonts w:ascii="Times New Roman" w:hAnsi="Times New Roman" w:cs="Times New Roman"/>
          <w:sz w:val="28"/>
          <w:szCs w:val="28"/>
        </w:rPr>
        <w:t xml:space="preserve"> Динамика изменений уровня накоплени</w:t>
      </w:r>
      <w:r w:rsidR="00B336CA" w:rsidRPr="00A43B9C">
        <w:rPr>
          <w:rFonts w:ascii="Times New Roman" w:hAnsi="Times New Roman" w:cs="Times New Roman"/>
          <w:sz w:val="28"/>
          <w:szCs w:val="28"/>
        </w:rPr>
        <w:t>я</w:t>
      </w:r>
      <w:r w:rsidR="00677963" w:rsidRPr="00A43B9C">
        <w:rPr>
          <w:rFonts w:ascii="Times New Roman" w:hAnsi="Times New Roman" w:cs="Times New Roman"/>
          <w:sz w:val="28"/>
          <w:szCs w:val="28"/>
        </w:rPr>
        <w:t xml:space="preserve"> </w:t>
      </w:r>
      <w:r w:rsidR="00677963" w:rsidRPr="00A43B9C">
        <w:rPr>
          <w:rFonts w:ascii="Times New Roman" w:hAnsi="Times New Roman" w:cs="Times New Roman"/>
          <w:sz w:val="28"/>
          <w:szCs w:val="28"/>
          <w:lang w:val="en-US"/>
        </w:rPr>
        <w:t>SUV</w:t>
      </w:r>
      <w:r w:rsidR="00677963" w:rsidRPr="00A43B9C">
        <w:rPr>
          <w:rFonts w:ascii="Times New Roman" w:hAnsi="Times New Roman" w:cs="Times New Roman"/>
          <w:sz w:val="28"/>
          <w:szCs w:val="28"/>
          <w:vertAlign w:val="subscript"/>
          <w:lang w:val="en-US"/>
        </w:rPr>
        <w:t>max</w:t>
      </w:r>
      <w:r w:rsidR="00677963" w:rsidRPr="00A43B9C">
        <w:rPr>
          <w:rFonts w:ascii="Times New Roman" w:hAnsi="Times New Roman" w:cs="Times New Roman"/>
          <w:sz w:val="28"/>
          <w:szCs w:val="28"/>
        </w:rPr>
        <w:t xml:space="preserve"> в зависимости от статуса </w:t>
      </w:r>
      <w:r w:rsidR="000874C1" w:rsidRPr="00A43B9C">
        <w:rPr>
          <w:rFonts w:ascii="Times New Roman" w:hAnsi="Times New Roman" w:cs="Times New Roman"/>
          <w:sz w:val="28"/>
          <w:szCs w:val="28"/>
          <w:lang w:val="en-US"/>
        </w:rPr>
        <w:t>LM</w:t>
      </w:r>
    </w:p>
    <w:p w14:paraId="3BCA658D"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5000" w:type="pct"/>
        <w:tblLook w:val="04A0" w:firstRow="1" w:lastRow="0" w:firstColumn="1" w:lastColumn="0" w:noHBand="0" w:noVBand="1"/>
      </w:tblPr>
      <w:tblGrid>
        <w:gridCol w:w="1761"/>
        <w:gridCol w:w="810"/>
        <w:gridCol w:w="707"/>
        <w:gridCol w:w="712"/>
        <w:gridCol w:w="706"/>
        <w:gridCol w:w="706"/>
        <w:gridCol w:w="706"/>
        <w:gridCol w:w="706"/>
        <w:gridCol w:w="706"/>
        <w:gridCol w:w="706"/>
        <w:gridCol w:w="1118"/>
      </w:tblGrid>
      <w:tr w:rsidR="00677963" w:rsidRPr="00A43B9C" w14:paraId="2048B57E" w14:textId="77777777" w:rsidTr="00CD7C27">
        <w:tc>
          <w:tcPr>
            <w:tcW w:w="942" w:type="pct"/>
            <w:vMerge w:val="restart"/>
            <w:vAlign w:val="center"/>
          </w:tcPr>
          <w:p w14:paraId="48C57FEB" w14:textId="77777777" w:rsidR="00677963" w:rsidRPr="00A43B9C" w:rsidRDefault="00677963" w:rsidP="007E4204">
            <w:pPr>
              <w:spacing w:after="0" w:line="240" w:lineRule="auto"/>
              <w:jc w:val="center"/>
              <w:rPr>
                <w:rFonts w:ascii="Times New Roman" w:hAnsi="Times New Roman" w:cs="Times New Roman"/>
                <w:bCs/>
                <w:sz w:val="28"/>
                <w:szCs w:val="28"/>
                <w:lang w:val="en-US"/>
              </w:rPr>
            </w:pPr>
            <w:bookmarkStart w:id="91" w:name="_Hlk133855364"/>
            <w:r w:rsidRPr="00A43B9C">
              <w:rPr>
                <w:rFonts w:ascii="Times New Roman" w:hAnsi="Times New Roman" w:cs="Times New Roman"/>
                <w:bCs/>
                <w:sz w:val="28"/>
                <w:szCs w:val="28"/>
              </w:rPr>
              <w:t>Локализация</w:t>
            </w:r>
          </w:p>
        </w:tc>
        <w:tc>
          <w:tcPr>
            <w:tcW w:w="1192" w:type="pct"/>
            <w:gridSpan w:val="3"/>
            <w:vAlign w:val="center"/>
          </w:tcPr>
          <w:p w14:paraId="5BC93E19"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 xml:space="preserve">Общее </w:t>
            </w:r>
            <w:r w:rsidRPr="00A43B9C">
              <w:rPr>
                <w:rFonts w:ascii="Times New Roman" w:hAnsi="Times New Roman" w:cs="Times New Roman"/>
                <w:bCs/>
                <w:sz w:val="28"/>
                <w:szCs w:val="28"/>
                <w:lang w:val="en-US"/>
              </w:rPr>
              <w:t xml:space="preserve">(n = </w:t>
            </w:r>
            <w:r w:rsidRPr="00A43B9C">
              <w:rPr>
                <w:rFonts w:ascii="Times New Roman" w:hAnsi="Times New Roman" w:cs="Times New Roman"/>
                <w:bCs/>
                <w:sz w:val="28"/>
                <w:szCs w:val="28"/>
              </w:rPr>
              <w:t>60</w:t>
            </w:r>
            <w:r w:rsidRPr="00A43B9C">
              <w:rPr>
                <w:rFonts w:ascii="Times New Roman" w:hAnsi="Times New Roman" w:cs="Times New Roman"/>
                <w:bCs/>
                <w:sz w:val="28"/>
                <w:szCs w:val="28"/>
                <w:lang w:val="en-US"/>
              </w:rPr>
              <w:t>)</w:t>
            </w:r>
          </w:p>
        </w:tc>
        <w:tc>
          <w:tcPr>
            <w:tcW w:w="1133" w:type="pct"/>
            <w:gridSpan w:val="3"/>
            <w:vAlign w:val="center"/>
          </w:tcPr>
          <w:p w14:paraId="52603C38"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 xml:space="preserve">nLM (n = </w:t>
            </w:r>
            <w:r w:rsidRPr="00A43B9C">
              <w:rPr>
                <w:rFonts w:ascii="Times New Roman" w:hAnsi="Times New Roman" w:cs="Times New Roman"/>
                <w:bCs/>
                <w:sz w:val="28"/>
                <w:szCs w:val="28"/>
              </w:rPr>
              <w:t>44</w:t>
            </w:r>
            <w:r w:rsidRPr="00A43B9C">
              <w:rPr>
                <w:rFonts w:ascii="Times New Roman" w:hAnsi="Times New Roman" w:cs="Times New Roman"/>
                <w:bCs/>
                <w:sz w:val="28"/>
                <w:szCs w:val="28"/>
                <w:lang w:val="en-US"/>
              </w:rPr>
              <w:t>)</w:t>
            </w:r>
          </w:p>
        </w:tc>
        <w:tc>
          <w:tcPr>
            <w:tcW w:w="1133" w:type="pct"/>
            <w:gridSpan w:val="3"/>
            <w:vAlign w:val="center"/>
          </w:tcPr>
          <w:p w14:paraId="50F302D7"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 xml:space="preserve">pLM (n = </w:t>
            </w:r>
            <w:r w:rsidRPr="00A43B9C">
              <w:rPr>
                <w:rFonts w:ascii="Times New Roman" w:hAnsi="Times New Roman" w:cs="Times New Roman"/>
                <w:bCs/>
                <w:sz w:val="28"/>
                <w:szCs w:val="28"/>
              </w:rPr>
              <w:t>16</w:t>
            </w:r>
            <w:r w:rsidRPr="00A43B9C">
              <w:rPr>
                <w:rFonts w:ascii="Times New Roman" w:hAnsi="Times New Roman" w:cs="Times New Roman"/>
                <w:bCs/>
                <w:sz w:val="28"/>
                <w:szCs w:val="28"/>
                <w:lang w:val="en-US"/>
              </w:rPr>
              <w:t>)</w:t>
            </w:r>
          </w:p>
        </w:tc>
        <w:tc>
          <w:tcPr>
            <w:tcW w:w="599" w:type="pct"/>
            <w:vMerge w:val="restart"/>
            <w:vAlign w:val="center"/>
          </w:tcPr>
          <w:p w14:paraId="15C0CB6C" w14:textId="1ED3612A" w:rsidR="00677963" w:rsidRPr="00A43B9C" w:rsidRDefault="00A120D6" w:rsidP="007E4204">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p</w:t>
            </w:r>
            <w:r w:rsidRPr="00557A8A">
              <w:rPr>
                <w:rFonts w:ascii="Times New Roman" w:hAnsi="Times New Roman" w:cs="Times New Roman"/>
                <w:bCs/>
                <w:sz w:val="28"/>
                <w:szCs w:val="28"/>
              </w:rPr>
              <w:t xml:space="preserve"> </w:t>
            </w:r>
            <w:r w:rsidR="00677963" w:rsidRPr="00A43B9C">
              <w:rPr>
                <w:rFonts w:ascii="Times New Roman" w:hAnsi="Times New Roman" w:cs="Times New Roman"/>
                <w:bCs/>
                <w:sz w:val="28"/>
                <w:szCs w:val="28"/>
              </w:rPr>
              <w:t xml:space="preserve">для </w:t>
            </w:r>
            <w:r w:rsidR="00677963" w:rsidRPr="00A43B9C">
              <w:rPr>
                <w:rFonts w:ascii="Times New Roman" w:hAnsi="Times New Roman" w:cs="Times New Roman"/>
                <w:bCs/>
                <w:sz w:val="28"/>
                <w:szCs w:val="28"/>
                <w:lang w:val="en-US"/>
              </w:rPr>
              <w:t>I</w:t>
            </w:r>
            <w:r w:rsidR="00677963" w:rsidRPr="00A43B9C">
              <w:rPr>
                <w:rFonts w:ascii="Times New Roman" w:hAnsi="Times New Roman" w:cs="Times New Roman"/>
                <w:bCs/>
                <w:sz w:val="28"/>
                <w:szCs w:val="28"/>
              </w:rPr>
              <w:t xml:space="preserve"> </w:t>
            </w:r>
            <w:r w:rsidR="00677963" w:rsidRPr="00A43B9C">
              <w:rPr>
                <w:rFonts w:ascii="Times New Roman" w:hAnsi="Times New Roman" w:cs="Times New Roman"/>
                <w:bCs/>
                <w:sz w:val="28"/>
                <w:szCs w:val="28"/>
                <w:lang w:val="en-US"/>
              </w:rPr>
              <w:t>nLM</w:t>
            </w:r>
            <w:r w:rsidR="00677963" w:rsidRPr="00A43B9C">
              <w:rPr>
                <w:rFonts w:ascii="Times New Roman" w:hAnsi="Times New Roman" w:cs="Times New Roman"/>
                <w:bCs/>
                <w:sz w:val="28"/>
                <w:szCs w:val="28"/>
              </w:rPr>
              <w:t xml:space="preserve"> </w:t>
            </w:r>
            <w:r w:rsidR="00CD7C27">
              <w:rPr>
                <w:rFonts w:ascii="Times New Roman" w:hAnsi="Times New Roman" w:cs="Times New Roman"/>
                <w:bCs/>
                <w:sz w:val="28"/>
                <w:szCs w:val="28"/>
              </w:rPr>
              <w:t xml:space="preserve">и </w:t>
            </w:r>
            <w:r w:rsidR="00677963" w:rsidRPr="00A43B9C">
              <w:rPr>
                <w:rFonts w:ascii="Times New Roman" w:hAnsi="Times New Roman" w:cs="Times New Roman"/>
                <w:bCs/>
                <w:sz w:val="28"/>
                <w:szCs w:val="28"/>
                <w:lang w:val="en-US"/>
              </w:rPr>
              <w:t>pLM</w:t>
            </w:r>
          </w:p>
        </w:tc>
      </w:tr>
      <w:tr w:rsidR="00677963" w:rsidRPr="00A43B9C" w14:paraId="2402DAC5" w14:textId="77777777" w:rsidTr="00CD7C27">
        <w:tc>
          <w:tcPr>
            <w:tcW w:w="942" w:type="pct"/>
            <w:vMerge/>
            <w:vAlign w:val="center"/>
          </w:tcPr>
          <w:p w14:paraId="206772A6" w14:textId="77777777" w:rsidR="00677963" w:rsidRPr="00A43B9C" w:rsidRDefault="00677963" w:rsidP="007E4204">
            <w:pPr>
              <w:spacing w:after="0" w:line="240" w:lineRule="auto"/>
              <w:jc w:val="center"/>
              <w:rPr>
                <w:rFonts w:ascii="Times New Roman" w:eastAsiaTheme="minorEastAsia" w:hAnsi="Times New Roman" w:cs="Times New Roman"/>
                <w:bCs/>
                <w:sz w:val="28"/>
                <w:szCs w:val="28"/>
              </w:rPr>
            </w:pPr>
          </w:p>
        </w:tc>
        <w:tc>
          <w:tcPr>
            <w:tcW w:w="433" w:type="pct"/>
            <w:vAlign w:val="center"/>
          </w:tcPr>
          <w:p w14:paraId="3BA615E8" w14:textId="77777777" w:rsidR="00677963" w:rsidRPr="00A43B9C" w:rsidRDefault="00677963" w:rsidP="007E4204">
            <w:pPr>
              <w:spacing w:after="0" w:line="240" w:lineRule="auto"/>
              <w:contextualSpacing/>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I</w:t>
            </w:r>
          </w:p>
        </w:tc>
        <w:tc>
          <w:tcPr>
            <w:tcW w:w="378" w:type="pct"/>
            <w:vAlign w:val="center"/>
          </w:tcPr>
          <w:p w14:paraId="6DA349AF" w14:textId="77777777" w:rsidR="00677963" w:rsidRPr="00A43B9C" w:rsidRDefault="00677963" w:rsidP="007E4204">
            <w:pPr>
              <w:spacing w:after="0" w:line="240" w:lineRule="auto"/>
              <w:contextualSpacing/>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II</w:t>
            </w:r>
          </w:p>
        </w:tc>
        <w:tc>
          <w:tcPr>
            <w:tcW w:w="380" w:type="pct"/>
            <w:vAlign w:val="center"/>
          </w:tcPr>
          <w:p w14:paraId="2C4EA7B3" w14:textId="77777777" w:rsidR="00677963" w:rsidRPr="00A43B9C" w:rsidRDefault="00677963" w:rsidP="007E4204">
            <w:pPr>
              <w:spacing w:after="0" w:line="240" w:lineRule="auto"/>
              <w:contextualSpacing/>
              <w:jc w:val="center"/>
              <w:rPr>
                <w:rFonts w:ascii="Times New Roman" w:hAnsi="Times New Roman" w:cs="Times New Roman"/>
                <w:bCs/>
                <w:sz w:val="28"/>
                <w:szCs w:val="28"/>
                <w:lang w:val="en-US"/>
              </w:rPr>
            </w:pPr>
            <w:r w:rsidRPr="00A43B9C">
              <w:rPr>
                <w:rFonts w:ascii="Times New Roman" w:hAnsi="Times New Roman" w:cs="Times New Roman"/>
                <w:bCs/>
                <w:sz w:val="28"/>
                <w:szCs w:val="28"/>
              </w:rPr>
              <w:t>p</w:t>
            </w:r>
          </w:p>
        </w:tc>
        <w:tc>
          <w:tcPr>
            <w:tcW w:w="378" w:type="pct"/>
            <w:vAlign w:val="center"/>
          </w:tcPr>
          <w:p w14:paraId="608451DF" w14:textId="77777777" w:rsidR="00677963" w:rsidRPr="00A43B9C" w:rsidRDefault="00677963" w:rsidP="007E4204">
            <w:pPr>
              <w:spacing w:after="0" w:line="240" w:lineRule="auto"/>
              <w:contextualSpacing/>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I</w:t>
            </w:r>
          </w:p>
        </w:tc>
        <w:tc>
          <w:tcPr>
            <w:tcW w:w="378" w:type="pct"/>
            <w:vAlign w:val="center"/>
          </w:tcPr>
          <w:p w14:paraId="4F45BBAA" w14:textId="77777777" w:rsidR="00677963" w:rsidRPr="00A43B9C" w:rsidRDefault="00677963" w:rsidP="007E4204">
            <w:pPr>
              <w:spacing w:after="0" w:line="240" w:lineRule="auto"/>
              <w:contextualSpacing/>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II</w:t>
            </w:r>
          </w:p>
        </w:tc>
        <w:tc>
          <w:tcPr>
            <w:tcW w:w="378" w:type="pct"/>
            <w:vAlign w:val="center"/>
          </w:tcPr>
          <w:p w14:paraId="413D58ED" w14:textId="77777777" w:rsidR="00677963" w:rsidRPr="00A43B9C" w:rsidRDefault="00677963" w:rsidP="007E4204">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p</w:t>
            </w:r>
          </w:p>
        </w:tc>
        <w:tc>
          <w:tcPr>
            <w:tcW w:w="378" w:type="pct"/>
            <w:vAlign w:val="center"/>
          </w:tcPr>
          <w:p w14:paraId="698952B6"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I</w:t>
            </w:r>
          </w:p>
        </w:tc>
        <w:tc>
          <w:tcPr>
            <w:tcW w:w="378" w:type="pct"/>
            <w:vAlign w:val="center"/>
          </w:tcPr>
          <w:p w14:paraId="54370F6B"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II</w:t>
            </w:r>
          </w:p>
        </w:tc>
        <w:tc>
          <w:tcPr>
            <w:tcW w:w="378" w:type="pct"/>
            <w:vAlign w:val="center"/>
          </w:tcPr>
          <w:p w14:paraId="5F576D03" w14:textId="77777777" w:rsidR="00677963" w:rsidRPr="00A43B9C" w:rsidRDefault="00677963" w:rsidP="007E4204">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p</w:t>
            </w:r>
          </w:p>
        </w:tc>
        <w:tc>
          <w:tcPr>
            <w:tcW w:w="599" w:type="pct"/>
            <w:vMerge/>
          </w:tcPr>
          <w:p w14:paraId="37FDF092" w14:textId="77777777" w:rsidR="00677963" w:rsidRPr="00A43B9C" w:rsidRDefault="00677963" w:rsidP="007E4204">
            <w:pPr>
              <w:spacing w:after="0" w:line="240" w:lineRule="auto"/>
              <w:jc w:val="center"/>
              <w:rPr>
                <w:rFonts w:ascii="Times New Roman" w:eastAsiaTheme="minorEastAsia" w:hAnsi="Times New Roman" w:cs="Times New Roman"/>
                <w:bCs/>
                <w:sz w:val="28"/>
                <w:szCs w:val="28"/>
              </w:rPr>
            </w:pPr>
          </w:p>
        </w:tc>
      </w:tr>
      <w:tr w:rsidR="00CD7C27" w:rsidRPr="00A43B9C" w14:paraId="517E03E2" w14:textId="77777777" w:rsidTr="00CD7C27">
        <w:tc>
          <w:tcPr>
            <w:tcW w:w="942" w:type="pct"/>
            <w:vAlign w:val="center"/>
          </w:tcPr>
          <w:p w14:paraId="514F2B42" w14:textId="5B37386E" w:rsidR="00CD7C27" w:rsidRPr="00A43B9C" w:rsidRDefault="00CD7C27" w:rsidP="00CD7C27">
            <w:pPr>
              <w:spacing w:after="0" w:line="240" w:lineRule="auto"/>
              <w:jc w:val="center"/>
              <w:rPr>
                <w:rFonts w:ascii="Times New Roman" w:eastAsiaTheme="minorEastAsia" w:hAnsi="Times New Roman" w:cs="Times New Roman"/>
                <w:bCs/>
                <w:sz w:val="28"/>
                <w:szCs w:val="28"/>
              </w:rPr>
            </w:pPr>
            <w:r>
              <w:rPr>
                <w:rFonts w:ascii="Times New Roman" w:hAnsi="Times New Roman" w:cs="Times New Roman"/>
                <w:bCs/>
                <w:sz w:val="28"/>
                <w:szCs w:val="28"/>
              </w:rPr>
              <w:t>1</w:t>
            </w:r>
          </w:p>
        </w:tc>
        <w:tc>
          <w:tcPr>
            <w:tcW w:w="433" w:type="pct"/>
            <w:vAlign w:val="center"/>
          </w:tcPr>
          <w:p w14:paraId="653B5E50" w14:textId="707CBFA1" w:rsidR="00CD7C27" w:rsidRPr="00A43B9C" w:rsidRDefault="00CD7C27" w:rsidP="00CD7C27">
            <w:pPr>
              <w:spacing w:after="0" w:line="240" w:lineRule="auto"/>
              <w:contextualSpacing/>
              <w:jc w:val="center"/>
              <w:rPr>
                <w:rFonts w:ascii="Times New Roman" w:hAnsi="Times New Roman" w:cs="Times New Roman"/>
                <w:bCs/>
                <w:sz w:val="28"/>
                <w:szCs w:val="28"/>
                <w:lang w:val="en-US"/>
              </w:rPr>
            </w:pPr>
            <w:r>
              <w:rPr>
                <w:rFonts w:ascii="Times New Roman" w:hAnsi="Times New Roman" w:cs="Times New Roman"/>
                <w:bCs/>
                <w:sz w:val="28"/>
                <w:szCs w:val="28"/>
              </w:rPr>
              <w:t>2</w:t>
            </w:r>
          </w:p>
        </w:tc>
        <w:tc>
          <w:tcPr>
            <w:tcW w:w="378" w:type="pct"/>
            <w:vAlign w:val="center"/>
          </w:tcPr>
          <w:p w14:paraId="319E0D03" w14:textId="7CD0845D" w:rsidR="00CD7C27" w:rsidRPr="00A43B9C" w:rsidRDefault="00CD7C27" w:rsidP="00CD7C27">
            <w:pPr>
              <w:spacing w:after="0" w:line="240" w:lineRule="auto"/>
              <w:contextualSpacing/>
              <w:jc w:val="center"/>
              <w:rPr>
                <w:rFonts w:ascii="Times New Roman" w:hAnsi="Times New Roman" w:cs="Times New Roman"/>
                <w:bCs/>
                <w:sz w:val="28"/>
                <w:szCs w:val="28"/>
                <w:lang w:val="en-US"/>
              </w:rPr>
            </w:pPr>
            <w:r>
              <w:rPr>
                <w:rFonts w:ascii="Times New Roman" w:hAnsi="Times New Roman" w:cs="Times New Roman"/>
                <w:bCs/>
                <w:sz w:val="28"/>
                <w:szCs w:val="28"/>
              </w:rPr>
              <w:t>3</w:t>
            </w:r>
          </w:p>
        </w:tc>
        <w:tc>
          <w:tcPr>
            <w:tcW w:w="380" w:type="pct"/>
            <w:vAlign w:val="center"/>
          </w:tcPr>
          <w:p w14:paraId="1765FFCA" w14:textId="6672CDCF" w:rsidR="00CD7C27" w:rsidRPr="00A43B9C" w:rsidRDefault="00CD7C27" w:rsidP="00CD7C27">
            <w:pPr>
              <w:spacing w:after="0" w:line="240" w:lineRule="auto"/>
              <w:contextualSpacing/>
              <w:jc w:val="center"/>
              <w:rPr>
                <w:rFonts w:ascii="Times New Roman" w:hAnsi="Times New Roman" w:cs="Times New Roman"/>
                <w:bCs/>
                <w:sz w:val="28"/>
                <w:szCs w:val="28"/>
              </w:rPr>
            </w:pPr>
            <w:r>
              <w:rPr>
                <w:rFonts w:ascii="Times New Roman" w:hAnsi="Times New Roman" w:cs="Times New Roman"/>
                <w:bCs/>
                <w:sz w:val="28"/>
                <w:szCs w:val="28"/>
              </w:rPr>
              <w:t>4</w:t>
            </w:r>
          </w:p>
        </w:tc>
        <w:tc>
          <w:tcPr>
            <w:tcW w:w="378" w:type="pct"/>
            <w:vAlign w:val="center"/>
          </w:tcPr>
          <w:p w14:paraId="3F1297BD" w14:textId="5D4E58F0" w:rsidR="00CD7C27" w:rsidRPr="00A43B9C" w:rsidRDefault="00CD7C27" w:rsidP="00CD7C27">
            <w:pPr>
              <w:spacing w:after="0" w:line="240" w:lineRule="auto"/>
              <w:contextualSpacing/>
              <w:jc w:val="center"/>
              <w:rPr>
                <w:rFonts w:ascii="Times New Roman" w:hAnsi="Times New Roman" w:cs="Times New Roman"/>
                <w:bCs/>
                <w:sz w:val="28"/>
                <w:szCs w:val="28"/>
                <w:lang w:val="en-US"/>
              </w:rPr>
            </w:pPr>
            <w:r>
              <w:rPr>
                <w:rFonts w:ascii="Times New Roman" w:hAnsi="Times New Roman" w:cs="Times New Roman"/>
                <w:bCs/>
                <w:sz w:val="28"/>
                <w:szCs w:val="28"/>
              </w:rPr>
              <w:t>5</w:t>
            </w:r>
          </w:p>
        </w:tc>
        <w:tc>
          <w:tcPr>
            <w:tcW w:w="378" w:type="pct"/>
            <w:vAlign w:val="center"/>
          </w:tcPr>
          <w:p w14:paraId="4753FFB5" w14:textId="21B6C7C1" w:rsidR="00CD7C27" w:rsidRPr="00A43B9C" w:rsidRDefault="00CD7C27" w:rsidP="00CD7C27">
            <w:pPr>
              <w:spacing w:after="0" w:line="240" w:lineRule="auto"/>
              <w:contextualSpacing/>
              <w:jc w:val="center"/>
              <w:rPr>
                <w:rFonts w:ascii="Times New Roman" w:hAnsi="Times New Roman" w:cs="Times New Roman"/>
                <w:bCs/>
                <w:sz w:val="28"/>
                <w:szCs w:val="28"/>
                <w:lang w:val="en-US"/>
              </w:rPr>
            </w:pPr>
            <w:r>
              <w:rPr>
                <w:rFonts w:ascii="Times New Roman" w:hAnsi="Times New Roman" w:cs="Times New Roman"/>
                <w:bCs/>
                <w:sz w:val="28"/>
                <w:szCs w:val="28"/>
              </w:rPr>
              <w:t>6</w:t>
            </w:r>
          </w:p>
        </w:tc>
        <w:tc>
          <w:tcPr>
            <w:tcW w:w="378" w:type="pct"/>
            <w:vAlign w:val="center"/>
          </w:tcPr>
          <w:p w14:paraId="7C85989E" w14:textId="7C1A0569" w:rsidR="00CD7C27" w:rsidRPr="00A43B9C" w:rsidRDefault="00CD7C27" w:rsidP="00CD7C27">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7</w:t>
            </w:r>
          </w:p>
        </w:tc>
        <w:tc>
          <w:tcPr>
            <w:tcW w:w="378" w:type="pct"/>
            <w:vAlign w:val="center"/>
          </w:tcPr>
          <w:p w14:paraId="2C3CEBBF" w14:textId="0D4E863B" w:rsidR="00CD7C27" w:rsidRPr="00A43B9C" w:rsidRDefault="00CD7C27" w:rsidP="00CD7C27">
            <w:pPr>
              <w:spacing w:after="0" w:line="240" w:lineRule="auto"/>
              <w:jc w:val="center"/>
              <w:rPr>
                <w:rFonts w:ascii="Times New Roman" w:hAnsi="Times New Roman" w:cs="Times New Roman"/>
                <w:bCs/>
                <w:sz w:val="28"/>
                <w:szCs w:val="28"/>
                <w:lang w:val="en-US"/>
              </w:rPr>
            </w:pPr>
            <w:r>
              <w:rPr>
                <w:rFonts w:ascii="Times New Roman" w:hAnsi="Times New Roman" w:cs="Times New Roman"/>
                <w:bCs/>
                <w:sz w:val="28"/>
                <w:szCs w:val="28"/>
              </w:rPr>
              <w:t>8</w:t>
            </w:r>
          </w:p>
        </w:tc>
        <w:tc>
          <w:tcPr>
            <w:tcW w:w="378" w:type="pct"/>
            <w:vAlign w:val="center"/>
          </w:tcPr>
          <w:p w14:paraId="382CCC17" w14:textId="18804D4B" w:rsidR="00CD7C27" w:rsidRPr="00A43B9C" w:rsidRDefault="00CD7C27" w:rsidP="00CD7C27">
            <w:pPr>
              <w:spacing w:after="0" w:line="240" w:lineRule="auto"/>
              <w:jc w:val="center"/>
              <w:rPr>
                <w:rFonts w:ascii="Times New Roman" w:hAnsi="Times New Roman" w:cs="Times New Roman"/>
                <w:bCs/>
                <w:sz w:val="28"/>
                <w:szCs w:val="28"/>
                <w:lang w:val="en-US"/>
              </w:rPr>
            </w:pPr>
            <w:r>
              <w:rPr>
                <w:rFonts w:ascii="Times New Roman" w:hAnsi="Times New Roman" w:cs="Times New Roman"/>
                <w:bCs/>
                <w:sz w:val="28"/>
                <w:szCs w:val="28"/>
              </w:rPr>
              <w:t>9</w:t>
            </w:r>
          </w:p>
        </w:tc>
        <w:tc>
          <w:tcPr>
            <w:tcW w:w="378" w:type="pct"/>
            <w:vAlign w:val="center"/>
          </w:tcPr>
          <w:p w14:paraId="299E4FB2" w14:textId="0D21F125" w:rsidR="00CD7C27" w:rsidRPr="00A43B9C" w:rsidRDefault="00CD7C27" w:rsidP="00CD7C27">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10</w:t>
            </w:r>
          </w:p>
        </w:tc>
        <w:tc>
          <w:tcPr>
            <w:tcW w:w="599" w:type="pct"/>
            <w:vAlign w:val="center"/>
          </w:tcPr>
          <w:p w14:paraId="39642220" w14:textId="6A2CC313" w:rsidR="00CD7C27" w:rsidRPr="00A43B9C" w:rsidRDefault="00CD7C27" w:rsidP="00CD7C27">
            <w:pPr>
              <w:spacing w:after="0" w:line="240" w:lineRule="auto"/>
              <w:jc w:val="center"/>
              <w:rPr>
                <w:rFonts w:ascii="Times New Roman" w:eastAsiaTheme="minorEastAsia" w:hAnsi="Times New Roman" w:cs="Times New Roman"/>
                <w:bCs/>
                <w:sz w:val="28"/>
                <w:szCs w:val="28"/>
              </w:rPr>
            </w:pPr>
            <w:r>
              <w:rPr>
                <w:rFonts w:ascii="Times New Roman" w:hAnsi="Times New Roman" w:cs="Times New Roman"/>
                <w:bCs/>
                <w:sz w:val="28"/>
                <w:szCs w:val="28"/>
              </w:rPr>
              <w:t>11</w:t>
            </w:r>
          </w:p>
        </w:tc>
      </w:tr>
      <w:tr w:rsidR="00CD7C27" w:rsidRPr="00A43B9C" w14:paraId="71D0461F" w14:textId="77777777" w:rsidTr="00CD7C27">
        <w:tc>
          <w:tcPr>
            <w:tcW w:w="942" w:type="pct"/>
            <w:vAlign w:val="center"/>
          </w:tcPr>
          <w:p w14:paraId="1C8F8738"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RE</w:t>
            </w:r>
          </w:p>
        </w:tc>
        <w:tc>
          <w:tcPr>
            <w:tcW w:w="433" w:type="pct"/>
            <w:vAlign w:val="center"/>
          </w:tcPr>
          <w:p w14:paraId="4943260B"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77</w:t>
            </w:r>
          </w:p>
        </w:tc>
        <w:tc>
          <w:tcPr>
            <w:tcW w:w="378" w:type="pct"/>
            <w:vAlign w:val="center"/>
          </w:tcPr>
          <w:p w14:paraId="30173E67" w14:textId="77777777" w:rsidR="00CD7C27" w:rsidRPr="00A43B9C" w:rsidRDefault="00CD7C27" w:rsidP="00CD7C2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98</w:t>
            </w:r>
          </w:p>
        </w:tc>
        <w:tc>
          <w:tcPr>
            <w:tcW w:w="380" w:type="pct"/>
            <w:shd w:val="clear" w:color="auto" w:fill="auto"/>
            <w:vAlign w:val="center"/>
          </w:tcPr>
          <w:p w14:paraId="06C1B70F" w14:textId="77777777" w:rsidR="00CD7C27" w:rsidRPr="00A43B9C" w:rsidRDefault="00CD7C27" w:rsidP="00CD7C2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07</w:t>
            </w:r>
          </w:p>
        </w:tc>
        <w:tc>
          <w:tcPr>
            <w:tcW w:w="378" w:type="pct"/>
            <w:vAlign w:val="center"/>
          </w:tcPr>
          <w:p w14:paraId="5098726C" w14:textId="77777777" w:rsidR="00CD7C27" w:rsidRPr="00A43B9C" w:rsidRDefault="00CD7C27" w:rsidP="00CD7C2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75</w:t>
            </w:r>
          </w:p>
        </w:tc>
        <w:tc>
          <w:tcPr>
            <w:tcW w:w="378" w:type="pct"/>
            <w:vAlign w:val="center"/>
          </w:tcPr>
          <w:p w14:paraId="036A6704"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98</w:t>
            </w:r>
          </w:p>
        </w:tc>
        <w:tc>
          <w:tcPr>
            <w:tcW w:w="378" w:type="pct"/>
            <w:shd w:val="clear" w:color="auto" w:fill="auto"/>
            <w:vAlign w:val="center"/>
          </w:tcPr>
          <w:p w14:paraId="23FEA666"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0,77</w:t>
            </w:r>
          </w:p>
        </w:tc>
        <w:tc>
          <w:tcPr>
            <w:tcW w:w="378" w:type="pct"/>
            <w:vAlign w:val="center"/>
          </w:tcPr>
          <w:p w14:paraId="7B425564"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92</w:t>
            </w:r>
          </w:p>
        </w:tc>
        <w:tc>
          <w:tcPr>
            <w:tcW w:w="378" w:type="pct"/>
            <w:vAlign w:val="center"/>
          </w:tcPr>
          <w:p w14:paraId="3AD2E254"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9</w:t>
            </w:r>
            <w:r w:rsidRPr="00A43B9C">
              <w:rPr>
                <w:rFonts w:ascii="Times New Roman" w:hAnsi="Times New Roman" w:cs="Times New Roman"/>
                <w:bCs/>
                <w:sz w:val="28"/>
                <w:szCs w:val="28"/>
                <w:lang w:val="en-US"/>
              </w:rPr>
              <w:t>9</w:t>
            </w:r>
          </w:p>
        </w:tc>
        <w:tc>
          <w:tcPr>
            <w:tcW w:w="378" w:type="pct"/>
            <w:shd w:val="clear" w:color="auto" w:fill="auto"/>
            <w:vAlign w:val="center"/>
          </w:tcPr>
          <w:p w14:paraId="474173E0" w14:textId="77777777" w:rsidR="00CD7C27" w:rsidRPr="00A43B9C" w:rsidRDefault="00CD7C27" w:rsidP="00CD7C2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64</w:t>
            </w:r>
          </w:p>
        </w:tc>
        <w:tc>
          <w:tcPr>
            <w:tcW w:w="599" w:type="pct"/>
            <w:shd w:val="clear" w:color="auto" w:fill="auto"/>
            <w:vAlign w:val="center"/>
          </w:tcPr>
          <w:p w14:paraId="35073D87" w14:textId="77777777" w:rsidR="00CD7C27" w:rsidRPr="00A43B9C" w:rsidRDefault="00CD7C27" w:rsidP="00CD7C2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0,18</w:t>
            </w:r>
          </w:p>
        </w:tc>
      </w:tr>
      <w:tr w:rsidR="00CD7C27" w:rsidRPr="00A43B9C" w14:paraId="3EF27BCC" w14:textId="77777777" w:rsidTr="00CD7C27">
        <w:tc>
          <w:tcPr>
            <w:tcW w:w="942" w:type="pct"/>
            <w:tcBorders>
              <w:bottom w:val="nil"/>
            </w:tcBorders>
            <w:vAlign w:val="center"/>
          </w:tcPr>
          <w:p w14:paraId="5E1F0A8C"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RLH</w:t>
            </w:r>
          </w:p>
        </w:tc>
        <w:tc>
          <w:tcPr>
            <w:tcW w:w="433" w:type="pct"/>
            <w:tcBorders>
              <w:bottom w:val="nil"/>
            </w:tcBorders>
            <w:vAlign w:val="center"/>
          </w:tcPr>
          <w:p w14:paraId="67E47D4A"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71</w:t>
            </w:r>
          </w:p>
        </w:tc>
        <w:tc>
          <w:tcPr>
            <w:tcW w:w="378" w:type="pct"/>
            <w:tcBorders>
              <w:bottom w:val="nil"/>
            </w:tcBorders>
            <w:vAlign w:val="center"/>
          </w:tcPr>
          <w:p w14:paraId="43A77752" w14:textId="77777777" w:rsidR="00CD7C27" w:rsidRPr="00A43B9C" w:rsidRDefault="00CD7C27" w:rsidP="00CD7C2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92</w:t>
            </w:r>
          </w:p>
        </w:tc>
        <w:tc>
          <w:tcPr>
            <w:tcW w:w="380" w:type="pct"/>
            <w:tcBorders>
              <w:bottom w:val="nil"/>
            </w:tcBorders>
            <w:shd w:val="clear" w:color="auto" w:fill="auto"/>
            <w:vAlign w:val="center"/>
          </w:tcPr>
          <w:p w14:paraId="0A994CCC" w14:textId="77777777" w:rsidR="00CD7C27" w:rsidRPr="00A43B9C" w:rsidRDefault="00CD7C27" w:rsidP="00CD7C2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07</w:t>
            </w:r>
          </w:p>
        </w:tc>
        <w:tc>
          <w:tcPr>
            <w:tcW w:w="378" w:type="pct"/>
            <w:tcBorders>
              <w:bottom w:val="nil"/>
            </w:tcBorders>
            <w:vAlign w:val="center"/>
          </w:tcPr>
          <w:p w14:paraId="3623F6F1" w14:textId="77777777" w:rsidR="00CD7C27" w:rsidRPr="00A43B9C" w:rsidRDefault="00CD7C27" w:rsidP="00CD7C2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6</w:t>
            </w:r>
            <w:r w:rsidRPr="00A43B9C">
              <w:rPr>
                <w:rFonts w:ascii="Times New Roman" w:hAnsi="Times New Roman" w:cs="Times New Roman"/>
                <w:bCs/>
                <w:sz w:val="28"/>
                <w:szCs w:val="28"/>
                <w:lang w:val="en-US"/>
              </w:rPr>
              <w:t>6</w:t>
            </w:r>
          </w:p>
        </w:tc>
        <w:tc>
          <w:tcPr>
            <w:tcW w:w="378" w:type="pct"/>
            <w:tcBorders>
              <w:bottom w:val="nil"/>
            </w:tcBorders>
            <w:vAlign w:val="center"/>
          </w:tcPr>
          <w:p w14:paraId="1CC5444F"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82</w:t>
            </w:r>
          </w:p>
        </w:tc>
        <w:tc>
          <w:tcPr>
            <w:tcW w:w="378" w:type="pct"/>
            <w:tcBorders>
              <w:bottom w:val="nil"/>
            </w:tcBorders>
            <w:shd w:val="clear" w:color="auto" w:fill="auto"/>
            <w:vAlign w:val="center"/>
          </w:tcPr>
          <w:p w14:paraId="56DA4C7C" w14:textId="77777777" w:rsidR="00CD7C27" w:rsidRPr="00A43B9C" w:rsidRDefault="00CD7C27" w:rsidP="00CD7C2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06</w:t>
            </w:r>
          </w:p>
        </w:tc>
        <w:tc>
          <w:tcPr>
            <w:tcW w:w="378" w:type="pct"/>
            <w:tcBorders>
              <w:bottom w:val="nil"/>
            </w:tcBorders>
            <w:vAlign w:val="center"/>
          </w:tcPr>
          <w:p w14:paraId="0FB51D52"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0,96</w:t>
            </w:r>
          </w:p>
        </w:tc>
        <w:tc>
          <w:tcPr>
            <w:tcW w:w="378" w:type="pct"/>
            <w:tcBorders>
              <w:bottom w:val="nil"/>
            </w:tcBorders>
            <w:vAlign w:val="center"/>
          </w:tcPr>
          <w:p w14:paraId="32329853"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99</w:t>
            </w:r>
          </w:p>
        </w:tc>
        <w:tc>
          <w:tcPr>
            <w:tcW w:w="378" w:type="pct"/>
            <w:tcBorders>
              <w:bottom w:val="nil"/>
            </w:tcBorders>
            <w:shd w:val="clear" w:color="auto" w:fill="auto"/>
            <w:vAlign w:val="center"/>
          </w:tcPr>
          <w:p w14:paraId="5A0A7135" w14:textId="77777777" w:rsidR="00CD7C27" w:rsidRPr="00A43B9C" w:rsidRDefault="00CD7C27" w:rsidP="00CD7C2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75</w:t>
            </w:r>
          </w:p>
        </w:tc>
        <w:tc>
          <w:tcPr>
            <w:tcW w:w="599" w:type="pct"/>
            <w:tcBorders>
              <w:bottom w:val="nil"/>
            </w:tcBorders>
            <w:shd w:val="clear" w:color="auto" w:fill="auto"/>
            <w:vAlign w:val="center"/>
          </w:tcPr>
          <w:p w14:paraId="5DA5DBEA"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0,05</w:t>
            </w:r>
          </w:p>
        </w:tc>
      </w:tr>
      <w:tr w:rsidR="00CD7C27" w:rsidRPr="00A43B9C" w14:paraId="157E466A" w14:textId="77777777" w:rsidTr="00B25E66">
        <w:tc>
          <w:tcPr>
            <w:tcW w:w="5000" w:type="pct"/>
            <w:gridSpan w:val="11"/>
            <w:tcBorders>
              <w:top w:val="nil"/>
              <w:left w:val="nil"/>
              <w:bottom w:val="single" w:sz="4" w:space="0" w:color="auto"/>
              <w:right w:val="nil"/>
            </w:tcBorders>
            <w:vAlign w:val="center"/>
          </w:tcPr>
          <w:p w14:paraId="586F5A4F" w14:textId="77777777" w:rsidR="00CD7C27" w:rsidRDefault="00CD7C27" w:rsidP="00CD7C27">
            <w:pPr>
              <w:spacing w:after="0" w:line="240" w:lineRule="auto"/>
              <w:rPr>
                <w:rFonts w:ascii="Times New Roman" w:hAnsi="Times New Roman" w:cs="Times New Roman"/>
                <w:bCs/>
                <w:sz w:val="28"/>
                <w:szCs w:val="28"/>
              </w:rPr>
            </w:pPr>
            <w:r>
              <w:rPr>
                <w:rFonts w:ascii="Times New Roman" w:hAnsi="Times New Roman" w:cs="Times New Roman"/>
                <w:bCs/>
                <w:sz w:val="28"/>
                <w:szCs w:val="28"/>
              </w:rPr>
              <w:lastRenderedPageBreak/>
              <w:t>Продолжение таблицы 34</w:t>
            </w:r>
          </w:p>
          <w:p w14:paraId="2B812BE9" w14:textId="6D0C3489" w:rsidR="00CD7C27" w:rsidRPr="00B25E66" w:rsidRDefault="00CD7C27" w:rsidP="00CD7C27">
            <w:pPr>
              <w:spacing w:after="0" w:line="240" w:lineRule="auto"/>
              <w:rPr>
                <w:rFonts w:ascii="Times New Roman" w:hAnsi="Times New Roman" w:cs="Times New Roman"/>
                <w:bCs/>
                <w:sz w:val="28"/>
                <w:szCs w:val="28"/>
              </w:rPr>
            </w:pPr>
          </w:p>
        </w:tc>
      </w:tr>
      <w:tr w:rsidR="00CD7C27" w:rsidRPr="00A43B9C" w14:paraId="0F13EB4B" w14:textId="77777777" w:rsidTr="00CD7C27">
        <w:tc>
          <w:tcPr>
            <w:tcW w:w="942" w:type="pct"/>
            <w:tcBorders>
              <w:top w:val="single" w:sz="4" w:space="0" w:color="auto"/>
            </w:tcBorders>
            <w:vAlign w:val="center"/>
          </w:tcPr>
          <w:p w14:paraId="573C3CCD" w14:textId="42E87E56" w:rsidR="00CD7C27" w:rsidRPr="00B25E66" w:rsidRDefault="00CD7C27" w:rsidP="00CD7C27">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w:t>
            </w:r>
          </w:p>
        </w:tc>
        <w:tc>
          <w:tcPr>
            <w:tcW w:w="433" w:type="pct"/>
            <w:tcBorders>
              <w:top w:val="single" w:sz="4" w:space="0" w:color="auto"/>
            </w:tcBorders>
            <w:vAlign w:val="center"/>
          </w:tcPr>
          <w:p w14:paraId="3CF573E4" w14:textId="6C4389D3" w:rsidR="00CD7C27" w:rsidRPr="00A43B9C" w:rsidRDefault="00CD7C27" w:rsidP="00CD7C27">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w:t>
            </w:r>
          </w:p>
        </w:tc>
        <w:tc>
          <w:tcPr>
            <w:tcW w:w="378" w:type="pct"/>
            <w:tcBorders>
              <w:top w:val="single" w:sz="4" w:space="0" w:color="auto"/>
            </w:tcBorders>
            <w:vAlign w:val="center"/>
          </w:tcPr>
          <w:p w14:paraId="2F6BCF7D" w14:textId="760B42A9" w:rsidR="00CD7C27" w:rsidRPr="00A43B9C" w:rsidRDefault="00CD7C27" w:rsidP="00CD7C27">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w:t>
            </w:r>
          </w:p>
        </w:tc>
        <w:tc>
          <w:tcPr>
            <w:tcW w:w="380" w:type="pct"/>
            <w:tcBorders>
              <w:top w:val="single" w:sz="4" w:space="0" w:color="auto"/>
            </w:tcBorders>
            <w:shd w:val="clear" w:color="auto" w:fill="auto"/>
            <w:vAlign w:val="center"/>
          </w:tcPr>
          <w:p w14:paraId="5603CA32" w14:textId="29093386" w:rsidR="00CD7C27" w:rsidRPr="00A43B9C" w:rsidRDefault="00CD7C27" w:rsidP="00CD7C27">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w:t>
            </w:r>
          </w:p>
        </w:tc>
        <w:tc>
          <w:tcPr>
            <w:tcW w:w="378" w:type="pct"/>
            <w:tcBorders>
              <w:top w:val="single" w:sz="4" w:space="0" w:color="auto"/>
            </w:tcBorders>
            <w:vAlign w:val="center"/>
          </w:tcPr>
          <w:p w14:paraId="6A70CD8F" w14:textId="610A6555" w:rsidR="00CD7C27" w:rsidRPr="00A43B9C" w:rsidRDefault="00CD7C27" w:rsidP="00CD7C27">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w:t>
            </w:r>
          </w:p>
        </w:tc>
        <w:tc>
          <w:tcPr>
            <w:tcW w:w="378" w:type="pct"/>
            <w:tcBorders>
              <w:top w:val="single" w:sz="4" w:space="0" w:color="auto"/>
            </w:tcBorders>
            <w:vAlign w:val="center"/>
          </w:tcPr>
          <w:p w14:paraId="048AC849" w14:textId="66DE5CEC" w:rsidR="00CD7C27" w:rsidRPr="00A43B9C" w:rsidRDefault="00CD7C27" w:rsidP="00CD7C27">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w:t>
            </w:r>
          </w:p>
        </w:tc>
        <w:tc>
          <w:tcPr>
            <w:tcW w:w="378" w:type="pct"/>
            <w:tcBorders>
              <w:top w:val="single" w:sz="4" w:space="0" w:color="auto"/>
            </w:tcBorders>
            <w:shd w:val="clear" w:color="auto" w:fill="auto"/>
            <w:vAlign w:val="center"/>
          </w:tcPr>
          <w:p w14:paraId="5B324A1F" w14:textId="7B9FAAEA" w:rsidR="00CD7C27" w:rsidRPr="00A43B9C" w:rsidRDefault="00CD7C27" w:rsidP="00CD7C27">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7</w:t>
            </w:r>
          </w:p>
        </w:tc>
        <w:tc>
          <w:tcPr>
            <w:tcW w:w="378" w:type="pct"/>
            <w:tcBorders>
              <w:top w:val="single" w:sz="4" w:space="0" w:color="auto"/>
            </w:tcBorders>
            <w:vAlign w:val="center"/>
          </w:tcPr>
          <w:p w14:paraId="33526A8B" w14:textId="376CC367" w:rsidR="00CD7C27" w:rsidRPr="00B25E66" w:rsidRDefault="00CD7C27" w:rsidP="00CD7C27">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8</w:t>
            </w:r>
          </w:p>
        </w:tc>
        <w:tc>
          <w:tcPr>
            <w:tcW w:w="378" w:type="pct"/>
            <w:tcBorders>
              <w:top w:val="single" w:sz="4" w:space="0" w:color="auto"/>
            </w:tcBorders>
            <w:vAlign w:val="center"/>
          </w:tcPr>
          <w:p w14:paraId="7BCE23D2" w14:textId="62910B93" w:rsidR="00CD7C27" w:rsidRPr="00A43B9C" w:rsidRDefault="00CD7C27" w:rsidP="00CD7C27">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9</w:t>
            </w:r>
          </w:p>
        </w:tc>
        <w:tc>
          <w:tcPr>
            <w:tcW w:w="378" w:type="pct"/>
            <w:tcBorders>
              <w:top w:val="single" w:sz="4" w:space="0" w:color="auto"/>
            </w:tcBorders>
            <w:shd w:val="clear" w:color="auto" w:fill="auto"/>
            <w:vAlign w:val="center"/>
          </w:tcPr>
          <w:p w14:paraId="2E411A83" w14:textId="55EB70DF" w:rsidR="00CD7C27" w:rsidRPr="00A43B9C" w:rsidRDefault="00CD7C27" w:rsidP="00CD7C27">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10</w:t>
            </w:r>
          </w:p>
        </w:tc>
        <w:tc>
          <w:tcPr>
            <w:tcW w:w="599" w:type="pct"/>
            <w:tcBorders>
              <w:top w:val="single" w:sz="4" w:space="0" w:color="auto"/>
            </w:tcBorders>
            <w:shd w:val="clear" w:color="auto" w:fill="auto"/>
            <w:vAlign w:val="center"/>
          </w:tcPr>
          <w:p w14:paraId="12A2EABC" w14:textId="30A4E09C" w:rsidR="00CD7C27" w:rsidRPr="00B25E66" w:rsidRDefault="00CD7C27" w:rsidP="00CD7C27">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11</w:t>
            </w:r>
          </w:p>
        </w:tc>
      </w:tr>
      <w:tr w:rsidR="00CD7C27" w:rsidRPr="00A43B9C" w14:paraId="0D9CFCE7" w14:textId="77777777" w:rsidTr="00CD7C27">
        <w:tc>
          <w:tcPr>
            <w:tcW w:w="942" w:type="pct"/>
            <w:vAlign w:val="center"/>
          </w:tcPr>
          <w:p w14:paraId="77840823"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RRL</w:t>
            </w:r>
          </w:p>
        </w:tc>
        <w:tc>
          <w:tcPr>
            <w:tcW w:w="433" w:type="pct"/>
            <w:vAlign w:val="center"/>
          </w:tcPr>
          <w:p w14:paraId="1F392E6A"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86</w:t>
            </w:r>
          </w:p>
        </w:tc>
        <w:tc>
          <w:tcPr>
            <w:tcW w:w="378" w:type="pct"/>
            <w:vAlign w:val="center"/>
          </w:tcPr>
          <w:p w14:paraId="6FB64A2F" w14:textId="77777777" w:rsidR="00CD7C27" w:rsidRPr="00A43B9C" w:rsidRDefault="00CD7C27" w:rsidP="00CD7C2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02</w:t>
            </w:r>
          </w:p>
        </w:tc>
        <w:tc>
          <w:tcPr>
            <w:tcW w:w="380" w:type="pct"/>
            <w:shd w:val="clear" w:color="auto" w:fill="auto"/>
            <w:vAlign w:val="center"/>
          </w:tcPr>
          <w:p w14:paraId="3F48D753" w14:textId="77777777" w:rsidR="00CD7C27" w:rsidRPr="00A43B9C" w:rsidRDefault="00CD7C27" w:rsidP="00CD7C2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10</w:t>
            </w:r>
          </w:p>
        </w:tc>
        <w:tc>
          <w:tcPr>
            <w:tcW w:w="378" w:type="pct"/>
            <w:vAlign w:val="center"/>
          </w:tcPr>
          <w:p w14:paraId="68795481" w14:textId="77777777" w:rsidR="00CD7C27" w:rsidRPr="00A43B9C" w:rsidRDefault="00CD7C27" w:rsidP="00CD7C2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82</w:t>
            </w:r>
          </w:p>
        </w:tc>
        <w:tc>
          <w:tcPr>
            <w:tcW w:w="378" w:type="pct"/>
            <w:vAlign w:val="center"/>
          </w:tcPr>
          <w:p w14:paraId="11ABD266"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91</w:t>
            </w:r>
          </w:p>
        </w:tc>
        <w:tc>
          <w:tcPr>
            <w:tcW w:w="378" w:type="pct"/>
            <w:shd w:val="clear" w:color="auto" w:fill="auto"/>
            <w:vAlign w:val="center"/>
          </w:tcPr>
          <w:p w14:paraId="07B35E5D" w14:textId="77777777" w:rsidR="00CD7C27" w:rsidRPr="00A43B9C" w:rsidRDefault="00CD7C27" w:rsidP="00CD7C2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09</w:t>
            </w:r>
          </w:p>
        </w:tc>
        <w:tc>
          <w:tcPr>
            <w:tcW w:w="378" w:type="pct"/>
            <w:vAlign w:val="center"/>
          </w:tcPr>
          <w:p w14:paraId="0737B7F5"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2</w:t>
            </w:r>
            <w:r w:rsidRPr="00A43B9C">
              <w:rPr>
                <w:rFonts w:ascii="Times New Roman" w:hAnsi="Times New Roman" w:cs="Times New Roman"/>
                <w:bCs/>
                <w:sz w:val="28"/>
                <w:szCs w:val="28"/>
                <w:lang w:val="en-US"/>
              </w:rPr>
              <w:t>9</w:t>
            </w:r>
          </w:p>
        </w:tc>
        <w:tc>
          <w:tcPr>
            <w:tcW w:w="378" w:type="pct"/>
            <w:vAlign w:val="center"/>
          </w:tcPr>
          <w:p w14:paraId="7F98DEE2"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,35</w:t>
            </w:r>
          </w:p>
        </w:tc>
        <w:tc>
          <w:tcPr>
            <w:tcW w:w="378" w:type="pct"/>
            <w:shd w:val="clear" w:color="auto" w:fill="auto"/>
            <w:vAlign w:val="center"/>
          </w:tcPr>
          <w:p w14:paraId="26AB7CBD" w14:textId="77777777" w:rsidR="00CD7C27" w:rsidRPr="00A43B9C" w:rsidRDefault="00CD7C27" w:rsidP="00CD7C2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72</w:t>
            </w:r>
          </w:p>
        </w:tc>
        <w:tc>
          <w:tcPr>
            <w:tcW w:w="599" w:type="pct"/>
            <w:shd w:val="clear" w:color="auto" w:fill="auto"/>
            <w:vAlign w:val="center"/>
          </w:tcPr>
          <w:p w14:paraId="1BDD2339"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0,03</w:t>
            </w:r>
          </w:p>
        </w:tc>
      </w:tr>
      <w:tr w:rsidR="00CD7C27" w:rsidRPr="00A43B9C" w14:paraId="47193089" w14:textId="77777777" w:rsidTr="00CD7C27">
        <w:tc>
          <w:tcPr>
            <w:tcW w:w="942" w:type="pct"/>
            <w:vAlign w:val="center"/>
          </w:tcPr>
          <w:p w14:paraId="5A9EF06D"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RU</w:t>
            </w:r>
          </w:p>
        </w:tc>
        <w:tc>
          <w:tcPr>
            <w:tcW w:w="433" w:type="pct"/>
            <w:vAlign w:val="center"/>
          </w:tcPr>
          <w:p w14:paraId="1E7A5C84"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,80</w:t>
            </w:r>
          </w:p>
        </w:tc>
        <w:tc>
          <w:tcPr>
            <w:tcW w:w="378" w:type="pct"/>
            <w:vAlign w:val="center"/>
          </w:tcPr>
          <w:p w14:paraId="573C0267" w14:textId="77777777" w:rsidR="00CD7C27" w:rsidRPr="00A43B9C" w:rsidRDefault="00CD7C27" w:rsidP="00CD7C2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96</w:t>
            </w:r>
          </w:p>
        </w:tc>
        <w:tc>
          <w:tcPr>
            <w:tcW w:w="380" w:type="pct"/>
            <w:shd w:val="clear" w:color="auto" w:fill="auto"/>
            <w:vAlign w:val="center"/>
          </w:tcPr>
          <w:p w14:paraId="34350A14" w14:textId="77777777" w:rsidR="00CD7C27" w:rsidRPr="00A43B9C" w:rsidRDefault="00CD7C27" w:rsidP="00CD7C2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07</w:t>
            </w:r>
          </w:p>
        </w:tc>
        <w:tc>
          <w:tcPr>
            <w:tcW w:w="378" w:type="pct"/>
            <w:vAlign w:val="center"/>
          </w:tcPr>
          <w:p w14:paraId="71D060E1" w14:textId="77777777" w:rsidR="00CD7C27" w:rsidRPr="00A43B9C" w:rsidRDefault="00CD7C27" w:rsidP="00CD7C2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7</w:t>
            </w:r>
            <w:r w:rsidRPr="00A43B9C">
              <w:rPr>
                <w:rFonts w:ascii="Times New Roman" w:hAnsi="Times New Roman" w:cs="Times New Roman"/>
                <w:bCs/>
                <w:sz w:val="28"/>
                <w:szCs w:val="28"/>
                <w:lang w:val="en-US"/>
              </w:rPr>
              <w:t>4</w:t>
            </w:r>
          </w:p>
        </w:tc>
        <w:tc>
          <w:tcPr>
            <w:tcW w:w="378" w:type="pct"/>
            <w:vAlign w:val="center"/>
          </w:tcPr>
          <w:p w14:paraId="622179BE" w14:textId="77777777" w:rsidR="00CD7C27" w:rsidRPr="00A43B9C" w:rsidRDefault="00CD7C27" w:rsidP="00CD7C2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87</w:t>
            </w:r>
          </w:p>
        </w:tc>
        <w:tc>
          <w:tcPr>
            <w:tcW w:w="378" w:type="pct"/>
            <w:shd w:val="clear" w:color="auto" w:fill="auto"/>
            <w:vAlign w:val="center"/>
          </w:tcPr>
          <w:p w14:paraId="39485E57"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08</w:t>
            </w:r>
          </w:p>
        </w:tc>
        <w:tc>
          <w:tcPr>
            <w:tcW w:w="378" w:type="pct"/>
            <w:vAlign w:val="center"/>
          </w:tcPr>
          <w:p w14:paraId="28581429"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,00</w:t>
            </w:r>
          </w:p>
        </w:tc>
        <w:tc>
          <w:tcPr>
            <w:tcW w:w="378" w:type="pct"/>
            <w:vAlign w:val="center"/>
          </w:tcPr>
          <w:p w14:paraId="560A3997"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01</w:t>
            </w:r>
          </w:p>
        </w:tc>
        <w:tc>
          <w:tcPr>
            <w:tcW w:w="378" w:type="pct"/>
            <w:shd w:val="clear" w:color="auto" w:fill="auto"/>
            <w:vAlign w:val="center"/>
          </w:tcPr>
          <w:p w14:paraId="615047BF" w14:textId="77777777" w:rsidR="00CD7C27" w:rsidRPr="00A43B9C" w:rsidRDefault="00CD7C27" w:rsidP="00CD7C2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49</w:t>
            </w:r>
          </w:p>
        </w:tc>
        <w:tc>
          <w:tcPr>
            <w:tcW w:w="599" w:type="pct"/>
            <w:shd w:val="clear" w:color="auto" w:fill="auto"/>
            <w:vAlign w:val="center"/>
          </w:tcPr>
          <w:p w14:paraId="5FDD47D2" w14:textId="77777777" w:rsidR="00CD7C27" w:rsidRPr="00A43B9C" w:rsidRDefault="00CD7C27" w:rsidP="00CD7C2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0,04</w:t>
            </w:r>
          </w:p>
        </w:tc>
      </w:tr>
      <w:tr w:rsidR="00CD7C27" w:rsidRPr="00A43B9C" w14:paraId="5C9AF8FB" w14:textId="77777777" w:rsidTr="00CD7C27">
        <w:tc>
          <w:tcPr>
            <w:tcW w:w="942" w:type="pct"/>
            <w:vAlign w:val="center"/>
          </w:tcPr>
          <w:p w14:paraId="2C67CB2B"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RLL</w:t>
            </w:r>
          </w:p>
        </w:tc>
        <w:tc>
          <w:tcPr>
            <w:tcW w:w="433" w:type="pct"/>
            <w:vAlign w:val="center"/>
          </w:tcPr>
          <w:p w14:paraId="24E9EA78"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8</w:t>
            </w:r>
            <w:r w:rsidRPr="00A43B9C">
              <w:rPr>
                <w:rFonts w:ascii="Times New Roman" w:hAnsi="Times New Roman" w:cs="Times New Roman"/>
                <w:bCs/>
                <w:sz w:val="28"/>
                <w:szCs w:val="28"/>
                <w:lang w:val="en-US"/>
              </w:rPr>
              <w:t>7</w:t>
            </w:r>
          </w:p>
        </w:tc>
        <w:tc>
          <w:tcPr>
            <w:tcW w:w="378" w:type="pct"/>
            <w:vAlign w:val="center"/>
          </w:tcPr>
          <w:p w14:paraId="3CD4B9C3" w14:textId="77777777" w:rsidR="00CD7C27" w:rsidRPr="00A43B9C" w:rsidRDefault="00CD7C27" w:rsidP="00CD7C2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01</w:t>
            </w:r>
          </w:p>
        </w:tc>
        <w:tc>
          <w:tcPr>
            <w:tcW w:w="380" w:type="pct"/>
            <w:shd w:val="clear" w:color="auto" w:fill="auto"/>
            <w:vAlign w:val="center"/>
          </w:tcPr>
          <w:p w14:paraId="47E74235" w14:textId="77777777" w:rsidR="00CD7C27" w:rsidRPr="00A43B9C" w:rsidRDefault="00CD7C27" w:rsidP="00CD7C2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08</w:t>
            </w:r>
          </w:p>
        </w:tc>
        <w:tc>
          <w:tcPr>
            <w:tcW w:w="378" w:type="pct"/>
            <w:vAlign w:val="center"/>
          </w:tcPr>
          <w:p w14:paraId="0DE3D954" w14:textId="77777777" w:rsidR="00CD7C27" w:rsidRPr="00A43B9C" w:rsidRDefault="00CD7C27" w:rsidP="00CD7C2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86</w:t>
            </w:r>
          </w:p>
        </w:tc>
        <w:tc>
          <w:tcPr>
            <w:tcW w:w="378" w:type="pct"/>
            <w:vAlign w:val="center"/>
          </w:tcPr>
          <w:p w14:paraId="79151878"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98</w:t>
            </w:r>
          </w:p>
        </w:tc>
        <w:tc>
          <w:tcPr>
            <w:tcW w:w="378" w:type="pct"/>
            <w:shd w:val="clear" w:color="auto" w:fill="auto"/>
            <w:vAlign w:val="center"/>
          </w:tcPr>
          <w:p w14:paraId="3958B333" w14:textId="77777777" w:rsidR="00CD7C27" w:rsidRPr="00A43B9C" w:rsidRDefault="00CD7C27" w:rsidP="00CD7C2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12</w:t>
            </w:r>
          </w:p>
        </w:tc>
        <w:tc>
          <w:tcPr>
            <w:tcW w:w="378" w:type="pct"/>
            <w:vAlign w:val="center"/>
          </w:tcPr>
          <w:p w14:paraId="1ADF6BE5"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0,95</w:t>
            </w:r>
          </w:p>
        </w:tc>
        <w:tc>
          <w:tcPr>
            <w:tcW w:w="378" w:type="pct"/>
            <w:vAlign w:val="center"/>
          </w:tcPr>
          <w:p w14:paraId="083AE4CB"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,13</w:t>
            </w:r>
          </w:p>
        </w:tc>
        <w:tc>
          <w:tcPr>
            <w:tcW w:w="378" w:type="pct"/>
            <w:shd w:val="clear" w:color="auto" w:fill="auto"/>
            <w:vAlign w:val="center"/>
          </w:tcPr>
          <w:p w14:paraId="566806DA" w14:textId="77777777" w:rsidR="00CD7C27" w:rsidRPr="00A43B9C" w:rsidRDefault="00CD7C27" w:rsidP="00CD7C2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42</w:t>
            </w:r>
          </w:p>
        </w:tc>
        <w:tc>
          <w:tcPr>
            <w:tcW w:w="599" w:type="pct"/>
            <w:shd w:val="clear" w:color="auto" w:fill="auto"/>
            <w:vAlign w:val="center"/>
          </w:tcPr>
          <w:p w14:paraId="6FDBC17E" w14:textId="77777777" w:rsidR="00CD7C27" w:rsidRPr="00A43B9C" w:rsidRDefault="00CD7C27" w:rsidP="00CD7C2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0,47</w:t>
            </w:r>
          </w:p>
        </w:tc>
      </w:tr>
      <w:tr w:rsidR="00CD7C27" w:rsidRPr="00A43B9C" w14:paraId="08CFEE85" w14:textId="77777777" w:rsidTr="00CD7C27">
        <w:tc>
          <w:tcPr>
            <w:tcW w:w="942" w:type="pct"/>
            <w:vAlign w:val="center"/>
          </w:tcPr>
          <w:p w14:paraId="404E98EA"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RRI</w:t>
            </w:r>
          </w:p>
        </w:tc>
        <w:tc>
          <w:tcPr>
            <w:tcW w:w="433" w:type="pct"/>
            <w:vAlign w:val="center"/>
          </w:tcPr>
          <w:p w14:paraId="224D19C8"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7</w:t>
            </w:r>
            <w:r w:rsidRPr="00A43B9C">
              <w:rPr>
                <w:rFonts w:ascii="Times New Roman" w:hAnsi="Times New Roman" w:cs="Times New Roman"/>
                <w:bCs/>
                <w:sz w:val="28"/>
                <w:szCs w:val="28"/>
                <w:lang w:val="en-US"/>
              </w:rPr>
              <w:t>4</w:t>
            </w:r>
          </w:p>
        </w:tc>
        <w:tc>
          <w:tcPr>
            <w:tcW w:w="378" w:type="pct"/>
            <w:vAlign w:val="center"/>
          </w:tcPr>
          <w:p w14:paraId="02E2E028" w14:textId="77777777" w:rsidR="00CD7C27" w:rsidRPr="00A43B9C" w:rsidRDefault="00CD7C27" w:rsidP="00CD7C2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77</w:t>
            </w:r>
          </w:p>
        </w:tc>
        <w:tc>
          <w:tcPr>
            <w:tcW w:w="380" w:type="pct"/>
            <w:shd w:val="clear" w:color="auto" w:fill="auto"/>
            <w:vAlign w:val="center"/>
          </w:tcPr>
          <w:p w14:paraId="54BE117B" w14:textId="77777777" w:rsidR="00CD7C27" w:rsidRPr="00A43B9C" w:rsidRDefault="00CD7C27" w:rsidP="00CD7C2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32</w:t>
            </w:r>
          </w:p>
        </w:tc>
        <w:tc>
          <w:tcPr>
            <w:tcW w:w="378" w:type="pct"/>
            <w:vAlign w:val="center"/>
          </w:tcPr>
          <w:p w14:paraId="1AB1894F" w14:textId="77777777" w:rsidR="00CD7C27" w:rsidRPr="00A43B9C" w:rsidRDefault="00CD7C27" w:rsidP="00CD7C2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7</w:t>
            </w:r>
            <w:r w:rsidRPr="00A43B9C">
              <w:rPr>
                <w:rFonts w:ascii="Times New Roman" w:hAnsi="Times New Roman" w:cs="Times New Roman"/>
                <w:bCs/>
                <w:sz w:val="28"/>
                <w:szCs w:val="28"/>
                <w:lang w:val="en-US"/>
              </w:rPr>
              <w:t>3</w:t>
            </w:r>
          </w:p>
        </w:tc>
        <w:tc>
          <w:tcPr>
            <w:tcW w:w="378" w:type="pct"/>
            <w:vAlign w:val="center"/>
          </w:tcPr>
          <w:p w14:paraId="27ED5C37"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75</w:t>
            </w:r>
          </w:p>
        </w:tc>
        <w:tc>
          <w:tcPr>
            <w:tcW w:w="378" w:type="pct"/>
            <w:shd w:val="clear" w:color="auto" w:fill="auto"/>
            <w:vAlign w:val="center"/>
          </w:tcPr>
          <w:p w14:paraId="57F76C84" w14:textId="77777777" w:rsidR="00CD7C27" w:rsidRPr="00A43B9C" w:rsidRDefault="00CD7C27" w:rsidP="00CD7C2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39</w:t>
            </w:r>
          </w:p>
        </w:tc>
        <w:tc>
          <w:tcPr>
            <w:tcW w:w="378" w:type="pct"/>
            <w:vAlign w:val="center"/>
          </w:tcPr>
          <w:p w14:paraId="4A0AE92E"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90</w:t>
            </w:r>
          </w:p>
        </w:tc>
        <w:tc>
          <w:tcPr>
            <w:tcW w:w="378" w:type="pct"/>
            <w:vAlign w:val="center"/>
          </w:tcPr>
          <w:p w14:paraId="1FA072C3"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9</w:t>
            </w:r>
            <w:r w:rsidRPr="00A43B9C">
              <w:rPr>
                <w:rFonts w:ascii="Times New Roman" w:hAnsi="Times New Roman" w:cs="Times New Roman"/>
                <w:bCs/>
                <w:sz w:val="28"/>
                <w:szCs w:val="28"/>
                <w:lang w:val="en-US"/>
              </w:rPr>
              <w:t>5</w:t>
            </w:r>
          </w:p>
        </w:tc>
        <w:tc>
          <w:tcPr>
            <w:tcW w:w="378" w:type="pct"/>
            <w:shd w:val="clear" w:color="auto" w:fill="auto"/>
            <w:vAlign w:val="center"/>
          </w:tcPr>
          <w:p w14:paraId="695F6FA4" w14:textId="77777777" w:rsidR="00CD7C27" w:rsidRPr="00A43B9C" w:rsidRDefault="00CD7C27" w:rsidP="00CD7C2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66</w:t>
            </w:r>
          </w:p>
        </w:tc>
        <w:tc>
          <w:tcPr>
            <w:tcW w:w="599" w:type="pct"/>
            <w:shd w:val="clear" w:color="auto" w:fill="auto"/>
            <w:vAlign w:val="center"/>
          </w:tcPr>
          <w:p w14:paraId="0D4AC764" w14:textId="77777777" w:rsidR="00CD7C27" w:rsidRPr="00A43B9C" w:rsidRDefault="00CD7C27" w:rsidP="00CD7C2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0,16</w:t>
            </w:r>
          </w:p>
        </w:tc>
      </w:tr>
      <w:tr w:rsidR="00CD7C27" w:rsidRPr="00A43B9C" w14:paraId="4250E74E" w14:textId="77777777" w:rsidTr="00CD7C27">
        <w:tc>
          <w:tcPr>
            <w:tcW w:w="942" w:type="pct"/>
            <w:vAlign w:val="center"/>
          </w:tcPr>
          <w:p w14:paraId="2BFE17B8"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RP</w:t>
            </w:r>
          </w:p>
        </w:tc>
        <w:tc>
          <w:tcPr>
            <w:tcW w:w="433" w:type="pct"/>
            <w:vAlign w:val="center"/>
          </w:tcPr>
          <w:p w14:paraId="4DE0B88C"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89</w:t>
            </w:r>
          </w:p>
        </w:tc>
        <w:tc>
          <w:tcPr>
            <w:tcW w:w="378" w:type="pct"/>
            <w:vAlign w:val="center"/>
          </w:tcPr>
          <w:p w14:paraId="4114B05F" w14:textId="77777777" w:rsidR="00CD7C27" w:rsidRPr="00A43B9C" w:rsidRDefault="00CD7C27" w:rsidP="00CD7C2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2</w:t>
            </w:r>
          </w:p>
        </w:tc>
        <w:tc>
          <w:tcPr>
            <w:tcW w:w="380" w:type="pct"/>
            <w:shd w:val="clear" w:color="auto" w:fill="auto"/>
            <w:vAlign w:val="center"/>
          </w:tcPr>
          <w:p w14:paraId="51BEFA5D" w14:textId="77777777" w:rsidR="00CD7C27" w:rsidRPr="00A43B9C" w:rsidRDefault="00CD7C27" w:rsidP="00CD7C2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16</w:t>
            </w:r>
          </w:p>
        </w:tc>
        <w:tc>
          <w:tcPr>
            <w:tcW w:w="378" w:type="pct"/>
            <w:vAlign w:val="center"/>
          </w:tcPr>
          <w:p w14:paraId="26979110"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89</w:t>
            </w:r>
          </w:p>
        </w:tc>
        <w:tc>
          <w:tcPr>
            <w:tcW w:w="378" w:type="pct"/>
            <w:vAlign w:val="center"/>
          </w:tcPr>
          <w:p w14:paraId="1FA4CD09"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98</w:t>
            </w:r>
          </w:p>
        </w:tc>
        <w:tc>
          <w:tcPr>
            <w:tcW w:w="378" w:type="pct"/>
            <w:shd w:val="clear" w:color="auto" w:fill="auto"/>
            <w:vAlign w:val="center"/>
          </w:tcPr>
          <w:p w14:paraId="105A8AEB" w14:textId="77777777" w:rsidR="00CD7C27" w:rsidRPr="00A43B9C" w:rsidRDefault="00CD7C27" w:rsidP="00CD7C2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44</w:t>
            </w:r>
          </w:p>
        </w:tc>
        <w:tc>
          <w:tcPr>
            <w:tcW w:w="378" w:type="pct"/>
            <w:vAlign w:val="center"/>
          </w:tcPr>
          <w:p w14:paraId="7C901922"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89</w:t>
            </w:r>
          </w:p>
        </w:tc>
        <w:tc>
          <w:tcPr>
            <w:tcW w:w="378" w:type="pct"/>
            <w:vAlign w:val="center"/>
          </w:tcPr>
          <w:p w14:paraId="3F211D4B"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19</w:t>
            </w:r>
          </w:p>
        </w:tc>
        <w:tc>
          <w:tcPr>
            <w:tcW w:w="378" w:type="pct"/>
            <w:shd w:val="clear" w:color="auto" w:fill="auto"/>
            <w:vAlign w:val="center"/>
          </w:tcPr>
          <w:p w14:paraId="746DAE78" w14:textId="77777777" w:rsidR="00CD7C27" w:rsidRPr="00A43B9C" w:rsidRDefault="00CD7C27" w:rsidP="00CD7C2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10</w:t>
            </w:r>
          </w:p>
        </w:tc>
        <w:tc>
          <w:tcPr>
            <w:tcW w:w="599" w:type="pct"/>
            <w:shd w:val="clear" w:color="auto" w:fill="auto"/>
            <w:vAlign w:val="center"/>
          </w:tcPr>
          <w:p w14:paraId="2ECB24D6" w14:textId="77777777" w:rsidR="00CD7C27" w:rsidRPr="00A43B9C" w:rsidRDefault="00CD7C27" w:rsidP="00CD7C2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0,8</w:t>
            </w:r>
            <w:r w:rsidRPr="00A43B9C">
              <w:rPr>
                <w:rFonts w:ascii="Times New Roman" w:hAnsi="Times New Roman" w:cs="Times New Roman"/>
                <w:bCs/>
                <w:sz w:val="28"/>
                <w:szCs w:val="28"/>
              </w:rPr>
              <w:t>3</w:t>
            </w:r>
          </w:p>
        </w:tc>
      </w:tr>
      <w:tr w:rsidR="00CD7C27" w:rsidRPr="00A43B9C" w14:paraId="658FDE96" w14:textId="77777777" w:rsidTr="00CD7C27">
        <w:tc>
          <w:tcPr>
            <w:tcW w:w="942" w:type="pct"/>
            <w:vAlign w:val="center"/>
          </w:tcPr>
          <w:p w14:paraId="34C672B4"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RLI</w:t>
            </w:r>
          </w:p>
        </w:tc>
        <w:tc>
          <w:tcPr>
            <w:tcW w:w="433" w:type="pct"/>
            <w:vAlign w:val="center"/>
          </w:tcPr>
          <w:p w14:paraId="3C2B354A"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68</w:t>
            </w:r>
          </w:p>
        </w:tc>
        <w:tc>
          <w:tcPr>
            <w:tcW w:w="378" w:type="pct"/>
            <w:vAlign w:val="center"/>
          </w:tcPr>
          <w:p w14:paraId="60A81FD0" w14:textId="77777777" w:rsidR="00CD7C27" w:rsidRPr="00A43B9C" w:rsidRDefault="00CD7C27" w:rsidP="00CD7C2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8</w:t>
            </w:r>
            <w:r w:rsidRPr="00A43B9C">
              <w:rPr>
                <w:rFonts w:ascii="Times New Roman" w:hAnsi="Times New Roman" w:cs="Times New Roman"/>
                <w:bCs/>
                <w:sz w:val="28"/>
                <w:szCs w:val="28"/>
                <w:lang w:val="en-US"/>
              </w:rPr>
              <w:t>2</w:t>
            </w:r>
          </w:p>
        </w:tc>
        <w:tc>
          <w:tcPr>
            <w:tcW w:w="380" w:type="pct"/>
            <w:shd w:val="clear" w:color="auto" w:fill="auto"/>
            <w:vAlign w:val="center"/>
          </w:tcPr>
          <w:p w14:paraId="2CD956CA" w14:textId="77777777" w:rsidR="00CD7C27" w:rsidRPr="00A43B9C" w:rsidRDefault="00CD7C27" w:rsidP="00CD7C2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07</w:t>
            </w:r>
          </w:p>
        </w:tc>
        <w:tc>
          <w:tcPr>
            <w:tcW w:w="378" w:type="pct"/>
            <w:vAlign w:val="center"/>
          </w:tcPr>
          <w:p w14:paraId="28E35043"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66</w:t>
            </w:r>
          </w:p>
        </w:tc>
        <w:tc>
          <w:tcPr>
            <w:tcW w:w="378" w:type="pct"/>
            <w:vAlign w:val="center"/>
          </w:tcPr>
          <w:p w14:paraId="338ADBC1"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78</w:t>
            </w:r>
          </w:p>
        </w:tc>
        <w:tc>
          <w:tcPr>
            <w:tcW w:w="378" w:type="pct"/>
            <w:shd w:val="clear" w:color="auto" w:fill="auto"/>
            <w:vAlign w:val="center"/>
          </w:tcPr>
          <w:p w14:paraId="711D448A" w14:textId="77777777" w:rsidR="00CD7C27" w:rsidRPr="00A43B9C" w:rsidRDefault="00CD7C27" w:rsidP="00CD7C2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18</w:t>
            </w:r>
          </w:p>
        </w:tc>
        <w:tc>
          <w:tcPr>
            <w:tcW w:w="378" w:type="pct"/>
            <w:vAlign w:val="center"/>
          </w:tcPr>
          <w:p w14:paraId="0ADB62A3"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7</w:t>
            </w:r>
            <w:r w:rsidRPr="00A43B9C">
              <w:rPr>
                <w:rFonts w:ascii="Times New Roman" w:hAnsi="Times New Roman" w:cs="Times New Roman"/>
                <w:bCs/>
                <w:sz w:val="28"/>
                <w:szCs w:val="28"/>
                <w:lang w:val="en-US"/>
              </w:rPr>
              <w:t>2</w:t>
            </w:r>
          </w:p>
        </w:tc>
        <w:tc>
          <w:tcPr>
            <w:tcW w:w="378" w:type="pct"/>
            <w:vAlign w:val="center"/>
          </w:tcPr>
          <w:p w14:paraId="1D63CE79"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86</w:t>
            </w:r>
          </w:p>
        </w:tc>
        <w:tc>
          <w:tcPr>
            <w:tcW w:w="378" w:type="pct"/>
            <w:shd w:val="clear" w:color="auto" w:fill="auto"/>
            <w:vAlign w:val="center"/>
          </w:tcPr>
          <w:p w14:paraId="18F4C7D5" w14:textId="77777777" w:rsidR="00CD7C27" w:rsidRPr="00A43B9C" w:rsidRDefault="00CD7C27" w:rsidP="00CD7C2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28</w:t>
            </w:r>
          </w:p>
        </w:tc>
        <w:tc>
          <w:tcPr>
            <w:tcW w:w="599" w:type="pct"/>
            <w:shd w:val="clear" w:color="auto" w:fill="auto"/>
            <w:vAlign w:val="center"/>
          </w:tcPr>
          <w:p w14:paraId="01A301FC" w14:textId="77777777" w:rsidR="00CD7C27" w:rsidRPr="00A43B9C" w:rsidRDefault="00CD7C27" w:rsidP="00CD7C2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0,71</w:t>
            </w:r>
          </w:p>
        </w:tc>
      </w:tr>
      <w:tr w:rsidR="00CD7C27" w:rsidRPr="00A43B9C" w14:paraId="68504234" w14:textId="77777777" w:rsidTr="00CD7C27">
        <w:tc>
          <w:tcPr>
            <w:tcW w:w="942" w:type="pct"/>
            <w:vAlign w:val="center"/>
          </w:tcPr>
          <w:p w14:paraId="5B5B099E"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P</w:t>
            </w:r>
          </w:p>
        </w:tc>
        <w:tc>
          <w:tcPr>
            <w:tcW w:w="433" w:type="pct"/>
            <w:vAlign w:val="center"/>
          </w:tcPr>
          <w:p w14:paraId="4E8CD1A2"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8</w:t>
            </w:r>
            <w:r w:rsidRPr="00A43B9C">
              <w:rPr>
                <w:rFonts w:ascii="Times New Roman" w:hAnsi="Times New Roman" w:cs="Times New Roman"/>
                <w:bCs/>
                <w:sz w:val="28"/>
                <w:szCs w:val="28"/>
                <w:lang w:val="en-US"/>
              </w:rPr>
              <w:t>8</w:t>
            </w:r>
          </w:p>
        </w:tc>
        <w:tc>
          <w:tcPr>
            <w:tcW w:w="378" w:type="pct"/>
            <w:vAlign w:val="center"/>
          </w:tcPr>
          <w:p w14:paraId="0B530886"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97</w:t>
            </w:r>
          </w:p>
        </w:tc>
        <w:tc>
          <w:tcPr>
            <w:tcW w:w="380" w:type="pct"/>
            <w:shd w:val="clear" w:color="auto" w:fill="auto"/>
            <w:vAlign w:val="center"/>
          </w:tcPr>
          <w:p w14:paraId="0B7AB9E6"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0,08</w:t>
            </w:r>
          </w:p>
        </w:tc>
        <w:tc>
          <w:tcPr>
            <w:tcW w:w="378" w:type="pct"/>
            <w:vAlign w:val="center"/>
          </w:tcPr>
          <w:p w14:paraId="7E3A6F63"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0,75</w:t>
            </w:r>
          </w:p>
        </w:tc>
        <w:tc>
          <w:tcPr>
            <w:tcW w:w="378" w:type="pct"/>
            <w:vAlign w:val="center"/>
          </w:tcPr>
          <w:p w14:paraId="22D02A12"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0,95</w:t>
            </w:r>
          </w:p>
        </w:tc>
        <w:tc>
          <w:tcPr>
            <w:tcW w:w="378" w:type="pct"/>
            <w:shd w:val="clear" w:color="auto" w:fill="auto"/>
            <w:vAlign w:val="center"/>
          </w:tcPr>
          <w:p w14:paraId="26EAA6D1"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0,13</w:t>
            </w:r>
          </w:p>
        </w:tc>
        <w:tc>
          <w:tcPr>
            <w:tcW w:w="378" w:type="pct"/>
            <w:vAlign w:val="center"/>
          </w:tcPr>
          <w:p w14:paraId="130E7532"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0,9</w:t>
            </w:r>
          </w:p>
        </w:tc>
        <w:tc>
          <w:tcPr>
            <w:tcW w:w="378" w:type="pct"/>
            <w:vAlign w:val="center"/>
          </w:tcPr>
          <w:p w14:paraId="2CB2CDC4"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1,04</w:t>
            </w:r>
          </w:p>
        </w:tc>
        <w:tc>
          <w:tcPr>
            <w:tcW w:w="378" w:type="pct"/>
            <w:shd w:val="clear" w:color="auto" w:fill="auto"/>
            <w:vAlign w:val="center"/>
          </w:tcPr>
          <w:p w14:paraId="628CA06F" w14:textId="77777777" w:rsidR="00CD7C27" w:rsidRPr="00A43B9C" w:rsidRDefault="00CD7C27" w:rsidP="00CD7C27">
            <w:pPr>
              <w:spacing w:after="0" w:line="240" w:lineRule="auto"/>
              <w:contextualSpacing/>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0,45</w:t>
            </w:r>
          </w:p>
        </w:tc>
        <w:tc>
          <w:tcPr>
            <w:tcW w:w="599" w:type="pct"/>
            <w:shd w:val="clear" w:color="auto" w:fill="auto"/>
            <w:vAlign w:val="center"/>
          </w:tcPr>
          <w:p w14:paraId="47F3A00F" w14:textId="77777777" w:rsidR="00CD7C27" w:rsidRPr="00A43B9C" w:rsidRDefault="00CD7C27" w:rsidP="00CD7C27">
            <w:pPr>
              <w:spacing w:after="0" w:line="240" w:lineRule="auto"/>
              <w:contextualSpacing/>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0,12</w:t>
            </w:r>
          </w:p>
        </w:tc>
      </w:tr>
      <w:tr w:rsidR="00CD7C27" w:rsidRPr="00A43B9C" w14:paraId="6A148FE2" w14:textId="77777777" w:rsidTr="00CD7C27">
        <w:tc>
          <w:tcPr>
            <w:tcW w:w="942" w:type="pct"/>
            <w:vAlign w:val="center"/>
          </w:tcPr>
          <w:p w14:paraId="6A08AE2A"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p</w:t>
            </w:r>
            <w:r w:rsidRPr="00A43B9C">
              <w:rPr>
                <w:rFonts w:ascii="Times New Roman" w:hAnsi="Times New Roman" w:cs="Times New Roman"/>
                <w:bCs/>
                <w:sz w:val="28"/>
                <w:szCs w:val="28"/>
              </w:rPr>
              <w:t>-</w:t>
            </w:r>
            <w:r w:rsidRPr="00A43B9C">
              <w:rPr>
                <w:rFonts w:ascii="Times New Roman" w:hAnsi="Times New Roman" w:cs="Times New Roman"/>
                <w:bCs/>
                <w:sz w:val="28"/>
                <w:szCs w:val="28"/>
                <w:lang w:val="en-US"/>
              </w:rPr>
              <w:t>value</w:t>
            </w:r>
          </w:p>
        </w:tc>
        <w:tc>
          <w:tcPr>
            <w:tcW w:w="433" w:type="pct"/>
            <w:vAlign w:val="center"/>
          </w:tcPr>
          <w:p w14:paraId="6A0E62F6"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0,02</w:t>
            </w:r>
          </w:p>
        </w:tc>
        <w:tc>
          <w:tcPr>
            <w:tcW w:w="378" w:type="pct"/>
            <w:vAlign w:val="center"/>
          </w:tcPr>
          <w:p w14:paraId="44F7722D"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0,01</w:t>
            </w:r>
          </w:p>
        </w:tc>
        <w:tc>
          <w:tcPr>
            <w:tcW w:w="380" w:type="pct"/>
            <w:shd w:val="clear" w:color="auto" w:fill="auto"/>
            <w:vAlign w:val="center"/>
          </w:tcPr>
          <w:p w14:paraId="63E3F705" w14:textId="77777777" w:rsidR="00CD7C27" w:rsidRPr="00A43B9C" w:rsidRDefault="00CD7C27" w:rsidP="00CD7C27">
            <w:pPr>
              <w:spacing w:after="0" w:line="240" w:lineRule="auto"/>
              <w:jc w:val="center"/>
              <w:rPr>
                <w:rFonts w:ascii="Times New Roman" w:hAnsi="Times New Roman" w:cs="Times New Roman"/>
                <w:bCs/>
                <w:sz w:val="28"/>
                <w:szCs w:val="28"/>
                <w:lang w:val="en-US"/>
              </w:rPr>
            </w:pPr>
          </w:p>
        </w:tc>
        <w:tc>
          <w:tcPr>
            <w:tcW w:w="378" w:type="pct"/>
            <w:vAlign w:val="center"/>
          </w:tcPr>
          <w:p w14:paraId="3B887061"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0,04</w:t>
            </w:r>
          </w:p>
        </w:tc>
        <w:tc>
          <w:tcPr>
            <w:tcW w:w="378" w:type="pct"/>
            <w:vAlign w:val="center"/>
          </w:tcPr>
          <w:p w14:paraId="7C4C12D9"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0,03</w:t>
            </w:r>
          </w:p>
        </w:tc>
        <w:tc>
          <w:tcPr>
            <w:tcW w:w="378" w:type="pct"/>
            <w:vAlign w:val="center"/>
          </w:tcPr>
          <w:p w14:paraId="0D7C1854" w14:textId="77777777" w:rsidR="00CD7C27" w:rsidRPr="00A43B9C" w:rsidRDefault="00CD7C27" w:rsidP="00CD7C27">
            <w:pPr>
              <w:spacing w:after="0" w:line="240" w:lineRule="auto"/>
              <w:jc w:val="center"/>
              <w:rPr>
                <w:rFonts w:ascii="Times New Roman" w:hAnsi="Times New Roman" w:cs="Times New Roman"/>
                <w:bCs/>
                <w:sz w:val="28"/>
                <w:szCs w:val="28"/>
                <w:lang w:val="en-US"/>
              </w:rPr>
            </w:pPr>
          </w:p>
        </w:tc>
        <w:tc>
          <w:tcPr>
            <w:tcW w:w="378" w:type="pct"/>
            <w:vAlign w:val="center"/>
          </w:tcPr>
          <w:p w14:paraId="6CBE0DFA"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0,43</w:t>
            </w:r>
          </w:p>
        </w:tc>
        <w:tc>
          <w:tcPr>
            <w:tcW w:w="378" w:type="pct"/>
            <w:vAlign w:val="center"/>
          </w:tcPr>
          <w:p w14:paraId="522B2A41" w14:textId="77777777" w:rsidR="00CD7C27" w:rsidRPr="00A43B9C" w:rsidRDefault="00CD7C27" w:rsidP="00CD7C2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0,15</w:t>
            </w:r>
          </w:p>
        </w:tc>
        <w:tc>
          <w:tcPr>
            <w:tcW w:w="378" w:type="pct"/>
            <w:vAlign w:val="center"/>
          </w:tcPr>
          <w:p w14:paraId="5D00D1F5" w14:textId="77777777" w:rsidR="00CD7C27" w:rsidRPr="00A43B9C" w:rsidRDefault="00CD7C27" w:rsidP="00CD7C27">
            <w:pPr>
              <w:spacing w:after="0" w:line="240" w:lineRule="auto"/>
              <w:contextualSpacing/>
              <w:jc w:val="center"/>
              <w:rPr>
                <w:rFonts w:ascii="Times New Roman" w:hAnsi="Times New Roman" w:cs="Times New Roman"/>
                <w:bCs/>
                <w:sz w:val="28"/>
                <w:szCs w:val="28"/>
                <w:lang w:val="en-US"/>
              </w:rPr>
            </w:pPr>
          </w:p>
        </w:tc>
        <w:tc>
          <w:tcPr>
            <w:tcW w:w="599" w:type="pct"/>
            <w:vAlign w:val="center"/>
          </w:tcPr>
          <w:p w14:paraId="038395C0" w14:textId="77777777" w:rsidR="00CD7C27" w:rsidRPr="00A43B9C" w:rsidRDefault="00CD7C27" w:rsidP="00CD7C27">
            <w:pPr>
              <w:spacing w:after="0" w:line="240" w:lineRule="auto"/>
              <w:contextualSpacing/>
              <w:jc w:val="center"/>
              <w:rPr>
                <w:rFonts w:ascii="Times New Roman" w:hAnsi="Times New Roman" w:cs="Times New Roman"/>
                <w:bCs/>
                <w:sz w:val="28"/>
                <w:szCs w:val="28"/>
                <w:lang w:val="en-US"/>
              </w:rPr>
            </w:pPr>
          </w:p>
        </w:tc>
      </w:tr>
      <w:bookmarkEnd w:id="91"/>
    </w:tbl>
    <w:p w14:paraId="31E0C697" w14:textId="77777777" w:rsidR="00677963" w:rsidRPr="00A43B9C" w:rsidRDefault="00677963" w:rsidP="00677963">
      <w:pPr>
        <w:spacing w:after="0" w:line="240" w:lineRule="auto"/>
        <w:jc w:val="both"/>
        <w:rPr>
          <w:rFonts w:ascii="Times New Roman" w:hAnsi="Times New Roman" w:cs="Times New Roman"/>
          <w:sz w:val="28"/>
          <w:szCs w:val="28"/>
          <w:lang w:val="en-US"/>
        </w:rPr>
      </w:pPr>
    </w:p>
    <w:p w14:paraId="172F6181" w14:textId="20FC908F" w:rsidR="00677963" w:rsidRPr="00A43B9C" w:rsidRDefault="00677963" w:rsidP="00677963">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По результатам последующего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FDG</w:t>
      </w:r>
      <w:r w:rsidRPr="00A43B9C">
        <w:rPr>
          <w:rFonts w:ascii="Times New Roman" w:hAnsi="Times New Roman" w:cs="Times New Roman"/>
          <w:sz w:val="28"/>
          <w:szCs w:val="28"/>
        </w:rPr>
        <w:t xml:space="preserve"> ПЭТ/КТ исследования </w:t>
      </w:r>
      <w:r w:rsidR="000874C1" w:rsidRPr="00A43B9C">
        <w:rPr>
          <w:rFonts w:ascii="Times New Roman" w:hAnsi="Times New Roman" w:cs="Times New Roman"/>
          <w:sz w:val="28"/>
          <w:szCs w:val="28"/>
          <w:lang w:val="en-US"/>
        </w:rPr>
        <w:t>LM</w:t>
      </w:r>
      <w:r w:rsidRPr="00A43B9C">
        <w:rPr>
          <w:rFonts w:ascii="Times New Roman" w:hAnsi="Times New Roman" w:cs="Times New Roman"/>
          <w:sz w:val="28"/>
          <w:szCs w:val="28"/>
        </w:rPr>
        <w:t xml:space="preserve"> развились у 16</w:t>
      </w:r>
      <w:r w:rsidR="00B9622A" w:rsidRPr="00A43B9C">
        <w:rPr>
          <w:rFonts w:ascii="Times New Roman" w:hAnsi="Times New Roman" w:cs="Times New Roman"/>
          <w:sz w:val="28"/>
          <w:szCs w:val="28"/>
        </w:rPr>
        <w:t xml:space="preserve"> из</w:t>
      </w:r>
      <w:r w:rsidR="002C6721"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60 (27%) пациентов. Данные пациенты были классифицированы как </w:t>
      </w:r>
      <w:r w:rsidRPr="00A43B9C">
        <w:rPr>
          <w:rFonts w:ascii="Times New Roman" w:hAnsi="Times New Roman" w:cs="Times New Roman"/>
          <w:sz w:val="28"/>
          <w:szCs w:val="28"/>
          <w:lang w:val="en-US"/>
        </w:rPr>
        <w:t>pLM</w:t>
      </w:r>
      <w:r w:rsidRPr="00A43B9C">
        <w:rPr>
          <w:rFonts w:ascii="Times New Roman" w:hAnsi="Times New Roman" w:cs="Times New Roman"/>
          <w:sz w:val="28"/>
          <w:szCs w:val="28"/>
        </w:rPr>
        <w:t>, в то время как остальные 44 (73%), у которых не был</w:t>
      </w:r>
      <w:r w:rsidR="00B9622A" w:rsidRPr="00A43B9C">
        <w:rPr>
          <w:rFonts w:ascii="Times New Roman" w:hAnsi="Times New Roman" w:cs="Times New Roman"/>
          <w:sz w:val="28"/>
          <w:szCs w:val="28"/>
        </w:rPr>
        <w:t>о</w:t>
      </w:r>
      <w:r w:rsidRPr="00A43B9C">
        <w:rPr>
          <w:rFonts w:ascii="Times New Roman" w:hAnsi="Times New Roman" w:cs="Times New Roman"/>
          <w:sz w:val="28"/>
          <w:szCs w:val="28"/>
        </w:rPr>
        <w:t xml:space="preserve"> выявлен</w:t>
      </w:r>
      <w:r w:rsidR="00B9622A" w:rsidRPr="00A43B9C">
        <w:rPr>
          <w:rFonts w:ascii="Times New Roman" w:hAnsi="Times New Roman" w:cs="Times New Roman"/>
          <w:sz w:val="28"/>
          <w:szCs w:val="28"/>
        </w:rPr>
        <w:t>о</w:t>
      </w:r>
      <w:r w:rsidRPr="00A43B9C">
        <w:rPr>
          <w:rFonts w:ascii="Times New Roman" w:hAnsi="Times New Roman" w:cs="Times New Roman"/>
          <w:sz w:val="28"/>
          <w:szCs w:val="28"/>
        </w:rPr>
        <w:t xml:space="preserve"> </w:t>
      </w:r>
      <w:r w:rsidR="00A120D6" w:rsidRPr="00A43B9C">
        <w:rPr>
          <w:rFonts w:ascii="Times New Roman" w:hAnsi="Times New Roman" w:cs="Times New Roman"/>
          <w:sz w:val="28"/>
          <w:szCs w:val="28"/>
          <w:lang w:val="en-US"/>
        </w:rPr>
        <w:t>LM</w:t>
      </w:r>
      <w:r w:rsidR="00C40B6D" w:rsidRPr="00A43B9C">
        <w:rPr>
          <w:rFonts w:ascii="Times New Roman" w:hAnsi="Times New Roman" w:cs="Times New Roman"/>
          <w:sz w:val="28"/>
          <w:szCs w:val="28"/>
        </w:rPr>
        <w:t>,</w:t>
      </w:r>
      <w:r w:rsidRPr="00A43B9C">
        <w:rPr>
          <w:rFonts w:ascii="Times New Roman" w:hAnsi="Times New Roman" w:cs="Times New Roman"/>
          <w:sz w:val="28"/>
          <w:szCs w:val="28"/>
        </w:rPr>
        <w:t xml:space="preserve"> были классифицированы как </w:t>
      </w:r>
      <w:r w:rsidRPr="00A43B9C">
        <w:rPr>
          <w:rFonts w:ascii="Times New Roman" w:hAnsi="Times New Roman" w:cs="Times New Roman"/>
          <w:sz w:val="28"/>
          <w:szCs w:val="28"/>
          <w:lang w:val="en-US"/>
        </w:rPr>
        <w:t>nLM</w:t>
      </w:r>
      <w:r w:rsidRPr="00A43B9C">
        <w:rPr>
          <w:rFonts w:ascii="Times New Roman" w:hAnsi="Times New Roman" w:cs="Times New Roman"/>
          <w:sz w:val="28"/>
          <w:szCs w:val="28"/>
        </w:rPr>
        <w:t xml:space="preserve">. </w:t>
      </w:r>
      <w:r w:rsidR="00B9622A" w:rsidRPr="00A43B9C">
        <w:rPr>
          <w:rFonts w:ascii="Times New Roman" w:hAnsi="Times New Roman" w:cs="Times New Roman"/>
          <w:sz w:val="28"/>
          <w:szCs w:val="28"/>
        </w:rPr>
        <w:t>Далее н</w:t>
      </w:r>
      <w:r w:rsidRPr="00A43B9C">
        <w:rPr>
          <w:rFonts w:ascii="Times New Roman" w:hAnsi="Times New Roman" w:cs="Times New Roman"/>
          <w:sz w:val="28"/>
          <w:szCs w:val="28"/>
        </w:rPr>
        <w:t xml:space="preserve">ами было </w:t>
      </w:r>
      <w:r w:rsidR="00C40B6D" w:rsidRPr="00A43B9C">
        <w:rPr>
          <w:rFonts w:ascii="Times New Roman" w:hAnsi="Times New Roman" w:cs="Times New Roman"/>
          <w:sz w:val="28"/>
          <w:szCs w:val="28"/>
        </w:rPr>
        <w:t>выполнено сравнение</w:t>
      </w:r>
      <w:r w:rsidRPr="00A43B9C">
        <w:rPr>
          <w:rFonts w:ascii="Times New Roman" w:hAnsi="Times New Roman" w:cs="Times New Roman"/>
          <w:sz w:val="28"/>
          <w:szCs w:val="28"/>
        </w:rPr>
        <w:t xml:space="preserve"> базовых уровней накопления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с пациентами, у которых развились метастатическое поражение </w:t>
      </w:r>
      <w:r w:rsidR="00D83043">
        <w:rPr>
          <w:rFonts w:ascii="Times New Roman" w:hAnsi="Times New Roman" w:cs="Times New Roman"/>
          <w:sz w:val="28"/>
          <w:szCs w:val="28"/>
        </w:rPr>
        <w:t>брюшины</w:t>
      </w:r>
      <w:r w:rsidRPr="00A43B9C">
        <w:rPr>
          <w:rFonts w:ascii="Times New Roman" w:hAnsi="Times New Roman" w:cs="Times New Roman"/>
          <w:sz w:val="28"/>
          <w:szCs w:val="28"/>
        </w:rPr>
        <w:t xml:space="preserve">. </w:t>
      </w:r>
      <w:r w:rsidR="002C6721" w:rsidRPr="00A43B9C">
        <w:rPr>
          <w:rFonts w:ascii="Times New Roman" w:hAnsi="Times New Roman" w:cs="Times New Roman"/>
          <w:sz w:val="28"/>
          <w:szCs w:val="28"/>
        </w:rPr>
        <w:t>В результате такого анализа м</w:t>
      </w:r>
      <w:r w:rsidRPr="00A43B9C">
        <w:rPr>
          <w:rFonts w:ascii="Times New Roman" w:hAnsi="Times New Roman" w:cs="Times New Roman"/>
          <w:sz w:val="28"/>
          <w:szCs w:val="28"/>
        </w:rPr>
        <w:t xml:space="preserve">ы обнаружили, что такие различия были статистически значимыми не для всех локализаций, а только для RRL (1,29 </w:t>
      </w:r>
      <w:r w:rsidRPr="00A43B9C">
        <w:rPr>
          <w:rFonts w:ascii="Times New Roman" w:hAnsi="Times New Roman" w:cs="Times New Roman"/>
          <w:sz w:val="28"/>
          <w:szCs w:val="28"/>
          <w:lang w:val="en-US"/>
        </w:rPr>
        <w:t>vs</w:t>
      </w:r>
      <w:r w:rsidRPr="00A43B9C">
        <w:rPr>
          <w:rFonts w:ascii="Times New Roman" w:hAnsi="Times New Roman" w:cs="Times New Roman"/>
          <w:sz w:val="28"/>
          <w:szCs w:val="28"/>
        </w:rPr>
        <w:t xml:space="preserve"> 0,82, р= 0,032) и RU (1,00 </w:t>
      </w:r>
      <w:r w:rsidRPr="00A43B9C">
        <w:rPr>
          <w:rFonts w:ascii="Times New Roman" w:hAnsi="Times New Roman" w:cs="Times New Roman"/>
          <w:sz w:val="28"/>
          <w:szCs w:val="28"/>
          <w:lang w:val="en-US"/>
        </w:rPr>
        <w:t>vs</w:t>
      </w:r>
      <w:r w:rsidRPr="00A43B9C">
        <w:rPr>
          <w:rFonts w:ascii="Times New Roman" w:hAnsi="Times New Roman" w:cs="Times New Roman"/>
          <w:sz w:val="28"/>
          <w:szCs w:val="28"/>
        </w:rPr>
        <w:t xml:space="preserve"> 0,74, р= 0,041), что указывает на некоторый прогностический потенциал SUV</w:t>
      </w:r>
      <w:r w:rsidRPr="00A43B9C">
        <w:rPr>
          <w:rFonts w:ascii="Times New Roman" w:hAnsi="Times New Roman" w:cs="Times New Roman"/>
          <w:sz w:val="28"/>
          <w:szCs w:val="28"/>
          <w:vertAlign w:val="subscript"/>
        </w:rPr>
        <w:t>max</w:t>
      </w:r>
      <w:r w:rsidRPr="00A43B9C">
        <w:rPr>
          <w:rFonts w:ascii="Times New Roman" w:hAnsi="Times New Roman" w:cs="Times New Roman"/>
          <w:sz w:val="28"/>
          <w:szCs w:val="28"/>
        </w:rPr>
        <w:t xml:space="preserve"> в этих двух локализациях для метастазирования при последующем исследовании (таблица </w:t>
      </w:r>
      <w:r w:rsidR="001D72FC" w:rsidRPr="00A43B9C">
        <w:rPr>
          <w:rFonts w:ascii="Times New Roman" w:hAnsi="Times New Roman" w:cs="Times New Roman"/>
          <w:sz w:val="28"/>
          <w:szCs w:val="28"/>
        </w:rPr>
        <w:t>34</w:t>
      </w:r>
      <w:r w:rsidRPr="00A43B9C">
        <w:rPr>
          <w:rFonts w:ascii="Times New Roman" w:hAnsi="Times New Roman" w:cs="Times New Roman"/>
          <w:sz w:val="28"/>
          <w:szCs w:val="28"/>
        </w:rPr>
        <w:t>).</w:t>
      </w:r>
    </w:p>
    <w:p w14:paraId="0FBC52C1" w14:textId="4DE64BC3" w:rsidR="00677963" w:rsidRDefault="00677963" w:rsidP="00677963">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Значение медианы </w:t>
      </w:r>
      <w:r w:rsidR="002C6721" w:rsidRPr="00A43B9C">
        <w:rPr>
          <w:rFonts w:ascii="Times New Roman" w:hAnsi="Times New Roman" w:cs="Times New Roman"/>
          <w:sz w:val="28"/>
          <w:szCs w:val="28"/>
        </w:rPr>
        <w:t>уровня накоплени</w:t>
      </w:r>
      <w:r w:rsidR="00B336CA" w:rsidRPr="00A43B9C">
        <w:rPr>
          <w:rFonts w:ascii="Times New Roman" w:hAnsi="Times New Roman" w:cs="Times New Roman"/>
          <w:sz w:val="28"/>
          <w:szCs w:val="28"/>
        </w:rPr>
        <w:t>я</w:t>
      </w:r>
      <w:r w:rsidR="002C6721"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по всем локализациям показало увеличение с 0,8 при базовом обследовании до 0,94 при последующем обследовании (р &lt;0</w:t>
      </w:r>
      <w:r w:rsidR="002C6721" w:rsidRPr="00A43B9C">
        <w:rPr>
          <w:rFonts w:ascii="Times New Roman" w:hAnsi="Times New Roman" w:cs="Times New Roman"/>
          <w:sz w:val="28"/>
          <w:szCs w:val="28"/>
        </w:rPr>
        <w:t>,</w:t>
      </w:r>
      <w:r w:rsidRPr="00A43B9C">
        <w:rPr>
          <w:rFonts w:ascii="Times New Roman" w:hAnsi="Times New Roman" w:cs="Times New Roman"/>
          <w:sz w:val="28"/>
          <w:szCs w:val="28"/>
        </w:rPr>
        <w:t>001). При анализе по отдельным локализациям нами не были обнаружены статистически значим</w:t>
      </w:r>
      <w:r w:rsidR="00C40B6D" w:rsidRPr="00A43B9C">
        <w:rPr>
          <w:rFonts w:ascii="Times New Roman" w:hAnsi="Times New Roman" w:cs="Times New Roman"/>
          <w:sz w:val="28"/>
          <w:szCs w:val="28"/>
        </w:rPr>
        <w:t>ого</w:t>
      </w:r>
      <w:r w:rsidRPr="00A43B9C">
        <w:rPr>
          <w:rFonts w:ascii="Times New Roman" w:hAnsi="Times New Roman" w:cs="Times New Roman"/>
          <w:sz w:val="28"/>
          <w:szCs w:val="28"/>
        </w:rPr>
        <w:t xml:space="preserve"> увеличения уровня накоплени</w:t>
      </w:r>
      <w:r w:rsidR="00B336CA" w:rsidRP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ни в одной из девяти локализаций (таблица </w:t>
      </w:r>
      <w:r w:rsidR="001D72FC" w:rsidRPr="00A43B9C">
        <w:rPr>
          <w:rFonts w:ascii="Times New Roman" w:hAnsi="Times New Roman" w:cs="Times New Roman"/>
          <w:sz w:val="28"/>
          <w:szCs w:val="28"/>
        </w:rPr>
        <w:t>34</w:t>
      </w:r>
      <w:r w:rsidRPr="00A43B9C">
        <w:rPr>
          <w:rFonts w:ascii="Times New Roman" w:hAnsi="Times New Roman" w:cs="Times New Roman"/>
          <w:sz w:val="28"/>
          <w:szCs w:val="28"/>
        </w:rPr>
        <w:t xml:space="preserve">). В целом при стратификации </w:t>
      </w:r>
      <w:r w:rsidRPr="00A43B9C">
        <w:rPr>
          <w:rFonts w:ascii="Times New Roman" w:hAnsi="Times New Roman" w:cs="Times New Roman"/>
          <w:sz w:val="28"/>
          <w:szCs w:val="28"/>
          <w:lang w:val="en-US"/>
        </w:rPr>
        <w:t>nLM</w:t>
      </w:r>
      <w:r w:rsidRPr="00A43B9C">
        <w:rPr>
          <w:rFonts w:ascii="Times New Roman" w:hAnsi="Times New Roman" w:cs="Times New Roman"/>
          <w:sz w:val="28"/>
          <w:szCs w:val="28"/>
        </w:rPr>
        <w:t xml:space="preserve"> по сравнению с </w:t>
      </w:r>
      <w:r w:rsidRPr="00A43B9C">
        <w:rPr>
          <w:rFonts w:ascii="Times New Roman" w:hAnsi="Times New Roman" w:cs="Times New Roman"/>
          <w:sz w:val="28"/>
          <w:szCs w:val="28"/>
          <w:lang w:val="en-US"/>
        </w:rPr>
        <w:t>pLM</w:t>
      </w:r>
      <w:r w:rsidRPr="00A43B9C">
        <w:rPr>
          <w:rFonts w:ascii="Times New Roman" w:hAnsi="Times New Roman" w:cs="Times New Roman"/>
          <w:sz w:val="28"/>
          <w:szCs w:val="28"/>
        </w:rPr>
        <w:t xml:space="preserve"> нами было установлено незначительное увеличение уровня накоплени</w:t>
      </w:r>
      <w:r w:rsidR="00B336CA" w:rsidRP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A120D6" w:rsidRPr="00A43B9C">
        <w:rPr>
          <w:rFonts w:ascii="Times New Roman" w:hAnsi="Times New Roman" w:cs="Times New Roman"/>
          <w:sz w:val="28"/>
          <w:szCs w:val="28"/>
          <w:lang w:val="en-US"/>
        </w:rPr>
        <w:t>VAT</w:t>
      </w:r>
      <w:r w:rsidRPr="00A43B9C">
        <w:rPr>
          <w:rFonts w:ascii="Times New Roman" w:hAnsi="Times New Roman" w:cs="Times New Roman"/>
          <w:sz w:val="28"/>
          <w:szCs w:val="28"/>
        </w:rPr>
        <w:t xml:space="preserve"> во всех локализациях брюшной полости и малого таза. Кроме того, при последующем обследовании контрольный уровень накоплени</w:t>
      </w:r>
      <w:r w:rsidR="00B336CA" w:rsidRPr="00A43B9C">
        <w:rPr>
          <w:rFonts w:ascii="Times New Roman" w:hAnsi="Times New Roman" w:cs="Times New Roman"/>
          <w:sz w:val="28"/>
          <w:szCs w:val="28"/>
        </w:rPr>
        <w:t>я</w:t>
      </w:r>
      <w:r w:rsidRPr="00A43B9C">
        <w:rPr>
          <w:rFonts w:ascii="Times New Roman" w:hAnsi="Times New Roman" w:cs="Times New Roman"/>
          <w:sz w:val="28"/>
          <w:szCs w:val="28"/>
        </w:rPr>
        <w:t xml:space="preserve"> SUV</w:t>
      </w:r>
      <w:r w:rsidRPr="00A43B9C">
        <w:rPr>
          <w:rFonts w:ascii="Times New Roman" w:hAnsi="Times New Roman" w:cs="Times New Roman"/>
          <w:sz w:val="28"/>
          <w:szCs w:val="28"/>
          <w:vertAlign w:val="subscript"/>
        </w:rPr>
        <w:t>max</w:t>
      </w:r>
      <w:r w:rsidRPr="00A43B9C">
        <w:rPr>
          <w:rFonts w:ascii="Times New Roman" w:hAnsi="Times New Roman" w:cs="Times New Roman"/>
          <w:sz w:val="28"/>
          <w:szCs w:val="28"/>
        </w:rPr>
        <w:t xml:space="preserve"> для nLM ободочной кишки составил 0,93 по сравнению с pLM (1,12; р = 0,72) без статистически значимого различия. Аналогичным образом, нами не были обнаруж</w:t>
      </w:r>
      <w:r w:rsidR="00D604D7" w:rsidRPr="00A43B9C">
        <w:rPr>
          <w:rFonts w:ascii="Times New Roman" w:hAnsi="Times New Roman" w:cs="Times New Roman"/>
          <w:sz w:val="28"/>
          <w:szCs w:val="28"/>
        </w:rPr>
        <w:t xml:space="preserve">ены </w:t>
      </w:r>
      <w:r w:rsidRPr="00A43B9C">
        <w:rPr>
          <w:rFonts w:ascii="Times New Roman" w:hAnsi="Times New Roman" w:cs="Times New Roman"/>
          <w:sz w:val="28"/>
          <w:szCs w:val="28"/>
        </w:rPr>
        <w:t>статистически значимые различия уровня накоплени</w:t>
      </w:r>
      <w:r w:rsidR="00B336CA" w:rsidRP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при сравнении </w:t>
      </w:r>
      <w:r w:rsidRPr="00A43B9C">
        <w:rPr>
          <w:rFonts w:ascii="Times New Roman" w:hAnsi="Times New Roman" w:cs="Times New Roman"/>
          <w:sz w:val="28"/>
          <w:szCs w:val="28"/>
          <w:lang w:val="en-US"/>
        </w:rPr>
        <w:t>nLM</w:t>
      </w:r>
      <w:r w:rsidRPr="00A43B9C">
        <w:rPr>
          <w:rFonts w:ascii="Times New Roman" w:hAnsi="Times New Roman" w:cs="Times New Roman"/>
          <w:sz w:val="28"/>
          <w:szCs w:val="28"/>
        </w:rPr>
        <w:t xml:space="preserve"> (0,93) с </w:t>
      </w:r>
      <w:r w:rsidRPr="00A43B9C">
        <w:rPr>
          <w:rFonts w:ascii="Times New Roman" w:hAnsi="Times New Roman" w:cs="Times New Roman"/>
          <w:sz w:val="28"/>
          <w:szCs w:val="28"/>
          <w:lang w:val="en-US"/>
        </w:rPr>
        <w:t>pLM</w:t>
      </w:r>
      <w:r w:rsidRPr="00A43B9C">
        <w:rPr>
          <w:rFonts w:ascii="Times New Roman" w:hAnsi="Times New Roman" w:cs="Times New Roman"/>
          <w:sz w:val="28"/>
          <w:szCs w:val="28"/>
        </w:rPr>
        <w:t xml:space="preserve"> (0,98) для сигмовидной (р = 0,62) и прямой киш</w:t>
      </w:r>
      <w:r w:rsidR="002C6721" w:rsidRPr="00A43B9C">
        <w:rPr>
          <w:rFonts w:ascii="Times New Roman" w:hAnsi="Times New Roman" w:cs="Times New Roman"/>
          <w:sz w:val="28"/>
          <w:szCs w:val="28"/>
        </w:rPr>
        <w:t>о</w:t>
      </w:r>
      <w:r w:rsidRPr="00A43B9C">
        <w:rPr>
          <w:rFonts w:ascii="Times New Roman" w:hAnsi="Times New Roman" w:cs="Times New Roman"/>
          <w:sz w:val="28"/>
          <w:szCs w:val="28"/>
        </w:rPr>
        <w:t xml:space="preserve">к (0,92 для </w:t>
      </w:r>
      <w:r w:rsidRPr="00A43B9C">
        <w:rPr>
          <w:rFonts w:ascii="Times New Roman" w:hAnsi="Times New Roman" w:cs="Times New Roman"/>
          <w:sz w:val="28"/>
          <w:szCs w:val="28"/>
          <w:lang w:val="en-US"/>
        </w:rPr>
        <w:t>nLM</w:t>
      </w:r>
      <w:r w:rsidRPr="00A43B9C">
        <w:rPr>
          <w:rFonts w:ascii="Times New Roman" w:hAnsi="Times New Roman" w:cs="Times New Roman"/>
          <w:sz w:val="28"/>
          <w:szCs w:val="28"/>
        </w:rPr>
        <w:t xml:space="preserve"> и 1,05 для </w:t>
      </w:r>
      <w:r w:rsidRPr="00A43B9C">
        <w:rPr>
          <w:rFonts w:ascii="Times New Roman" w:hAnsi="Times New Roman" w:cs="Times New Roman"/>
          <w:sz w:val="28"/>
          <w:szCs w:val="28"/>
          <w:lang w:val="en-US"/>
        </w:rPr>
        <w:t>pLM</w:t>
      </w:r>
      <w:r w:rsidRPr="00A43B9C">
        <w:rPr>
          <w:rFonts w:ascii="Times New Roman" w:hAnsi="Times New Roman" w:cs="Times New Roman"/>
          <w:sz w:val="28"/>
          <w:szCs w:val="28"/>
        </w:rPr>
        <w:t>), р = 0,68.</w:t>
      </w:r>
    </w:p>
    <w:p w14:paraId="13FB7F89" w14:textId="77777777" w:rsidR="00AB2535" w:rsidRPr="00A43B9C" w:rsidRDefault="00AB2535" w:rsidP="00677963">
      <w:pPr>
        <w:spacing w:after="0" w:line="240" w:lineRule="auto"/>
        <w:ind w:firstLine="709"/>
        <w:jc w:val="both"/>
        <w:rPr>
          <w:rFonts w:ascii="Times New Roman" w:hAnsi="Times New Roman" w:cs="Times New Roman"/>
          <w:sz w:val="28"/>
          <w:szCs w:val="28"/>
        </w:rPr>
      </w:pPr>
    </w:p>
    <w:p w14:paraId="7BB657A4" w14:textId="29148897" w:rsidR="00E96563" w:rsidRPr="00AB2535" w:rsidRDefault="00040E82" w:rsidP="00A120D6">
      <w:pPr>
        <w:pStyle w:val="31"/>
        <w:spacing w:before="0" w:line="240" w:lineRule="auto"/>
        <w:ind w:firstLine="709"/>
        <w:jc w:val="both"/>
        <w:rPr>
          <w:rFonts w:ascii="Times New Roman" w:eastAsia="Times New Roman" w:hAnsi="Times New Roman" w:cs="Times New Roman"/>
          <w:color w:val="auto"/>
          <w:sz w:val="28"/>
          <w:szCs w:val="28"/>
          <w:lang w:val="kk-KZ" w:eastAsia="ru-RU"/>
        </w:rPr>
      </w:pPr>
      <w:bookmarkStart w:id="92" w:name="_Toc94105263"/>
      <w:bookmarkStart w:id="93" w:name="_Toc101447664"/>
      <w:bookmarkStart w:id="94" w:name="_Toc101861825"/>
      <w:bookmarkStart w:id="95" w:name="_Toc102937628"/>
      <w:r w:rsidRPr="00AB2535">
        <w:rPr>
          <w:rFonts w:ascii="Times New Roman" w:eastAsia="Times New Roman" w:hAnsi="Times New Roman" w:cs="Times New Roman"/>
          <w:color w:val="auto"/>
          <w:sz w:val="28"/>
          <w:szCs w:val="28"/>
          <w:lang w:eastAsia="ru-RU"/>
        </w:rPr>
        <w:t>3</w:t>
      </w:r>
      <w:r w:rsidR="00E96563" w:rsidRPr="00AB2535">
        <w:rPr>
          <w:rFonts w:ascii="Times New Roman" w:eastAsia="Times New Roman" w:hAnsi="Times New Roman" w:cs="Times New Roman"/>
          <w:color w:val="auto"/>
          <w:sz w:val="28"/>
          <w:szCs w:val="28"/>
          <w:lang w:eastAsia="ru-RU"/>
        </w:rPr>
        <w:t>.</w:t>
      </w:r>
      <w:r w:rsidRPr="00AB2535">
        <w:rPr>
          <w:rFonts w:ascii="Times New Roman" w:eastAsia="Times New Roman" w:hAnsi="Times New Roman" w:cs="Times New Roman"/>
          <w:color w:val="auto"/>
          <w:sz w:val="28"/>
          <w:szCs w:val="28"/>
          <w:lang w:eastAsia="ru-RU"/>
        </w:rPr>
        <w:t>2.</w:t>
      </w:r>
      <w:r w:rsidR="00B674B1" w:rsidRPr="00AB2535">
        <w:rPr>
          <w:rFonts w:ascii="Times New Roman" w:eastAsia="Times New Roman" w:hAnsi="Times New Roman" w:cs="Times New Roman"/>
          <w:color w:val="auto"/>
          <w:sz w:val="28"/>
          <w:szCs w:val="28"/>
          <w:lang w:eastAsia="ru-RU"/>
        </w:rPr>
        <w:t>4</w:t>
      </w:r>
      <w:r w:rsidR="00E96563" w:rsidRPr="00AB2535">
        <w:rPr>
          <w:rFonts w:ascii="Times New Roman" w:eastAsia="Times New Roman" w:hAnsi="Times New Roman" w:cs="Times New Roman"/>
          <w:color w:val="auto"/>
          <w:sz w:val="28"/>
          <w:szCs w:val="28"/>
          <w:lang w:eastAsia="ru-RU"/>
        </w:rPr>
        <w:t xml:space="preserve"> </w:t>
      </w:r>
      <w:r w:rsidR="00760A1A" w:rsidRPr="00AB2535">
        <w:rPr>
          <w:rFonts w:ascii="Times New Roman" w:hAnsi="Times New Roman" w:cs="Times New Roman"/>
          <w:color w:val="auto"/>
          <w:sz w:val="28"/>
          <w:szCs w:val="28"/>
          <w:lang w:eastAsia="ru-RU"/>
        </w:rPr>
        <w:t xml:space="preserve">Результаты </w:t>
      </w:r>
      <w:r w:rsidR="00760A1A" w:rsidRPr="00AB2535">
        <w:rPr>
          <w:rFonts w:ascii="Times New Roman" w:hAnsi="Times New Roman" w:cs="Times New Roman"/>
          <w:color w:val="auto"/>
          <w:sz w:val="28"/>
          <w:szCs w:val="28"/>
          <w:lang w:val="en-US" w:eastAsia="ru-RU"/>
        </w:rPr>
        <w:t>ROC</w:t>
      </w:r>
      <w:r w:rsidR="00760A1A" w:rsidRPr="00AB2535">
        <w:rPr>
          <w:rFonts w:ascii="Times New Roman" w:hAnsi="Times New Roman" w:cs="Times New Roman"/>
          <w:color w:val="auto"/>
          <w:sz w:val="28"/>
          <w:szCs w:val="28"/>
          <w:lang w:val="kk-KZ" w:eastAsia="ru-RU"/>
        </w:rPr>
        <w:t>-</w:t>
      </w:r>
      <w:r w:rsidR="00760A1A" w:rsidRPr="00AB2535">
        <w:rPr>
          <w:rFonts w:ascii="Times New Roman" w:hAnsi="Times New Roman" w:cs="Times New Roman"/>
          <w:color w:val="auto"/>
          <w:sz w:val="28"/>
          <w:szCs w:val="28"/>
          <w:lang w:eastAsia="ru-RU"/>
        </w:rPr>
        <w:t xml:space="preserve">анализа в зависимости от </w:t>
      </w:r>
      <w:r w:rsidR="00FD338B" w:rsidRPr="00AB2535">
        <w:rPr>
          <w:rFonts w:ascii="Times New Roman" w:hAnsi="Times New Roman" w:cs="Times New Roman"/>
          <w:color w:val="auto"/>
          <w:sz w:val="28"/>
          <w:szCs w:val="28"/>
          <w:lang w:eastAsia="ru-RU"/>
        </w:rPr>
        <w:t>метастатического поражения брюшины</w:t>
      </w:r>
      <w:bookmarkEnd w:id="92"/>
      <w:bookmarkEnd w:id="93"/>
      <w:bookmarkEnd w:id="94"/>
      <w:bookmarkEnd w:id="95"/>
    </w:p>
    <w:p w14:paraId="56002B24" w14:textId="0109A921" w:rsidR="0046142C" w:rsidRPr="00A43B9C" w:rsidRDefault="0046142C" w:rsidP="0046142C">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lang w:val="en-US"/>
        </w:rPr>
        <w:t>ROC</w:t>
      </w:r>
      <w:r w:rsidRPr="00A43B9C">
        <w:rPr>
          <w:rFonts w:ascii="Times New Roman" w:hAnsi="Times New Roman" w:cs="Times New Roman"/>
          <w:sz w:val="28"/>
          <w:szCs w:val="28"/>
          <w:lang w:val="kk-KZ"/>
        </w:rPr>
        <w:t>-</w:t>
      </w:r>
      <w:r w:rsidRPr="00A43B9C">
        <w:rPr>
          <w:rFonts w:ascii="Times New Roman" w:hAnsi="Times New Roman" w:cs="Times New Roman"/>
          <w:sz w:val="28"/>
          <w:szCs w:val="28"/>
        </w:rPr>
        <w:t xml:space="preserve">анализ с построением соответствующей кривой выполнен для всех локализаций у КРР пациентов с метастатическим поражением </w:t>
      </w:r>
      <w:r w:rsidR="00D83043">
        <w:rPr>
          <w:rFonts w:ascii="Times New Roman" w:hAnsi="Times New Roman" w:cs="Times New Roman"/>
          <w:sz w:val="28"/>
          <w:szCs w:val="28"/>
        </w:rPr>
        <w:t>брюшины</w:t>
      </w:r>
      <w:r w:rsidRPr="00A43B9C">
        <w:rPr>
          <w:rFonts w:ascii="Times New Roman" w:hAnsi="Times New Roman" w:cs="Times New Roman"/>
          <w:sz w:val="28"/>
          <w:szCs w:val="28"/>
        </w:rPr>
        <w:t xml:space="preserve"> при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FDG</w:t>
      </w:r>
      <w:r w:rsidRPr="00A43B9C">
        <w:rPr>
          <w:rFonts w:ascii="Times New Roman" w:hAnsi="Times New Roman" w:cs="Times New Roman"/>
          <w:sz w:val="28"/>
          <w:szCs w:val="28"/>
        </w:rPr>
        <w:t xml:space="preserve"> ПЭТ/КТ исследовании с определением прогностической ценности уровня </w:t>
      </w:r>
      <w:r w:rsidR="00AA063E"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AA063E"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Pr="00A43B9C">
        <w:rPr>
          <w:rFonts w:ascii="Times New Roman" w:hAnsi="Times New Roman" w:cs="Times New Roman"/>
          <w:sz w:val="28"/>
          <w:szCs w:val="28"/>
          <w:lang w:val="en-US"/>
        </w:rPr>
        <w:t>VAT</w:t>
      </w:r>
      <w:r w:rsidRPr="00A43B9C">
        <w:rPr>
          <w:rFonts w:ascii="Times New Roman" w:hAnsi="Times New Roman" w:cs="Times New Roman"/>
          <w:sz w:val="28"/>
          <w:szCs w:val="28"/>
        </w:rPr>
        <w:t>.</w:t>
      </w:r>
    </w:p>
    <w:p w14:paraId="5FBA5F7E" w14:textId="06450FF4" w:rsidR="0046142C" w:rsidRDefault="0046142C" w:rsidP="0046142C">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lastRenderedPageBreak/>
        <w:t xml:space="preserve">При оценке зависимости вероятности </w:t>
      </w:r>
      <w:r w:rsidR="000874C1" w:rsidRPr="00A43B9C">
        <w:rPr>
          <w:rFonts w:ascii="Times New Roman" w:hAnsi="Times New Roman" w:cs="Times New Roman"/>
          <w:sz w:val="28"/>
          <w:szCs w:val="28"/>
          <w:lang w:val="en-US"/>
        </w:rPr>
        <w:t>pLM</w:t>
      </w:r>
      <w:r w:rsidRPr="00A43B9C">
        <w:rPr>
          <w:rFonts w:ascii="Times New Roman" w:hAnsi="Times New Roman" w:cs="Times New Roman"/>
          <w:sz w:val="28"/>
          <w:szCs w:val="28"/>
        </w:rPr>
        <w:t xml:space="preserve"> в </w:t>
      </w:r>
      <w:r w:rsidR="00AA063E"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RE с помощью ROC-анализа была получена следующая кривая (рисунок 4</w:t>
      </w:r>
      <w:r w:rsidR="00E81502">
        <w:rPr>
          <w:rFonts w:ascii="Times New Roman" w:hAnsi="Times New Roman" w:cs="Times New Roman"/>
          <w:sz w:val="28"/>
          <w:szCs w:val="28"/>
        </w:rPr>
        <w:t>5</w:t>
      </w:r>
      <w:r w:rsidRPr="00A43B9C">
        <w:rPr>
          <w:rFonts w:ascii="Times New Roman" w:hAnsi="Times New Roman" w:cs="Times New Roman"/>
          <w:sz w:val="28"/>
          <w:szCs w:val="28"/>
        </w:rPr>
        <w:t>).</w:t>
      </w:r>
    </w:p>
    <w:p w14:paraId="0FDF308B" w14:textId="77777777" w:rsidR="006447BF" w:rsidRPr="00A43B9C" w:rsidRDefault="006447BF" w:rsidP="0046142C">
      <w:pPr>
        <w:spacing w:after="0" w:line="240" w:lineRule="auto"/>
        <w:ind w:firstLine="709"/>
        <w:jc w:val="both"/>
        <w:rPr>
          <w:rFonts w:ascii="Times New Roman" w:hAnsi="Times New Roman" w:cs="Times New Roman"/>
          <w:sz w:val="28"/>
          <w:szCs w:val="28"/>
        </w:rPr>
      </w:pPr>
    </w:p>
    <w:p w14:paraId="0BEE44C3" w14:textId="77777777"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48D1E823" wp14:editId="5A64AAF9">
            <wp:extent cx="3685243" cy="2268000"/>
            <wp:effectExtent l="0" t="0" r="0" b="0"/>
            <wp:docPr id="24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29.png"/>
                    <pic:cNvPicPr/>
                  </pic:nvPicPr>
                  <pic:blipFill>
                    <a:blip r:embed="rId317"/>
                    <a:stretch>
                      <a:fillRect/>
                    </a:stretch>
                  </pic:blipFill>
                  <pic:spPr>
                    <a:xfrm>
                      <a:off x="0" y="0"/>
                      <a:ext cx="3685243" cy="2268000"/>
                    </a:xfrm>
                    <a:prstGeom prst="rect">
                      <a:avLst/>
                    </a:prstGeom>
                  </pic:spPr>
                </pic:pic>
              </a:graphicData>
            </a:graphic>
          </wp:inline>
        </w:drawing>
      </w:r>
    </w:p>
    <w:p w14:paraId="4ED0941A" w14:textId="5629AABB"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4</w:t>
      </w:r>
      <w:r w:rsidR="001A1D98">
        <w:rPr>
          <w:rFonts w:ascii="Times New Roman" w:hAnsi="Times New Roman" w:cs="Times New Roman"/>
          <w:sz w:val="28"/>
          <w:szCs w:val="28"/>
        </w:rPr>
        <w:t>5</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ROC-кривая, характеризующая зависимость вероятности </w:t>
      </w:r>
      <w:r w:rsidR="00777C9A">
        <w:rPr>
          <w:rFonts w:ascii="Times New Roman" w:hAnsi="Times New Roman" w:cs="Times New Roman"/>
          <w:sz w:val="28"/>
          <w:szCs w:val="28"/>
          <w:lang w:val="en-US"/>
        </w:rPr>
        <w:t>p</w:t>
      </w:r>
      <w:r w:rsidR="000874C1" w:rsidRPr="00A43B9C">
        <w:rPr>
          <w:rFonts w:ascii="Times New Roman" w:hAnsi="Times New Roman" w:cs="Times New Roman"/>
          <w:sz w:val="28"/>
          <w:szCs w:val="28"/>
          <w:lang w:val="en-US"/>
        </w:rPr>
        <w:t>LM</w:t>
      </w:r>
      <w:r w:rsidRPr="00A43B9C">
        <w:rPr>
          <w:rFonts w:ascii="Times New Roman" w:hAnsi="Times New Roman" w:cs="Times New Roman"/>
          <w:sz w:val="28"/>
          <w:szCs w:val="28"/>
        </w:rPr>
        <w:t xml:space="preserve"> от </w:t>
      </w:r>
      <w:r w:rsidR="00AA063E"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RE</w:t>
      </w:r>
    </w:p>
    <w:p w14:paraId="32CE8A2E" w14:textId="77777777" w:rsidR="0046142C" w:rsidRPr="00A43B9C" w:rsidRDefault="0046142C" w:rsidP="0046142C">
      <w:pPr>
        <w:spacing w:after="0" w:line="240" w:lineRule="auto"/>
        <w:rPr>
          <w:rFonts w:ascii="Times New Roman" w:hAnsi="Times New Roman" w:cs="Times New Roman"/>
          <w:sz w:val="28"/>
          <w:szCs w:val="28"/>
        </w:rPr>
      </w:pPr>
    </w:p>
    <w:p w14:paraId="3897CD4B" w14:textId="77777777" w:rsidR="0046142C" w:rsidRPr="00A43B9C" w:rsidRDefault="0046142C" w:rsidP="0046142C">
      <w:pPr>
        <w:spacing w:after="0" w:line="240" w:lineRule="auto"/>
        <w:jc w:val="center"/>
        <w:rPr>
          <w:rFonts w:ascii="Times New Roman" w:hAnsi="Times New Roman" w:cs="Times New Roman"/>
          <w:sz w:val="28"/>
          <w:szCs w:val="28"/>
        </w:rPr>
      </w:pPr>
      <w:r w:rsidRPr="00A43B9C">
        <w:rPr>
          <w:noProof/>
        </w:rPr>
        <w:drawing>
          <wp:inline distT="0" distB="0" distL="0" distR="0" wp14:anchorId="5FEB5BC5" wp14:editId="72693AAA">
            <wp:extent cx="4101066" cy="1872000"/>
            <wp:effectExtent l="0" t="0" r="0"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3.png"/>
                    <pic:cNvPicPr/>
                  </pic:nvPicPr>
                  <pic:blipFill>
                    <a:blip r:embed="rId318"/>
                    <a:stretch>
                      <a:fillRect/>
                    </a:stretch>
                  </pic:blipFill>
                  <pic:spPr>
                    <a:xfrm>
                      <a:off x="0" y="0"/>
                      <a:ext cx="4101066" cy="1872000"/>
                    </a:xfrm>
                    <a:prstGeom prst="rect">
                      <a:avLst/>
                    </a:prstGeom>
                  </pic:spPr>
                </pic:pic>
              </a:graphicData>
            </a:graphic>
          </wp:inline>
        </w:drawing>
      </w:r>
    </w:p>
    <w:p w14:paraId="32AB9422" w14:textId="0CE367DA"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4</w:t>
      </w:r>
      <w:r w:rsidR="001A1D98">
        <w:rPr>
          <w:rFonts w:ascii="Times New Roman" w:hAnsi="Times New Roman" w:cs="Times New Roman"/>
          <w:sz w:val="28"/>
          <w:szCs w:val="28"/>
        </w:rPr>
        <w:t>6</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чувствительности и специфичности модели в зависимости от пороговых значений уровня </w:t>
      </w:r>
      <w:r w:rsidR="00AA063E"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AA063E"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AA063E"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RE</w:t>
      </w:r>
    </w:p>
    <w:p w14:paraId="7B5EA6AD" w14:textId="77777777" w:rsidR="0046142C" w:rsidRPr="00A43B9C" w:rsidRDefault="0046142C" w:rsidP="0046142C">
      <w:pPr>
        <w:spacing w:after="0" w:line="240" w:lineRule="auto"/>
        <w:rPr>
          <w:rFonts w:ascii="Times New Roman" w:hAnsi="Times New Roman" w:cs="Times New Roman"/>
          <w:sz w:val="28"/>
          <w:szCs w:val="28"/>
        </w:rPr>
      </w:pPr>
    </w:p>
    <w:p w14:paraId="792D423D" w14:textId="286E42B3" w:rsidR="0046142C"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35 -</w:t>
      </w:r>
      <w:r w:rsidR="0046142C" w:rsidRPr="00A43B9C">
        <w:rPr>
          <w:rFonts w:ascii="Times New Roman" w:hAnsi="Times New Roman" w:cs="Times New Roman"/>
          <w:sz w:val="28"/>
          <w:szCs w:val="28"/>
        </w:rPr>
        <w:t xml:space="preserve"> Пороговые значения уровня </w:t>
      </w:r>
      <w:r w:rsidR="00AA063E"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AA063E" w:rsidRPr="00A43B9C">
        <w:rPr>
          <w:rFonts w:ascii="Times New Roman" w:hAnsi="Times New Roman" w:cs="Times New Roman"/>
          <w:sz w:val="28"/>
          <w:szCs w:val="28"/>
        </w:rPr>
        <w:t xml:space="preserve"> </w:t>
      </w:r>
      <w:r w:rsidR="0046142C" w:rsidRPr="00A43B9C">
        <w:rPr>
          <w:rFonts w:ascii="Times New Roman" w:hAnsi="Times New Roman" w:cs="Times New Roman"/>
          <w:sz w:val="28"/>
          <w:szCs w:val="28"/>
          <w:lang w:val="en-US"/>
        </w:rPr>
        <w:t>SUV</w:t>
      </w:r>
      <w:r w:rsidR="0046142C" w:rsidRPr="00A43B9C">
        <w:rPr>
          <w:rFonts w:ascii="Times New Roman" w:hAnsi="Times New Roman" w:cs="Times New Roman"/>
          <w:sz w:val="28"/>
          <w:szCs w:val="28"/>
          <w:vertAlign w:val="subscript"/>
          <w:lang w:val="en-US"/>
        </w:rPr>
        <w:t>max</w:t>
      </w:r>
      <w:r w:rsidR="0046142C" w:rsidRPr="00A43B9C">
        <w:rPr>
          <w:rFonts w:ascii="Times New Roman" w:hAnsi="Times New Roman" w:cs="Times New Roman"/>
          <w:sz w:val="28"/>
          <w:szCs w:val="28"/>
        </w:rPr>
        <w:t xml:space="preserve"> в </w:t>
      </w:r>
      <w:r w:rsidR="00AA063E" w:rsidRPr="00A43B9C">
        <w:rPr>
          <w:rFonts w:ascii="Times New Roman" w:hAnsi="Times New Roman" w:cs="Times New Roman"/>
          <w:sz w:val="28"/>
          <w:szCs w:val="28"/>
        </w:rPr>
        <w:t xml:space="preserve">локализации </w:t>
      </w:r>
      <w:r w:rsidR="0046142C" w:rsidRPr="00A43B9C">
        <w:rPr>
          <w:rFonts w:ascii="Times New Roman" w:hAnsi="Times New Roman" w:cs="Times New Roman"/>
          <w:sz w:val="28"/>
          <w:szCs w:val="28"/>
        </w:rPr>
        <w:t>RE</w:t>
      </w:r>
    </w:p>
    <w:p w14:paraId="3AE19676"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0" w:type="auto"/>
        <w:jc w:val="center"/>
        <w:tblLook w:val="04A0" w:firstRow="1" w:lastRow="0" w:firstColumn="1" w:lastColumn="0" w:noHBand="0" w:noVBand="1"/>
      </w:tblPr>
      <w:tblGrid>
        <w:gridCol w:w="1789"/>
        <w:gridCol w:w="2069"/>
        <w:gridCol w:w="1967"/>
        <w:gridCol w:w="1756"/>
        <w:gridCol w:w="1763"/>
      </w:tblGrid>
      <w:tr w:rsidR="0046142C" w:rsidRPr="00A43B9C" w14:paraId="41CB657D" w14:textId="77777777" w:rsidTr="00446A37">
        <w:trPr>
          <w:jc w:val="center"/>
        </w:trPr>
        <w:tc>
          <w:tcPr>
            <w:tcW w:w="1790" w:type="dxa"/>
            <w:vAlign w:val="center"/>
          </w:tcPr>
          <w:p w14:paraId="5853270E" w14:textId="1D294972"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Порог</w:t>
            </w:r>
            <w:r w:rsidR="00AA063E" w:rsidRPr="00A43B9C">
              <w:rPr>
                <w:rFonts w:ascii="Times New Roman" w:hAnsi="Times New Roman" w:cs="Times New Roman"/>
                <w:sz w:val="28"/>
                <w:szCs w:val="28"/>
              </w:rPr>
              <w:t>овое значение</w:t>
            </w:r>
          </w:p>
        </w:tc>
        <w:tc>
          <w:tcPr>
            <w:tcW w:w="2069" w:type="dxa"/>
            <w:vAlign w:val="center"/>
          </w:tcPr>
          <w:p w14:paraId="090E1889" w14:textId="6F730684"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Se, %</w:t>
            </w:r>
          </w:p>
        </w:tc>
        <w:tc>
          <w:tcPr>
            <w:tcW w:w="1967" w:type="dxa"/>
            <w:vAlign w:val="center"/>
          </w:tcPr>
          <w:p w14:paraId="7CCFE814" w14:textId="38D100A5"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Sp, %</w:t>
            </w:r>
          </w:p>
        </w:tc>
        <w:tc>
          <w:tcPr>
            <w:tcW w:w="1756" w:type="dxa"/>
            <w:vAlign w:val="center"/>
          </w:tcPr>
          <w:p w14:paraId="4F073CD4" w14:textId="716498AD"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PPV</w:t>
            </w:r>
            <w:r w:rsidR="003E57FA" w:rsidRPr="00A43B9C">
              <w:rPr>
                <w:rFonts w:ascii="Times New Roman" w:hAnsi="Times New Roman" w:cs="Times New Roman"/>
                <w:sz w:val="28"/>
                <w:szCs w:val="28"/>
                <w:lang w:val="en-US"/>
              </w:rPr>
              <w:t>, %</w:t>
            </w:r>
          </w:p>
        </w:tc>
        <w:tc>
          <w:tcPr>
            <w:tcW w:w="1763" w:type="dxa"/>
            <w:vAlign w:val="center"/>
          </w:tcPr>
          <w:p w14:paraId="63B56AB4" w14:textId="3B421FCE"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NPV</w:t>
            </w:r>
            <w:r w:rsidR="003E57FA" w:rsidRPr="00A43B9C">
              <w:rPr>
                <w:rFonts w:ascii="Times New Roman" w:hAnsi="Times New Roman" w:cs="Times New Roman"/>
                <w:sz w:val="28"/>
                <w:szCs w:val="28"/>
                <w:lang w:val="en-US"/>
              </w:rPr>
              <w:t>, %</w:t>
            </w:r>
          </w:p>
        </w:tc>
      </w:tr>
      <w:tr w:rsidR="0046142C" w:rsidRPr="00CD7C27" w14:paraId="6E2C2C86" w14:textId="77777777" w:rsidTr="00446A37">
        <w:trPr>
          <w:jc w:val="center"/>
        </w:trPr>
        <w:tc>
          <w:tcPr>
            <w:tcW w:w="1790" w:type="dxa"/>
            <w:vAlign w:val="center"/>
          </w:tcPr>
          <w:p w14:paraId="33014E0B" w14:textId="77777777" w:rsidR="0046142C" w:rsidRPr="00CD7C27" w:rsidRDefault="0046142C" w:rsidP="00446A37">
            <w:pPr>
              <w:spacing w:after="0" w:line="240" w:lineRule="auto"/>
              <w:jc w:val="center"/>
              <w:rPr>
                <w:rFonts w:ascii="Times New Roman" w:hAnsi="Times New Roman" w:cs="Times New Roman"/>
                <w:bCs/>
                <w:sz w:val="28"/>
                <w:szCs w:val="28"/>
              </w:rPr>
            </w:pPr>
            <w:r w:rsidRPr="00CD7C27">
              <w:rPr>
                <w:rFonts w:ascii="Times New Roman" w:hAnsi="Times New Roman" w:cs="Times New Roman"/>
                <w:bCs/>
                <w:sz w:val="28"/>
                <w:szCs w:val="28"/>
              </w:rPr>
              <w:t>0,99</w:t>
            </w:r>
          </w:p>
        </w:tc>
        <w:tc>
          <w:tcPr>
            <w:tcW w:w="2069" w:type="dxa"/>
            <w:vAlign w:val="center"/>
          </w:tcPr>
          <w:p w14:paraId="541BC979" w14:textId="77777777" w:rsidR="0046142C" w:rsidRPr="00CD7C27" w:rsidRDefault="0046142C" w:rsidP="00446A37">
            <w:pPr>
              <w:spacing w:after="0" w:line="240" w:lineRule="auto"/>
              <w:jc w:val="center"/>
              <w:rPr>
                <w:rFonts w:ascii="Times New Roman" w:hAnsi="Times New Roman" w:cs="Times New Roman"/>
                <w:bCs/>
                <w:sz w:val="28"/>
                <w:szCs w:val="28"/>
              </w:rPr>
            </w:pPr>
            <w:r w:rsidRPr="00CD7C27">
              <w:rPr>
                <w:rFonts w:ascii="Times New Roman" w:hAnsi="Times New Roman" w:cs="Times New Roman"/>
                <w:bCs/>
                <w:sz w:val="28"/>
                <w:szCs w:val="28"/>
              </w:rPr>
              <w:t>50,0</w:t>
            </w:r>
          </w:p>
        </w:tc>
        <w:tc>
          <w:tcPr>
            <w:tcW w:w="1967" w:type="dxa"/>
            <w:vAlign w:val="center"/>
          </w:tcPr>
          <w:p w14:paraId="490CF9C1" w14:textId="77777777" w:rsidR="0046142C" w:rsidRPr="00CD7C27" w:rsidRDefault="0046142C" w:rsidP="00446A37">
            <w:pPr>
              <w:spacing w:after="0" w:line="240" w:lineRule="auto"/>
              <w:jc w:val="center"/>
              <w:rPr>
                <w:rFonts w:ascii="Times New Roman" w:hAnsi="Times New Roman" w:cs="Times New Roman"/>
                <w:bCs/>
                <w:sz w:val="28"/>
                <w:szCs w:val="28"/>
              </w:rPr>
            </w:pPr>
            <w:r w:rsidRPr="00CD7C27">
              <w:rPr>
                <w:rFonts w:ascii="Times New Roman" w:hAnsi="Times New Roman" w:cs="Times New Roman"/>
                <w:bCs/>
                <w:sz w:val="28"/>
                <w:szCs w:val="28"/>
              </w:rPr>
              <w:t>52,3</w:t>
            </w:r>
          </w:p>
        </w:tc>
        <w:tc>
          <w:tcPr>
            <w:tcW w:w="1756" w:type="dxa"/>
            <w:vAlign w:val="center"/>
          </w:tcPr>
          <w:p w14:paraId="11D62FF1" w14:textId="77777777" w:rsidR="0046142C" w:rsidRPr="00CD7C27" w:rsidRDefault="0046142C" w:rsidP="00446A37">
            <w:pPr>
              <w:spacing w:after="0" w:line="240" w:lineRule="auto"/>
              <w:jc w:val="center"/>
              <w:rPr>
                <w:rFonts w:ascii="Times New Roman" w:hAnsi="Times New Roman" w:cs="Times New Roman"/>
                <w:bCs/>
                <w:sz w:val="28"/>
                <w:szCs w:val="28"/>
              </w:rPr>
            </w:pPr>
            <w:r w:rsidRPr="00CD7C27">
              <w:rPr>
                <w:rFonts w:ascii="Times New Roman" w:hAnsi="Times New Roman" w:cs="Times New Roman"/>
                <w:bCs/>
                <w:sz w:val="28"/>
                <w:szCs w:val="28"/>
              </w:rPr>
              <w:t>27,6</w:t>
            </w:r>
          </w:p>
        </w:tc>
        <w:tc>
          <w:tcPr>
            <w:tcW w:w="1763" w:type="dxa"/>
            <w:vAlign w:val="center"/>
          </w:tcPr>
          <w:p w14:paraId="60F9E752" w14:textId="77777777" w:rsidR="0046142C" w:rsidRPr="00CD7C27" w:rsidRDefault="0046142C" w:rsidP="00446A37">
            <w:pPr>
              <w:spacing w:after="0" w:line="240" w:lineRule="auto"/>
              <w:jc w:val="center"/>
              <w:rPr>
                <w:rFonts w:ascii="Times New Roman" w:hAnsi="Times New Roman" w:cs="Times New Roman"/>
                <w:bCs/>
                <w:sz w:val="28"/>
                <w:szCs w:val="28"/>
              </w:rPr>
            </w:pPr>
            <w:r w:rsidRPr="00CD7C27">
              <w:rPr>
                <w:rFonts w:ascii="Times New Roman" w:hAnsi="Times New Roman" w:cs="Times New Roman"/>
                <w:bCs/>
                <w:sz w:val="28"/>
                <w:szCs w:val="28"/>
              </w:rPr>
              <w:t>74,2</w:t>
            </w:r>
          </w:p>
        </w:tc>
      </w:tr>
    </w:tbl>
    <w:p w14:paraId="2FB4F48F" w14:textId="77777777" w:rsidR="0046142C" w:rsidRPr="00A43B9C" w:rsidRDefault="0046142C" w:rsidP="0046142C">
      <w:pPr>
        <w:spacing w:after="0" w:line="240" w:lineRule="auto"/>
        <w:rPr>
          <w:rFonts w:ascii="Times New Roman" w:hAnsi="Times New Roman" w:cs="Times New Roman"/>
          <w:sz w:val="28"/>
          <w:szCs w:val="28"/>
        </w:rPr>
      </w:pPr>
    </w:p>
    <w:p w14:paraId="271E2D85" w14:textId="631345D2" w:rsidR="0046142C" w:rsidRPr="00A43B9C" w:rsidRDefault="0046142C" w:rsidP="0046142C">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Площадь под ROC-кривой составила 0,510 </w:t>
      </w:r>
      <w:r w:rsidR="00AA063E" w:rsidRPr="00A43B9C">
        <w:rPr>
          <w:rFonts w:ascii="Times New Roman" w:hAnsi="Times New Roman" w:cs="Times New Roman"/>
          <w:sz w:val="28"/>
          <w:szCs w:val="28"/>
        </w:rPr>
        <w:t>(</w:t>
      </w:r>
      <w:r w:rsidRPr="00A43B9C">
        <w:rPr>
          <w:rFonts w:ascii="Times New Roman" w:hAnsi="Times New Roman" w:cs="Times New Roman"/>
          <w:sz w:val="28"/>
          <w:szCs w:val="28"/>
        </w:rPr>
        <w:t>95% ДИ 0,343 – 0,677</w:t>
      </w:r>
      <w:r w:rsidR="00AA063E" w:rsidRPr="00A43B9C">
        <w:rPr>
          <w:rFonts w:ascii="Times New Roman" w:hAnsi="Times New Roman" w:cs="Times New Roman"/>
          <w:sz w:val="28"/>
          <w:szCs w:val="28"/>
        </w:rPr>
        <w:t xml:space="preserve">, </w:t>
      </w:r>
      <w:r w:rsidR="00C63313" w:rsidRPr="00A43B9C">
        <w:rPr>
          <w:rFonts w:ascii="Times New Roman" w:hAnsi="Times New Roman" w:cs="Times New Roman"/>
          <w:sz w:val="28"/>
          <w:szCs w:val="28"/>
        </w:rPr>
        <w:t xml:space="preserve">но полученная модель не была статистически значимой </w:t>
      </w:r>
      <w:r w:rsidRPr="00A43B9C">
        <w:rPr>
          <w:rFonts w:ascii="Times New Roman" w:hAnsi="Times New Roman" w:cs="Times New Roman"/>
          <w:sz w:val="28"/>
          <w:szCs w:val="28"/>
        </w:rPr>
        <w:t>(p = 0,907).</w:t>
      </w:r>
      <w:r w:rsidR="00AA063E"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Пороговое значение уровня </w:t>
      </w:r>
      <w:r w:rsidR="00AA063E"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AA063E"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AA063E"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RE в точке </w:t>
      </w:r>
      <w:r w:rsidR="00AA063E" w:rsidRPr="00A43B9C">
        <w:rPr>
          <w:rFonts w:ascii="Times New Roman" w:hAnsi="Times New Roman" w:cs="Times New Roman"/>
          <w:sz w:val="28"/>
          <w:szCs w:val="28"/>
        </w:rPr>
        <w:t>отсечения</w:t>
      </w:r>
      <w:r w:rsidRPr="00A43B9C">
        <w:rPr>
          <w:rFonts w:ascii="Times New Roman" w:hAnsi="Times New Roman" w:cs="Times New Roman"/>
          <w:sz w:val="28"/>
          <w:szCs w:val="28"/>
        </w:rPr>
        <w:t>, которому соответствовало наивысшее значение индекса Юдена, составило 0,99 (рисунок 4</w:t>
      </w:r>
      <w:r w:rsidR="00E81502">
        <w:rPr>
          <w:rFonts w:ascii="Times New Roman" w:hAnsi="Times New Roman" w:cs="Times New Roman"/>
          <w:sz w:val="28"/>
          <w:szCs w:val="28"/>
        </w:rPr>
        <w:t>6</w:t>
      </w:r>
      <w:r w:rsidRPr="00A43B9C">
        <w:rPr>
          <w:rFonts w:ascii="Times New Roman" w:hAnsi="Times New Roman" w:cs="Times New Roman"/>
          <w:sz w:val="28"/>
          <w:szCs w:val="28"/>
        </w:rPr>
        <w:t xml:space="preserve">). Наличие </w:t>
      </w:r>
      <w:r w:rsidR="000874C1" w:rsidRPr="00A43B9C">
        <w:rPr>
          <w:rFonts w:ascii="Times New Roman" w:eastAsia="Times New Roman" w:hAnsi="Times New Roman" w:cs="Times New Roman"/>
          <w:sz w:val="28"/>
          <w:szCs w:val="28"/>
          <w:lang w:val="en-US" w:eastAsia="ru-RU"/>
        </w:rPr>
        <w:t>pLM</w:t>
      </w:r>
      <w:r w:rsidRPr="00A43B9C">
        <w:rPr>
          <w:rFonts w:ascii="Times New Roman" w:hAnsi="Times New Roman" w:cs="Times New Roman"/>
          <w:sz w:val="28"/>
          <w:szCs w:val="28"/>
        </w:rPr>
        <w:t xml:space="preserve"> прогнозировалось при значении уровня </w:t>
      </w:r>
      <w:r w:rsidR="00AA063E"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AA063E"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AA063E"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RE ниже данной величины или равном ей. </w:t>
      </w:r>
      <w:r w:rsidRPr="00A43B9C">
        <w:rPr>
          <w:rFonts w:ascii="Times New Roman" w:hAnsi="Times New Roman" w:cs="Times New Roman"/>
          <w:sz w:val="28"/>
          <w:szCs w:val="28"/>
        </w:rPr>
        <w:lastRenderedPageBreak/>
        <w:t xml:space="preserve">Чувствительность и специфичность модели составили 50,0% и 52,3%, а </w:t>
      </w:r>
      <w:r w:rsidRPr="00A43B9C">
        <w:rPr>
          <w:rFonts w:ascii="Times New Roman" w:hAnsi="Times New Roman" w:cs="Times New Roman"/>
          <w:sz w:val="28"/>
          <w:szCs w:val="28"/>
          <w:lang w:val="en-US"/>
        </w:rPr>
        <w:t>PPV</w:t>
      </w:r>
      <w:r w:rsidRPr="00A43B9C">
        <w:rPr>
          <w:rFonts w:ascii="Times New Roman" w:hAnsi="Times New Roman" w:cs="Times New Roman"/>
          <w:sz w:val="28"/>
          <w:szCs w:val="28"/>
        </w:rPr>
        <w:t xml:space="preserve"> и </w:t>
      </w:r>
      <w:r w:rsidRPr="00A43B9C">
        <w:rPr>
          <w:rFonts w:ascii="Times New Roman" w:hAnsi="Times New Roman" w:cs="Times New Roman"/>
          <w:sz w:val="28"/>
          <w:szCs w:val="28"/>
          <w:lang w:val="en-US"/>
        </w:rPr>
        <w:t>NPV</w:t>
      </w:r>
      <w:r w:rsidRPr="00A43B9C">
        <w:rPr>
          <w:rFonts w:ascii="Times New Roman" w:hAnsi="Times New Roman" w:cs="Times New Roman"/>
          <w:sz w:val="28"/>
          <w:szCs w:val="28"/>
        </w:rPr>
        <w:t xml:space="preserve"> составили 27,6% и 74,2% соответственно (таблица 35).</w:t>
      </w:r>
    </w:p>
    <w:p w14:paraId="640053ED" w14:textId="11FBA607" w:rsidR="0046142C" w:rsidRDefault="0046142C" w:rsidP="0046142C">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При оценке зависимости вероятности </w:t>
      </w:r>
      <w:r w:rsidR="000874C1" w:rsidRPr="00A43B9C">
        <w:rPr>
          <w:rFonts w:ascii="Times New Roman" w:eastAsia="Times New Roman" w:hAnsi="Times New Roman" w:cs="Times New Roman"/>
          <w:sz w:val="28"/>
          <w:szCs w:val="28"/>
          <w:lang w:val="en-US" w:eastAsia="ru-RU"/>
        </w:rPr>
        <w:t>LM</w:t>
      </w:r>
      <w:r w:rsidRPr="00A43B9C">
        <w:rPr>
          <w:rFonts w:ascii="Times New Roman" w:hAnsi="Times New Roman" w:cs="Times New Roman"/>
          <w:sz w:val="28"/>
          <w:szCs w:val="28"/>
        </w:rPr>
        <w:t xml:space="preserve"> в </w:t>
      </w:r>
      <w:r w:rsidR="00AA063E"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RLH с помощью ROC-анализа была получена следующая кривая (рисунок 4</w:t>
      </w:r>
      <w:r w:rsidR="00E81502">
        <w:rPr>
          <w:rFonts w:ascii="Times New Roman" w:hAnsi="Times New Roman" w:cs="Times New Roman"/>
          <w:sz w:val="28"/>
          <w:szCs w:val="28"/>
        </w:rPr>
        <w:t>7</w:t>
      </w:r>
      <w:r w:rsidRPr="00A43B9C">
        <w:rPr>
          <w:rFonts w:ascii="Times New Roman" w:hAnsi="Times New Roman" w:cs="Times New Roman"/>
          <w:sz w:val="28"/>
          <w:szCs w:val="28"/>
        </w:rPr>
        <w:t>).</w:t>
      </w:r>
    </w:p>
    <w:p w14:paraId="00C89296" w14:textId="77777777" w:rsidR="006447BF" w:rsidRPr="00A43B9C" w:rsidRDefault="006447BF" w:rsidP="0046142C">
      <w:pPr>
        <w:spacing w:after="0" w:line="240" w:lineRule="auto"/>
        <w:ind w:firstLine="709"/>
        <w:jc w:val="both"/>
        <w:rPr>
          <w:rFonts w:ascii="Times New Roman" w:hAnsi="Times New Roman" w:cs="Times New Roman"/>
          <w:sz w:val="28"/>
          <w:szCs w:val="28"/>
        </w:rPr>
      </w:pPr>
    </w:p>
    <w:p w14:paraId="7BA09AF6" w14:textId="77777777"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3D6E7C9B" wp14:editId="636F5B7F">
            <wp:extent cx="3685242" cy="2268000"/>
            <wp:effectExtent l="0" t="0" r="0" b="0"/>
            <wp:docPr id="2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5.png"/>
                    <pic:cNvPicPr/>
                  </pic:nvPicPr>
                  <pic:blipFill>
                    <a:blip r:embed="rId319"/>
                    <a:stretch>
                      <a:fillRect/>
                    </a:stretch>
                  </pic:blipFill>
                  <pic:spPr>
                    <a:xfrm>
                      <a:off x="0" y="0"/>
                      <a:ext cx="3685242" cy="2268000"/>
                    </a:xfrm>
                    <a:prstGeom prst="rect">
                      <a:avLst/>
                    </a:prstGeom>
                  </pic:spPr>
                </pic:pic>
              </a:graphicData>
            </a:graphic>
          </wp:inline>
        </w:drawing>
      </w:r>
    </w:p>
    <w:p w14:paraId="5B65D6D6" w14:textId="1787AA64"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4</w:t>
      </w:r>
      <w:r w:rsidR="001A1D98">
        <w:rPr>
          <w:rFonts w:ascii="Times New Roman" w:hAnsi="Times New Roman" w:cs="Times New Roman"/>
          <w:sz w:val="28"/>
          <w:szCs w:val="28"/>
        </w:rPr>
        <w:t>7</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ROC-кривая, характеризующая зависимость вероятности </w:t>
      </w:r>
      <w:r w:rsidR="00777C9A">
        <w:rPr>
          <w:rFonts w:ascii="Times New Roman" w:hAnsi="Times New Roman" w:cs="Times New Roman"/>
          <w:sz w:val="28"/>
          <w:szCs w:val="28"/>
          <w:lang w:val="en-US"/>
        </w:rPr>
        <w:t>p</w:t>
      </w:r>
      <w:r w:rsidR="000874C1" w:rsidRPr="00A43B9C">
        <w:rPr>
          <w:rFonts w:ascii="Times New Roman" w:eastAsia="Times New Roman" w:hAnsi="Times New Roman" w:cs="Times New Roman"/>
          <w:sz w:val="28"/>
          <w:szCs w:val="28"/>
          <w:lang w:val="en-US" w:eastAsia="ru-RU"/>
        </w:rPr>
        <w:t>LM</w:t>
      </w:r>
      <w:r w:rsidRPr="00A43B9C">
        <w:rPr>
          <w:rFonts w:ascii="Times New Roman" w:hAnsi="Times New Roman" w:cs="Times New Roman"/>
          <w:sz w:val="28"/>
          <w:szCs w:val="28"/>
        </w:rPr>
        <w:t xml:space="preserve"> от </w:t>
      </w:r>
      <w:r w:rsidR="00AA063E"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RLH</w:t>
      </w:r>
    </w:p>
    <w:p w14:paraId="6CEFB92A" w14:textId="77777777" w:rsidR="0046142C" w:rsidRPr="00A43B9C" w:rsidRDefault="0046142C" w:rsidP="0046142C">
      <w:pPr>
        <w:spacing w:after="0" w:line="240" w:lineRule="auto"/>
        <w:jc w:val="both"/>
        <w:rPr>
          <w:rFonts w:ascii="Times New Roman" w:hAnsi="Times New Roman" w:cs="Times New Roman"/>
          <w:sz w:val="28"/>
          <w:szCs w:val="28"/>
        </w:rPr>
      </w:pPr>
    </w:p>
    <w:p w14:paraId="439F6FE7" w14:textId="77777777" w:rsidR="0046142C" w:rsidRPr="00A43B9C" w:rsidRDefault="0046142C" w:rsidP="0046142C">
      <w:pPr>
        <w:spacing w:after="0" w:line="240" w:lineRule="auto"/>
        <w:jc w:val="center"/>
        <w:rPr>
          <w:rFonts w:ascii="Times New Roman" w:hAnsi="Times New Roman" w:cs="Times New Roman"/>
          <w:sz w:val="28"/>
          <w:szCs w:val="28"/>
        </w:rPr>
      </w:pPr>
      <w:r w:rsidRPr="00A43B9C">
        <w:rPr>
          <w:noProof/>
        </w:rPr>
        <w:drawing>
          <wp:inline distT="0" distB="0" distL="0" distR="0" wp14:anchorId="21BC3723" wp14:editId="74ACCF9F">
            <wp:extent cx="4968588" cy="2268000"/>
            <wp:effectExtent l="0" t="0" r="3810" b="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3.png"/>
                    <pic:cNvPicPr/>
                  </pic:nvPicPr>
                  <pic:blipFill>
                    <a:blip r:embed="rId320"/>
                    <a:stretch>
                      <a:fillRect/>
                    </a:stretch>
                  </pic:blipFill>
                  <pic:spPr>
                    <a:xfrm>
                      <a:off x="0" y="0"/>
                      <a:ext cx="4968588" cy="2268000"/>
                    </a:xfrm>
                    <a:prstGeom prst="rect">
                      <a:avLst/>
                    </a:prstGeom>
                  </pic:spPr>
                </pic:pic>
              </a:graphicData>
            </a:graphic>
          </wp:inline>
        </w:drawing>
      </w:r>
    </w:p>
    <w:p w14:paraId="5694BD45" w14:textId="22B7E863"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4</w:t>
      </w:r>
      <w:r w:rsidR="001A1D98">
        <w:rPr>
          <w:rFonts w:ascii="Times New Roman" w:hAnsi="Times New Roman" w:cs="Times New Roman"/>
          <w:sz w:val="28"/>
          <w:szCs w:val="28"/>
        </w:rPr>
        <w:t>8</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чувствительности и специфичности модели в зависимости от пороговых значений уровня </w:t>
      </w:r>
      <w:r w:rsidR="00AA063E"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AA063E"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AA063E"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RLH</w:t>
      </w:r>
    </w:p>
    <w:p w14:paraId="232DDD6E" w14:textId="77777777" w:rsidR="0046142C" w:rsidRPr="00A43B9C" w:rsidRDefault="0046142C" w:rsidP="0046142C">
      <w:pPr>
        <w:spacing w:after="0" w:line="240" w:lineRule="auto"/>
        <w:rPr>
          <w:rFonts w:ascii="Times New Roman" w:hAnsi="Times New Roman" w:cs="Times New Roman"/>
          <w:sz w:val="28"/>
          <w:szCs w:val="28"/>
        </w:rPr>
      </w:pPr>
    </w:p>
    <w:p w14:paraId="319484E0" w14:textId="5DEA54B4" w:rsidR="0046142C"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36 -</w:t>
      </w:r>
      <w:r w:rsidR="0046142C" w:rsidRPr="00A43B9C">
        <w:rPr>
          <w:rFonts w:ascii="Times New Roman" w:hAnsi="Times New Roman" w:cs="Times New Roman"/>
          <w:sz w:val="28"/>
          <w:szCs w:val="28"/>
        </w:rPr>
        <w:t xml:space="preserve"> Пороговые значения уровня </w:t>
      </w:r>
      <w:r w:rsidR="00AA063E" w:rsidRPr="00A43B9C">
        <w:rPr>
          <w:rFonts w:ascii="Times New Roman" w:hAnsi="Times New Roman" w:cs="Times New Roman"/>
          <w:sz w:val="28"/>
          <w:szCs w:val="28"/>
        </w:rPr>
        <w:t>нако</w:t>
      </w:r>
      <w:r w:rsidR="00C63313" w:rsidRPr="00A43B9C">
        <w:rPr>
          <w:rFonts w:ascii="Times New Roman" w:hAnsi="Times New Roman" w:cs="Times New Roman"/>
          <w:sz w:val="28"/>
          <w:szCs w:val="28"/>
        </w:rPr>
        <w:t>п</w:t>
      </w:r>
      <w:r w:rsidR="00AA063E" w:rsidRPr="00A43B9C">
        <w:rPr>
          <w:rFonts w:ascii="Times New Roman" w:hAnsi="Times New Roman" w:cs="Times New Roman"/>
          <w:sz w:val="28"/>
          <w:szCs w:val="28"/>
        </w:rPr>
        <w:t>лени</w:t>
      </w:r>
      <w:r w:rsidR="00B336CA" w:rsidRPr="00A43B9C">
        <w:rPr>
          <w:rFonts w:ascii="Times New Roman" w:hAnsi="Times New Roman" w:cs="Times New Roman"/>
          <w:sz w:val="28"/>
          <w:szCs w:val="28"/>
        </w:rPr>
        <w:t>я</w:t>
      </w:r>
      <w:r w:rsidR="00AA063E" w:rsidRPr="00A43B9C">
        <w:rPr>
          <w:rFonts w:ascii="Times New Roman" w:hAnsi="Times New Roman" w:cs="Times New Roman"/>
          <w:sz w:val="28"/>
          <w:szCs w:val="28"/>
        </w:rPr>
        <w:t xml:space="preserve"> </w:t>
      </w:r>
      <w:r w:rsidR="0046142C" w:rsidRPr="00A43B9C">
        <w:rPr>
          <w:rFonts w:ascii="Times New Roman" w:hAnsi="Times New Roman" w:cs="Times New Roman"/>
          <w:sz w:val="28"/>
          <w:szCs w:val="28"/>
          <w:lang w:val="en-US"/>
        </w:rPr>
        <w:t>SUV</w:t>
      </w:r>
      <w:r w:rsidR="0046142C" w:rsidRPr="00A43B9C">
        <w:rPr>
          <w:rFonts w:ascii="Times New Roman" w:hAnsi="Times New Roman" w:cs="Times New Roman"/>
          <w:sz w:val="28"/>
          <w:szCs w:val="28"/>
          <w:vertAlign w:val="subscript"/>
          <w:lang w:val="en-US"/>
        </w:rPr>
        <w:t>max</w:t>
      </w:r>
      <w:r w:rsidR="0046142C" w:rsidRPr="00A43B9C">
        <w:rPr>
          <w:rFonts w:ascii="Times New Roman" w:hAnsi="Times New Roman" w:cs="Times New Roman"/>
          <w:sz w:val="28"/>
          <w:szCs w:val="28"/>
        </w:rPr>
        <w:t xml:space="preserve"> в </w:t>
      </w:r>
      <w:r w:rsidR="00AA063E" w:rsidRPr="00A43B9C">
        <w:rPr>
          <w:rFonts w:ascii="Times New Roman" w:hAnsi="Times New Roman" w:cs="Times New Roman"/>
          <w:sz w:val="28"/>
          <w:szCs w:val="28"/>
        </w:rPr>
        <w:t xml:space="preserve">локализации </w:t>
      </w:r>
      <w:r w:rsidR="0046142C" w:rsidRPr="00A43B9C">
        <w:rPr>
          <w:rFonts w:ascii="Times New Roman" w:hAnsi="Times New Roman" w:cs="Times New Roman"/>
          <w:sz w:val="28"/>
          <w:szCs w:val="28"/>
        </w:rPr>
        <w:t>RLH</w:t>
      </w:r>
    </w:p>
    <w:p w14:paraId="2B2FE340"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0" w:type="auto"/>
        <w:jc w:val="center"/>
        <w:tblLook w:val="04A0" w:firstRow="1" w:lastRow="0" w:firstColumn="1" w:lastColumn="0" w:noHBand="0" w:noVBand="1"/>
      </w:tblPr>
      <w:tblGrid>
        <w:gridCol w:w="1789"/>
        <w:gridCol w:w="2069"/>
        <w:gridCol w:w="1967"/>
        <w:gridCol w:w="1756"/>
        <w:gridCol w:w="1763"/>
      </w:tblGrid>
      <w:tr w:rsidR="0046142C" w:rsidRPr="00A43B9C" w14:paraId="2362187A" w14:textId="77777777" w:rsidTr="00446A37">
        <w:trPr>
          <w:jc w:val="center"/>
        </w:trPr>
        <w:tc>
          <w:tcPr>
            <w:tcW w:w="1790" w:type="dxa"/>
            <w:vAlign w:val="center"/>
          </w:tcPr>
          <w:p w14:paraId="29BA5CE5" w14:textId="381F0274"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Порог</w:t>
            </w:r>
            <w:r w:rsidR="00AA063E" w:rsidRPr="00A43B9C">
              <w:rPr>
                <w:rFonts w:ascii="Times New Roman" w:hAnsi="Times New Roman" w:cs="Times New Roman"/>
                <w:sz w:val="28"/>
                <w:szCs w:val="28"/>
              </w:rPr>
              <w:t>овое значение</w:t>
            </w:r>
          </w:p>
        </w:tc>
        <w:tc>
          <w:tcPr>
            <w:tcW w:w="2069" w:type="dxa"/>
            <w:vAlign w:val="center"/>
          </w:tcPr>
          <w:p w14:paraId="6D8A76A9" w14:textId="716C377A"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Se, %</w:t>
            </w:r>
          </w:p>
        </w:tc>
        <w:tc>
          <w:tcPr>
            <w:tcW w:w="1967" w:type="dxa"/>
            <w:vAlign w:val="center"/>
          </w:tcPr>
          <w:p w14:paraId="73F71772" w14:textId="13E5F2D8"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Sp, %</w:t>
            </w:r>
          </w:p>
        </w:tc>
        <w:tc>
          <w:tcPr>
            <w:tcW w:w="1756" w:type="dxa"/>
            <w:vAlign w:val="center"/>
          </w:tcPr>
          <w:p w14:paraId="694B5989" w14:textId="4A0954BB"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PPV</w:t>
            </w:r>
            <w:r w:rsidR="003E57FA" w:rsidRPr="00A43B9C">
              <w:rPr>
                <w:rFonts w:ascii="Times New Roman" w:hAnsi="Times New Roman" w:cs="Times New Roman"/>
                <w:sz w:val="28"/>
                <w:szCs w:val="28"/>
                <w:lang w:val="en-US"/>
              </w:rPr>
              <w:t>, %</w:t>
            </w:r>
          </w:p>
        </w:tc>
        <w:tc>
          <w:tcPr>
            <w:tcW w:w="1763" w:type="dxa"/>
            <w:vAlign w:val="center"/>
          </w:tcPr>
          <w:p w14:paraId="0AB6D6FB" w14:textId="630467E4"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NPV</w:t>
            </w:r>
            <w:r w:rsidR="003E57FA" w:rsidRPr="00A43B9C">
              <w:rPr>
                <w:rFonts w:ascii="Times New Roman" w:hAnsi="Times New Roman" w:cs="Times New Roman"/>
                <w:sz w:val="28"/>
                <w:szCs w:val="28"/>
                <w:lang w:val="en-US"/>
              </w:rPr>
              <w:t>, %</w:t>
            </w:r>
          </w:p>
        </w:tc>
      </w:tr>
      <w:tr w:rsidR="0046142C" w:rsidRPr="00A43B9C" w14:paraId="11BB1AFD" w14:textId="77777777" w:rsidTr="00446A37">
        <w:trPr>
          <w:jc w:val="center"/>
        </w:trPr>
        <w:tc>
          <w:tcPr>
            <w:tcW w:w="1790" w:type="dxa"/>
            <w:vAlign w:val="center"/>
          </w:tcPr>
          <w:p w14:paraId="0551CA21"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1,09</w:t>
            </w:r>
          </w:p>
        </w:tc>
        <w:tc>
          <w:tcPr>
            <w:tcW w:w="2069" w:type="dxa"/>
            <w:vAlign w:val="center"/>
          </w:tcPr>
          <w:p w14:paraId="2DC4043E"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50,0</w:t>
            </w:r>
          </w:p>
        </w:tc>
        <w:tc>
          <w:tcPr>
            <w:tcW w:w="1967" w:type="dxa"/>
            <w:vAlign w:val="center"/>
          </w:tcPr>
          <w:p w14:paraId="53E39776"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86,4</w:t>
            </w:r>
          </w:p>
        </w:tc>
        <w:tc>
          <w:tcPr>
            <w:tcW w:w="1756" w:type="dxa"/>
            <w:vAlign w:val="center"/>
          </w:tcPr>
          <w:p w14:paraId="5D367B02"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57,1</w:t>
            </w:r>
          </w:p>
        </w:tc>
        <w:tc>
          <w:tcPr>
            <w:tcW w:w="1763" w:type="dxa"/>
            <w:vAlign w:val="center"/>
          </w:tcPr>
          <w:p w14:paraId="0E19E035"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82,6</w:t>
            </w:r>
          </w:p>
        </w:tc>
      </w:tr>
      <w:tr w:rsidR="0046142C" w:rsidRPr="00A43B9C" w14:paraId="0D6EC646" w14:textId="77777777" w:rsidTr="00446A37">
        <w:trPr>
          <w:jc w:val="center"/>
        </w:trPr>
        <w:tc>
          <w:tcPr>
            <w:tcW w:w="1790" w:type="dxa"/>
            <w:vAlign w:val="center"/>
          </w:tcPr>
          <w:p w14:paraId="52070532"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0,83</w:t>
            </w:r>
          </w:p>
        </w:tc>
        <w:tc>
          <w:tcPr>
            <w:tcW w:w="2069" w:type="dxa"/>
            <w:vAlign w:val="center"/>
          </w:tcPr>
          <w:p w14:paraId="725F2C39"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50,0</w:t>
            </w:r>
          </w:p>
        </w:tc>
        <w:tc>
          <w:tcPr>
            <w:tcW w:w="1967" w:type="dxa"/>
            <w:vAlign w:val="center"/>
          </w:tcPr>
          <w:p w14:paraId="48307779"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65,9</w:t>
            </w:r>
          </w:p>
        </w:tc>
        <w:tc>
          <w:tcPr>
            <w:tcW w:w="1756" w:type="dxa"/>
            <w:vAlign w:val="center"/>
          </w:tcPr>
          <w:p w14:paraId="06644509"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34,8</w:t>
            </w:r>
          </w:p>
        </w:tc>
        <w:tc>
          <w:tcPr>
            <w:tcW w:w="1763" w:type="dxa"/>
            <w:vAlign w:val="center"/>
          </w:tcPr>
          <w:p w14:paraId="4FB92935"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78,4</w:t>
            </w:r>
          </w:p>
        </w:tc>
      </w:tr>
      <w:tr w:rsidR="0046142C" w:rsidRPr="00A43B9C" w14:paraId="48BEA267" w14:textId="77777777" w:rsidTr="00446A37">
        <w:trPr>
          <w:jc w:val="center"/>
        </w:trPr>
        <w:tc>
          <w:tcPr>
            <w:tcW w:w="1790" w:type="dxa"/>
            <w:vAlign w:val="center"/>
          </w:tcPr>
          <w:p w14:paraId="6DB9341C"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0,81</w:t>
            </w:r>
          </w:p>
        </w:tc>
        <w:tc>
          <w:tcPr>
            <w:tcW w:w="2069" w:type="dxa"/>
            <w:vAlign w:val="center"/>
          </w:tcPr>
          <w:p w14:paraId="7510F75A"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62,5</w:t>
            </w:r>
          </w:p>
        </w:tc>
        <w:tc>
          <w:tcPr>
            <w:tcW w:w="1967" w:type="dxa"/>
            <w:vAlign w:val="center"/>
          </w:tcPr>
          <w:p w14:paraId="26EE282A"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65,9</w:t>
            </w:r>
          </w:p>
        </w:tc>
        <w:tc>
          <w:tcPr>
            <w:tcW w:w="1756" w:type="dxa"/>
            <w:vAlign w:val="center"/>
          </w:tcPr>
          <w:p w14:paraId="19879F76"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40,0</w:t>
            </w:r>
          </w:p>
        </w:tc>
        <w:tc>
          <w:tcPr>
            <w:tcW w:w="1763" w:type="dxa"/>
            <w:vAlign w:val="center"/>
          </w:tcPr>
          <w:p w14:paraId="02FD414C"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82,9</w:t>
            </w:r>
          </w:p>
        </w:tc>
      </w:tr>
      <w:tr w:rsidR="0046142C" w:rsidRPr="00A43B9C" w14:paraId="4BF3A04C" w14:textId="77777777" w:rsidTr="00446A37">
        <w:trPr>
          <w:jc w:val="center"/>
        </w:trPr>
        <w:tc>
          <w:tcPr>
            <w:tcW w:w="1790" w:type="dxa"/>
            <w:vAlign w:val="center"/>
          </w:tcPr>
          <w:p w14:paraId="54692030" w14:textId="77777777" w:rsidR="0046142C" w:rsidRPr="00A43B9C" w:rsidRDefault="0046142C"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0,80</w:t>
            </w:r>
          </w:p>
        </w:tc>
        <w:tc>
          <w:tcPr>
            <w:tcW w:w="2069" w:type="dxa"/>
            <w:vAlign w:val="center"/>
          </w:tcPr>
          <w:p w14:paraId="6004A8F4" w14:textId="77777777" w:rsidR="0046142C" w:rsidRPr="00A43B9C" w:rsidRDefault="0046142C"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62,5</w:t>
            </w:r>
          </w:p>
        </w:tc>
        <w:tc>
          <w:tcPr>
            <w:tcW w:w="1967" w:type="dxa"/>
            <w:vAlign w:val="center"/>
          </w:tcPr>
          <w:p w14:paraId="2DD2787A" w14:textId="77777777" w:rsidR="0046142C" w:rsidRPr="00A43B9C" w:rsidRDefault="0046142C"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61,4</w:t>
            </w:r>
          </w:p>
        </w:tc>
        <w:tc>
          <w:tcPr>
            <w:tcW w:w="1756" w:type="dxa"/>
            <w:vAlign w:val="center"/>
          </w:tcPr>
          <w:p w14:paraId="7E64A002" w14:textId="77777777" w:rsidR="0046142C" w:rsidRPr="00A43B9C" w:rsidRDefault="0046142C"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37,0</w:t>
            </w:r>
          </w:p>
        </w:tc>
        <w:tc>
          <w:tcPr>
            <w:tcW w:w="1763" w:type="dxa"/>
            <w:vAlign w:val="center"/>
          </w:tcPr>
          <w:p w14:paraId="755B55B3" w14:textId="77777777" w:rsidR="0046142C" w:rsidRPr="00A43B9C" w:rsidRDefault="0046142C"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81,8</w:t>
            </w:r>
          </w:p>
        </w:tc>
      </w:tr>
      <w:tr w:rsidR="0046142C" w:rsidRPr="00CD7C27" w14:paraId="12D395DF" w14:textId="77777777" w:rsidTr="00446A37">
        <w:trPr>
          <w:jc w:val="center"/>
        </w:trPr>
        <w:tc>
          <w:tcPr>
            <w:tcW w:w="1790" w:type="dxa"/>
            <w:vAlign w:val="center"/>
          </w:tcPr>
          <w:p w14:paraId="5C596F94" w14:textId="77777777" w:rsidR="0046142C" w:rsidRPr="00CD7C27" w:rsidRDefault="0046142C" w:rsidP="00446A37">
            <w:pPr>
              <w:spacing w:after="0" w:line="240" w:lineRule="auto"/>
              <w:jc w:val="center"/>
              <w:rPr>
                <w:rFonts w:ascii="Times New Roman" w:hAnsi="Times New Roman" w:cs="Times New Roman"/>
                <w:sz w:val="28"/>
                <w:szCs w:val="28"/>
              </w:rPr>
            </w:pPr>
            <w:r w:rsidRPr="00CD7C27">
              <w:rPr>
                <w:rFonts w:ascii="Times New Roman" w:hAnsi="Times New Roman" w:cs="Times New Roman"/>
                <w:sz w:val="28"/>
                <w:szCs w:val="28"/>
              </w:rPr>
              <w:t>0,74</w:t>
            </w:r>
          </w:p>
        </w:tc>
        <w:tc>
          <w:tcPr>
            <w:tcW w:w="2069" w:type="dxa"/>
            <w:vAlign w:val="center"/>
          </w:tcPr>
          <w:p w14:paraId="6E1A7726" w14:textId="77777777" w:rsidR="0046142C" w:rsidRPr="00CD7C27" w:rsidRDefault="0046142C" w:rsidP="00446A37">
            <w:pPr>
              <w:spacing w:after="0" w:line="240" w:lineRule="auto"/>
              <w:jc w:val="center"/>
              <w:rPr>
                <w:rFonts w:ascii="Times New Roman" w:hAnsi="Times New Roman" w:cs="Times New Roman"/>
                <w:sz w:val="28"/>
                <w:szCs w:val="28"/>
              </w:rPr>
            </w:pPr>
            <w:r w:rsidRPr="00CD7C27">
              <w:rPr>
                <w:rFonts w:ascii="Times New Roman" w:hAnsi="Times New Roman" w:cs="Times New Roman"/>
                <w:sz w:val="28"/>
                <w:szCs w:val="28"/>
              </w:rPr>
              <w:t>75,0</w:t>
            </w:r>
          </w:p>
        </w:tc>
        <w:tc>
          <w:tcPr>
            <w:tcW w:w="1967" w:type="dxa"/>
            <w:vAlign w:val="center"/>
          </w:tcPr>
          <w:p w14:paraId="0859ECB6" w14:textId="77777777" w:rsidR="0046142C" w:rsidRPr="00CD7C27" w:rsidRDefault="0046142C" w:rsidP="00446A37">
            <w:pPr>
              <w:spacing w:after="0" w:line="240" w:lineRule="auto"/>
              <w:jc w:val="center"/>
              <w:rPr>
                <w:rFonts w:ascii="Times New Roman" w:hAnsi="Times New Roman" w:cs="Times New Roman"/>
                <w:sz w:val="28"/>
                <w:szCs w:val="28"/>
              </w:rPr>
            </w:pPr>
            <w:r w:rsidRPr="00CD7C27">
              <w:rPr>
                <w:rFonts w:ascii="Times New Roman" w:hAnsi="Times New Roman" w:cs="Times New Roman"/>
                <w:sz w:val="28"/>
                <w:szCs w:val="28"/>
              </w:rPr>
              <w:t>61,4</w:t>
            </w:r>
          </w:p>
        </w:tc>
        <w:tc>
          <w:tcPr>
            <w:tcW w:w="1756" w:type="dxa"/>
            <w:vAlign w:val="center"/>
          </w:tcPr>
          <w:p w14:paraId="7CDAB7FD" w14:textId="77777777" w:rsidR="0046142C" w:rsidRPr="00CD7C27" w:rsidRDefault="0046142C" w:rsidP="00446A37">
            <w:pPr>
              <w:spacing w:after="0" w:line="240" w:lineRule="auto"/>
              <w:jc w:val="center"/>
              <w:rPr>
                <w:rFonts w:ascii="Times New Roman" w:hAnsi="Times New Roman" w:cs="Times New Roman"/>
                <w:sz w:val="28"/>
                <w:szCs w:val="28"/>
              </w:rPr>
            </w:pPr>
            <w:r w:rsidRPr="00CD7C27">
              <w:rPr>
                <w:rFonts w:ascii="Times New Roman" w:hAnsi="Times New Roman" w:cs="Times New Roman"/>
                <w:sz w:val="28"/>
                <w:szCs w:val="28"/>
              </w:rPr>
              <w:t>41,4</w:t>
            </w:r>
          </w:p>
        </w:tc>
        <w:tc>
          <w:tcPr>
            <w:tcW w:w="1763" w:type="dxa"/>
            <w:vAlign w:val="center"/>
          </w:tcPr>
          <w:p w14:paraId="6DD155C0" w14:textId="77777777" w:rsidR="0046142C" w:rsidRPr="00CD7C27" w:rsidRDefault="0046142C" w:rsidP="00446A37">
            <w:pPr>
              <w:spacing w:after="0" w:line="240" w:lineRule="auto"/>
              <w:jc w:val="center"/>
              <w:rPr>
                <w:rFonts w:ascii="Times New Roman" w:hAnsi="Times New Roman" w:cs="Times New Roman"/>
                <w:sz w:val="28"/>
                <w:szCs w:val="28"/>
              </w:rPr>
            </w:pPr>
            <w:r w:rsidRPr="00CD7C27">
              <w:rPr>
                <w:rFonts w:ascii="Times New Roman" w:hAnsi="Times New Roman" w:cs="Times New Roman"/>
                <w:sz w:val="28"/>
                <w:szCs w:val="28"/>
              </w:rPr>
              <w:t>87,1</w:t>
            </w:r>
          </w:p>
        </w:tc>
      </w:tr>
    </w:tbl>
    <w:p w14:paraId="18291A07" w14:textId="3D3C55A4" w:rsidR="0046142C" w:rsidRPr="00A43B9C" w:rsidRDefault="0046142C" w:rsidP="0046142C">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lastRenderedPageBreak/>
        <w:t>Площадь под ROC-кривой составила 0,668</w:t>
      </w:r>
      <w:r w:rsidR="00C63313" w:rsidRPr="00A43B9C">
        <w:rPr>
          <w:rFonts w:ascii="Times New Roman" w:hAnsi="Times New Roman" w:cs="Times New Roman"/>
          <w:sz w:val="28"/>
          <w:szCs w:val="28"/>
        </w:rPr>
        <w:t xml:space="preserve"> </w:t>
      </w:r>
      <w:r w:rsidR="00AA063E" w:rsidRPr="00A43B9C">
        <w:rPr>
          <w:rFonts w:ascii="Times New Roman" w:hAnsi="Times New Roman" w:cs="Times New Roman"/>
          <w:sz w:val="28"/>
          <w:szCs w:val="28"/>
        </w:rPr>
        <w:t>(</w:t>
      </w:r>
      <w:r w:rsidRPr="00A43B9C">
        <w:rPr>
          <w:rFonts w:ascii="Times New Roman" w:hAnsi="Times New Roman" w:cs="Times New Roman"/>
          <w:sz w:val="28"/>
          <w:szCs w:val="28"/>
        </w:rPr>
        <w:t>95% ДИ 0,505 – 0,831</w:t>
      </w:r>
      <w:r w:rsidR="00AA063E" w:rsidRPr="00A43B9C">
        <w:rPr>
          <w:rFonts w:ascii="Times New Roman" w:hAnsi="Times New Roman" w:cs="Times New Roman"/>
          <w:sz w:val="28"/>
          <w:szCs w:val="28"/>
        </w:rPr>
        <w:t>)</w:t>
      </w:r>
      <w:r w:rsidRPr="00A43B9C">
        <w:rPr>
          <w:rFonts w:ascii="Times New Roman" w:hAnsi="Times New Roman" w:cs="Times New Roman"/>
          <w:sz w:val="28"/>
          <w:szCs w:val="28"/>
        </w:rPr>
        <w:t xml:space="preserve">. </w:t>
      </w:r>
      <w:r w:rsidR="00AA063E" w:rsidRPr="00A43B9C">
        <w:rPr>
          <w:rFonts w:ascii="Times New Roman" w:hAnsi="Times New Roman" w:cs="Times New Roman"/>
          <w:sz w:val="28"/>
          <w:szCs w:val="28"/>
        </w:rPr>
        <w:t xml:space="preserve">Данная </w:t>
      </w:r>
      <w:r w:rsidRPr="00A43B9C">
        <w:rPr>
          <w:rFonts w:ascii="Times New Roman" w:hAnsi="Times New Roman" w:cs="Times New Roman"/>
          <w:sz w:val="28"/>
          <w:szCs w:val="28"/>
        </w:rPr>
        <w:t>модель была статистически значимой (p = 0,049).</w:t>
      </w:r>
      <w:r w:rsidR="00AA063E"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Пороговое значение уровня </w:t>
      </w:r>
      <w:r w:rsidR="00AA063E"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AA063E"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AA063E"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RLH в точке </w:t>
      </w:r>
      <w:r w:rsidR="00AA063E" w:rsidRPr="00A43B9C">
        <w:rPr>
          <w:rFonts w:ascii="Times New Roman" w:hAnsi="Times New Roman" w:cs="Times New Roman"/>
          <w:sz w:val="28"/>
          <w:szCs w:val="28"/>
        </w:rPr>
        <w:t>отсечения</w:t>
      </w:r>
      <w:r w:rsidRPr="00A43B9C">
        <w:rPr>
          <w:rFonts w:ascii="Times New Roman" w:hAnsi="Times New Roman" w:cs="Times New Roman"/>
          <w:sz w:val="28"/>
          <w:szCs w:val="28"/>
        </w:rPr>
        <w:t>, которому соответствовало наивысшее значение индекса Юдена, составило 0,74 (рисунок 4</w:t>
      </w:r>
      <w:r w:rsidR="00E81502">
        <w:rPr>
          <w:rFonts w:ascii="Times New Roman" w:hAnsi="Times New Roman" w:cs="Times New Roman"/>
          <w:sz w:val="28"/>
          <w:szCs w:val="28"/>
        </w:rPr>
        <w:t>8</w:t>
      </w:r>
      <w:r w:rsidRPr="00A43B9C">
        <w:rPr>
          <w:rFonts w:ascii="Times New Roman" w:hAnsi="Times New Roman" w:cs="Times New Roman"/>
          <w:sz w:val="28"/>
          <w:szCs w:val="28"/>
        </w:rPr>
        <w:t xml:space="preserve">). Наличие </w:t>
      </w:r>
      <w:r w:rsidR="000874C1" w:rsidRPr="00A43B9C">
        <w:rPr>
          <w:rFonts w:ascii="Times New Roman" w:eastAsia="Times New Roman" w:hAnsi="Times New Roman" w:cs="Times New Roman"/>
          <w:sz w:val="28"/>
          <w:szCs w:val="28"/>
          <w:lang w:val="en-US" w:eastAsia="ru-RU"/>
        </w:rPr>
        <w:t>pLM</w:t>
      </w:r>
      <w:r w:rsidRPr="00A43B9C">
        <w:rPr>
          <w:rFonts w:ascii="Times New Roman" w:hAnsi="Times New Roman" w:cs="Times New Roman"/>
          <w:sz w:val="28"/>
          <w:szCs w:val="28"/>
        </w:rPr>
        <w:t xml:space="preserve"> прогнозировалось при значении уровня </w:t>
      </w:r>
      <w:r w:rsidR="00AA063E"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AA063E"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AA063E"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RLH ниже данной величины или равном ей. Чувствительность и специфичность модели составили 75,0% и 61,4%, а </w:t>
      </w:r>
      <w:r w:rsidRPr="00A43B9C">
        <w:rPr>
          <w:rFonts w:ascii="Times New Roman" w:hAnsi="Times New Roman" w:cs="Times New Roman"/>
          <w:sz w:val="28"/>
          <w:szCs w:val="28"/>
          <w:lang w:val="en-US"/>
        </w:rPr>
        <w:t>PPV</w:t>
      </w:r>
      <w:r w:rsidRPr="00A43B9C">
        <w:rPr>
          <w:rFonts w:ascii="Times New Roman" w:hAnsi="Times New Roman" w:cs="Times New Roman"/>
          <w:sz w:val="28"/>
          <w:szCs w:val="28"/>
        </w:rPr>
        <w:t xml:space="preserve"> и </w:t>
      </w:r>
      <w:r w:rsidRPr="00A43B9C">
        <w:rPr>
          <w:rFonts w:ascii="Times New Roman" w:hAnsi="Times New Roman" w:cs="Times New Roman"/>
          <w:sz w:val="28"/>
          <w:szCs w:val="28"/>
          <w:lang w:val="en-US"/>
        </w:rPr>
        <w:t>NPV</w:t>
      </w:r>
      <w:r w:rsidRPr="00A43B9C">
        <w:rPr>
          <w:rFonts w:ascii="Times New Roman" w:hAnsi="Times New Roman" w:cs="Times New Roman"/>
          <w:sz w:val="28"/>
          <w:szCs w:val="28"/>
        </w:rPr>
        <w:t xml:space="preserve"> составили 41,4% и 87,1% соответственно (таблица 36).</w:t>
      </w:r>
    </w:p>
    <w:p w14:paraId="04F0A623" w14:textId="10F4A5AF" w:rsidR="003018CE" w:rsidRPr="00A43B9C" w:rsidRDefault="003018CE" w:rsidP="003018CE">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Результаты топографической реконструкции </w:t>
      </w:r>
      <w:r w:rsidRPr="00A43B9C">
        <w:rPr>
          <w:rFonts w:ascii="Times New Roman" w:eastAsia="NewtonC" w:hAnsi="Times New Roman" w:cs="Times New Roman"/>
          <w:sz w:val="28"/>
          <w:szCs w:val="28"/>
        </w:rPr>
        <w:t>изображений ПЭТ/КТ исследования в а</w:t>
      </w:r>
      <w:r w:rsidRPr="00A43B9C">
        <w:rPr>
          <w:rFonts w:ascii="Times New Roman" w:hAnsi="Times New Roman" w:cs="Times New Roman"/>
          <w:sz w:val="28"/>
          <w:szCs w:val="28"/>
        </w:rPr>
        <w:t xml:space="preserve">ксиальной плоскости приведены на рисунке </w:t>
      </w:r>
      <w:r w:rsidR="005E677C" w:rsidRPr="00A43B9C">
        <w:rPr>
          <w:rFonts w:ascii="Times New Roman" w:hAnsi="Times New Roman" w:cs="Times New Roman"/>
          <w:sz w:val="28"/>
          <w:szCs w:val="28"/>
        </w:rPr>
        <w:t>4</w:t>
      </w:r>
      <w:r w:rsidR="00E81502">
        <w:rPr>
          <w:rFonts w:ascii="Times New Roman" w:hAnsi="Times New Roman" w:cs="Times New Roman"/>
          <w:sz w:val="28"/>
          <w:szCs w:val="28"/>
        </w:rPr>
        <w:t>9</w:t>
      </w:r>
      <w:r w:rsidRPr="00A43B9C">
        <w:rPr>
          <w:rFonts w:ascii="Times New Roman" w:hAnsi="Times New Roman" w:cs="Times New Roman"/>
          <w:sz w:val="28"/>
          <w:szCs w:val="28"/>
        </w:rPr>
        <w:t xml:space="preserve"> для статистически достоверной </w:t>
      </w:r>
      <w:r w:rsidR="00AA063E"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RLH.</w:t>
      </w:r>
    </w:p>
    <w:p w14:paraId="0E43B98F" w14:textId="77777777" w:rsidR="00E97D9E" w:rsidRDefault="00E97D9E" w:rsidP="003018CE">
      <w:pPr>
        <w:autoSpaceDE w:val="0"/>
        <w:autoSpaceDN w:val="0"/>
        <w:adjustRightInd w:val="0"/>
        <w:spacing w:after="0" w:line="240" w:lineRule="auto"/>
        <w:ind w:firstLine="709"/>
        <w:jc w:val="center"/>
        <w:rPr>
          <w:rFonts w:ascii="Times New Roman" w:eastAsia="NewtonC" w:hAnsi="Times New Roman" w:cs="Times New Roman"/>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E97D9E" w14:paraId="3DE29D31" w14:textId="77777777" w:rsidTr="00E97D9E">
        <w:tc>
          <w:tcPr>
            <w:tcW w:w="4672" w:type="dxa"/>
          </w:tcPr>
          <w:p w14:paraId="5D788A72" w14:textId="592802BF" w:rsidR="00E97D9E" w:rsidRDefault="00E97D9E" w:rsidP="003018CE">
            <w:pPr>
              <w:autoSpaceDE w:val="0"/>
              <w:autoSpaceDN w:val="0"/>
              <w:adjustRightInd w:val="0"/>
              <w:spacing w:after="0" w:line="240" w:lineRule="auto"/>
              <w:jc w:val="center"/>
              <w:rPr>
                <w:rFonts w:ascii="Times New Roman" w:eastAsia="NewtonC" w:hAnsi="Times New Roman" w:cs="Times New Roman"/>
                <w:sz w:val="28"/>
                <w:szCs w:val="28"/>
              </w:rPr>
            </w:pPr>
            <w:r w:rsidRPr="00A43B9C">
              <w:rPr>
                <w:rFonts w:ascii="Times New Roman" w:hAnsi="Times New Roman" w:cs="Times New Roman"/>
                <w:noProof/>
                <w:sz w:val="24"/>
                <w:szCs w:val="28"/>
                <w:lang w:val="en-US" w:eastAsia="ru-RU"/>
              </w:rPr>
              <w:drawing>
                <wp:inline distT="0" distB="0" distL="0" distR="0" wp14:anchorId="6EFE39E4" wp14:editId="5EF3B6F2">
                  <wp:extent cx="2818964" cy="1800000"/>
                  <wp:effectExtent l="0" t="0" r="635"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21" cstate="print">
                            <a:extLst>
                              <a:ext uri="{28A0092B-C50C-407E-A947-70E740481C1C}">
                                <a14:useLocalDpi xmlns:a14="http://schemas.microsoft.com/office/drawing/2010/main" val="0"/>
                              </a:ext>
                            </a:extLst>
                          </a:blip>
                          <a:srcRect t="8185" b="7364"/>
                          <a:stretch/>
                        </pic:blipFill>
                        <pic:spPr bwMode="auto">
                          <a:xfrm>
                            <a:off x="0" y="0"/>
                            <a:ext cx="2818964"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14:paraId="746410BA" w14:textId="1801DDD4" w:rsidR="00E97D9E" w:rsidRDefault="00E97D9E" w:rsidP="003018CE">
            <w:pPr>
              <w:autoSpaceDE w:val="0"/>
              <w:autoSpaceDN w:val="0"/>
              <w:adjustRightInd w:val="0"/>
              <w:spacing w:after="0" w:line="240" w:lineRule="auto"/>
              <w:jc w:val="center"/>
              <w:rPr>
                <w:rFonts w:ascii="Times New Roman" w:eastAsia="NewtonC" w:hAnsi="Times New Roman" w:cs="Times New Roman"/>
                <w:sz w:val="28"/>
                <w:szCs w:val="28"/>
              </w:rPr>
            </w:pPr>
            <w:r w:rsidRPr="00A43B9C">
              <w:rPr>
                <w:rFonts w:ascii="Times New Roman" w:hAnsi="Times New Roman" w:cs="Times New Roman"/>
                <w:noProof/>
                <w:sz w:val="24"/>
                <w:szCs w:val="28"/>
                <w:lang w:val="en-US" w:eastAsia="ru-RU"/>
              </w:rPr>
              <w:drawing>
                <wp:inline distT="0" distB="0" distL="0" distR="0" wp14:anchorId="1AA7BEF2" wp14:editId="674553A3">
                  <wp:extent cx="2797202" cy="1800000"/>
                  <wp:effectExtent l="0" t="0" r="3175"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22" cstate="print">
                            <a:extLst>
                              <a:ext uri="{28A0092B-C50C-407E-A947-70E740481C1C}">
                                <a14:useLocalDpi xmlns:a14="http://schemas.microsoft.com/office/drawing/2010/main" val="0"/>
                              </a:ext>
                            </a:extLst>
                          </a:blip>
                          <a:srcRect l="15115" t="6188" r="16140" b="41359"/>
                          <a:stretch/>
                        </pic:blipFill>
                        <pic:spPr bwMode="auto">
                          <a:xfrm>
                            <a:off x="0" y="0"/>
                            <a:ext cx="2797202"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97D9E" w:rsidRPr="00AB2535" w14:paraId="09781213" w14:textId="77777777" w:rsidTr="00E97D9E">
        <w:tc>
          <w:tcPr>
            <w:tcW w:w="4672" w:type="dxa"/>
          </w:tcPr>
          <w:p w14:paraId="39B530C0" w14:textId="3F34C376" w:rsidR="00E97D9E" w:rsidRPr="00AB2535" w:rsidRDefault="00E97D9E" w:rsidP="00E97D9E">
            <w:pPr>
              <w:autoSpaceDE w:val="0"/>
              <w:autoSpaceDN w:val="0"/>
              <w:adjustRightInd w:val="0"/>
              <w:spacing w:after="0" w:line="240" w:lineRule="auto"/>
              <w:jc w:val="center"/>
              <w:rPr>
                <w:rFonts w:ascii="Times New Roman" w:eastAsia="NewtonC" w:hAnsi="Times New Roman" w:cs="Times New Roman"/>
                <w:sz w:val="24"/>
                <w:szCs w:val="24"/>
              </w:rPr>
            </w:pPr>
            <w:r w:rsidRPr="00AB2535">
              <w:rPr>
                <w:rFonts w:ascii="Times New Roman" w:hAnsi="Times New Roman" w:cs="Times New Roman"/>
                <w:sz w:val="24"/>
                <w:szCs w:val="24"/>
              </w:rPr>
              <w:t>а)</w:t>
            </w:r>
            <w:r w:rsidR="00AB2535" w:rsidRPr="00AB2535">
              <w:rPr>
                <w:rFonts w:ascii="Times New Roman" w:hAnsi="Times New Roman" w:cs="Times New Roman"/>
                <w:sz w:val="24"/>
                <w:szCs w:val="24"/>
              </w:rPr>
              <w:t xml:space="preserve"> ПЭТ изображение</w:t>
            </w:r>
          </w:p>
        </w:tc>
        <w:tc>
          <w:tcPr>
            <w:tcW w:w="4673" w:type="dxa"/>
          </w:tcPr>
          <w:p w14:paraId="771C0851" w14:textId="455DA8BA" w:rsidR="00E97D9E" w:rsidRPr="00AB2535" w:rsidRDefault="00E97D9E" w:rsidP="00E97D9E">
            <w:pPr>
              <w:autoSpaceDE w:val="0"/>
              <w:autoSpaceDN w:val="0"/>
              <w:adjustRightInd w:val="0"/>
              <w:spacing w:after="0" w:line="240" w:lineRule="auto"/>
              <w:jc w:val="center"/>
              <w:rPr>
                <w:rFonts w:ascii="Times New Roman" w:eastAsia="NewtonC" w:hAnsi="Times New Roman" w:cs="Times New Roman"/>
                <w:sz w:val="24"/>
                <w:szCs w:val="24"/>
              </w:rPr>
            </w:pPr>
            <w:r w:rsidRPr="00AB2535">
              <w:rPr>
                <w:rFonts w:ascii="Times New Roman" w:hAnsi="Times New Roman" w:cs="Times New Roman"/>
                <w:sz w:val="24"/>
                <w:szCs w:val="24"/>
              </w:rPr>
              <w:t>б)</w:t>
            </w:r>
            <w:r w:rsidR="00AB2535" w:rsidRPr="00AB2535">
              <w:rPr>
                <w:rFonts w:ascii="Times New Roman" w:hAnsi="Times New Roman" w:cs="Times New Roman"/>
                <w:sz w:val="24"/>
                <w:szCs w:val="24"/>
              </w:rPr>
              <w:t xml:space="preserve"> Визуализация накопления </w:t>
            </w:r>
            <w:r w:rsidR="00AB2535" w:rsidRPr="00AB2535">
              <w:rPr>
                <w:rFonts w:ascii="Times New Roman" w:eastAsia="NewtonC" w:hAnsi="Times New Roman" w:cs="Times New Roman"/>
                <w:sz w:val="24"/>
                <w:szCs w:val="24"/>
                <w:vertAlign w:val="superscript"/>
              </w:rPr>
              <w:t>18</w:t>
            </w:r>
            <w:r w:rsidR="00AB2535" w:rsidRPr="00AB2535">
              <w:rPr>
                <w:rFonts w:ascii="Times New Roman" w:eastAsia="NewtonC" w:hAnsi="Times New Roman" w:cs="Times New Roman"/>
                <w:sz w:val="24"/>
                <w:szCs w:val="24"/>
                <w:lang w:val="en-US"/>
              </w:rPr>
              <w:t>F</w:t>
            </w:r>
            <w:r w:rsidR="00AB2535" w:rsidRPr="00AB2535">
              <w:rPr>
                <w:rFonts w:ascii="Times New Roman" w:eastAsia="NewtonC" w:hAnsi="Times New Roman" w:cs="Times New Roman"/>
                <w:sz w:val="24"/>
                <w:szCs w:val="24"/>
              </w:rPr>
              <w:t>-</w:t>
            </w:r>
            <w:r w:rsidR="00AB2535" w:rsidRPr="00AB2535">
              <w:rPr>
                <w:rFonts w:ascii="Times New Roman" w:eastAsia="NewtonC" w:hAnsi="Times New Roman" w:cs="Times New Roman"/>
                <w:sz w:val="24"/>
                <w:szCs w:val="24"/>
                <w:lang w:val="en-US"/>
              </w:rPr>
              <w:t>FDG</w:t>
            </w:r>
            <w:r w:rsidR="00AB2535" w:rsidRPr="00AB2535">
              <w:rPr>
                <w:rFonts w:ascii="Times New Roman" w:eastAsia="NewtonC" w:hAnsi="Times New Roman" w:cs="Times New Roman"/>
                <w:sz w:val="24"/>
                <w:szCs w:val="24"/>
              </w:rPr>
              <w:t xml:space="preserve"> в режиме </w:t>
            </w:r>
            <w:r w:rsidR="00AB2535" w:rsidRPr="00AB2535">
              <w:rPr>
                <w:rFonts w:ascii="Times New Roman" w:eastAsia="NewtonC" w:hAnsi="Times New Roman" w:cs="Times New Roman"/>
                <w:sz w:val="24"/>
                <w:szCs w:val="24"/>
                <w:lang w:val="en-US"/>
              </w:rPr>
              <w:t>Fusion</w:t>
            </w:r>
          </w:p>
        </w:tc>
      </w:tr>
    </w:tbl>
    <w:p w14:paraId="7816E901" w14:textId="77777777" w:rsidR="00AB2535" w:rsidRDefault="00AB2535" w:rsidP="003018CE">
      <w:pPr>
        <w:autoSpaceDE w:val="0"/>
        <w:autoSpaceDN w:val="0"/>
        <w:adjustRightInd w:val="0"/>
        <w:spacing w:after="0" w:line="240" w:lineRule="auto"/>
        <w:ind w:firstLine="709"/>
        <w:jc w:val="center"/>
        <w:rPr>
          <w:rFonts w:ascii="Times New Roman" w:eastAsia="NewtonC" w:hAnsi="Times New Roman" w:cs="Times New Roman"/>
          <w:sz w:val="28"/>
          <w:szCs w:val="28"/>
        </w:rPr>
      </w:pPr>
    </w:p>
    <w:p w14:paraId="6CEBF183" w14:textId="74B01B74" w:rsidR="003018CE" w:rsidRPr="003A5B51" w:rsidRDefault="003018CE" w:rsidP="003018CE">
      <w:pPr>
        <w:autoSpaceDE w:val="0"/>
        <w:autoSpaceDN w:val="0"/>
        <w:adjustRightInd w:val="0"/>
        <w:spacing w:after="0" w:line="240" w:lineRule="auto"/>
        <w:ind w:firstLine="709"/>
        <w:jc w:val="center"/>
        <w:rPr>
          <w:rFonts w:ascii="Times New Roman" w:eastAsia="NewtonC" w:hAnsi="Times New Roman" w:cs="Times New Roman"/>
          <w:sz w:val="28"/>
          <w:szCs w:val="28"/>
        </w:rPr>
      </w:pPr>
      <w:r w:rsidRPr="00A43B9C">
        <w:rPr>
          <w:rFonts w:ascii="Times New Roman" w:eastAsia="NewtonC" w:hAnsi="Times New Roman" w:cs="Times New Roman"/>
          <w:sz w:val="28"/>
          <w:szCs w:val="28"/>
        </w:rPr>
        <w:t xml:space="preserve">Рисунок </w:t>
      </w:r>
      <w:r w:rsidR="005E677C" w:rsidRPr="00A43B9C">
        <w:rPr>
          <w:rFonts w:ascii="Times New Roman" w:eastAsia="NewtonC" w:hAnsi="Times New Roman" w:cs="Times New Roman"/>
          <w:sz w:val="28"/>
          <w:szCs w:val="28"/>
        </w:rPr>
        <w:t>4</w:t>
      </w:r>
      <w:r w:rsidR="001A1D98">
        <w:rPr>
          <w:rFonts w:ascii="Times New Roman" w:eastAsia="NewtonC" w:hAnsi="Times New Roman" w:cs="Times New Roman"/>
          <w:sz w:val="28"/>
          <w:szCs w:val="28"/>
        </w:rPr>
        <w:t>9</w:t>
      </w:r>
      <w:r w:rsidRPr="00A43B9C">
        <w:rPr>
          <w:rFonts w:ascii="Times New Roman" w:eastAsia="NewtonC" w:hAnsi="Times New Roman" w:cs="Times New Roman"/>
          <w:sz w:val="28"/>
          <w:szCs w:val="28"/>
        </w:rPr>
        <w:t xml:space="preserve"> – Пациент </w:t>
      </w:r>
      <w:r w:rsidR="00D52298" w:rsidRPr="00A43B9C">
        <w:rPr>
          <w:rFonts w:ascii="Times New Roman" w:eastAsia="NewtonC" w:hAnsi="Times New Roman" w:cs="Times New Roman"/>
          <w:sz w:val="28"/>
          <w:szCs w:val="28"/>
        </w:rPr>
        <w:t>И</w:t>
      </w:r>
      <w:r w:rsidRPr="00A43B9C">
        <w:rPr>
          <w:rFonts w:ascii="Times New Roman" w:eastAsia="NewtonC" w:hAnsi="Times New Roman" w:cs="Times New Roman"/>
          <w:sz w:val="28"/>
          <w:szCs w:val="28"/>
        </w:rPr>
        <w:t>.</w:t>
      </w:r>
      <w:r w:rsidR="00150973" w:rsidRPr="00A43B9C">
        <w:rPr>
          <w:rFonts w:ascii="Times New Roman" w:eastAsia="NewtonC" w:hAnsi="Times New Roman" w:cs="Times New Roman"/>
          <w:sz w:val="28"/>
          <w:szCs w:val="28"/>
        </w:rPr>
        <w:t xml:space="preserve"> (63 г., муж</w:t>
      </w:r>
      <w:r w:rsidR="00C40B6D" w:rsidRPr="00A43B9C">
        <w:rPr>
          <w:rFonts w:ascii="Times New Roman" w:eastAsia="NewtonC" w:hAnsi="Times New Roman" w:cs="Times New Roman"/>
          <w:sz w:val="28"/>
          <w:szCs w:val="28"/>
        </w:rPr>
        <w:t>чина</w:t>
      </w:r>
      <w:r w:rsidR="00150973" w:rsidRPr="00A43B9C">
        <w:rPr>
          <w:rFonts w:ascii="Times New Roman" w:eastAsia="NewtonC" w:hAnsi="Times New Roman" w:cs="Times New Roman"/>
          <w:sz w:val="28"/>
          <w:szCs w:val="28"/>
        </w:rPr>
        <w:t>)</w:t>
      </w:r>
      <w:r w:rsidRPr="00A43B9C">
        <w:rPr>
          <w:rFonts w:ascii="Times New Roman" w:eastAsia="NewtonC" w:hAnsi="Times New Roman" w:cs="Times New Roman"/>
          <w:sz w:val="28"/>
          <w:szCs w:val="28"/>
        </w:rPr>
        <w:t xml:space="preserve"> </w:t>
      </w:r>
      <w:r w:rsidR="00AA063E" w:rsidRPr="00A43B9C">
        <w:rPr>
          <w:rFonts w:ascii="Times New Roman" w:eastAsia="NewtonC" w:hAnsi="Times New Roman" w:cs="Times New Roman"/>
          <w:sz w:val="28"/>
          <w:szCs w:val="28"/>
        </w:rPr>
        <w:t>с КРР</w:t>
      </w:r>
      <w:r w:rsidR="00252824">
        <w:rPr>
          <w:rFonts w:ascii="Times New Roman" w:eastAsia="NewtonC" w:hAnsi="Times New Roman" w:cs="Times New Roman"/>
          <w:sz w:val="28"/>
          <w:szCs w:val="28"/>
        </w:rPr>
        <w:t>,</w:t>
      </w:r>
      <w:r w:rsidRPr="00A43B9C">
        <w:rPr>
          <w:rFonts w:ascii="Times New Roman" w:eastAsia="NewtonC" w:hAnsi="Times New Roman" w:cs="Times New Roman"/>
          <w:sz w:val="28"/>
          <w:szCs w:val="28"/>
        </w:rPr>
        <w:t xml:space="preserve"> </w:t>
      </w:r>
      <w:r w:rsidRPr="00A43B9C">
        <w:rPr>
          <w:rFonts w:ascii="Times New Roman" w:eastAsia="NewtonC" w:hAnsi="Times New Roman" w:cs="Times New Roman"/>
          <w:sz w:val="28"/>
          <w:szCs w:val="28"/>
          <w:lang w:val="en-US"/>
        </w:rPr>
        <w:t>St</w:t>
      </w:r>
      <w:r w:rsidRPr="00A43B9C">
        <w:rPr>
          <w:rFonts w:ascii="Times New Roman" w:eastAsia="NewtonC" w:hAnsi="Times New Roman" w:cs="Times New Roman"/>
          <w:sz w:val="28"/>
          <w:szCs w:val="28"/>
        </w:rPr>
        <w:t xml:space="preserve"> </w:t>
      </w:r>
      <w:r w:rsidRPr="00A43B9C">
        <w:rPr>
          <w:rFonts w:ascii="Times New Roman" w:eastAsia="NewtonC" w:hAnsi="Times New Roman" w:cs="Times New Roman"/>
          <w:sz w:val="28"/>
          <w:szCs w:val="28"/>
          <w:lang w:val="en-US"/>
        </w:rPr>
        <w:t>II</w:t>
      </w:r>
      <w:r w:rsidR="00252824">
        <w:rPr>
          <w:rFonts w:ascii="Times New Roman" w:eastAsia="NewtonC" w:hAnsi="Times New Roman" w:cs="Times New Roman"/>
          <w:sz w:val="28"/>
          <w:szCs w:val="28"/>
        </w:rPr>
        <w:t>,</w:t>
      </w:r>
      <w:r w:rsidRPr="00A43B9C">
        <w:rPr>
          <w:rFonts w:ascii="Times New Roman" w:eastAsia="NewtonC" w:hAnsi="Times New Roman" w:cs="Times New Roman"/>
          <w:sz w:val="28"/>
          <w:szCs w:val="28"/>
        </w:rPr>
        <w:t xml:space="preserve"> </w:t>
      </w:r>
      <w:r w:rsidRPr="00A43B9C">
        <w:rPr>
          <w:rFonts w:ascii="Times New Roman" w:hAnsi="Times New Roman" w:cs="Times New Roman"/>
          <w:sz w:val="28"/>
          <w:szCs w:val="28"/>
          <w:lang w:val="en-US"/>
        </w:rPr>
        <w:t>T</w:t>
      </w:r>
      <w:r w:rsidR="00D52298" w:rsidRPr="00A43B9C">
        <w:rPr>
          <w:rFonts w:ascii="Times New Roman" w:hAnsi="Times New Roman" w:cs="Times New Roman"/>
          <w:sz w:val="28"/>
          <w:szCs w:val="28"/>
          <w:vertAlign w:val="subscript"/>
        </w:rPr>
        <w:t>3</w:t>
      </w:r>
      <w:r w:rsidRPr="00A43B9C">
        <w:rPr>
          <w:rFonts w:ascii="Times New Roman" w:hAnsi="Times New Roman" w:cs="Times New Roman"/>
          <w:sz w:val="28"/>
          <w:szCs w:val="28"/>
          <w:lang w:val="en-US"/>
        </w:rPr>
        <w:t>N</w:t>
      </w:r>
      <w:r w:rsidRPr="00A43B9C">
        <w:rPr>
          <w:rFonts w:ascii="Times New Roman" w:hAnsi="Times New Roman" w:cs="Times New Roman"/>
          <w:sz w:val="28"/>
          <w:szCs w:val="28"/>
          <w:vertAlign w:val="subscript"/>
          <w:lang w:val="en-US"/>
        </w:rPr>
        <w:t>x</w:t>
      </w:r>
      <w:r w:rsidRPr="00A43B9C">
        <w:rPr>
          <w:rFonts w:ascii="Times New Roman" w:hAnsi="Times New Roman" w:cs="Times New Roman"/>
          <w:sz w:val="28"/>
          <w:szCs w:val="28"/>
          <w:lang w:val="en-US"/>
        </w:rPr>
        <w:t>M</w:t>
      </w:r>
      <w:r w:rsidR="00F4471D" w:rsidRPr="00A43B9C">
        <w:rPr>
          <w:rFonts w:ascii="Times New Roman" w:hAnsi="Times New Roman" w:cs="Times New Roman"/>
          <w:sz w:val="28"/>
          <w:szCs w:val="28"/>
          <w:vertAlign w:val="subscript"/>
        </w:rPr>
        <w:t>0</w:t>
      </w:r>
      <w:r w:rsidRPr="00A43B9C">
        <w:rPr>
          <w:rFonts w:ascii="Times New Roman" w:eastAsia="NewtonC" w:hAnsi="Times New Roman" w:cs="Times New Roman"/>
          <w:sz w:val="28"/>
          <w:szCs w:val="28"/>
        </w:rPr>
        <w:t>. Результаты топографической реконструкции изображений ПЭТ/КТ исследования в а</w:t>
      </w:r>
      <w:r w:rsidRPr="00A43B9C">
        <w:rPr>
          <w:rFonts w:ascii="Times New Roman" w:hAnsi="Times New Roman" w:cs="Times New Roman"/>
          <w:sz w:val="28"/>
          <w:szCs w:val="28"/>
        </w:rPr>
        <w:t>ксиальной плоскости</w:t>
      </w:r>
      <w:r w:rsidR="00AA063E" w:rsidRPr="00A43B9C">
        <w:rPr>
          <w:rFonts w:ascii="Times New Roman" w:hAnsi="Times New Roman" w:cs="Times New Roman"/>
          <w:sz w:val="28"/>
          <w:szCs w:val="28"/>
        </w:rPr>
        <w:t xml:space="preserve">, локализация </w:t>
      </w:r>
      <w:r w:rsidRPr="00A43B9C">
        <w:rPr>
          <w:rFonts w:ascii="Times New Roman" w:hAnsi="Times New Roman" w:cs="Times New Roman"/>
          <w:sz w:val="28"/>
          <w:szCs w:val="28"/>
        </w:rPr>
        <w:t>RLH</w:t>
      </w:r>
    </w:p>
    <w:p w14:paraId="33A59ED2" w14:textId="73CAB953" w:rsidR="003018CE" w:rsidRPr="00A43B9C" w:rsidRDefault="003018CE" w:rsidP="0046142C">
      <w:pPr>
        <w:spacing w:after="0" w:line="240" w:lineRule="auto"/>
        <w:rPr>
          <w:rFonts w:ascii="Times New Roman" w:hAnsi="Times New Roman" w:cs="Times New Roman"/>
          <w:sz w:val="28"/>
          <w:szCs w:val="28"/>
        </w:rPr>
      </w:pPr>
    </w:p>
    <w:p w14:paraId="3350D578" w14:textId="6F991634" w:rsidR="0046142C" w:rsidRPr="00A43B9C" w:rsidRDefault="0046142C" w:rsidP="0046142C">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При оценке зависимости вероятности </w:t>
      </w:r>
      <w:r w:rsidR="000874C1" w:rsidRPr="00A43B9C">
        <w:rPr>
          <w:rFonts w:ascii="Times New Roman" w:eastAsia="Times New Roman" w:hAnsi="Times New Roman" w:cs="Times New Roman"/>
          <w:sz w:val="28"/>
          <w:szCs w:val="28"/>
          <w:lang w:val="en-US" w:eastAsia="ru-RU"/>
        </w:rPr>
        <w:t>LM</w:t>
      </w:r>
      <w:r w:rsidRPr="00A43B9C">
        <w:rPr>
          <w:rFonts w:ascii="Times New Roman" w:hAnsi="Times New Roman" w:cs="Times New Roman"/>
          <w:sz w:val="28"/>
          <w:szCs w:val="28"/>
        </w:rPr>
        <w:t xml:space="preserve"> в </w:t>
      </w:r>
      <w:r w:rsidR="00AA063E"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RRL с помощью ROC-анализа была получена следующая кривая (рисунок </w:t>
      </w:r>
      <w:r w:rsidR="00E81502">
        <w:rPr>
          <w:rFonts w:ascii="Times New Roman" w:hAnsi="Times New Roman" w:cs="Times New Roman"/>
          <w:sz w:val="28"/>
          <w:szCs w:val="28"/>
        </w:rPr>
        <w:t>50</w:t>
      </w:r>
      <w:r w:rsidRPr="00A43B9C">
        <w:rPr>
          <w:rFonts w:ascii="Times New Roman" w:hAnsi="Times New Roman" w:cs="Times New Roman"/>
          <w:sz w:val="28"/>
          <w:szCs w:val="28"/>
        </w:rPr>
        <w:t>).</w:t>
      </w:r>
    </w:p>
    <w:p w14:paraId="3F1A1FA8" w14:textId="77777777"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16B8ED86" wp14:editId="0E385C92">
            <wp:extent cx="3685242" cy="2268000"/>
            <wp:effectExtent l="0" t="0" r="0" b="0"/>
            <wp:docPr id="22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8.png"/>
                    <pic:cNvPicPr/>
                  </pic:nvPicPr>
                  <pic:blipFill>
                    <a:blip r:embed="rId323"/>
                    <a:stretch>
                      <a:fillRect/>
                    </a:stretch>
                  </pic:blipFill>
                  <pic:spPr>
                    <a:xfrm>
                      <a:off x="0" y="0"/>
                      <a:ext cx="3685242" cy="2268000"/>
                    </a:xfrm>
                    <a:prstGeom prst="rect">
                      <a:avLst/>
                    </a:prstGeom>
                  </pic:spPr>
                </pic:pic>
              </a:graphicData>
            </a:graphic>
          </wp:inline>
        </w:drawing>
      </w:r>
    </w:p>
    <w:p w14:paraId="683D394F" w14:textId="4AA08BBB"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 xml:space="preserve">Рисунок </w:t>
      </w:r>
      <w:r w:rsidR="001A1D98">
        <w:rPr>
          <w:rFonts w:ascii="Times New Roman" w:hAnsi="Times New Roman" w:cs="Times New Roman"/>
          <w:sz w:val="28"/>
          <w:szCs w:val="28"/>
        </w:rPr>
        <w:t>50</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ROC-кривая, характеризующая зависимость вероятности </w:t>
      </w:r>
      <w:r w:rsidR="00777C9A">
        <w:rPr>
          <w:rFonts w:ascii="Times New Roman" w:hAnsi="Times New Roman" w:cs="Times New Roman"/>
          <w:sz w:val="28"/>
          <w:szCs w:val="28"/>
          <w:lang w:val="en-US"/>
        </w:rPr>
        <w:t>p</w:t>
      </w:r>
      <w:r w:rsidR="000874C1" w:rsidRPr="00A43B9C">
        <w:rPr>
          <w:rFonts w:ascii="Times New Roman" w:hAnsi="Times New Roman" w:cs="Times New Roman"/>
          <w:sz w:val="28"/>
          <w:szCs w:val="28"/>
          <w:lang w:val="en-US"/>
        </w:rPr>
        <w:t>LM</w:t>
      </w:r>
      <w:r w:rsidRPr="00A43B9C">
        <w:rPr>
          <w:rFonts w:ascii="Times New Roman" w:hAnsi="Times New Roman" w:cs="Times New Roman"/>
          <w:sz w:val="28"/>
          <w:szCs w:val="28"/>
        </w:rPr>
        <w:t xml:space="preserve"> от </w:t>
      </w:r>
      <w:r w:rsidR="00AA063E"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RRL</w:t>
      </w:r>
    </w:p>
    <w:p w14:paraId="0FCC7E45" w14:textId="77777777" w:rsidR="0046142C" w:rsidRPr="00A43B9C" w:rsidRDefault="0046142C" w:rsidP="0046142C">
      <w:pPr>
        <w:spacing w:after="0" w:line="240" w:lineRule="auto"/>
        <w:jc w:val="both"/>
        <w:rPr>
          <w:rFonts w:ascii="Times New Roman" w:hAnsi="Times New Roman" w:cs="Times New Roman"/>
          <w:sz w:val="28"/>
          <w:szCs w:val="28"/>
        </w:rPr>
      </w:pPr>
    </w:p>
    <w:p w14:paraId="3314C621" w14:textId="77777777" w:rsidR="0046142C" w:rsidRPr="00A43B9C" w:rsidRDefault="0046142C" w:rsidP="0046142C">
      <w:pPr>
        <w:spacing w:after="0" w:line="240" w:lineRule="auto"/>
        <w:jc w:val="center"/>
        <w:rPr>
          <w:rFonts w:ascii="Times New Roman" w:hAnsi="Times New Roman" w:cs="Times New Roman"/>
          <w:sz w:val="28"/>
          <w:szCs w:val="28"/>
        </w:rPr>
      </w:pPr>
      <w:r w:rsidRPr="00A43B9C">
        <w:rPr>
          <w:noProof/>
        </w:rPr>
        <w:lastRenderedPageBreak/>
        <w:drawing>
          <wp:inline distT="0" distB="0" distL="0" distR="0" wp14:anchorId="0834E669" wp14:editId="14167A1A">
            <wp:extent cx="4574257" cy="2088000"/>
            <wp:effectExtent l="0" t="0" r="0" b="7620"/>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3.png"/>
                    <pic:cNvPicPr/>
                  </pic:nvPicPr>
                  <pic:blipFill>
                    <a:blip r:embed="rId324"/>
                    <a:stretch>
                      <a:fillRect/>
                    </a:stretch>
                  </pic:blipFill>
                  <pic:spPr>
                    <a:xfrm>
                      <a:off x="0" y="0"/>
                      <a:ext cx="4574257" cy="2088000"/>
                    </a:xfrm>
                    <a:prstGeom prst="rect">
                      <a:avLst/>
                    </a:prstGeom>
                  </pic:spPr>
                </pic:pic>
              </a:graphicData>
            </a:graphic>
          </wp:inline>
        </w:drawing>
      </w:r>
    </w:p>
    <w:p w14:paraId="3F01A825" w14:textId="6D24A22C"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 xml:space="preserve">Рисунок </w:t>
      </w:r>
      <w:r w:rsidR="001A1D98">
        <w:rPr>
          <w:rFonts w:ascii="Times New Roman" w:hAnsi="Times New Roman" w:cs="Times New Roman"/>
          <w:sz w:val="28"/>
          <w:szCs w:val="28"/>
        </w:rPr>
        <w:t>51</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чувствительности и специфичности модели в зависимости от пороговых значений уровня </w:t>
      </w:r>
      <w:r w:rsidR="00AA063E" w:rsidRPr="00A43B9C">
        <w:rPr>
          <w:rFonts w:ascii="Times New Roman" w:hAnsi="Times New Roman" w:cs="Times New Roman"/>
          <w:sz w:val="28"/>
          <w:szCs w:val="28"/>
        </w:rPr>
        <w:t>нак</w:t>
      </w:r>
      <w:r w:rsidR="00C63313" w:rsidRPr="00A43B9C">
        <w:rPr>
          <w:rFonts w:ascii="Times New Roman" w:hAnsi="Times New Roman" w:cs="Times New Roman"/>
          <w:sz w:val="28"/>
          <w:szCs w:val="28"/>
        </w:rPr>
        <w:t>о</w:t>
      </w:r>
      <w:r w:rsidR="00AA063E" w:rsidRPr="00A43B9C">
        <w:rPr>
          <w:rFonts w:ascii="Times New Roman" w:hAnsi="Times New Roman" w:cs="Times New Roman"/>
          <w:sz w:val="28"/>
          <w:szCs w:val="28"/>
        </w:rPr>
        <w:t>плени</w:t>
      </w:r>
      <w:r w:rsidR="00B336CA" w:rsidRPr="00A43B9C">
        <w:rPr>
          <w:rFonts w:ascii="Times New Roman" w:hAnsi="Times New Roman" w:cs="Times New Roman"/>
          <w:sz w:val="28"/>
          <w:szCs w:val="28"/>
        </w:rPr>
        <w:t>я</w:t>
      </w:r>
      <w:r w:rsidR="00AA063E"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AA063E"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RRL</w:t>
      </w:r>
    </w:p>
    <w:p w14:paraId="34A35A22" w14:textId="43081F52" w:rsidR="0046142C"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37 -</w:t>
      </w:r>
      <w:r w:rsidR="0046142C" w:rsidRPr="00A43B9C">
        <w:rPr>
          <w:rFonts w:ascii="Times New Roman" w:hAnsi="Times New Roman" w:cs="Times New Roman"/>
          <w:sz w:val="28"/>
          <w:szCs w:val="28"/>
        </w:rPr>
        <w:t xml:space="preserve"> Пороговые значения уровня </w:t>
      </w:r>
      <w:r w:rsidR="00AA063E"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AA063E" w:rsidRPr="00A43B9C">
        <w:rPr>
          <w:rFonts w:ascii="Times New Roman" w:hAnsi="Times New Roman" w:cs="Times New Roman"/>
          <w:sz w:val="28"/>
          <w:szCs w:val="28"/>
        </w:rPr>
        <w:t xml:space="preserve"> </w:t>
      </w:r>
      <w:r w:rsidR="0046142C" w:rsidRPr="00A43B9C">
        <w:rPr>
          <w:rFonts w:ascii="Times New Roman" w:hAnsi="Times New Roman" w:cs="Times New Roman"/>
          <w:sz w:val="28"/>
          <w:szCs w:val="28"/>
          <w:lang w:val="en-US"/>
        </w:rPr>
        <w:t>SUV</w:t>
      </w:r>
      <w:r w:rsidR="0046142C" w:rsidRPr="00A43B9C">
        <w:rPr>
          <w:rFonts w:ascii="Times New Roman" w:hAnsi="Times New Roman" w:cs="Times New Roman"/>
          <w:sz w:val="28"/>
          <w:szCs w:val="28"/>
          <w:vertAlign w:val="subscript"/>
          <w:lang w:val="en-US"/>
        </w:rPr>
        <w:t>max</w:t>
      </w:r>
      <w:r w:rsidR="0046142C" w:rsidRPr="00A43B9C">
        <w:rPr>
          <w:rFonts w:ascii="Times New Roman" w:hAnsi="Times New Roman" w:cs="Times New Roman"/>
          <w:sz w:val="28"/>
          <w:szCs w:val="28"/>
        </w:rPr>
        <w:t xml:space="preserve"> в </w:t>
      </w:r>
      <w:r w:rsidR="00AA063E" w:rsidRPr="00A43B9C">
        <w:rPr>
          <w:rFonts w:ascii="Times New Roman" w:hAnsi="Times New Roman" w:cs="Times New Roman"/>
          <w:sz w:val="28"/>
          <w:szCs w:val="28"/>
        </w:rPr>
        <w:t xml:space="preserve">локализации </w:t>
      </w:r>
      <w:r w:rsidR="0046142C" w:rsidRPr="00A43B9C">
        <w:rPr>
          <w:rFonts w:ascii="Times New Roman" w:hAnsi="Times New Roman" w:cs="Times New Roman"/>
          <w:sz w:val="28"/>
          <w:szCs w:val="28"/>
        </w:rPr>
        <w:t>RRL</w:t>
      </w:r>
    </w:p>
    <w:p w14:paraId="65B7DCD6"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0" w:type="auto"/>
        <w:jc w:val="center"/>
        <w:tblLook w:val="04A0" w:firstRow="1" w:lastRow="0" w:firstColumn="1" w:lastColumn="0" w:noHBand="0" w:noVBand="1"/>
      </w:tblPr>
      <w:tblGrid>
        <w:gridCol w:w="1789"/>
        <w:gridCol w:w="2069"/>
        <w:gridCol w:w="1967"/>
        <w:gridCol w:w="1756"/>
        <w:gridCol w:w="1763"/>
      </w:tblGrid>
      <w:tr w:rsidR="0046142C" w:rsidRPr="00A43B9C" w14:paraId="5747FAAB" w14:textId="77777777" w:rsidTr="00446A37">
        <w:trPr>
          <w:jc w:val="center"/>
        </w:trPr>
        <w:tc>
          <w:tcPr>
            <w:tcW w:w="1790" w:type="dxa"/>
            <w:vAlign w:val="center"/>
          </w:tcPr>
          <w:p w14:paraId="79C58CE2" w14:textId="799D996A"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Порог</w:t>
            </w:r>
            <w:r w:rsidR="00556A77" w:rsidRPr="00A43B9C">
              <w:rPr>
                <w:rFonts w:ascii="Times New Roman" w:hAnsi="Times New Roman" w:cs="Times New Roman"/>
                <w:sz w:val="28"/>
                <w:szCs w:val="28"/>
              </w:rPr>
              <w:t>овое значение</w:t>
            </w:r>
          </w:p>
        </w:tc>
        <w:tc>
          <w:tcPr>
            <w:tcW w:w="2069" w:type="dxa"/>
            <w:vAlign w:val="center"/>
          </w:tcPr>
          <w:p w14:paraId="2ABAC5B2" w14:textId="1CBB5F8B"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Se, %</w:t>
            </w:r>
          </w:p>
        </w:tc>
        <w:tc>
          <w:tcPr>
            <w:tcW w:w="1967" w:type="dxa"/>
            <w:vAlign w:val="center"/>
          </w:tcPr>
          <w:p w14:paraId="5A3F006D" w14:textId="3A454F1B"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Sp, %</w:t>
            </w:r>
          </w:p>
        </w:tc>
        <w:tc>
          <w:tcPr>
            <w:tcW w:w="1756" w:type="dxa"/>
            <w:vAlign w:val="center"/>
          </w:tcPr>
          <w:p w14:paraId="3E00295E" w14:textId="7D9809E0"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PPV</w:t>
            </w:r>
            <w:r w:rsidR="003E57FA" w:rsidRPr="00A43B9C">
              <w:rPr>
                <w:rFonts w:ascii="Times New Roman" w:hAnsi="Times New Roman" w:cs="Times New Roman"/>
                <w:sz w:val="28"/>
                <w:szCs w:val="28"/>
                <w:lang w:val="en-US"/>
              </w:rPr>
              <w:t>, %</w:t>
            </w:r>
          </w:p>
        </w:tc>
        <w:tc>
          <w:tcPr>
            <w:tcW w:w="1763" w:type="dxa"/>
            <w:vAlign w:val="center"/>
          </w:tcPr>
          <w:p w14:paraId="273FD7D6" w14:textId="2FB827D5"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NPV</w:t>
            </w:r>
            <w:r w:rsidR="003E57FA" w:rsidRPr="00A43B9C">
              <w:rPr>
                <w:rFonts w:ascii="Times New Roman" w:hAnsi="Times New Roman" w:cs="Times New Roman"/>
                <w:sz w:val="28"/>
                <w:szCs w:val="28"/>
                <w:lang w:val="en-US"/>
              </w:rPr>
              <w:t>, %</w:t>
            </w:r>
          </w:p>
        </w:tc>
      </w:tr>
      <w:tr w:rsidR="0046142C" w:rsidRPr="00A43B9C" w14:paraId="735304A4" w14:textId="77777777" w:rsidTr="00446A37">
        <w:trPr>
          <w:jc w:val="center"/>
        </w:trPr>
        <w:tc>
          <w:tcPr>
            <w:tcW w:w="1790" w:type="dxa"/>
            <w:vAlign w:val="center"/>
          </w:tcPr>
          <w:p w14:paraId="7F68485C"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1,25</w:t>
            </w:r>
          </w:p>
        </w:tc>
        <w:tc>
          <w:tcPr>
            <w:tcW w:w="2069" w:type="dxa"/>
            <w:vAlign w:val="center"/>
          </w:tcPr>
          <w:p w14:paraId="5EACF43F"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56,2</w:t>
            </w:r>
          </w:p>
        </w:tc>
        <w:tc>
          <w:tcPr>
            <w:tcW w:w="1967" w:type="dxa"/>
            <w:vAlign w:val="center"/>
          </w:tcPr>
          <w:p w14:paraId="2C22F46C"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84,1</w:t>
            </w:r>
          </w:p>
        </w:tc>
        <w:tc>
          <w:tcPr>
            <w:tcW w:w="1756" w:type="dxa"/>
            <w:vAlign w:val="center"/>
          </w:tcPr>
          <w:p w14:paraId="54079D6A"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56,2</w:t>
            </w:r>
          </w:p>
        </w:tc>
        <w:tc>
          <w:tcPr>
            <w:tcW w:w="1763" w:type="dxa"/>
            <w:vAlign w:val="center"/>
          </w:tcPr>
          <w:p w14:paraId="432EBE9A"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84,1</w:t>
            </w:r>
          </w:p>
        </w:tc>
      </w:tr>
      <w:tr w:rsidR="0046142C" w:rsidRPr="00A43B9C" w14:paraId="5C4AE0FF" w14:textId="77777777" w:rsidTr="00446A37">
        <w:trPr>
          <w:jc w:val="center"/>
        </w:trPr>
        <w:tc>
          <w:tcPr>
            <w:tcW w:w="1790" w:type="dxa"/>
            <w:vAlign w:val="center"/>
          </w:tcPr>
          <w:p w14:paraId="52E5FA98"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1,19</w:t>
            </w:r>
          </w:p>
        </w:tc>
        <w:tc>
          <w:tcPr>
            <w:tcW w:w="2069" w:type="dxa"/>
            <w:vAlign w:val="center"/>
          </w:tcPr>
          <w:p w14:paraId="5BCB6C2A"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56,2</w:t>
            </w:r>
          </w:p>
        </w:tc>
        <w:tc>
          <w:tcPr>
            <w:tcW w:w="1967" w:type="dxa"/>
            <w:vAlign w:val="center"/>
          </w:tcPr>
          <w:p w14:paraId="26016405"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81,8</w:t>
            </w:r>
          </w:p>
        </w:tc>
        <w:tc>
          <w:tcPr>
            <w:tcW w:w="1756" w:type="dxa"/>
            <w:vAlign w:val="center"/>
          </w:tcPr>
          <w:p w14:paraId="1E66E8B6"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52,9</w:t>
            </w:r>
          </w:p>
        </w:tc>
        <w:tc>
          <w:tcPr>
            <w:tcW w:w="1763" w:type="dxa"/>
            <w:vAlign w:val="center"/>
          </w:tcPr>
          <w:p w14:paraId="6CFA603C"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83,7</w:t>
            </w:r>
          </w:p>
        </w:tc>
      </w:tr>
      <w:tr w:rsidR="0046142C" w:rsidRPr="00A43B9C" w14:paraId="4B6D6938" w14:textId="77777777" w:rsidTr="00446A37">
        <w:trPr>
          <w:jc w:val="center"/>
        </w:trPr>
        <w:tc>
          <w:tcPr>
            <w:tcW w:w="1790" w:type="dxa"/>
            <w:vAlign w:val="center"/>
          </w:tcPr>
          <w:p w14:paraId="3FA67293"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1,17</w:t>
            </w:r>
          </w:p>
        </w:tc>
        <w:tc>
          <w:tcPr>
            <w:tcW w:w="2069" w:type="dxa"/>
            <w:vAlign w:val="center"/>
          </w:tcPr>
          <w:p w14:paraId="6F86465E"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62,5</w:t>
            </w:r>
          </w:p>
        </w:tc>
        <w:tc>
          <w:tcPr>
            <w:tcW w:w="1967" w:type="dxa"/>
            <w:vAlign w:val="center"/>
          </w:tcPr>
          <w:p w14:paraId="0D46839B"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81,8</w:t>
            </w:r>
          </w:p>
        </w:tc>
        <w:tc>
          <w:tcPr>
            <w:tcW w:w="1756" w:type="dxa"/>
            <w:vAlign w:val="center"/>
          </w:tcPr>
          <w:p w14:paraId="653383BC"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55,6</w:t>
            </w:r>
          </w:p>
        </w:tc>
        <w:tc>
          <w:tcPr>
            <w:tcW w:w="1763" w:type="dxa"/>
            <w:vAlign w:val="center"/>
          </w:tcPr>
          <w:p w14:paraId="0451A682"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85,7</w:t>
            </w:r>
          </w:p>
        </w:tc>
      </w:tr>
      <w:tr w:rsidR="0046142C" w:rsidRPr="00A43B9C" w14:paraId="37474DAA" w14:textId="77777777" w:rsidTr="00446A37">
        <w:trPr>
          <w:jc w:val="center"/>
        </w:trPr>
        <w:tc>
          <w:tcPr>
            <w:tcW w:w="1790" w:type="dxa"/>
            <w:vAlign w:val="center"/>
          </w:tcPr>
          <w:p w14:paraId="3F6A78B0"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1,13</w:t>
            </w:r>
          </w:p>
        </w:tc>
        <w:tc>
          <w:tcPr>
            <w:tcW w:w="2069" w:type="dxa"/>
            <w:vAlign w:val="center"/>
          </w:tcPr>
          <w:p w14:paraId="72A4CEA0"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62,5</w:t>
            </w:r>
          </w:p>
        </w:tc>
        <w:tc>
          <w:tcPr>
            <w:tcW w:w="1967" w:type="dxa"/>
            <w:vAlign w:val="center"/>
          </w:tcPr>
          <w:p w14:paraId="3797D666"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77,3</w:t>
            </w:r>
          </w:p>
        </w:tc>
        <w:tc>
          <w:tcPr>
            <w:tcW w:w="1756" w:type="dxa"/>
            <w:vAlign w:val="center"/>
          </w:tcPr>
          <w:p w14:paraId="5708CDB6"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50,0</w:t>
            </w:r>
          </w:p>
        </w:tc>
        <w:tc>
          <w:tcPr>
            <w:tcW w:w="1763" w:type="dxa"/>
            <w:vAlign w:val="center"/>
          </w:tcPr>
          <w:p w14:paraId="07C8A3F9"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85,0</w:t>
            </w:r>
          </w:p>
        </w:tc>
      </w:tr>
      <w:tr w:rsidR="0046142C" w:rsidRPr="00CD7C27" w14:paraId="3618A033" w14:textId="77777777" w:rsidTr="00446A37">
        <w:trPr>
          <w:jc w:val="center"/>
        </w:trPr>
        <w:tc>
          <w:tcPr>
            <w:tcW w:w="1790" w:type="dxa"/>
            <w:vAlign w:val="center"/>
          </w:tcPr>
          <w:p w14:paraId="457B542A" w14:textId="77777777" w:rsidR="0046142C" w:rsidRPr="00CD7C27" w:rsidRDefault="0046142C" w:rsidP="00446A37">
            <w:pPr>
              <w:spacing w:after="0" w:line="240" w:lineRule="auto"/>
              <w:jc w:val="center"/>
              <w:rPr>
                <w:rFonts w:ascii="Times New Roman" w:hAnsi="Times New Roman" w:cs="Times New Roman"/>
                <w:bCs/>
                <w:sz w:val="28"/>
                <w:szCs w:val="28"/>
              </w:rPr>
            </w:pPr>
            <w:r w:rsidRPr="00CD7C27">
              <w:rPr>
                <w:rFonts w:ascii="Times New Roman" w:hAnsi="Times New Roman" w:cs="Times New Roman"/>
                <w:bCs/>
                <w:sz w:val="28"/>
                <w:szCs w:val="28"/>
              </w:rPr>
              <w:t>1,05</w:t>
            </w:r>
          </w:p>
        </w:tc>
        <w:tc>
          <w:tcPr>
            <w:tcW w:w="2069" w:type="dxa"/>
            <w:vAlign w:val="center"/>
          </w:tcPr>
          <w:p w14:paraId="2758AE32" w14:textId="77777777" w:rsidR="0046142C" w:rsidRPr="00CD7C27" w:rsidRDefault="0046142C" w:rsidP="00446A37">
            <w:pPr>
              <w:spacing w:after="0" w:line="240" w:lineRule="auto"/>
              <w:jc w:val="center"/>
              <w:rPr>
                <w:rFonts w:ascii="Times New Roman" w:hAnsi="Times New Roman" w:cs="Times New Roman"/>
                <w:bCs/>
                <w:sz w:val="28"/>
                <w:szCs w:val="28"/>
              </w:rPr>
            </w:pPr>
            <w:r w:rsidRPr="00CD7C27">
              <w:rPr>
                <w:rFonts w:ascii="Times New Roman" w:hAnsi="Times New Roman" w:cs="Times New Roman"/>
                <w:bCs/>
                <w:sz w:val="28"/>
                <w:szCs w:val="28"/>
              </w:rPr>
              <w:t>68,8</w:t>
            </w:r>
          </w:p>
        </w:tc>
        <w:tc>
          <w:tcPr>
            <w:tcW w:w="1967" w:type="dxa"/>
            <w:vAlign w:val="center"/>
          </w:tcPr>
          <w:p w14:paraId="101F6CF7" w14:textId="77777777" w:rsidR="0046142C" w:rsidRPr="00CD7C27" w:rsidRDefault="0046142C" w:rsidP="00446A37">
            <w:pPr>
              <w:spacing w:after="0" w:line="240" w:lineRule="auto"/>
              <w:jc w:val="center"/>
              <w:rPr>
                <w:rFonts w:ascii="Times New Roman" w:hAnsi="Times New Roman" w:cs="Times New Roman"/>
                <w:bCs/>
                <w:sz w:val="28"/>
                <w:szCs w:val="28"/>
              </w:rPr>
            </w:pPr>
            <w:r w:rsidRPr="00CD7C27">
              <w:rPr>
                <w:rFonts w:ascii="Times New Roman" w:hAnsi="Times New Roman" w:cs="Times New Roman"/>
                <w:bCs/>
                <w:sz w:val="28"/>
                <w:szCs w:val="28"/>
              </w:rPr>
              <w:t>77,3</w:t>
            </w:r>
          </w:p>
        </w:tc>
        <w:tc>
          <w:tcPr>
            <w:tcW w:w="1756" w:type="dxa"/>
            <w:vAlign w:val="center"/>
          </w:tcPr>
          <w:p w14:paraId="20A3E712" w14:textId="77777777" w:rsidR="0046142C" w:rsidRPr="00CD7C27" w:rsidRDefault="0046142C" w:rsidP="00446A37">
            <w:pPr>
              <w:spacing w:after="0" w:line="240" w:lineRule="auto"/>
              <w:jc w:val="center"/>
              <w:rPr>
                <w:rFonts w:ascii="Times New Roman" w:hAnsi="Times New Roman" w:cs="Times New Roman"/>
                <w:bCs/>
                <w:sz w:val="28"/>
                <w:szCs w:val="28"/>
              </w:rPr>
            </w:pPr>
            <w:r w:rsidRPr="00CD7C27">
              <w:rPr>
                <w:rFonts w:ascii="Times New Roman" w:hAnsi="Times New Roman" w:cs="Times New Roman"/>
                <w:bCs/>
                <w:sz w:val="28"/>
                <w:szCs w:val="28"/>
              </w:rPr>
              <w:t>52,4</w:t>
            </w:r>
          </w:p>
        </w:tc>
        <w:tc>
          <w:tcPr>
            <w:tcW w:w="1763" w:type="dxa"/>
            <w:vAlign w:val="center"/>
          </w:tcPr>
          <w:p w14:paraId="4AE45EE0" w14:textId="77777777" w:rsidR="0046142C" w:rsidRPr="00CD7C27" w:rsidRDefault="0046142C" w:rsidP="00446A37">
            <w:pPr>
              <w:spacing w:after="0" w:line="240" w:lineRule="auto"/>
              <w:jc w:val="center"/>
              <w:rPr>
                <w:rFonts w:ascii="Times New Roman" w:hAnsi="Times New Roman" w:cs="Times New Roman"/>
                <w:bCs/>
                <w:sz w:val="28"/>
                <w:szCs w:val="28"/>
              </w:rPr>
            </w:pPr>
            <w:r w:rsidRPr="00CD7C27">
              <w:rPr>
                <w:rFonts w:ascii="Times New Roman" w:hAnsi="Times New Roman" w:cs="Times New Roman"/>
                <w:bCs/>
                <w:sz w:val="28"/>
                <w:szCs w:val="28"/>
              </w:rPr>
              <w:t>87,2</w:t>
            </w:r>
          </w:p>
        </w:tc>
      </w:tr>
      <w:tr w:rsidR="0046142C" w:rsidRPr="00A43B9C" w14:paraId="5801E561" w14:textId="77777777" w:rsidTr="00446A37">
        <w:trPr>
          <w:jc w:val="center"/>
        </w:trPr>
        <w:tc>
          <w:tcPr>
            <w:tcW w:w="1790" w:type="dxa"/>
            <w:vAlign w:val="center"/>
          </w:tcPr>
          <w:p w14:paraId="69C6A2C9"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0,82</w:t>
            </w:r>
          </w:p>
        </w:tc>
        <w:tc>
          <w:tcPr>
            <w:tcW w:w="2069" w:type="dxa"/>
            <w:vAlign w:val="center"/>
          </w:tcPr>
          <w:p w14:paraId="045FE632"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68,8</w:t>
            </w:r>
          </w:p>
        </w:tc>
        <w:tc>
          <w:tcPr>
            <w:tcW w:w="1967" w:type="dxa"/>
            <w:vAlign w:val="center"/>
          </w:tcPr>
          <w:p w14:paraId="6E0EB23A"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50,0</w:t>
            </w:r>
          </w:p>
        </w:tc>
        <w:tc>
          <w:tcPr>
            <w:tcW w:w="1756" w:type="dxa"/>
            <w:vAlign w:val="center"/>
          </w:tcPr>
          <w:p w14:paraId="44D83F66"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33,3</w:t>
            </w:r>
          </w:p>
        </w:tc>
        <w:tc>
          <w:tcPr>
            <w:tcW w:w="1763" w:type="dxa"/>
            <w:vAlign w:val="center"/>
          </w:tcPr>
          <w:p w14:paraId="37050E49"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81,5</w:t>
            </w:r>
          </w:p>
        </w:tc>
      </w:tr>
      <w:tr w:rsidR="0046142C" w:rsidRPr="00A43B9C" w14:paraId="6086FB94" w14:textId="77777777" w:rsidTr="00446A37">
        <w:trPr>
          <w:jc w:val="center"/>
        </w:trPr>
        <w:tc>
          <w:tcPr>
            <w:tcW w:w="1790" w:type="dxa"/>
            <w:vAlign w:val="center"/>
          </w:tcPr>
          <w:p w14:paraId="5BC9926D"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0,82</w:t>
            </w:r>
          </w:p>
        </w:tc>
        <w:tc>
          <w:tcPr>
            <w:tcW w:w="2069" w:type="dxa"/>
            <w:vAlign w:val="center"/>
          </w:tcPr>
          <w:p w14:paraId="5F0357C8"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75,0</w:t>
            </w:r>
          </w:p>
        </w:tc>
        <w:tc>
          <w:tcPr>
            <w:tcW w:w="1967" w:type="dxa"/>
            <w:vAlign w:val="center"/>
          </w:tcPr>
          <w:p w14:paraId="1E4B7AFC"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50,0</w:t>
            </w:r>
          </w:p>
        </w:tc>
        <w:tc>
          <w:tcPr>
            <w:tcW w:w="1756" w:type="dxa"/>
            <w:vAlign w:val="center"/>
          </w:tcPr>
          <w:p w14:paraId="50B9DB87"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35,3</w:t>
            </w:r>
          </w:p>
        </w:tc>
        <w:tc>
          <w:tcPr>
            <w:tcW w:w="1763" w:type="dxa"/>
            <w:vAlign w:val="center"/>
          </w:tcPr>
          <w:p w14:paraId="0527BCE9"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84,6</w:t>
            </w:r>
          </w:p>
        </w:tc>
      </w:tr>
    </w:tbl>
    <w:p w14:paraId="356E3ACD" w14:textId="77777777" w:rsidR="0046142C" w:rsidRPr="00A43B9C" w:rsidRDefault="0046142C" w:rsidP="0046142C">
      <w:pPr>
        <w:spacing w:after="0" w:line="240" w:lineRule="auto"/>
        <w:jc w:val="both"/>
        <w:rPr>
          <w:rFonts w:ascii="Times New Roman" w:hAnsi="Times New Roman" w:cs="Times New Roman"/>
          <w:sz w:val="28"/>
          <w:szCs w:val="28"/>
        </w:rPr>
      </w:pPr>
    </w:p>
    <w:p w14:paraId="0BBA0574" w14:textId="4C08A8BF" w:rsidR="0046142C" w:rsidRPr="00A43B9C" w:rsidRDefault="0046142C" w:rsidP="0046142C">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Площадь под ROC-кривой составила 0,682 </w:t>
      </w:r>
      <w:r w:rsidR="00556A77" w:rsidRPr="00A43B9C">
        <w:rPr>
          <w:rFonts w:ascii="Times New Roman" w:hAnsi="Times New Roman" w:cs="Times New Roman"/>
          <w:sz w:val="28"/>
          <w:szCs w:val="28"/>
        </w:rPr>
        <w:t>(</w:t>
      </w:r>
      <w:r w:rsidRPr="00A43B9C">
        <w:rPr>
          <w:rFonts w:ascii="Times New Roman" w:hAnsi="Times New Roman" w:cs="Times New Roman"/>
          <w:sz w:val="28"/>
          <w:szCs w:val="28"/>
        </w:rPr>
        <w:t>95% ДИ 0,520 – 0,843</w:t>
      </w:r>
      <w:r w:rsidR="00556A77" w:rsidRPr="00A43B9C">
        <w:rPr>
          <w:rFonts w:ascii="Times New Roman" w:hAnsi="Times New Roman" w:cs="Times New Roman"/>
          <w:sz w:val="28"/>
          <w:szCs w:val="28"/>
        </w:rPr>
        <w:t>)</w:t>
      </w:r>
      <w:r w:rsidR="00C40B6D" w:rsidRPr="00A43B9C">
        <w:rPr>
          <w:rFonts w:ascii="Times New Roman" w:hAnsi="Times New Roman" w:cs="Times New Roman"/>
          <w:sz w:val="28"/>
          <w:szCs w:val="28"/>
        </w:rPr>
        <w:t xml:space="preserve">, </w:t>
      </w:r>
      <w:r w:rsidR="009A791E">
        <w:rPr>
          <w:rFonts w:ascii="Times New Roman" w:hAnsi="Times New Roman" w:cs="Times New Roman"/>
          <w:sz w:val="28"/>
          <w:szCs w:val="28"/>
        </w:rPr>
        <w:t xml:space="preserve">и полученная </w:t>
      </w:r>
      <w:r w:rsidRPr="00A43B9C">
        <w:rPr>
          <w:rFonts w:ascii="Times New Roman" w:hAnsi="Times New Roman" w:cs="Times New Roman"/>
          <w:sz w:val="28"/>
          <w:szCs w:val="28"/>
        </w:rPr>
        <w:t xml:space="preserve">модель </w:t>
      </w:r>
      <w:r w:rsidR="00C40B6D" w:rsidRPr="00A43B9C">
        <w:rPr>
          <w:rFonts w:ascii="Times New Roman" w:hAnsi="Times New Roman" w:cs="Times New Roman"/>
          <w:sz w:val="28"/>
          <w:szCs w:val="28"/>
        </w:rPr>
        <w:t>была</w:t>
      </w:r>
      <w:r w:rsidR="00C63313" w:rsidRPr="00A43B9C">
        <w:rPr>
          <w:rFonts w:ascii="Times New Roman" w:hAnsi="Times New Roman" w:cs="Times New Roman"/>
          <w:sz w:val="28"/>
          <w:szCs w:val="28"/>
        </w:rPr>
        <w:t xml:space="preserve"> </w:t>
      </w:r>
      <w:r w:rsidRPr="00A43B9C">
        <w:rPr>
          <w:rFonts w:ascii="Times New Roman" w:hAnsi="Times New Roman" w:cs="Times New Roman"/>
          <w:sz w:val="28"/>
          <w:szCs w:val="28"/>
        </w:rPr>
        <w:t>статистическ</w:t>
      </w:r>
      <w:r w:rsidR="00C63313" w:rsidRPr="00A43B9C">
        <w:rPr>
          <w:rFonts w:ascii="Times New Roman" w:hAnsi="Times New Roman" w:cs="Times New Roman"/>
          <w:sz w:val="28"/>
          <w:szCs w:val="28"/>
        </w:rPr>
        <w:t>ой</w:t>
      </w:r>
      <w:r w:rsidRPr="00A43B9C">
        <w:rPr>
          <w:rFonts w:ascii="Times New Roman" w:hAnsi="Times New Roman" w:cs="Times New Roman"/>
          <w:sz w:val="28"/>
          <w:szCs w:val="28"/>
        </w:rPr>
        <w:t xml:space="preserve"> значимо</w:t>
      </w:r>
      <w:r w:rsidR="00C40B6D" w:rsidRPr="00A43B9C">
        <w:rPr>
          <w:rFonts w:ascii="Times New Roman" w:hAnsi="Times New Roman" w:cs="Times New Roman"/>
          <w:sz w:val="28"/>
          <w:szCs w:val="28"/>
        </w:rPr>
        <w:t>й</w:t>
      </w:r>
      <w:r w:rsidRPr="00A43B9C">
        <w:rPr>
          <w:rFonts w:ascii="Times New Roman" w:hAnsi="Times New Roman" w:cs="Times New Roman"/>
          <w:sz w:val="28"/>
          <w:szCs w:val="28"/>
        </w:rPr>
        <w:t xml:space="preserve"> (p = 0,032).</w:t>
      </w:r>
      <w:r w:rsidR="00556A77"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Пороговое значение уровня </w:t>
      </w:r>
      <w:r w:rsidR="00556A77"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556A77"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556A77"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RRL в точке </w:t>
      </w:r>
      <w:r w:rsidR="00556A77" w:rsidRPr="00A43B9C">
        <w:rPr>
          <w:rFonts w:ascii="Times New Roman" w:hAnsi="Times New Roman" w:cs="Times New Roman"/>
          <w:sz w:val="28"/>
          <w:szCs w:val="28"/>
        </w:rPr>
        <w:t>отсечения</w:t>
      </w:r>
      <w:r w:rsidRPr="00A43B9C">
        <w:rPr>
          <w:rFonts w:ascii="Times New Roman" w:hAnsi="Times New Roman" w:cs="Times New Roman"/>
          <w:sz w:val="28"/>
          <w:szCs w:val="28"/>
        </w:rPr>
        <w:t xml:space="preserve">, которому соответствовало наивысшее значение индекса Юдена, составило 1,05 (рисунок </w:t>
      </w:r>
      <w:r w:rsidR="00E81502">
        <w:rPr>
          <w:rFonts w:ascii="Times New Roman" w:hAnsi="Times New Roman" w:cs="Times New Roman"/>
          <w:sz w:val="28"/>
          <w:szCs w:val="28"/>
        </w:rPr>
        <w:t>51</w:t>
      </w:r>
      <w:r w:rsidRPr="00A43B9C">
        <w:rPr>
          <w:rFonts w:ascii="Times New Roman" w:hAnsi="Times New Roman" w:cs="Times New Roman"/>
          <w:sz w:val="28"/>
          <w:szCs w:val="28"/>
        </w:rPr>
        <w:t xml:space="preserve">). Наличие </w:t>
      </w:r>
      <w:r w:rsidR="000874C1" w:rsidRPr="00A43B9C">
        <w:rPr>
          <w:rFonts w:ascii="Times New Roman" w:eastAsia="Times New Roman" w:hAnsi="Times New Roman" w:cs="Times New Roman"/>
          <w:sz w:val="28"/>
          <w:szCs w:val="28"/>
          <w:lang w:val="en-US" w:eastAsia="ru-RU"/>
        </w:rPr>
        <w:t>pLM</w:t>
      </w:r>
      <w:r w:rsidRPr="00A43B9C">
        <w:rPr>
          <w:rFonts w:ascii="Times New Roman" w:hAnsi="Times New Roman" w:cs="Times New Roman"/>
          <w:sz w:val="28"/>
          <w:szCs w:val="28"/>
        </w:rPr>
        <w:t xml:space="preserve"> прогнозировалось при значении уровня </w:t>
      </w:r>
      <w:r w:rsidR="00556A77"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556A77"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556A77"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RRL ниже данной величины или равном ей. Чувствительность и специфичность модели составили 68,8% и 77,3%, а </w:t>
      </w:r>
      <w:r w:rsidRPr="00A43B9C">
        <w:rPr>
          <w:rFonts w:ascii="Times New Roman" w:hAnsi="Times New Roman" w:cs="Times New Roman"/>
          <w:sz w:val="28"/>
          <w:szCs w:val="28"/>
          <w:lang w:val="en-US"/>
        </w:rPr>
        <w:t>PPV</w:t>
      </w:r>
      <w:r w:rsidRPr="00A43B9C">
        <w:rPr>
          <w:rFonts w:ascii="Times New Roman" w:hAnsi="Times New Roman" w:cs="Times New Roman"/>
          <w:sz w:val="28"/>
          <w:szCs w:val="28"/>
        </w:rPr>
        <w:t xml:space="preserve"> и </w:t>
      </w:r>
      <w:r w:rsidRPr="00A43B9C">
        <w:rPr>
          <w:rFonts w:ascii="Times New Roman" w:hAnsi="Times New Roman" w:cs="Times New Roman"/>
          <w:sz w:val="28"/>
          <w:szCs w:val="28"/>
          <w:lang w:val="en-US"/>
        </w:rPr>
        <w:t>NPV</w:t>
      </w:r>
      <w:r w:rsidRPr="00A43B9C">
        <w:rPr>
          <w:rFonts w:ascii="Times New Roman" w:hAnsi="Times New Roman" w:cs="Times New Roman"/>
          <w:sz w:val="28"/>
          <w:szCs w:val="28"/>
        </w:rPr>
        <w:t xml:space="preserve"> составили 52,4% и 87,2% соответственно (таблица 37).</w:t>
      </w:r>
    </w:p>
    <w:p w14:paraId="1A9D44F1" w14:textId="1151EFD7" w:rsidR="00314BDA" w:rsidRPr="00A43B9C" w:rsidRDefault="00314BDA" w:rsidP="00314BDA">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Результаты топографической реконструкции </w:t>
      </w:r>
      <w:r w:rsidRPr="00A43B9C">
        <w:rPr>
          <w:rFonts w:ascii="Times New Roman" w:eastAsia="NewtonC" w:hAnsi="Times New Roman" w:cs="Times New Roman"/>
          <w:sz w:val="28"/>
          <w:szCs w:val="28"/>
        </w:rPr>
        <w:t>изображений ПЭТ/КТ исследования в а</w:t>
      </w:r>
      <w:r w:rsidRPr="00A43B9C">
        <w:rPr>
          <w:rFonts w:ascii="Times New Roman" w:hAnsi="Times New Roman" w:cs="Times New Roman"/>
          <w:sz w:val="28"/>
          <w:szCs w:val="28"/>
        </w:rPr>
        <w:t>ксиальной плоскости приведены на рисунке 5</w:t>
      </w:r>
      <w:r w:rsidR="00E81502">
        <w:rPr>
          <w:rFonts w:ascii="Times New Roman" w:hAnsi="Times New Roman" w:cs="Times New Roman"/>
          <w:sz w:val="28"/>
          <w:szCs w:val="28"/>
        </w:rPr>
        <w:t>2</w:t>
      </w:r>
      <w:r w:rsidRPr="00A43B9C">
        <w:rPr>
          <w:rFonts w:ascii="Times New Roman" w:hAnsi="Times New Roman" w:cs="Times New Roman"/>
          <w:sz w:val="28"/>
          <w:szCs w:val="28"/>
        </w:rPr>
        <w:t xml:space="preserve"> для статистически достоверной </w:t>
      </w:r>
      <w:r w:rsidR="00556A77"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RRL.</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E97D9E" w14:paraId="16A55272" w14:textId="77777777" w:rsidTr="00E97D9E">
        <w:tc>
          <w:tcPr>
            <w:tcW w:w="4672" w:type="dxa"/>
          </w:tcPr>
          <w:p w14:paraId="6A95CB00" w14:textId="2BE45703" w:rsidR="00E97D9E" w:rsidRDefault="00E97D9E" w:rsidP="00215599">
            <w:pPr>
              <w:autoSpaceDE w:val="0"/>
              <w:autoSpaceDN w:val="0"/>
              <w:adjustRightInd w:val="0"/>
              <w:spacing w:after="0" w:line="240" w:lineRule="auto"/>
              <w:jc w:val="center"/>
              <w:rPr>
                <w:rFonts w:ascii="Times New Roman" w:eastAsia="NewtonC" w:hAnsi="Times New Roman" w:cs="Times New Roman"/>
                <w:sz w:val="28"/>
                <w:szCs w:val="28"/>
              </w:rPr>
            </w:pPr>
            <w:r w:rsidRPr="00A43B9C">
              <w:rPr>
                <w:rFonts w:ascii="Times New Roman" w:hAnsi="Times New Roman" w:cs="Times New Roman"/>
                <w:noProof/>
                <w:sz w:val="28"/>
                <w:szCs w:val="28"/>
              </w:rPr>
              <w:lastRenderedPageBreak/>
              <w:drawing>
                <wp:inline distT="0" distB="0" distL="0" distR="0" wp14:anchorId="71EAD724" wp14:editId="53B4A4F6">
                  <wp:extent cx="2710765" cy="1908000"/>
                  <wp:effectExtent l="0" t="0" r="0" b="0"/>
                  <wp:docPr id="120611762" name="Рисунок 120611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25" cstate="print">
                            <a:extLst>
                              <a:ext uri="{28A0092B-C50C-407E-A947-70E740481C1C}">
                                <a14:useLocalDpi xmlns:a14="http://schemas.microsoft.com/office/drawing/2010/main" val="0"/>
                              </a:ext>
                            </a:extLst>
                          </a:blip>
                          <a:srcRect l="11697" t="9827" r="8533" b="15975"/>
                          <a:stretch/>
                        </pic:blipFill>
                        <pic:spPr bwMode="auto">
                          <a:xfrm>
                            <a:off x="0" y="0"/>
                            <a:ext cx="2710765" cy="190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14:paraId="0F99B444" w14:textId="3C9EFCBF" w:rsidR="00E97D9E" w:rsidRDefault="00E97D9E" w:rsidP="00215599">
            <w:pPr>
              <w:autoSpaceDE w:val="0"/>
              <w:autoSpaceDN w:val="0"/>
              <w:adjustRightInd w:val="0"/>
              <w:spacing w:after="0" w:line="240" w:lineRule="auto"/>
              <w:jc w:val="center"/>
              <w:rPr>
                <w:rFonts w:ascii="Times New Roman" w:eastAsia="NewtonC" w:hAnsi="Times New Roman" w:cs="Times New Roman"/>
                <w:sz w:val="28"/>
                <w:szCs w:val="28"/>
              </w:rPr>
            </w:pPr>
            <w:r w:rsidRPr="00A43B9C">
              <w:rPr>
                <w:rFonts w:ascii="Times New Roman" w:hAnsi="Times New Roman" w:cs="Times New Roman"/>
                <w:noProof/>
                <w:sz w:val="28"/>
                <w:szCs w:val="28"/>
              </w:rPr>
              <w:drawing>
                <wp:inline distT="0" distB="0" distL="0" distR="0" wp14:anchorId="3A53072D" wp14:editId="57C03BAF">
                  <wp:extent cx="2544305" cy="1908000"/>
                  <wp:effectExtent l="0" t="0" r="8890" b="0"/>
                  <wp:docPr id="1776879300" name="Рисунок 1776879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26" cstate="print">
                            <a:extLst>
                              <a:ext uri="{28A0092B-C50C-407E-A947-70E740481C1C}">
                                <a14:useLocalDpi xmlns:a14="http://schemas.microsoft.com/office/drawing/2010/main" val="0"/>
                              </a:ext>
                            </a:extLst>
                          </a:blip>
                          <a:srcRect l="26731" t="12335" r="21969" b="41814"/>
                          <a:stretch/>
                        </pic:blipFill>
                        <pic:spPr bwMode="auto">
                          <a:xfrm>
                            <a:off x="0" y="0"/>
                            <a:ext cx="2544305" cy="190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97D9E" w14:paraId="518C8047" w14:textId="77777777" w:rsidTr="00E97D9E">
        <w:tc>
          <w:tcPr>
            <w:tcW w:w="4672" w:type="dxa"/>
          </w:tcPr>
          <w:p w14:paraId="5F58ACAA" w14:textId="0C889974" w:rsidR="00E97D9E" w:rsidRPr="00AB2535" w:rsidRDefault="00E97D9E" w:rsidP="00215599">
            <w:pPr>
              <w:autoSpaceDE w:val="0"/>
              <w:autoSpaceDN w:val="0"/>
              <w:adjustRightInd w:val="0"/>
              <w:spacing w:after="0" w:line="240" w:lineRule="auto"/>
              <w:jc w:val="center"/>
              <w:rPr>
                <w:rFonts w:ascii="Times New Roman" w:eastAsia="NewtonC" w:hAnsi="Times New Roman" w:cs="Times New Roman"/>
                <w:sz w:val="24"/>
                <w:szCs w:val="24"/>
              </w:rPr>
            </w:pPr>
            <w:r w:rsidRPr="00AB2535">
              <w:rPr>
                <w:rFonts w:ascii="Times New Roman" w:hAnsi="Times New Roman" w:cs="Times New Roman"/>
                <w:sz w:val="24"/>
                <w:szCs w:val="24"/>
              </w:rPr>
              <w:t>а)</w:t>
            </w:r>
            <w:r w:rsidR="00AB2535" w:rsidRPr="00AB2535">
              <w:rPr>
                <w:rFonts w:ascii="Times New Roman" w:hAnsi="Times New Roman" w:cs="Times New Roman"/>
                <w:sz w:val="24"/>
                <w:szCs w:val="24"/>
              </w:rPr>
              <w:t xml:space="preserve"> ПЭТ изображение</w:t>
            </w:r>
          </w:p>
        </w:tc>
        <w:tc>
          <w:tcPr>
            <w:tcW w:w="4673" w:type="dxa"/>
          </w:tcPr>
          <w:p w14:paraId="67E4DA02" w14:textId="4B62DB77" w:rsidR="00E97D9E" w:rsidRPr="00AB2535" w:rsidRDefault="00E97D9E" w:rsidP="00215599">
            <w:pPr>
              <w:autoSpaceDE w:val="0"/>
              <w:autoSpaceDN w:val="0"/>
              <w:adjustRightInd w:val="0"/>
              <w:spacing w:after="0" w:line="240" w:lineRule="auto"/>
              <w:jc w:val="center"/>
              <w:rPr>
                <w:rFonts w:ascii="Times New Roman" w:eastAsia="NewtonC" w:hAnsi="Times New Roman" w:cs="Times New Roman"/>
                <w:sz w:val="24"/>
                <w:szCs w:val="24"/>
              </w:rPr>
            </w:pPr>
            <w:r w:rsidRPr="00AB2535">
              <w:rPr>
                <w:rFonts w:ascii="Times New Roman" w:hAnsi="Times New Roman" w:cs="Times New Roman"/>
                <w:sz w:val="24"/>
                <w:szCs w:val="24"/>
              </w:rPr>
              <w:t>б)</w:t>
            </w:r>
            <w:r w:rsidR="00AB2535" w:rsidRPr="00AB2535">
              <w:rPr>
                <w:rFonts w:ascii="Times New Roman" w:hAnsi="Times New Roman" w:cs="Times New Roman"/>
                <w:sz w:val="24"/>
                <w:szCs w:val="24"/>
              </w:rPr>
              <w:t xml:space="preserve"> Визуализация накопления </w:t>
            </w:r>
            <w:r w:rsidR="00AB2535" w:rsidRPr="00AB2535">
              <w:rPr>
                <w:rFonts w:ascii="Times New Roman" w:eastAsia="NewtonC" w:hAnsi="Times New Roman" w:cs="Times New Roman"/>
                <w:sz w:val="24"/>
                <w:szCs w:val="24"/>
                <w:vertAlign w:val="superscript"/>
              </w:rPr>
              <w:t>18</w:t>
            </w:r>
            <w:r w:rsidR="00AB2535" w:rsidRPr="00AB2535">
              <w:rPr>
                <w:rFonts w:ascii="Times New Roman" w:eastAsia="NewtonC" w:hAnsi="Times New Roman" w:cs="Times New Roman"/>
                <w:sz w:val="24"/>
                <w:szCs w:val="24"/>
                <w:lang w:val="en-US"/>
              </w:rPr>
              <w:t>F</w:t>
            </w:r>
            <w:r w:rsidR="00AB2535" w:rsidRPr="00AB2535">
              <w:rPr>
                <w:rFonts w:ascii="Times New Roman" w:eastAsia="NewtonC" w:hAnsi="Times New Roman" w:cs="Times New Roman"/>
                <w:sz w:val="24"/>
                <w:szCs w:val="24"/>
              </w:rPr>
              <w:t>-</w:t>
            </w:r>
            <w:r w:rsidR="00AB2535" w:rsidRPr="00AB2535">
              <w:rPr>
                <w:rFonts w:ascii="Times New Roman" w:eastAsia="NewtonC" w:hAnsi="Times New Roman" w:cs="Times New Roman"/>
                <w:sz w:val="24"/>
                <w:szCs w:val="24"/>
                <w:lang w:val="en-US"/>
              </w:rPr>
              <w:t>FDG</w:t>
            </w:r>
            <w:r w:rsidR="00AB2535" w:rsidRPr="00AB2535">
              <w:rPr>
                <w:rFonts w:ascii="Times New Roman" w:eastAsia="NewtonC" w:hAnsi="Times New Roman" w:cs="Times New Roman"/>
                <w:sz w:val="24"/>
                <w:szCs w:val="24"/>
              </w:rPr>
              <w:t xml:space="preserve"> в режиме </w:t>
            </w:r>
            <w:r w:rsidR="00AB2535" w:rsidRPr="00AB2535">
              <w:rPr>
                <w:rFonts w:ascii="Times New Roman" w:eastAsia="NewtonC" w:hAnsi="Times New Roman" w:cs="Times New Roman"/>
                <w:sz w:val="24"/>
                <w:szCs w:val="24"/>
                <w:lang w:val="en-US"/>
              </w:rPr>
              <w:t>Fusion</w:t>
            </w:r>
          </w:p>
        </w:tc>
      </w:tr>
    </w:tbl>
    <w:p w14:paraId="13179A40" w14:textId="77777777" w:rsidR="00AB2535" w:rsidRDefault="00AB2535" w:rsidP="00314BDA">
      <w:pPr>
        <w:autoSpaceDE w:val="0"/>
        <w:autoSpaceDN w:val="0"/>
        <w:adjustRightInd w:val="0"/>
        <w:spacing w:after="0" w:line="240" w:lineRule="auto"/>
        <w:ind w:firstLine="709"/>
        <w:jc w:val="center"/>
        <w:rPr>
          <w:rFonts w:ascii="Times New Roman" w:eastAsia="NewtonC" w:hAnsi="Times New Roman" w:cs="Times New Roman"/>
          <w:sz w:val="28"/>
          <w:szCs w:val="28"/>
        </w:rPr>
      </w:pPr>
    </w:p>
    <w:p w14:paraId="73C5EFD1" w14:textId="3F81E7A3" w:rsidR="00314BDA" w:rsidRPr="00A43B9C" w:rsidRDefault="00314BDA" w:rsidP="00314BDA">
      <w:pPr>
        <w:autoSpaceDE w:val="0"/>
        <w:autoSpaceDN w:val="0"/>
        <w:adjustRightInd w:val="0"/>
        <w:spacing w:after="0" w:line="240" w:lineRule="auto"/>
        <w:ind w:firstLine="709"/>
        <w:jc w:val="center"/>
        <w:rPr>
          <w:rFonts w:ascii="Times New Roman" w:eastAsia="NewtonC" w:hAnsi="Times New Roman" w:cs="Times New Roman"/>
          <w:sz w:val="28"/>
          <w:szCs w:val="28"/>
        </w:rPr>
      </w:pPr>
      <w:r w:rsidRPr="00A43B9C">
        <w:rPr>
          <w:rFonts w:ascii="Times New Roman" w:eastAsia="NewtonC" w:hAnsi="Times New Roman" w:cs="Times New Roman"/>
          <w:sz w:val="28"/>
          <w:szCs w:val="28"/>
        </w:rPr>
        <w:t>Рисунок 5</w:t>
      </w:r>
      <w:r w:rsidR="001A1D98">
        <w:rPr>
          <w:rFonts w:ascii="Times New Roman" w:eastAsia="NewtonC" w:hAnsi="Times New Roman" w:cs="Times New Roman"/>
          <w:sz w:val="28"/>
          <w:szCs w:val="28"/>
        </w:rPr>
        <w:t>2</w:t>
      </w:r>
      <w:r w:rsidRPr="00A43B9C">
        <w:rPr>
          <w:rFonts w:ascii="Times New Roman" w:eastAsia="NewtonC" w:hAnsi="Times New Roman" w:cs="Times New Roman"/>
          <w:sz w:val="28"/>
          <w:szCs w:val="28"/>
        </w:rPr>
        <w:t xml:space="preserve"> – Пациент </w:t>
      </w:r>
      <w:r w:rsidR="00725243" w:rsidRPr="00A43B9C">
        <w:rPr>
          <w:rFonts w:ascii="Times New Roman" w:eastAsia="NewtonC" w:hAnsi="Times New Roman" w:cs="Times New Roman"/>
          <w:sz w:val="28"/>
          <w:szCs w:val="28"/>
        </w:rPr>
        <w:t>Т</w:t>
      </w:r>
      <w:r w:rsidRPr="00A43B9C">
        <w:rPr>
          <w:rFonts w:ascii="Times New Roman" w:eastAsia="NewtonC" w:hAnsi="Times New Roman" w:cs="Times New Roman"/>
          <w:sz w:val="28"/>
          <w:szCs w:val="28"/>
        </w:rPr>
        <w:t>.</w:t>
      </w:r>
      <w:r w:rsidR="00CF188E" w:rsidRPr="00A43B9C">
        <w:rPr>
          <w:rFonts w:ascii="Times New Roman" w:eastAsia="NewtonC" w:hAnsi="Times New Roman" w:cs="Times New Roman"/>
          <w:sz w:val="28"/>
          <w:szCs w:val="28"/>
        </w:rPr>
        <w:t xml:space="preserve"> (64 г., жен</w:t>
      </w:r>
      <w:r w:rsidR="00C40B6D" w:rsidRPr="00A43B9C">
        <w:rPr>
          <w:rFonts w:ascii="Times New Roman" w:eastAsia="NewtonC" w:hAnsi="Times New Roman" w:cs="Times New Roman"/>
          <w:sz w:val="28"/>
          <w:szCs w:val="28"/>
        </w:rPr>
        <w:t>щина</w:t>
      </w:r>
      <w:r w:rsidR="00CF188E" w:rsidRPr="00A43B9C">
        <w:rPr>
          <w:rFonts w:ascii="Times New Roman" w:eastAsia="NewtonC" w:hAnsi="Times New Roman" w:cs="Times New Roman"/>
          <w:sz w:val="28"/>
          <w:szCs w:val="28"/>
        </w:rPr>
        <w:t>)</w:t>
      </w:r>
      <w:r w:rsidRPr="00A43B9C">
        <w:rPr>
          <w:rFonts w:ascii="Times New Roman" w:eastAsia="NewtonC" w:hAnsi="Times New Roman" w:cs="Times New Roman"/>
          <w:sz w:val="28"/>
          <w:szCs w:val="28"/>
        </w:rPr>
        <w:t xml:space="preserve"> </w:t>
      </w:r>
      <w:r w:rsidR="00556A77" w:rsidRPr="00A43B9C">
        <w:rPr>
          <w:rFonts w:ascii="Times New Roman" w:eastAsia="NewtonC" w:hAnsi="Times New Roman" w:cs="Times New Roman"/>
          <w:sz w:val="28"/>
          <w:szCs w:val="28"/>
        </w:rPr>
        <w:t>с КРР</w:t>
      </w:r>
      <w:r w:rsidR="00252824">
        <w:rPr>
          <w:rFonts w:ascii="Times New Roman" w:eastAsia="NewtonC" w:hAnsi="Times New Roman" w:cs="Times New Roman"/>
          <w:sz w:val="28"/>
          <w:szCs w:val="28"/>
        </w:rPr>
        <w:t>,</w:t>
      </w:r>
      <w:r w:rsidRPr="00A43B9C">
        <w:rPr>
          <w:rFonts w:ascii="Times New Roman" w:eastAsia="NewtonC" w:hAnsi="Times New Roman" w:cs="Times New Roman"/>
          <w:sz w:val="28"/>
          <w:szCs w:val="28"/>
        </w:rPr>
        <w:t xml:space="preserve"> </w:t>
      </w:r>
      <w:r w:rsidRPr="00A43B9C">
        <w:rPr>
          <w:rFonts w:ascii="Times New Roman" w:eastAsia="NewtonC" w:hAnsi="Times New Roman" w:cs="Times New Roman"/>
          <w:sz w:val="28"/>
          <w:szCs w:val="28"/>
          <w:lang w:val="en-US"/>
        </w:rPr>
        <w:t>St</w:t>
      </w:r>
      <w:r w:rsidRPr="00A43B9C">
        <w:rPr>
          <w:rFonts w:ascii="Times New Roman" w:eastAsia="NewtonC" w:hAnsi="Times New Roman" w:cs="Times New Roman"/>
          <w:sz w:val="28"/>
          <w:szCs w:val="28"/>
        </w:rPr>
        <w:t xml:space="preserve"> </w:t>
      </w:r>
      <w:r w:rsidRPr="00A43B9C">
        <w:rPr>
          <w:rFonts w:ascii="Times New Roman" w:eastAsia="NewtonC" w:hAnsi="Times New Roman" w:cs="Times New Roman"/>
          <w:sz w:val="28"/>
          <w:szCs w:val="28"/>
          <w:lang w:val="en-US"/>
        </w:rPr>
        <w:t>II</w:t>
      </w:r>
      <w:r w:rsidR="00252824">
        <w:rPr>
          <w:rFonts w:ascii="Times New Roman" w:eastAsia="NewtonC" w:hAnsi="Times New Roman" w:cs="Times New Roman"/>
          <w:sz w:val="28"/>
          <w:szCs w:val="28"/>
        </w:rPr>
        <w:t xml:space="preserve">, </w:t>
      </w:r>
      <w:r w:rsidRPr="00A43B9C">
        <w:rPr>
          <w:rFonts w:ascii="Times New Roman" w:hAnsi="Times New Roman" w:cs="Times New Roman"/>
          <w:sz w:val="28"/>
          <w:szCs w:val="28"/>
          <w:lang w:val="en-US"/>
        </w:rPr>
        <w:t>T</w:t>
      </w:r>
      <w:r w:rsidRPr="00A43B9C">
        <w:rPr>
          <w:rFonts w:ascii="Times New Roman" w:hAnsi="Times New Roman" w:cs="Times New Roman"/>
          <w:sz w:val="28"/>
          <w:szCs w:val="28"/>
          <w:vertAlign w:val="subscript"/>
        </w:rPr>
        <w:t>3</w:t>
      </w:r>
      <w:r w:rsidRPr="00A43B9C">
        <w:rPr>
          <w:rFonts w:ascii="Times New Roman" w:hAnsi="Times New Roman" w:cs="Times New Roman"/>
          <w:sz w:val="28"/>
          <w:szCs w:val="28"/>
          <w:lang w:val="en-US"/>
        </w:rPr>
        <w:t>N</w:t>
      </w:r>
      <w:r w:rsidR="00725243" w:rsidRPr="00A43B9C">
        <w:rPr>
          <w:rFonts w:ascii="Times New Roman" w:hAnsi="Times New Roman" w:cs="Times New Roman"/>
          <w:sz w:val="28"/>
          <w:szCs w:val="28"/>
          <w:vertAlign w:val="subscript"/>
        </w:rPr>
        <w:t>0</w:t>
      </w:r>
      <w:r w:rsidRPr="00A43B9C">
        <w:rPr>
          <w:rFonts w:ascii="Times New Roman" w:hAnsi="Times New Roman" w:cs="Times New Roman"/>
          <w:sz w:val="28"/>
          <w:szCs w:val="28"/>
          <w:lang w:val="en-US"/>
        </w:rPr>
        <w:t>M</w:t>
      </w:r>
      <w:r w:rsidRPr="00A43B9C">
        <w:rPr>
          <w:rFonts w:ascii="Times New Roman" w:hAnsi="Times New Roman" w:cs="Times New Roman"/>
          <w:sz w:val="28"/>
          <w:szCs w:val="28"/>
          <w:vertAlign w:val="subscript"/>
        </w:rPr>
        <w:t>0</w:t>
      </w:r>
      <w:r w:rsidRPr="00A43B9C">
        <w:rPr>
          <w:rFonts w:ascii="Times New Roman" w:eastAsia="NewtonC" w:hAnsi="Times New Roman" w:cs="Times New Roman"/>
          <w:sz w:val="28"/>
          <w:szCs w:val="28"/>
        </w:rPr>
        <w:t>. Результаты топографической реконструкции изображений ПЭТ/КТ исследования в а</w:t>
      </w:r>
      <w:r w:rsidRPr="00A43B9C">
        <w:rPr>
          <w:rFonts w:ascii="Times New Roman" w:hAnsi="Times New Roman" w:cs="Times New Roman"/>
          <w:sz w:val="28"/>
          <w:szCs w:val="28"/>
        </w:rPr>
        <w:t>ксиальной плоскости</w:t>
      </w:r>
      <w:r w:rsidR="00556A77" w:rsidRPr="00A43B9C">
        <w:rPr>
          <w:rFonts w:ascii="Times New Roman" w:hAnsi="Times New Roman" w:cs="Times New Roman"/>
          <w:sz w:val="28"/>
          <w:szCs w:val="28"/>
        </w:rPr>
        <w:t xml:space="preserve">, локализация </w:t>
      </w:r>
      <w:r w:rsidRPr="00A43B9C">
        <w:rPr>
          <w:rFonts w:ascii="Times New Roman" w:hAnsi="Times New Roman" w:cs="Times New Roman"/>
          <w:sz w:val="28"/>
          <w:szCs w:val="28"/>
        </w:rPr>
        <w:t>RRL</w:t>
      </w:r>
    </w:p>
    <w:p w14:paraId="32F92215" w14:textId="77777777" w:rsidR="00314BDA" w:rsidRPr="00A43B9C" w:rsidRDefault="00314BDA" w:rsidP="0046142C">
      <w:pPr>
        <w:spacing w:after="0" w:line="240" w:lineRule="auto"/>
        <w:ind w:firstLine="709"/>
        <w:jc w:val="both"/>
        <w:rPr>
          <w:rFonts w:ascii="Times New Roman" w:hAnsi="Times New Roman" w:cs="Times New Roman"/>
          <w:sz w:val="28"/>
          <w:szCs w:val="28"/>
        </w:rPr>
      </w:pPr>
    </w:p>
    <w:p w14:paraId="33565CE8" w14:textId="0BD3B1AE" w:rsidR="0046142C" w:rsidRDefault="0046142C" w:rsidP="0046142C">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При оценке зависимости вероятности </w:t>
      </w:r>
      <w:r w:rsidR="000874C1" w:rsidRPr="00A43B9C">
        <w:rPr>
          <w:rFonts w:ascii="Times New Roman" w:eastAsia="Times New Roman" w:hAnsi="Times New Roman" w:cs="Times New Roman"/>
          <w:sz w:val="28"/>
          <w:szCs w:val="28"/>
          <w:lang w:val="en-US" w:eastAsia="ru-RU"/>
        </w:rPr>
        <w:t>LM</w:t>
      </w:r>
      <w:r w:rsidRPr="00A43B9C">
        <w:rPr>
          <w:rFonts w:ascii="Times New Roman" w:hAnsi="Times New Roman" w:cs="Times New Roman"/>
          <w:sz w:val="28"/>
          <w:szCs w:val="28"/>
        </w:rPr>
        <w:t xml:space="preserve"> в </w:t>
      </w:r>
      <w:r w:rsidR="00556A77"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RU с помощью ROC-анализа была получена следующая кривая (рисунок </w:t>
      </w:r>
      <w:r w:rsidR="00FA33C1" w:rsidRPr="00A43B9C">
        <w:rPr>
          <w:rFonts w:ascii="Times New Roman" w:hAnsi="Times New Roman" w:cs="Times New Roman"/>
          <w:sz w:val="28"/>
          <w:szCs w:val="28"/>
        </w:rPr>
        <w:t>5</w:t>
      </w:r>
      <w:r w:rsidR="00E81502">
        <w:rPr>
          <w:rFonts w:ascii="Times New Roman" w:hAnsi="Times New Roman" w:cs="Times New Roman"/>
          <w:sz w:val="28"/>
          <w:szCs w:val="28"/>
        </w:rPr>
        <w:t>3</w:t>
      </w:r>
      <w:r w:rsidRPr="00A43B9C">
        <w:rPr>
          <w:rFonts w:ascii="Times New Roman" w:hAnsi="Times New Roman" w:cs="Times New Roman"/>
          <w:sz w:val="28"/>
          <w:szCs w:val="28"/>
        </w:rPr>
        <w:t>).</w:t>
      </w:r>
    </w:p>
    <w:p w14:paraId="7FE3D241" w14:textId="77777777" w:rsidR="00942FF6" w:rsidRPr="00A43B9C" w:rsidRDefault="00942FF6" w:rsidP="0046142C">
      <w:pPr>
        <w:spacing w:after="0" w:line="240" w:lineRule="auto"/>
        <w:ind w:firstLine="709"/>
        <w:jc w:val="both"/>
        <w:rPr>
          <w:rFonts w:ascii="Times New Roman" w:hAnsi="Times New Roman" w:cs="Times New Roman"/>
          <w:sz w:val="28"/>
          <w:szCs w:val="28"/>
        </w:rPr>
      </w:pPr>
    </w:p>
    <w:p w14:paraId="1336F957" w14:textId="77777777"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44EADE36" wp14:editId="182889F0">
            <wp:extent cx="3334267" cy="2052000"/>
            <wp:effectExtent l="0" t="0" r="0" b="5715"/>
            <wp:docPr id="2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11.png"/>
                    <pic:cNvPicPr/>
                  </pic:nvPicPr>
                  <pic:blipFill>
                    <a:blip r:embed="rId327"/>
                    <a:stretch>
                      <a:fillRect/>
                    </a:stretch>
                  </pic:blipFill>
                  <pic:spPr>
                    <a:xfrm>
                      <a:off x="0" y="0"/>
                      <a:ext cx="3334267" cy="2052000"/>
                    </a:xfrm>
                    <a:prstGeom prst="rect">
                      <a:avLst/>
                    </a:prstGeom>
                  </pic:spPr>
                </pic:pic>
              </a:graphicData>
            </a:graphic>
          </wp:inline>
        </w:drawing>
      </w:r>
    </w:p>
    <w:p w14:paraId="3F0835E7" w14:textId="0C1D50C4"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 xml:space="preserve">Рисунок </w:t>
      </w:r>
      <w:r w:rsidR="00FA33C1" w:rsidRPr="00A43B9C">
        <w:rPr>
          <w:rFonts w:ascii="Times New Roman" w:hAnsi="Times New Roman" w:cs="Times New Roman"/>
          <w:sz w:val="28"/>
          <w:szCs w:val="28"/>
        </w:rPr>
        <w:t>5</w:t>
      </w:r>
      <w:r w:rsidR="001A1D98">
        <w:rPr>
          <w:rFonts w:ascii="Times New Roman" w:hAnsi="Times New Roman" w:cs="Times New Roman"/>
          <w:sz w:val="28"/>
          <w:szCs w:val="28"/>
        </w:rPr>
        <w:t>3</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ROC-кривая, характеризующая зависимость вероятности </w:t>
      </w:r>
      <w:r w:rsidR="00777C9A">
        <w:rPr>
          <w:rFonts w:ascii="Times New Roman" w:hAnsi="Times New Roman" w:cs="Times New Roman"/>
          <w:sz w:val="28"/>
          <w:szCs w:val="28"/>
          <w:lang w:val="en-US"/>
        </w:rPr>
        <w:t>p</w:t>
      </w:r>
      <w:r w:rsidR="000874C1" w:rsidRPr="00A43B9C">
        <w:rPr>
          <w:rFonts w:ascii="Times New Roman" w:hAnsi="Times New Roman" w:cs="Times New Roman"/>
          <w:sz w:val="28"/>
          <w:szCs w:val="28"/>
          <w:lang w:val="en-US"/>
        </w:rPr>
        <w:t>LM</w:t>
      </w:r>
      <w:r w:rsidRPr="00A43B9C">
        <w:rPr>
          <w:rFonts w:ascii="Times New Roman" w:hAnsi="Times New Roman" w:cs="Times New Roman"/>
          <w:sz w:val="28"/>
          <w:szCs w:val="28"/>
        </w:rPr>
        <w:t xml:space="preserve"> от </w:t>
      </w:r>
      <w:r w:rsidR="00556A77"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RU</w:t>
      </w:r>
    </w:p>
    <w:p w14:paraId="3908BAB5" w14:textId="77777777" w:rsidR="0046142C" w:rsidRPr="00A43B9C" w:rsidRDefault="0046142C" w:rsidP="0046142C">
      <w:pPr>
        <w:spacing w:after="0" w:line="240" w:lineRule="auto"/>
        <w:jc w:val="both"/>
        <w:rPr>
          <w:rFonts w:ascii="Times New Roman" w:hAnsi="Times New Roman" w:cs="Times New Roman"/>
          <w:sz w:val="28"/>
          <w:szCs w:val="28"/>
        </w:rPr>
      </w:pPr>
    </w:p>
    <w:p w14:paraId="1EEF78CA" w14:textId="77777777" w:rsidR="0046142C" w:rsidRPr="00A43B9C" w:rsidRDefault="0046142C" w:rsidP="0046142C">
      <w:pPr>
        <w:spacing w:after="0" w:line="240" w:lineRule="auto"/>
        <w:jc w:val="center"/>
        <w:rPr>
          <w:rFonts w:ascii="Times New Roman" w:hAnsi="Times New Roman" w:cs="Times New Roman"/>
          <w:sz w:val="28"/>
          <w:szCs w:val="28"/>
        </w:rPr>
      </w:pPr>
      <w:r w:rsidRPr="00A43B9C">
        <w:rPr>
          <w:noProof/>
        </w:rPr>
        <w:drawing>
          <wp:inline distT="0" distB="0" distL="0" distR="0" wp14:anchorId="32582EF8" wp14:editId="0022C25E">
            <wp:extent cx="4495391" cy="2052000"/>
            <wp:effectExtent l="0" t="0" r="635" b="5715"/>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3.png"/>
                    <pic:cNvPicPr/>
                  </pic:nvPicPr>
                  <pic:blipFill>
                    <a:blip r:embed="rId328"/>
                    <a:stretch>
                      <a:fillRect/>
                    </a:stretch>
                  </pic:blipFill>
                  <pic:spPr>
                    <a:xfrm>
                      <a:off x="0" y="0"/>
                      <a:ext cx="4495391" cy="2052000"/>
                    </a:xfrm>
                    <a:prstGeom prst="rect">
                      <a:avLst/>
                    </a:prstGeom>
                  </pic:spPr>
                </pic:pic>
              </a:graphicData>
            </a:graphic>
          </wp:inline>
        </w:drawing>
      </w:r>
    </w:p>
    <w:p w14:paraId="63F99859" w14:textId="00BBBE0D"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5</w:t>
      </w:r>
      <w:r w:rsidR="001A1D98">
        <w:rPr>
          <w:rFonts w:ascii="Times New Roman" w:hAnsi="Times New Roman" w:cs="Times New Roman"/>
          <w:sz w:val="28"/>
          <w:szCs w:val="28"/>
        </w:rPr>
        <w:t>4</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чувствительности и специфичности модели в зависимости от пороговых значений уровня </w:t>
      </w:r>
      <w:r w:rsidR="00556A77"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556A77"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556A77"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RU</w:t>
      </w:r>
    </w:p>
    <w:p w14:paraId="085F12AE" w14:textId="20785C5D" w:rsidR="0046142C"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lastRenderedPageBreak/>
        <w:t>Таблица 38 -</w:t>
      </w:r>
      <w:r w:rsidR="0046142C" w:rsidRPr="00A43B9C">
        <w:rPr>
          <w:rFonts w:ascii="Times New Roman" w:hAnsi="Times New Roman" w:cs="Times New Roman"/>
          <w:sz w:val="28"/>
          <w:szCs w:val="28"/>
        </w:rPr>
        <w:t xml:space="preserve"> Пороговые значения уровня </w:t>
      </w:r>
      <w:r w:rsidR="00556A77"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556A77" w:rsidRPr="00A43B9C">
        <w:rPr>
          <w:rFonts w:ascii="Times New Roman" w:hAnsi="Times New Roman" w:cs="Times New Roman"/>
          <w:sz w:val="28"/>
          <w:szCs w:val="28"/>
        </w:rPr>
        <w:t xml:space="preserve"> </w:t>
      </w:r>
      <w:r w:rsidR="0046142C" w:rsidRPr="00A43B9C">
        <w:rPr>
          <w:rFonts w:ascii="Times New Roman" w:hAnsi="Times New Roman" w:cs="Times New Roman"/>
          <w:sz w:val="28"/>
          <w:szCs w:val="28"/>
          <w:lang w:val="en-US"/>
        </w:rPr>
        <w:t>SUV</w:t>
      </w:r>
      <w:r w:rsidR="0046142C" w:rsidRPr="00A43B9C">
        <w:rPr>
          <w:rFonts w:ascii="Times New Roman" w:hAnsi="Times New Roman" w:cs="Times New Roman"/>
          <w:sz w:val="28"/>
          <w:szCs w:val="28"/>
          <w:vertAlign w:val="subscript"/>
          <w:lang w:val="en-US"/>
        </w:rPr>
        <w:t>max</w:t>
      </w:r>
      <w:r w:rsidR="0046142C" w:rsidRPr="00A43B9C">
        <w:rPr>
          <w:rFonts w:ascii="Times New Roman" w:hAnsi="Times New Roman" w:cs="Times New Roman"/>
          <w:sz w:val="28"/>
          <w:szCs w:val="28"/>
        </w:rPr>
        <w:t xml:space="preserve"> в </w:t>
      </w:r>
      <w:r w:rsidR="00556A77" w:rsidRPr="00A43B9C">
        <w:rPr>
          <w:rFonts w:ascii="Times New Roman" w:hAnsi="Times New Roman" w:cs="Times New Roman"/>
          <w:sz w:val="28"/>
          <w:szCs w:val="28"/>
        </w:rPr>
        <w:t xml:space="preserve">локализации </w:t>
      </w:r>
      <w:r w:rsidR="0046142C" w:rsidRPr="00A43B9C">
        <w:rPr>
          <w:rFonts w:ascii="Times New Roman" w:hAnsi="Times New Roman" w:cs="Times New Roman"/>
          <w:sz w:val="28"/>
          <w:szCs w:val="28"/>
        </w:rPr>
        <w:t>RU</w:t>
      </w:r>
    </w:p>
    <w:p w14:paraId="699901B0"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0" w:type="auto"/>
        <w:jc w:val="center"/>
        <w:tblLook w:val="04A0" w:firstRow="1" w:lastRow="0" w:firstColumn="1" w:lastColumn="0" w:noHBand="0" w:noVBand="1"/>
      </w:tblPr>
      <w:tblGrid>
        <w:gridCol w:w="1789"/>
        <w:gridCol w:w="2069"/>
        <w:gridCol w:w="1967"/>
        <w:gridCol w:w="1756"/>
        <w:gridCol w:w="1763"/>
      </w:tblGrid>
      <w:tr w:rsidR="0046142C" w:rsidRPr="00A43B9C" w14:paraId="2D648579" w14:textId="77777777" w:rsidTr="00446A37">
        <w:trPr>
          <w:jc w:val="center"/>
        </w:trPr>
        <w:tc>
          <w:tcPr>
            <w:tcW w:w="1790" w:type="dxa"/>
            <w:vAlign w:val="center"/>
          </w:tcPr>
          <w:p w14:paraId="425C4440" w14:textId="1EAA063D"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Порог</w:t>
            </w:r>
            <w:r w:rsidR="00C63313" w:rsidRPr="00A43B9C">
              <w:rPr>
                <w:rFonts w:ascii="Times New Roman" w:hAnsi="Times New Roman" w:cs="Times New Roman"/>
                <w:sz w:val="28"/>
                <w:szCs w:val="28"/>
              </w:rPr>
              <w:t>овое значение</w:t>
            </w:r>
          </w:p>
        </w:tc>
        <w:tc>
          <w:tcPr>
            <w:tcW w:w="2069" w:type="dxa"/>
            <w:vAlign w:val="center"/>
          </w:tcPr>
          <w:p w14:paraId="68B31713" w14:textId="4EB46D99"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Se, %</w:t>
            </w:r>
          </w:p>
        </w:tc>
        <w:tc>
          <w:tcPr>
            <w:tcW w:w="1967" w:type="dxa"/>
            <w:vAlign w:val="center"/>
          </w:tcPr>
          <w:p w14:paraId="39892D36" w14:textId="19C3212B"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Sp, %</w:t>
            </w:r>
          </w:p>
        </w:tc>
        <w:tc>
          <w:tcPr>
            <w:tcW w:w="1756" w:type="dxa"/>
            <w:vAlign w:val="center"/>
          </w:tcPr>
          <w:p w14:paraId="5E984D60" w14:textId="61018E49"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PPV</w:t>
            </w:r>
            <w:r w:rsidR="003E57FA" w:rsidRPr="00A43B9C">
              <w:rPr>
                <w:rFonts w:ascii="Times New Roman" w:hAnsi="Times New Roman" w:cs="Times New Roman"/>
                <w:sz w:val="28"/>
                <w:szCs w:val="28"/>
                <w:lang w:val="en-US"/>
              </w:rPr>
              <w:t>, %</w:t>
            </w:r>
          </w:p>
        </w:tc>
        <w:tc>
          <w:tcPr>
            <w:tcW w:w="1763" w:type="dxa"/>
            <w:vAlign w:val="center"/>
          </w:tcPr>
          <w:p w14:paraId="13DD5723" w14:textId="13BC7A96"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NPV</w:t>
            </w:r>
            <w:r w:rsidR="003E57FA" w:rsidRPr="00A43B9C">
              <w:rPr>
                <w:rFonts w:ascii="Times New Roman" w:hAnsi="Times New Roman" w:cs="Times New Roman"/>
                <w:sz w:val="28"/>
                <w:szCs w:val="28"/>
                <w:lang w:val="en-US"/>
              </w:rPr>
              <w:t>, %</w:t>
            </w:r>
          </w:p>
        </w:tc>
      </w:tr>
      <w:tr w:rsidR="0046142C" w:rsidRPr="00A43B9C" w14:paraId="2E78521F" w14:textId="77777777" w:rsidTr="00446A37">
        <w:trPr>
          <w:jc w:val="center"/>
        </w:trPr>
        <w:tc>
          <w:tcPr>
            <w:tcW w:w="1790" w:type="dxa"/>
            <w:vAlign w:val="center"/>
          </w:tcPr>
          <w:p w14:paraId="04614FCC"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1,07</w:t>
            </w:r>
          </w:p>
        </w:tc>
        <w:tc>
          <w:tcPr>
            <w:tcW w:w="2069" w:type="dxa"/>
            <w:vAlign w:val="center"/>
          </w:tcPr>
          <w:p w14:paraId="243EFA9C"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50,0</w:t>
            </w:r>
          </w:p>
        </w:tc>
        <w:tc>
          <w:tcPr>
            <w:tcW w:w="1967" w:type="dxa"/>
            <w:vAlign w:val="center"/>
          </w:tcPr>
          <w:p w14:paraId="1F2100AD"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75,0</w:t>
            </w:r>
          </w:p>
        </w:tc>
        <w:tc>
          <w:tcPr>
            <w:tcW w:w="1756" w:type="dxa"/>
            <w:vAlign w:val="center"/>
          </w:tcPr>
          <w:p w14:paraId="5023A3B2"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42,1</w:t>
            </w:r>
          </w:p>
        </w:tc>
        <w:tc>
          <w:tcPr>
            <w:tcW w:w="1763" w:type="dxa"/>
            <w:vAlign w:val="center"/>
          </w:tcPr>
          <w:p w14:paraId="024BBC02"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80,5</w:t>
            </w:r>
          </w:p>
        </w:tc>
      </w:tr>
      <w:tr w:rsidR="0046142C" w:rsidRPr="00A43B9C" w14:paraId="68CA5745" w14:textId="77777777" w:rsidTr="00446A37">
        <w:trPr>
          <w:jc w:val="center"/>
        </w:trPr>
        <w:tc>
          <w:tcPr>
            <w:tcW w:w="1790" w:type="dxa"/>
            <w:vAlign w:val="center"/>
          </w:tcPr>
          <w:p w14:paraId="58F34E59"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0,93</w:t>
            </w:r>
          </w:p>
        </w:tc>
        <w:tc>
          <w:tcPr>
            <w:tcW w:w="2069" w:type="dxa"/>
            <w:vAlign w:val="center"/>
          </w:tcPr>
          <w:p w14:paraId="09118A12"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50,0</w:t>
            </w:r>
          </w:p>
        </w:tc>
        <w:tc>
          <w:tcPr>
            <w:tcW w:w="1967" w:type="dxa"/>
            <w:vAlign w:val="center"/>
          </w:tcPr>
          <w:p w14:paraId="00EA90EF"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65,9</w:t>
            </w:r>
          </w:p>
        </w:tc>
        <w:tc>
          <w:tcPr>
            <w:tcW w:w="1756" w:type="dxa"/>
            <w:vAlign w:val="center"/>
          </w:tcPr>
          <w:p w14:paraId="41C6E3BC"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34,8</w:t>
            </w:r>
          </w:p>
        </w:tc>
        <w:tc>
          <w:tcPr>
            <w:tcW w:w="1763" w:type="dxa"/>
            <w:vAlign w:val="center"/>
          </w:tcPr>
          <w:p w14:paraId="061B8502"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78,4</w:t>
            </w:r>
          </w:p>
        </w:tc>
      </w:tr>
      <w:tr w:rsidR="0046142C" w:rsidRPr="00A43B9C" w14:paraId="496A6CBA" w14:textId="77777777" w:rsidTr="00446A37">
        <w:trPr>
          <w:jc w:val="center"/>
        </w:trPr>
        <w:tc>
          <w:tcPr>
            <w:tcW w:w="1790" w:type="dxa"/>
            <w:vAlign w:val="center"/>
          </w:tcPr>
          <w:p w14:paraId="3582DF17"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0,93</w:t>
            </w:r>
          </w:p>
        </w:tc>
        <w:tc>
          <w:tcPr>
            <w:tcW w:w="2069" w:type="dxa"/>
            <w:vAlign w:val="center"/>
          </w:tcPr>
          <w:p w14:paraId="78B533D8"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56,2</w:t>
            </w:r>
          </w:p>
        </w:tc>
        <w:tc>
          <w:tcPr>
            <w:tcW w:w="1967" w:type="dxa"/>
            <w:vAlign w:val="center"/>
          </w:tcPr>
          <w:p w14:paraId="5A92D20A"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65,9</w:t>
            </w:r>
          </w:p>
        </w:tc>
        <w:tc>
          <w:tcPr>
            <w:tcW w:w="1756" w:type="dxa"/>
            <w:vAlign w:val="center"/>
          </w:tcPr>
          <w:p w14:paraId="4D90AB1D"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37,5</w:t>
            </w:r>
          </w:p>
        </w:tc>
        <w:tc>
          <w:tcPr>
            <w:tcW w:w="1763" w:type="dxa"/>
            <w:vAlign w:val="center"/>
          </w:tcPr>
          <w:p w14:paraId="42015D70"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80,6</w:t>
            </w:r>
          </w:p>
        </w:tc>
      </w:tr>
      <w:tr w:rsidR="0046142C" w:rsidRPr="00A43B9C" w14:paraId="71043AE6" w14:textId="77777777" w:rsidTr="00446A37">
        <w:trPr>
          <w:jc w:val="center"/>
        </w:trPr>
        <w:tc>
          <w:tcPr>
            <w:tcW w:w="1790" w:type="dxa"/>
            <w:vAlign w:val="center"/>
          </w:tcPr>
          <w:p w14:paraId="12D9E9A6"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0,92</w:t>
            </w:r>
          </w:p>
        </w:tc>
        <w:tc>
          <w:tcPr>
            <w:tcW w:w="2069" w:type="dxa"/>
            <w:vAlign w:val="center"/>
          </w:tcPr>
          <w:p w14:paraId="4CE5431F"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56,2</w:t>
            </w:r>
          </w:p>
        </w:tc>
        <w:tc>
          <w:tcPr>
            <w:tcW w:w="1967" w:type="dxa"/>
            <w:vAlign w:val="center"/>
          </w:tcPr>
          <w:p w14:paraId="124CD07C"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61,4</w:t>
            </w:r>
          </w:p>
        </w:tc>
        <w:tc>
          <w:tcPr>
            <w:tcW w:w="1756" w:type="dxa"/>
            <w:vAlign w:val="center"/>
          </w:tcPr>
          <w:p w14:paraId="27E6DED2"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34,6</w:t>
            </w:r>
          </w:p>
        </w:tc>
        <w:tc>
          <w:tcPr>
            <w:tcW w:w="1763" w:type="dxa"/>
            <w:vAlign w:val="center"/>
          </w:tcPr>
          <w:p w14:paraId="5EFED37D"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79,4</w:t>
            </w:r>
          </w:p>
        </w:tc>
      </w:tr>
      <w:tr w:rsidR="0046142C" w:rsidRPr="00CD7C27" w14:paraId="4BFB67B7" w14:textId="77777777" w:rsidTr="00446A37">
        <w:trPr>
          <w:jc w:val="center"/>
        </w:trPr>
        <w:tc>
          <w:tcPr>
            <w:tcW w:w="1790" w:type="dxa"/>
            <w:vAlign w:val="center"/>
          </w:tcPr>
          <w:p w14:paraId="4A547740" w14:textId="77777777" w:rsidR="0046142C" w:rsidRPr="00CD7C27" w:rsidRDefault="0046142C" w:rsidP="00446A37">
            <w:pPr>
              <w:spacing w:after="0" w:line="240" w:lineRule="auto"/>
              <w:jc w:val="center"/>
              <w:rPr>
                <w:rFonts w:ascii="Times New Roman" w:hAnsi="Times New Roman" w:cs="Times New Roman"/>
                <w:bCs/>
                <w:sz w:val="28"/>
                <w:szCs w:val="28"/>
              </w:rPr>
            </w:pPr>
            <w:r w:rsidRPr="00CD7C27">
              <w:rPr>
                <w:rFonts w:ascii="Times New Roman" w:hAnsi="Times New Roman" w:cs="Times New Roman"/>
                <w:bCs/>
                <w:sz w:val="28"/>
                <w:szCs w:val="28"/>
              </w:rPr>
              <w:t>0,85</w:t>
            </w:r>
          </w:p>
        </w:tc>
        <w:tc>
          <w:tcPr>
            <w:tcW w:w="2069" w:type="dxa"/>
            <w:vAlign w:val="center"/>
          </w:tcPr>
          <w:p w14:paraId="256FA918" w14:textId="77777777" w:rsidR="0046142C" w:rsidRPr="00CD7C27" w:rsidRDefault="0046142C" w:rsidP="00446A37">
            <w:pPr>
              <w:spacing w:after="0" w:line="240" w:lineRule="auto"/>
              <w:jc w:val="center"/>
              <w:rPr>
                <w:rFonts w:ascii="Times New Roman" w:hAnsi="Times New Roman" w:cs="Times New Roman"/>
                <w:bCs/>
                <w:sz w:val="28"/>
                <w:szCs w:val="28"/>
              </w:rPr>
            </w:pPr>
            <w:r w:rsidRPr="00CD7C27">
              <w:rPr>
                <w:rFonts w:ascii="Times New Roman" w:hAnsi="Times New Roman" w:cs="Times New Roman"/>
                <w:bCs/>
                <w:sz w:val="28"/>
                <w:szCs w:val="28"/>
              </w:rPr>
              <w:t>62,5</w:t>
            </w:r>
          </w:p>
        </w:tc>
        <w:tc>
          <w:tcPr>
            <w:tcW w:w="1967" w:type="dxa"/>
            <w:vAlign w:val="center"/>
          </w:tcPr>
          <w:p w14:paraId="47B6C533" w14:textId="77777777" w:rsidR="0046142C" w:rsidRPr="00CD7C27" w:rsidRDefault="0046142C" w:rsidP="00446A37">
            <w:pPr>
              <w:spacing w:after="0" w:line="240" w:lineRule="auto"/>
              <w:jc w:val="center"/>
              <w:rPr>
                <w:rFonts w:ascii="Times New Roman" w:hAnsi="Times New Roman" w:cs="Times New Roman"/>
                <w:bCs/>
                <w:sz w:val="28"/>
                <w:szCs w:val="28"/>
              </w:rPr>
            </w:pPr>
            <w:r w:rsidRPr="00CD7C27">
              <w:rPr>
                <w:rFonts w:ascii="Times New Roman" w:hAnsi="Times New Roman" w:cs="Times New Roman"/>
                <w:bCs/>
                <w:sz w:val="28"/>
                <w:szCs w:val="28"/>
              </w:rPr>
              <w:t>61,4</w:t>
            </w:r>
          </w:p>
        </w:tc>
        <w:tc>
          <w:tcPr>
            <w:tcW w:w="1756" w:type="dxa"/>
            <w:vAlign w:val="center"/>
          </w:tcPr>
          <w:p w14:paraId="49B81A4E" w14:textId="77777777" w:rsidR="0046142C" w:rsidRPr="00CD7C27" w:rsidRDefault="0046142C" w:rsidP="00446A37">
            <w:pPr>
              <w:spacing w:after="0" w:line="240" w:lineRule="auto"/>
              <w:jc w:val="center"/>
              <w:rPr>
                <w:rFonts w:ascii="Times New Roman" w:hAnsi="Times New Roman" w:cs="Times New Roman"/>
                <w:bCs/>
                <w:sz w:val="28"/>
                <w:szCs w:val="28"/>
              </w:rPr>
            </w:pPr>
            <w:r w:rsidRPr="00CD7C27">
              <w:rPr>
                <w:rFonts w:ascii="Times New Roman" w:hAnsi="Times New Roman" w:cs="Times New Roman"/>
                <w:bCs/>
                <w:sz w:val="28"/>
                <w:szCs w:val="28"/>
              </w:rPr>
              <w:t>37,0</w:t>
            </w:r>
          </w:p>
        </w:tc>
        <w:tc>
          <w:tcPr>
            <w:tcW w:w="1763" w:type="dxa"/>
            <w:vAlign w:val="center"/>
          </w:tcPr>
          <w:p w14:paraId="36D607F1" w14:textId="77777777" w:rsidR="0046142C" w:rsidRPr="00CD7C27" w:rsidRDefault="0046142C" w:rsidP="00446A37">
            <w:pPr>
              <w:spacing w:after="0" w:line="240" w:lineRule="auto"/>
              <w:jc w:val="center"/>
              <w:rPr>
                <w:rFonts w:ascii="Times New Roman" w:hAnsi="Times New Roman" w:cs="Times New Roman"/>
                <w:bCs/>
                <w:sz w:val="28"/>
                <w:szCs w:val="28"/>
              </w:rPr>
            </w:pPr>
            <w:r w:rsidRPr="00CD7C27">
              <w:rPr>
                <w:rFonts w:ascii="Times New Roman" w:hAnsi="Times New Roman" w:cs="Times New Roman"/>
                <w:bCs/>
                <w:sz w:val="28"/>
                <w:szCs w:val="28"/>
              </w:rPr>
              <w:t>81,8</w:t>
            </w:r>
          </w:p>
        </w:tc>
      </w:tr>
      <w:tr w:rsidR="0046142C" w:rsidRPr="00A43B9C" w14:paraId="366CCD07" w14:textId="77777777" w:rsidTr="00446A37">
        <w:trPr>
          <w:jc w:val="center"/>
        </w:trPr>
        <w:tc>
          <w:tcPr>
            <w:tcW w:w="1790" w:type="dxa"/>
            <w:vAlign w:val="center"/>
          </w:tcPr>
          <w:p w14:paraId="06C6B60B"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0,80</w:t>
            </w:r>
          </w:p>
        </w:tc>
        <w:tc>
          <w:tcPr>
            <w:tcW w:w="2069" w:type="dxa"/>
            <w:vAlign w:val="center"/>
          </w:tcPr>
          <w:p w14:paraId="10428051"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62,5</w:t>
            </w:r>
          </w:p>
        </w:tc>
        <w:tc>
          <w:tcPr>
            <w:tcW w:w="1967" w:type="dxa"/>
            <w:vAlign w:val="center"/>
          </w:tcPr>
          <w:p w14:paraId="62415F5E"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56,8</w:t>
            </w:r>
          </w:p>
        </w:tc>
        <w:tc>
          <w:tcPr>
            <w:tcW w:w="1756" w:type="dxa"/>
            <w:vAlign w:val="center"/>
          </w:tcPr>
          <w:p w14:paraId="00F47EFB"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34,5</w:t>
            </w:r>
          </w:p>
        </w:tc>
        <w:tc>
          <w:tcPr>
            <w:tcW w:w="1763" w:type="dxa"/>
            <w:vAlign w:val="center"/>
          </w:tcPr>
          <w:p w14:paraId="3EB810E4"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80,6</w:t>
            </w:r>
          </w:p>
        </w:tc>
      </w:tr>
      <w:tr w:rsidR="0046142C" w:rsidRPr="00A43B9C" w14:paraId="533593C4" w14:textId="77777777" w:rsidTr="00446A37">
        <w:trPr>
          <w:jc w:val="center"/>
        </w:trPr>
        <w:tc>
          <w:tcPr>
            <w:tcW w:w="1790" w:type="dxa"/>
            <w:vAlign w:val="center"/>
          </w:tcPr>
          <w:p w14:paraId="07024E74"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0,80</w:t>
            </w:r>
          </w:p>
        </w:tc>
        <w:tc>
          <w:tcPr>
            <w:tcW w:w="2069" w:type="dxa"/>
            <w:vAlign w:val="center"/>
          </w:tcPr>
          <w:p w14:paraId="7E88617F"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68,8</w:t>
            </w:r>
          </w:p>
        </w:tc>
        <w:tc>
          <w:tcPr>
            <w:tcW w:w="1967" w:type="dxa"/>
            <w:vAlign w:val="center"/>
          </w:tcPr>
          <w:p w14:paraId="51114F87"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56,8</w:t>
            </w:r>
          </w:p>
        </w:tc>
        <w:tc>
          <w:tcPr>
            <w:tcW w:w="1756" w:type="dxa"/>
            <w:vAlign w:val="center"/>
          </w:tcPr>
          <w:p w14:paraId="2024DAC4"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36,7</w:t>
            </w:r>
          </w:p>
        </w:tc>
        <w:tc>
          <w:tcPr>
            <w:tcW w:w="1763" w:type="dxa"/>
            <w:vAlign w:val="center"/>
          </w:tcPr>
          <w:p w14:paraId="40E95A2F"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83,3</w:t>
            </w:r>
          </w:p>
        </w:tc>
      </w:tr>
    </w:tbl>
    <w:p w14:paraId="4972A61C" w14:textId="77777777" w:rsidR="0046142C" w:rsidRPr="00A43B9C" w:rsidRDefault="0046142C" w:rsidP="0046142C">
      <w:pPr>
        <w:spacing w:after="0" w:line="240" w:lineRule="auto"/>
        <w:rPr>
          <w:rFonts w:ascii="Times New Roman" w:hAnsi="Times New Roman" w:cs="Times New Roman"/>
          <w:sz w:val="28"/>
          <w:szCs w:val="28"/>
        </w:rPr>
      </w:pPr>
    </w:p>
    <w:p w14:paraId="2478D5A8" w14:textId="5C1F51A0" w:rsidR="0046142C" w:rsidRPr="00A43B9C" w:rsidRDefault="0046142C" w:rsidP="0046142C">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Площадь под ROC-кривой составила 0,672 </w:t>
      </w:r>
      <w:r w:rsidR="00556A77" w:rsidRPr="00A43B9C">
        <w:rPr>
          <w:rFonts w:ascii="Times New Roman" w:hAnsi="Times New Roman" w:cs="Times New Roman"/>
          <w:sz w:val="28"/>
          <w:szCs w:val="28"/>
        </w:rPr>
        <w:t>(</w:t>
      </w:r>
      <w:r w:rsidRPr="00A43B9C">
        <w:rPr>
          <w:rFonts w:ascii="Times New Roman" w:hAnsi="Times New Roman" w:cs="Times New Roman"/>
          <w:sz w:val="28"/>
          <w:szCs w:val="28"/>
        </w:rPr>
        <w:t>95% ДИ 0,509 – 0,835</w:t>
      </w:r>
      <w:r w:rsidR="00556A77" w:rsidRPr="00A43B9C">
        <w:rPr>
          <w:rFonts w:ascii="Times New Roman" w:hAnsi="Times New Roman" w:cs="Times New Roman"/>
          <w:sz w:val="28"/>
          <w:szCs w:val="28"/>
        </w:rPr>
        <w:t xml:space="preserve">) </w:t>
      </w:r>
      <w:r w:rsidRPr="00A43B9C">
        <w:rPr>
          <w:rFonts w:ascii="Times New Roman" w:hAnsi="Times New Roman" w:cs="Times New Roman"/>
          <w:sz w:val="28"/>
          <w:szCs w:val="28"/>
        </w:rPr>
        <w:t>(p = 0,043).</w:t>
      </w:r>
      <w:r w:rsidR="00556A77"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Пороговое значение уровня </w:t>
      </w:r>
      <w:r w:rsidR="00556A77"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556A77"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556A77"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RU в точке </w:t>
      </w:r>
      <w:r w:rsidR="00556A77" w:rsidRPr="00A43B9C">
        <w:rPr>
          <w:rFonts w:ascii="Times New Roman" w:hAnsi="Times New Roman" w:cs="Times New Roman"/>
          <w:sz w:val="28"/>
          <w:szCs w:val="28"/>
        </w:rPr>
        <w:t>отсечения</w:t>
      </w:r>
      <w:r w:rsidRPr="00A43B9C">
        <w:rPr>
          <w:rFonts w:ascii="Times New Roman" w:hAnsi="Times New Roman" w:cs="Times New Roman"/>
          <w:sz w:val="28"/>
          <w:szCs w:val="28"/>
        </w:rPr>
        <w:t>, которому соответствовало наивысшее значение индекса Юдена, составило 0,85 (рисунок 5</w:t>
      </w:r>
      <w:r w:rsidR="00E81502">
        <w:rPr>
          <w:rFonts w:ascii="Times New Roman" w:hAnsi="Times New Roman" w:cs="Times New Roman"/>
          <w:sz w:val="28"/>
          <w:szCs w:val="28"/>
        </w:rPr>
        <w:t>4</w:t>
      </w:r>
      <w:r w:rsidRPr="00A43B9C">
        <w:rPr>
          <w:rFonts w:ascii="Times New Roman" w:hAnsi="Times New Roman" w:cs="Times New Roman"/>
          <w:sz w:val="28"/>
          <w:szCs w:val="28"/>
        </w:rPr>
        <w:t xml:space="preserve">). Наличие </w:t>
      </w:r>
      <w:r w:rsidR="000874C1" w:rsidRPr="00A43B9C">
        <w:rPr>
          <w:rFonts w:ascii="Times New Roman" w:eastAsia="Times New Roman" w:hAnsi="Times New Roman" w:cs="Times New Roman"/>
          <w:sz w:val="28"/>
          <w:szCs w:val="28"/>
          <w:lang w:val="en-US" w:eastAsia="ru-RU"/>
        </w:rPr>
        <w:t>pLM</w:t>
      </w:r>
      <w:r w:rsidRPr="00A43B9C">
        <w:rPr>
          <w:rFonts w:ascii="Times New Roman" w:hAnsi="Times New Roman" w:cs="Times New Roman"/>
          <w:sz w:val="28"/>
          <w:szCs w:val="28"/>
        </w:rPr>
        <w:t xml:space="preserve"> прогнозировалось при значении уровня </w:t>
      </w:r>
      <w:r w:rsidR="00556A77"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556A77"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556A77"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RU ниже данной величины или равном ей. Чувствительность и специфичность модели составили 62,5% и 61,4%, а </w:t>
      </w:r>
      <w:r w:rsidRPr="00A43B9C">
        <w:rPr>
          <w:rFonts w:ascii="Times New Roman" w:hAnsi="Times New Roman" w:cs="Times New Roman"/>
          <w:sz w:val="28"/>
          <w:szCs w:val="28"/>
          <w:lang w:val="en-US"/>
        </w:rPr>
        <w:t>PPV</w:t>
      </w:r>
      <w:r w:rsidRPr="00A43B9C">
        <w:rPr>
          <w:rFonts w:ascii="Times New Roman" w:hAnsi="Times New Roman" w:cs="Times New Roman"/>
          <w:sz w:val="28"/>
          <w:szCs w:val="28"/>
        </w:rPr>
        <w:t xml:space="preserve"> и </w:t>
      </w:r>
      <w:r w:rsidRPr="00A43B9C">
        <w:rPr>
          <w:rFonts w:ascii="Times New Roman" w:hAnsi="Times New Roman" w:cs="Times New Roman"/>
          <w:sz w:val="28"/>
          <w:szCs w:val="28"/>
          <w:lang w:val="en-US"/>
        </w:rPr>
        <w:t>NPV</w:t>
      </w:r>
      <w:r w:rsidRPr="00A43B9C">
        <w:rPr>
          <w:rFonts w:ascii="Times New Roman" w:hAnsi="Times New Roman" w:cs="Times New Roman"/>
          <w:sz w:val="28"/>
          <w:szCs w:val="28"/>
        </w:rPr>
        <w:t xml:space="preserve"> составили 37,0% и 81,8% соответственно (таблица 38).</w:t>
      </w:r>
    </w:p>
    <w:p w14:paraId="0BA0B65D" w14:textId="525C08FC" w:rsidR="00763D97" w:rsidRDefault="00763D97" w:rsidP="00763D97">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Результаты топографической реконструкции </w:t>
      </w:r>
      <w:r w:rsidRPr="00A43B9C">
        <w:rPr>
          <w:rFonts w:ascii="Times New Roman" w:eastAsia="NewtonC" w:hAnsi="Times New Roman" w:cs="Times New Roman"/>
          <w:sz w:val="28"/>
          <w:szCs w:val="28"/>
        </w:rPr>
        <w:t>изображений ПЭТ/КТ исследования в а</w:t>
      </w:r>
      <w:r w:rsidRPr="00A43B9C">
        <w:rPr>
          <w:rFonts w:ascii="Times New Roman" w:hAnsi="Times New Roman" w:cs="Times New Roman"/>
          <w:sz w:val="28"/>
          <w:szCs w:val="28"/>
        </w:rPr>
        <w:t>ксиальной плоскости приведены на рисунке 5</w:t>
      </w:r>
      <w:r w:rsidR="00E81502">
        <w:rPr>
          <w:rFonts w:ascii="Times New Roman" w:hAnsi="Times New Roman" w:cs="Times New Roman"/>
          <w:sz w:val="28"/>
          <w:szCs w:val="28"/>
        </w:rPr>
        <w:t>5</w:t>
      </w:r>
      <w:r w:rsidRPr="00A43B9C">
        <w:rPr>
          <w:rFonts w:ascii="Times New Roman" w:hAnsi="Times New Roman" w:cs="Times New Roman"/>
          <w:sz w:val="28"/>
          <w:szCs w:val="28"/>
        </w:rPr>
        <w:t xml:space="preserve"> для статистически достоверной области RU.</w:t>
      </w:r>
    </w:p>
    <w:p w14:paraId="50594651" w14:textId="77777777" w:rsidR="00942FF6" w:rsidRPr="00A43B9C" w:rsidRDefault="00942FF6" w:rsidP="00763D97">
      <w:pPr>
        <w:spacing w:after="0" w:line="240" w:lineRule="auto"/>
        <w:ind w:firstLine="709"/>
        <w:jc w:val="both"/>
        <w:rPr>
          <w:rFonts w:ascii="Times New Roman" w:hAnsi="Times New Roman" w:cs="Times New Roman"/>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3"/>
        <w:gridCol w:w="4781"/>
      </w:tblGrid>
      <w:tr w:rsidR="00E97D9E" w14:paraId="55D53945" w14:textId="77777777" w:rsidTr="00E97D9E">
        <w:tc>
          <w:tcPr>
            <w:tcW w:w="4569" w:type="dxa"/>
          </w:tcPr>
          <w:p w14:paraId="28A9B337" w14:textId="2BEDA26D" w:rsidR="00E97D9E" w:rsidRDefault="00E97D9E" w:rsidP="00763D97">
            <w:pPr>
              <w:autoSpaceDE w:val="0"/>
              <w:autoSpaceDN w:val="0"/>
              <w:adjustRightInd w:val="0"/>
              <w:spacing w:after="0" w:line="240" w:lineRule="auto"/>
              <w:jc w:val="center"/>
              <w:rPr>
                <w:rFonts w:ascii="Times New Roman" w:eastAsia="NewtonC" w:hAnsi="Times New Roman" w:cs="Times New Roman"/>
                <w:sz w:val="28"/>
                <w:szCs w:val="28"/>
              </w:rPr>
            </w:pPr>
            <w:r w:rsidRPr="00A43B9C">
              <w:rPr>
                <w:rFonts w:ascii="Times New Roman" w:hAnsi="Times New Roman" w:cs="Times New Roman"/>
                <w:noProof/>
                <w:sz w:val="28"/>
                <w:szCs w:val="28"/>
              </w:rPr>
              <w:drawing>
                <wp:inline distT="0" distB="0" distL="0" distR="0" wp14:anchorId="567D0B3C" wp14:editId="67FC3719">
                  <wp:extent cx="2799029" cy="1980000"/>
                  <wp:effectExtent l="0" t="0" r="1905" b="127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29">
                            <a:extLst>
                              <a:ext uri="{28A0092B-C50C-407E-A947-70E740481C1C}">
                                <a14:useLocalDpi xmlns:a14="http://schemas.microsoft.com/office/drawing/2010/main" val="0"/>
                              </a:ext>
                            </a:extLst>
                          </a:blip>
                          <a:srcRect l="21193" t="20056" r="17129" b="19764"/>
                          <a:stretch/>
                        </pic:blipFill>
                        <pic:spPr bwMode="auto">
                          <a:xfrm>
                            <a:off x="0" y="0"/>
                            <a:ext cx="2799029" cy="19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76" w:type="dxa"/>
          </w:tcPr>
          <w:p w14:paraId="114D196E" w14:textId="3FB5BD25" w:rsidR="00E97D9E" w:rsidRDefault="00E97D9E" w:rsidP="00763D97">
            <w:pPr>
              <w:autoSpaceDE w:val="0"/>
              <w:autoSpaceDN w:val="0"/>
              <w:adjustRightInd w:val="0"/>
              <w:spacing w:after="0" w:line="240" w:lineRule="auto"/>
              <w:jc w:val="center"/>
              <w:rPr>
                <w:rFonts w:ascii="Times New Roman" w:eastAsia="NewtonC" w:hAnsi="Times New Roman" w:cs="Times New Roman"/>
                <w:sz w:val="28"/>
                <w:szCs w:val="28"/>
              </w:rPr>
            </w:pPr>
            <w:r w:rsidRPr="00A43B9C">
              <w:rPr>
                <w:rFonts w:ascii="Times New Roman" w:hAnsi="Times New Roman" w:cs="Times New Roman"/>
                <w:noProof/>
                <w:sz w:val="28"/>
                <w:szCs w:val="28"/>
              </w:rPr>
              <w:drawing>
                <wp:inline distT="0" distB="0" distL="0" distR="0" wp14:anchorId="3A25FDDF" wp14:editId="184B4867">
                  <wp:extent cx="2929475" cy="1980000"/>
                  <wp:effectExtent l="0" t="0" r="4445" b="127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30">
                            <a:extLst>
                              <a:ext uri="{28A0092B-C50C-407E-A947-70E740481C1C}">
                                <a14:useLocalDpi xmlns:a14="http://schemas.microsoft.com/office/drawing/2010/main" val="0"/>
                              </a:ext>
                            </a:extLst>
                          </a:blip>
                          <a:srcRect l="16924" t="12703" r="19166" b="39019"/>
                          <a:stretch/>
                        </pic:blipFill>
                        <pic:spPr bwMode="auto">
                          <a:xfrm>
                            <a:off x="0" y="0"/>
                            <a:ext cx="2929475" cy="19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97D9E" w14:paraId="5DB46393" w14:textId="77777777" w:rsidTr="00E97D9E">
        <w:tc>
          <w:tcPr>
            <w:tcW w:w="4569" w:type="dxa"/>
          </w:tcPr>
          <w:p w14:paraId="700301A0" w14:textId="3E452BDB" w:rsidR="00E97D9E" w:rsidRPr="00AB2535" w:rsidRDefault="00E97D9E" w:rsidP="00E97D9E">
            <w:pPr>
              <w:autoSpaceDE w:val="0"/>
              <w:autoSpaceDN w:val="0"/>
              <w:adjustRightInd w:val="0"/>
              <w:spacing w:after="0" w:line="240" w:lineRule="auto"/>
              <w:jc w:val="center"/>
              <w:rPr>
                <w:rFonts w:ascii="Times New Roman" w:eastAsia="NewtonC" w:hAnsi="Times New Roman" w:cs="Times New Roman"/>
                <w:sz w:val="24"/>
                <w:szCs w:val="24"/>
              </w:rPr>
            </w:pPr>
            <w:r w:rsidRPr="00AB2535">
              <w:rPr>
                <w:rFonts w:ascii="Times New Roman" w:hAnsi="Times New Roman" w:cs="Times New Roman"/>
                <w:sz w:val="24"/>
                <w:szCs w:val="24"/>
              </w:rPr>
              <w:t>а)</w:t>
            </w:r>
            <w:r w:rsidR="00AB2535" w:rsidRPr="00AB2535">
              <w:rPr>
                <w:rFonts w:ascii="Times New Roman" w:hAnsi="Times New Roman" w:cs="Times New Roman"/>
                <w:sz w:val="24"/>
                <w:szCs w:val="24"/>
              </w:rPr>
              <w:t xml:space="preserve"> ПЭТ изображение</w:t>
            </w:r>
          </w:p>
        </w:tc>
        <w:tc>
          <w:tcPr>
            <w:tcW w:w="4776" w:type="dxa"/>
          </w:tcPr>
          <w:p w14:paraId="3E62571A" w14:textId="65D50212" w:rsidR="00E97D9E" w:rsidRPr="00AB2535" w:rsidRDefault="00E97D9E" w:rsidP="00E97D9E">
            <w:pPr>
              <w:autoSpaceDE w:val="0"/>
              <w:autoSpaceDN w:val="0"/>
              <w:adjustRightInd w:val="0"/>
              <w:spacing w:after="0" w:line="240" w:lineRule="auto"/>
              <w:jc w:val="center"/>
              <w:rPr>
                <w:rFonts w:ascii="Times New Roman" w:eastAsia="NewtonC" w:hAnsi="Times New Roman" w:cs="Times New Roman"/>
                <w:sz w:val="24"/>
                <w:szCs w:val="24"/>
              </w:rPr>
            </w:pPr>
            <w:r w:rsidRPr="00AB2535">
              <w:rPr>
                <w:rFonts w:ascii="Times New Roman" w:hAnsi="Times New Roman" w:cs="Times New Roman"/>
                <w:noProof/>
                <w:sz w:val="24"/>
                <w:szCs w:val="24"/>
                <w:lang w:eastAsia="ru-RU"/>
              </w:rPr>
              <w:t>б)</w:t>
            </w:r>
            <w:r w:rsidR="00AB2535" w:rsidRPr="00AB2535">
              <w:rPr>
                <w:rFonts w:ascii="Times New Roman" w:hAnsi="Times New Roman" w:cs="Times New Roman"/>
                <w:sz w:val="24"/>
                <w:szCs w:val="24"/>
              </w:rPr>
              <w:t xml:space="preserve"> Визуализация накопления </w:t>
            </w:r>
            <w:r w:rsidR="00AB2535" w:rsidRPr="00AB2535">
              <w:rPr>
                <w:rFonts w:ascii="Times New Roman" w:eastAsia="NewtonC" w:hAnsi="Times New Roman" w:cs="Times New Roman"/>
                <w:sz w:val="24"/>
                <w:szCs w:val="24"/>
                <w:vertAlign w:val="superscript"/>
              </w:rPr>
              <w:t>18</w:t>
            </w:r>
            <w:r w:rsidR="00AB2535" w:rsidRPr="00AB2535">
              <w:rPr>
                <w:rFonts w:ascii="Times New Roman" w:eastAsia="NewtonC" w:hAnsi="Times New Roman" w:cs="Times New Roman"/>
                <w:sz w:val="24"/>
                <w:szCs w:val="24"/>
                <w:lang w:val="en-US"/>
              </w:rPr>
              <w:t>F</w:t>
            </w:r>
            <w:r w:rsidR="00AB2535" w:rsidRPr="00AB2535">
              <w:rPr>
                <w:rFonts w:ascii="Times New Roman" w:eastAsia="NewtonC" w:hAnsi="Times New Roman" w:cs="Times New Roman"/>
                <w:sz w:val="24"/>
                <w:szCs w:val="24"/>
              </w:rPr>
              <w:t>-</w:t>
            </w:r>
            <w:r w:rsidR="00AB2535" w:rsidRPr="00AB2535">
              <w:rPr>
                <w:rFonts w:ascii="Times New Roman" w:eastAsia="NewtonC" w:hAnsi="Times New Roman" w:cs="Times New Roman"/>
                <w:sz w:val="24"/>
                <w:szCs w:val="24"/>
                <w:lang w:val="en-US"/>
              </w:rPr>
              <w:t>FDG</w:t>
            </w:r>
            <w:r w:rsidR="00AB2535" w:rsidRPr="00AB2535">
              <w:rPr>
                <w:rFonts w:ascii="Times New Roman" w:eastAsia="NewtonC" w:hAnsi="Times New Roman" w:cs="Times New Roman"/>
                <w:sz w:val="24"/>
                <w:szCs w:val="24"/>
              </w:rPr>
              <w:t xml:space="preserve"> в режиме </w:t>
            </w:r>
            <w:r w:rsidR="00AB2535" w:rsidRPr="00AB2535">
              <w:rPr>
                <w:rFonts w:ascii="Times New Roman" w:eastAsia="NewtonC" w:hAnsi="Times New Roman" w:cs="Times New Roman"/>
                <w:sz w:val="24"/>
                <w:szCs w:val="24"/>
                <w:lang w:val="en-US"/>
              </w:rPr>
              <w:t>Fusion</w:t>
            </w:r>
          </w:p>
        </w:tc>
      </w:tr>
    </w:tbl>
    <w:p w14:paraId="75B46CB7" w14:textId="77777777" w:rsidR="00AB2535" w:rsidRDefault="00AB2535" w:rsidP="00763D97">
      <w:pPr>
        <w:autoSpaceDE w:val="0"/>
        <w:autoSpaceDN w:val="0"/>
        <w:adjustRightInd w:val="0"/>
        <w:spacing w:after="0" w:line="240" w:lineRule="auto"/>
        <w:ind w:firstLine="709"/>
        <w:jc w:val="center"/>
        <w:rPr>
          <w:rFonts w:ascii="Times New Roman" w:eastAsia="NewtonC" w:hAnsi="Times New Roman" w:cs="Times New Roman"/>
          <w:sz w:val="28"/>
          <w:szCs w:val="28"/>
        </w:rPr>
      </w:pPr>
    </w:p>
    <w:p w14:paraId="678E680B" w14:textId="28CAAFC6" w:rsidR="00077C46" w:rsidRPr="00A43B9C" w:rsidRDefault="00763D97" w:rsidP="00763D97">
      <w:pPr>
        <w:autoSpaceDE w:val="0"/>
        <w:autoSpaceDN w:val="0"/>
        <w:adjustRightInd w:val="0"/>
        <w:spacing w:after="0" w:line="240" w:lineRule="auto"/>
        <w:ind w:firstLine="709"/>
        <w:jc w:val="center"/>
        <w:rPr>
          <w:rFonts w:ascii="Times New Roman" w:hAnsi="Times New Roman" w:cs="Times New Roman"/>
          <w:sz w:val="28"/>
          <w:szCs w:val="28"/>
        </w:rPr>
      </w:pPr>
      <w:r w:rsidRPr="00A43B9C">
        <w:rPr>
          <w:rFonts w:ascii="Times New Roman" w:eastAsia="NewtonC" w:hAnsi="Times New Roman" w:cs="Times New Roman"/>
          <w:sz w:val="28"/>
          <w:szCs w:val="28"/>
        </w:rPr>
        <w:t>Рисунок 5</w:t>
      </w:r>
      <w:r w:rsidR="001A1D98">
        <w:rPr>
          <w:rFonts w:ascii="Times New Roman" w:eastAsia="NewtonC" w:hAnsi="Times New Roman" w:cs="Times New Roman"/>
          <w:sz w:val="28"/>
          <w:szCs w:val="28"/>
        </w:rPr>
        <w:t>5</w:t>
      </w:r>
      <w:r w:rsidRPr="00A43B9C">
        <w:rPr>
          <w:rFonts w:ascii="Times New Roman" w:eastAsia="NewtonC" w:hAnsi="Times New Roman" w:cs="Times New Roman"/>
          <w:sz w:val="28"/>
          <w:szCs w:val="28"/>
        </w:rPr>
        <w:t xml:space="preserve"> – Пациент Н.</w:t>
      </w:r>
      <w:r w:rsidR="00350B72" w:rsidRPr="00A43B9C">
        <w:rPr>
          <w:rFonts w:ascii="Times New Roman" w:eastAsia="NewtonC" w:hAnsi="Times New Roman" w:cs="Times New Roman"/>
          <w:sz w:val="28"/>
          <w:szCs w:val="28"/>
        </w:rPr>
        <w:t xml:space="preserve"> (69 л., жен</w:t>
      </w:r>
      <w:r w:rsidR="00C40B6D" w:rsidRPr="00A43B9C">
        <w:rPr>
          <w:rFonts w:ascii="Times New Roman" w:eastAsia="NewtonC" w:hAnsi="Times New Roman" w:cs="Times New Roman"/>
          <w:sz w:val="28"/>
          <w:szCs w:val="28"/>
        </w:rPr>
        <w:t>щина</w:t>
      </w:r>
      <w:r w:rsidR="00350B72" w:rsidRPr="00A43B9C">
        <w:rPr>
          <w:rFonts w:ascii="Times New Roman" w:eastAsia="NewtonC" w:hAnsi="Times New Roman" w:cs="Times New Roman"/>
          <w:sz w:val="28"/>
          <w:szCs w:val="28"/>
        </w:rPr>
        <w:t>)</w:t>
      </w:r>
      <w:r w:rsidRPr="00A43B9C">
        <w:rPr>
          <w:rFonts w:ascii="Times New Roman" w:eastAsia="NewtonC" w:hAnsi="Times New Roman" w:cs="Times New Roman"/>
          <w:sz w:val="28"/>
          <w:szCs w:val="28"/>
        </w:rPr>
        <w:t xml:space="preserve"> </w:t>
      </w:r>
      <w:r w:rsidR="00556A77" w:rsidRPr="00A43B9C">
        <w:rPr>
          <w:rFonts w:ascii="Times New Roman" w:eastAsia="NewtonC" w:hAnsi="Times New Roman" w:cs="Times New Roman"/>
          <w:sz w:val="28"/>
          <w:szCs w:val="28"/>
        </w:rPr>
        <w:t>с КРР</w:t>
      </w:r>
      <w:r w:rsidR="00252824">
        <w:rPr>
          <w:rFonts w:ascii="Times New Roman" w:eastAsia="NewtonC" w:hAnsi="Times New Roman" w:cs="Times New Roman"/>
          <w:sz w:val="28"/>
          <w:szCs w:val="28"/>
        </w:rPr>
        <w:t xml:space="preserve">, </w:t>
      </w:r>
      <w:r w:rsidRPr="00A43B9C">
        <w:rPr>
          <w:rFonts w:ascii="Times New Roman" w:eastAsia="NewtonC" w:hAnsi="Times New Roman" w:cs="Times New Roman"/>
          <w:sz w:val="28"/>
          <w:szCs w:val="28"/>
          <w:lang w:val="en-US"/>
        </w:rPr>
        <w:t>St</w:t>
      </w:r>
      <w:r w:rsidRPr="00A43B9C">
        <w:rPr>
          <w:rFonts w:ascii="Times New Roman" w:eastAsia="NewtonC" w:hAnsi="Times New Roman" w:cs="Times New Roman"/>
          <w:sz w:val="28"/>
          <w:szCs w:val="28"/>
        </w:rPr>
        <w:t xml:space="preserve"> </w:t>
      </w:r>
      <w:r w:rsidRPr="00A43B9C">
        <w:rPr>
          <w:rFonts w:ascii="Times New Roman" w:eastAsia="NewtonC" w:hAnsi="Times New Roman" w:cs="Times New Roman"/>
          <w:sz w:val="28"/>
          <w:szCs w:val="28"/>
          <w:lang w:val="en-US"/>
        </w:rPr>
        <w:t>III</w:t>
      </w:r>
      <w:r w:rsidR="00252824">
        <w:rPr>
          <w:rFonts w:ascii="Times New Roman" w:eastAsia="NewtonC" w:hAnsi="Times New Roman" w:cs="Times New Roman"/>
          <w:sz w:val="28"/>
          <w:szCs w:val="28"/>
        </w:rPr>
        <w:t>,</w:t>
      </w:r>
      <w:r w:rsidRPr="00A43B9C">
        <w:rPr>
          <w:rFonts w:ascii="Times New Roman" w:eastAsia="NewtonC" w:hAnsi="Times New Roman" w:cs="Times New Roman"/>
          <w:sz w:val="28"/>
          <w:szCs w:val="28"/>
        </w:rPr>
        <w:t xml:space="preserve"> </w:t>
      </w:r>
      <w:r w:rsidRPr="00A43B9C">
        <w:rPr>
          <w:rFonts w:ascii="Times New Roman" w:hAnsi="Times New Roman" w:cs="Times New Roman"/>
          <w:sz w:val="28"/>
          <w:szCs w:val="28"/>
          <w:lang w:val="en-US"/>
        </w:rPr>
        <w:t>T</w:t>
      </w:r>
      <w:r w:rsidRPr="00A43B9C">
        <w:rPr>
          <w:rFonts w:ascii="Times New Roman" w:hAnsi="Times New Roman" w:cs="Times New Roman"/>
          <w:sz w:val="28"/>
          <w:szCs w:val="28"/>
          <w:vertAlign w:val="subscript"/>
        </w:rPr>
        <w:t>4</w:t>
      </w:r>
      <w:r w:rsidRPr="00A43B9C">
        <w:rPr>
          <w:rFonts w:ascii="Times New Roman" w:hAnsi="Times New Roman" w:cs="Times New Roman"/>
          <w:sz w:val="28"/>
          <w:szCs w:val="28"/>
          <w:lang w:val="en-US"/>
        </w:rPr>
        <w:t>N</w:t>
      </w:r>
      <w:r w:rsidRPr="00A43B9C">
        <w:rPr>
          <w:rFonts w:ascii="Times New Roman" w:hAnsi="Times New Roman" w:cs="Times New Roman"/>
          <w:sz w:val="28"/>
          <w:szCs w:val="28"/>
          <w:vertAlign w:val="subscript"/>
          <w:lang w:val="en-US"/>
        </w:rPr>
        <w:t>x</w:t>
      </w:r>
      <w:r w:rsidRPr="00A43B9C">
        <w:rPr>
          <w:rFonts w:ascii="Times New Roman" w:hAnsi="Times New Roman" w:cs="Times New Roman"/>
          <w:sz w:val="28"/>
          <w:szCs w:val="28"/>
          <w:lang w:val="en-US"/>
        </w:rPr>
        <w:t>M</w:t>
      </w:r>
      <w:r w:rsidRPr="00A43B9C">
        <w:rPr>
          <w:rFonts w:ascii="Times New Roman" w:hAnsi="Times New Roman" w:cs="Times New Roman"/>
          <w:sz w:val="28"/>
          <w:szCs w:val="28"/>
          <w:vertAlign w:val="subscript"/>
        </w:rPr>
        <w:t>0</w:t>
      </w:r>
      <w:r w:rsidRPr="00A43B9C">
        <w:rPr>
          <w:rFonts w:ascii="Times New Roman" w:eastAsia="NewtonC" w:hAnsi="Times New Roman" w:cs="Times New Roman"/>
          <w:sz w:val="28"/>
          <w:szCs w:val="28"/>
        </w:rPr>
        <w:t>. Результаты топографической реконструкции изображений ПЭТ/КТ исследования в а</w:t>
      </w:r>
      <w:r w:rsidRPr="00A43B9C">
        <w:rPr>
          <w:rFonts w:ascii="Times New Roman" w:hAnsi="Times New Roman" w:cs="Times New Roman"/>
          <w:sz w:val="28"/>
          <w:szCs w:val="28"/>
        </w:rPr>
        <w:t xml:space="preserve">ксиальной плоскости для </w:t>
      </w:r>
      <w:r w:rsidR="00556A77"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RU</w:t>
      </w:r>
    </w:p>
    <w:p w14:paraId="4767B133" w14:textId="25BB9833" w:rsidR="00763D97" w:rsidRPr="00A43B9C" w:rsidRDefault="00763D97" w:rsidP="00763D97">
      <w:pPr>
        <w:autoSpaceDE w:val="0"/>
        <w:autoSpaceDN w:val="0"/>
        <w:adjustRightInd w:val="0"/>
        <w:spacing w:after="0" w:line="240" w:lineRule="auto"/>
        <w:ind w:firstLine="709"/>
        <w:jc w:val="center"/>
        <w:rPr>
          <w:rFonts w:ascii="Times New Roman" w:eastAsia="NewtonC" w:hAnsi="Times New Roman" w:cs="Times New Roman"/>
          <w:sz w:val="28"/>
          <w:szCs w:val="28"/>
        </w:rPr>
      </w:pPr>
    </w:p>
    <w:p w14:paraId="5D118991" w14:textId="17D98BE5" w:rsidR="0046142C" w:rsidRPr="00A43B9C" w:rsidRDefault="0046142C" w:rsidP="0046142C">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При оценке зависимости вероятности </w:t>
      </w:r>
      <w:r w:rsidR="000874C1" w:rsidRPr="00A43B9C">
        <w:rPr>
          <w:rFonts w:ascii="Times New Roman" w:eastAsia="Times New Roman" w:hAnsi="Times New Roman" w:cs="Times New Roman"/>
          <w:sz w:val="28"/>
          <w:szCs w:val="28"/>
          <w:lang w:val="en-US" w:eastAsia="ru-RU"/>
        </w:rPr>
        <w:t>LM</w:t>
      </w:r>
      <w:r w:rsidRPr="00A43B9C">
        <w:rPr>
          <w:rFonts w:ascii="Times New Roman" w:hAnsi="Times New Roman" w:cs="Times New Roman"/>
          <w:sz w:val="28"/>
          <w:szCs w:val="28"/>
        </w:rPr>
        <w:t xml:space="preserve"> в </w:t>
      </w:r>
      <w:r w:rsidR="00556A77"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RLL с помощью ROC-анализа была получена следующая кривая (рисунок </w:t>
      </w:r>
      <w:r w:rsidRPr="00A43B9C">
        <w:rPr>
          <w:rFonts w:ascii="Times New Roman" w:hAnsi="Times New Roman" w:cs="Times New Roman"/>
          <w:sz w:val="28"/>
          <w:szCs w:val="28"/>
          <w:lang w:val="en-US"/>
        </w:rPr>
        <w:t>5</w:t>
      </w:r>
      <w:r w:rsidR="00E81502">
        <w:rPr>
          <w:rFonts w:ascii="Times New Roman" w:hAnsi="Times New Roman" w:cs="Times New Roman"/>
          <w:sz w:val="28"/>
          <w:szCs w:val="28"/>
        </w:rPr>
        <w:t>6</w:t>
      </w:r>
      <w:r w:rsidRPr="00A43B9C">
        <w:rPr>
          <w:rFonts w:ascii="Times New Roman" w:hAnsi="Times New Roman" w:cs="Times New Roman"/>
          <w:sz w:val="28"/>
          <w:szCs w:val="28"/>
        </w:rPr>
        <w:t>).</w:t>
      </w:r>
    </w:p>
    <w:p w14:paraId="04D75E9D" w14:textId="77777777"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lastRenderedPageBreak/>
        <w:drawing>
          <wp:inline distT="0" distB="0" distL="0" distR="0" wp14:anchorId="5B08AE1E" wp14:editId="24A12E04">
            <wp:extent cx="3685242" cy="2268000"/>
            <wp:effectExtent l="0" t="0" r="0" b="0"/>
            <wp:docPr id="26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41.png"/>
                    <pic:cNvPicPr/>
                  </pic:nvPicPr>
                  <pic:blipFill>
                    <a:blip r:embed="rId331"/>
                    <a:stretch>
                      <a:fillRect/>
                    </a:stretch>
                  </pic:blipFill>
                  <pic:spPr>
                    <a:xfrm>
                      <a:off x="0" y="0"/>
                      <a:ext cx="3685242" cy="2268000"/>
                    </a:xfrm>
                    <a:prstGeom prst="rect">
                      <a:avLst/>
                    </a:prstGeom>
                  </pic:spPr>
                </pic:pic>
              </a:graphicData>
            </a:graphic>
          </wp:inline>
        </w:drawing>
      </w:r>
    </w:p>
    <w:p w14:paraId="555565D4" w14:textId="5BB01BC9" w:rsidR="0046142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5</w:t>
      </w:r>
      <w:r w:rsidR="001A1D98">
        <w:rPr>
          <w:rFonts w:ascii="Times New Roman" w:hAnsi="Times New Roman" w:cs="Times New Roman"/>
          <w:sz w:val="28"/>
          <w:szCs w:val="28"/>
        </w:rPr>
        <w:t>6</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ROC-кривая, характеризующая зависимость вероятности </w:t>
      </w:r>
      <w:r w:rsidR="00777C9A">
        <w:rPr>
          <w:rFonts w:ascii="Times New Roman" w:hAnsi="Times New Roman" w:cs="Times New Roman"/>
          <w:sz w:val="28"/>
          <w:szCs w:val="28"/>
          <w:lang w:val="en-US"/>
        </w:rPr>
        <w:t>p</w:t>
      </w:r>
      <w:r w:rsidR="000874C1" w:rsidRPr="00A43B9C">
        <w:rPr>
          <w:rFonts w:ascii="Times New Roman" w:hAnsi="Times New Roman" w:cs="Times New Roman"/>
          <w:sz w:val="28"/>
          <w:szCs w:val="28"/>
          <w:lang w:val="en-US"/>
        </w:rPr>
        <w:t>LM</w:t>
      </w:r>
      <w:r w:rsidRPr="00A43B9C">
        <w:rPr>
          <w:rFonts w:ascii="Times New Roman" w:hAnsi="Times New Roman" w:cs="Times New Roman"/>
          <w:sz w:val="28"/>
          <w:szCs w:val="28"/>
        </w:rPr>
        <w:t xml:space="preserve"> от </w:t>
      </w:r>
      <w:r w:rsidR="00556A77"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RLL</w:t>
      </w:r>
    </w:p>
    <w:p w14:paraId="649B1D8D" w14:textId="77777777" w:rsidR="00942FF6" w:rsidRPr="00A43B9C" w:rsidRDefault="00942FF6" w:rsidP="0046142C">
      <w:pPr>
        <w:spacing w:after="0" w:line="240" w:lineRule="auto"/>
        <w:jc w:val="center"/>
        <w:rPr>
          <w:rFonts w:ascii="Times New Roman" w:hAnsi="Times New Roman" w:cs="Times New Roman"/>
          <w:sz w:val="28"/>
          <w:szCs w:val="28"/>
        </w:rPr>
      </w:pPr>
    </w:p>
    <w:p w14:paraId="48306A14" w14:textId="77777777" w:rsidR="0046142C" w:rsidRPr="00A43B9C" w:rsidRDefault="0046142C" w:rsidP="00B46227">
      <w:pPr>
        <w:spacing w:after="0" w:line="240" w:lineRule="auto"/>
        <w:jc w:val="center"/>
        <w:rPr>
          <w:rFonts w:ascii="Times New Roman" w:hAnsi="Times New Roman" w:cs="Times New Roman"/>
          <w:sz w:val="28"/>
          <w:szCs w:val="28"/>
        </w:rPr>
      </w:pPr>
      <w:r w:rsidRPr="00A43B9C">
        <w:rPr>
          <w:noProof/>
        </w:rPr>
        <w:drawing>
          <wp:inline distT="0" distB="0" distL="0" distR="0" wp14:anchorId="3B4D91FC" wp14:editId="5B2F6960">
            <wp:extent cx="4968588" cy="2268000"/>
            <wp:effectExtent l="0" t="0" r="3810" b="0"/>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3.png"/>
                    <pic:cNvPicPr/>
                  </pic:nvPicPr>
                  <pic:blipFill>
                    <a:blip r:embed="rId332"/>
                    <a:stretch>
                      <a:fillRect/>
                    </a:stretch>
                  </pic:blipFill>
                  <pic:spPr>
                    <a:xfrm>
                      <a:off x="0" y="0"/>
                      <a:ext cx="4968588" cy="2268000"/>
                    </a:xfrm>
                    <a:prstGeom prst="rect">
                      <a:avLst/>
                    </a:prstGeom>
                  </pic:spPr>
                </pic:pic>
              </a:graphicData>
            </a:graphic>
          </wp:inline>
        </w:drawing>
      </w:r>
    </w:p>
    <w:p w14:paraId="046268F8" w14:textId="7CE58319"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5</w:t>
      </w:r>
      <w:r w:rsidR="001A1D98">
        <w:rPr>
          <w:rFonts w:ascii="Times New Roman" w:hAnsi="Times New Roman" w:cs="Times New Roman"/>
          <w:sz w:val="28"/>
          <w:szCs w:val="28"/>
        </w:rPr>
        <w:t>7</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чувствительности и специфичности модели в зависимости от пороговых значений уровня </w:t>
      </w:r>
      <w:r w:rsidR="00556A77"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556A77"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556A77"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RLL</w:t>
      </w:r>
    </w:p>
    <w:p w14:paraId="4E61B48E" w14:textId="77777777" w:rsidR="0046142C" w:rsidRPr="00A43B9C" w:rsidRDefault="0046142C" w:rsidP="0046142C">
      <w:pPr>
        <w:spacing w:after="0" w:line="240" w:lineRule="auto"/>
        <w:rPr>
          <w:rFonts w:ascii="Times New Roman" w:hAnsi="Times New Roman" w:cs="Times New Roman"/>
          <w:sz w:val="28"/>
          <w:szCs w:val="28"/>
        </w:rPr>
      </w:pPr>
    </w:p>
    <w:p w14:paraId="155889D9" w14:textId="56A684BE" w:rsidR="0046142C"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39 -</w:t>
      </w:r>
      <w:r w:rsidR="0046142C" w:rsidRPr="00A43B9C">
        <w:rPr>
          <w:rFonts w:ascii="Times New Roman" w:hAnsi="Times New Roman" w:cs="Times New Roman"/>
          <w:sz w:val="28"/>
          <w:szCs w:val="28"/>
        </w:rPr>
        <w:t xml:space="preserve"> Пороговые значения уровня </w:t>
      </w:r>
      <w:r w:rsidR="00556A77"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556A77" w:rsidRPr="00A43B9C">
        <w:rPr>
          <w:rFonts w:ascii="Times New Roman" w:hAnsi="Times New Roman" w:cs="Times New Roman"/>
          <w:sz w:val="28"/>
          <w:szCs w:val="28"/>
        </w:rPr>
        <w:t xml:space="preserve"> </w:t>
      </w:r>
      <w:r w:rsidR="0046142C" w:rsidRPr="00A43B9C">
        <w:rPr>
          <w:rFonts w:ascii="Times New Roman" w:hAnsi="Times New Roman" w:cs="Times New Roman"/>
          <w:sz w:val="28"/>
          <w:szCs w:val="28"/>
          <w:lang w:val="en-US"/>
        </w:rPr>
        <w:t>SUV</w:t>
      </w:r>
      <w:r w:rsidR="0046142C" w:rsidRPr="00A43B9C">
        <w:rPr>
          <w:rFonts w:ascii="Times New Roman" w:hAnsi="Times New Roman" w:cs="Times New Roman"/>
          <w:sz w:val="28"/>
          <w:szCs w:val="28"/>
          <w:vertAlign w:val="subscript"/>
          <w:lang w:val="en-US"/>
        </w:rPr>
        <w:t>max</w:t>
      </w:r>
      <w:r w:rsidR="0046142C" w:rsidRPr="00A43B9C">
        <w:rPr>
          <w:rFonts w:ascii="Times New Roman" w:hAnsi="Times New Roman" w:cs="Times New Roman"/>
          <w:sz w:val="28"/>
          <w:szCs w:val="28"/>
        </w:rPr>
        <w:t xml:space="preserve"> в </w:t>
      </w:r>
      <w:r w:rsidR="00556A77" w:rsidRPr="00A43B9C">
        <w:rPr>
          <w:rFonts w:ascii="Times New Roman" w:hAnsi="Times New Roman" w:cs="Times New Roman"/>
          <w:sz w:val="28"/>
          <w:szCs w:val="28"/>
        </w:rPr>
        <w:t xml:space="preserve">локализации </w:t>
      </w:r>
      <w:r w:rsidR="0046142C" w:rsidRPr="00A43B9C">
        <w:rPr>
          <w:rFonts w:ascii="Times New Roman" w:hAnsi="Times New Roman" w:cs="Times New Roman"/>
          <w:sz w:val="28"/>
          <w:szCs w:val="28"/>
        </w:rPr>
        <w:t>RLL</w:t>
      </w:r>
    </w:p>
    <w:p w14:paraId="6C00BC75"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0" w:type="auto"/>
        <w:jc w:val="center"/>
        <w:tblLook w:val="04A0" w:firstRow="1" w:lastRow="0" w:firstColumn="1" w:lastColumn="0" w:noHBand="0" w:noVBand="1"/>
      </w:tblPr>
      <w:tblGrid>
        <w:gridCol w:w="1789"/>
        <w:gridCol w:w="2069"/>
        <w:gridCol w:w="1967"/>
        <w:gridCol w:w="1756"/>
        <w:gridCol w:w="1763"/>
      </w:tblGrid>
      <w:tr w:rsidR="0046142C" w:rsidRPr="00A43B9C" w14:paraId="5880F749" w14:textId="77777777" w:rsidTr="00446A37">
        <w:trPr>
          <w:jc w:val="center"/>
        </w:trPr>
        <w:tc>
          <w:tcPr>
            <w:tcW w:w="1790" w:type="dxa"/>
            <w:vAlign w:val="center"/>
          </w:tcPr>
          <w:p w14:paraId="00AD10A5" w14:textId="29D2CF45"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Порог</w:t>
            </w:r>
            <w:r w:rsidR="00556A77" w:rsidRPr="00A43B9C">
              <w:rPr>
                <w:rFonts w:ascii="Times New Roman" w:hAnsi="Times New Roman" w:cs="Times New Roman"/>
                <w:sz w:val="28"/>
                <w:szCs w:val="28"/>
              </w:rPr>
              <w:t>овое значение</w:t>
            </w:r>
          </w:p>
        </w:tc>
        <w:tc>
          <w:tcPr>
            <w:tcW w:w="2069" w:type="dxa"/>
            <w:vAlign w:val="center"/>
          </w:tcPr>
          <w:p w14:paraId="0A643002" w14:textId="323FDD4E"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Se, %</w:t>
            </w:r>
          </w:p>
        </w:tc>
        <w:tc>
          <w:tcPr>
            <w:tcW w:w="1967" w:type="dxa"/>
            <w:vAlign w:val="center"/>
          </w:tcPr>
          <w:p w14:paraId="40927AB2" w14:textId="13BEC2EC"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Sp, %</w:t>
            </w:r>
          </w:p>
        </w:tc>
        <w:tc>
          <w:tcPr>
            <w:tcW w:w="1756" w:type="dxa"/>
            <w:vAlign w:val="center"/>
          </w:tcPr>
          <w:p w14:paraId="4E79C5F5" w14:textId="6CDC0819"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PPV</w:t>
            </w:r>
            <w:r w:rsidR="003E57FA" w:rsidRPr="00A43B9C">
              <w:rPr>
                <w:rFonts w:ascii="Times New Roman" w:hAnsi="Times New Roman" w:cs="Times New Roman"/>
                <w:sz w:val="28"/>
                <w:szCs w:val="28"/>
                <w:lang w:val="en-US"/>
              </w:rPr>
              <w:t>, %</w:t>
            </w:r>
          </w:p>
        </w:tc>
        <w:tc>
          <w:tcPr>
            <w:tcW w:w="1763" w:type="dxa"/>
            <w:vAlign w:val="center"/>
          </w:tcPr>
          <w:p w14:paraId="30AC2E82" w14:textId="502F8D6F"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NPV</w:t>
            </w:r>
            <w:r w:rsidR="003E57FA" w:rsidRPr="00A43B9C">
              <w:rPr>
                <w:rFonts w:ascii="Times New Roman" w:hAnsi="Times New Roman" w:cs="Times New Roman"/>
                <w:sz w:val="28"/>
                <w:szCs w:val="28"/>
                <w:lang w:val="en-US"/>
              </w:rPr>
              <w:t>, %</w:t>
            </w:r>
          </w:p>
        </w:tc>
      </w:tr>
      <w:tr w:rsidR="0046142C" w:rsidRPr="00A43B9C" w14:paraId="07D9C448" w14:textId="77777777" w:rsidTr="00446A37">
        <w:trPr>
          <w:jc w:val="center"/>
        </w:trPr>
        <w:tc>
          <w:tcPr>
            <w:tcW w:w="1790" w:type="dxa"/>
            <w:vAlign w:val="center"/>
          </w:tcPr>
          <w:p w14:paraId="669B7EFD"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1,20</w:t>
            </w:r>
          </w:p>
        </w:tc>
        <w:tc>
          <w:tcPr>
            <w:tcW w:w="2069" w:type="dxa"/>
            <w:vAlign w:val="center"/>
          </w:tcPr>
          <w:p w14:paraId="76639715"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50,0</w:t>
            </w:r>
          </w:p>
        </w:tc>
        <w:tc>
          <w:tcPr>
            <w:tcW w:w="1967" w:type="dxa"/>
            <w:vAlign w:val="center"/>
          </w:tcPr>
          <w:p w14:paraId="65A80566"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72,7</w:t>
            </w:r>
          </w:p>
        </w:tc>
        <w:tc>
          <w:tcPr>
            <w:tcW w:w="1756" w:type="dxa"/>
            <w:vAlign w:val="center"/>
          </w:tcPr>
          <w:p w14:paraId="79E41529"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40,0</w:t>
            </w:r>
          </w:p>
        </w:tc>
        <w:tc>
          <w:tcPr>
            <w:tcW w:w="1763" w:type="dxa"/>
            <w:vAlign w:val="center"/>
          </w:tcPr>
          <w:p w14:paraId="3E0CB071"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80,0</w:t>
            </w:r>
          </w:p>
        </w:tc>
      </w:tr>
      <w:tr w:rsidR="0046142C" w:rsidRPr="00A43B9C" w14:paraId="29156DFE" w14:textId="77777777" w:rsidTr="00446A37">
        <w:trPr>
          <w:jc w:val="center"/>
        </w:trPr>
        <w:tc>
          <w:tcPr>
            <w:tcW w:w="1790" w:type="dxa"/>
            <w:vAlign w:val="center"/>
          </w:tcPr>
          <w:p w14:paraId="484BC0D8"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1,07</w:t>
            </w:r>
          </w:p>
        </w:tc>
        <w:tc>
          <w:tcPr>
            <w:tcW w:w="2069" w:type="dxa"/>
            <w:vAlign w:val="center"/>
          </w:tcPr>
          <w:p w14:paraId="1D31EB46"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50,0</w:t>
            </w:r>
          </w:p>
        </w:tc>
        <w:tc>
          <w:tcPr>
            <w:tcW w:w="1967" w:type="dxa"/>
            <w:vAlign w:val="center"/>
          </w:tcPr>
          <w:p w14:paraId="1F1B96E0"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59,1</w:t>
            </w:r>
          </w:p>
        </w:tc>
        <w:tc>
          <w:tcPr>
            <w:tcW w:w="1756" w:type="dxa"/>
            <w:vAlign w:val="center"/>
          </w:tcPr>
          <w:p w14:paraId="0077DCEE"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30,8</w:t>
            </w:r>
          </w:p>
        </w:tc>
        <w:tc>
          <w:tcPr>
            <w:tcW w:w="1763" w:type="dxa"/>
            <w:vAlign w:val="center"/>
          </w:tcPr>
          <w:p w14:paraId="116349DD"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76,5</w:t>
            </w:r>
          </w:p>
        </w:tc>
      </w:tr>
      <w:tr w:rsidR="0046142C" w:rsidRPr="00CD7C27" w14:paraId="32CDE769" w14:textId="77777777" w:rsidTr="00446A37">
        <w:trPr>
          <w:jc w:val="center"/>
        </w:trPr>
        <w:tc>
          <w:tcPr>
            <w:tcW w:w="1790" w:type="dxa"/>
            <w:vAlign w:val="center"/>
          </w:tcPr>
          <w:p w14:paraId="36296BEC" w14:textId="77777777" w:rsidR="0046142C" w:rsidRPr="00CD7C27" w:rsidRDefault="0046142C" w:rsidP="00446A37">
            <w:pPr>
              <w:spacing w:after="0" w:line="240" w:lineRule="auto"/>
              <w:jc w:val="center"/>
              <w:rPr>
                <w:rFonts w:ascii="Times New Roman" w:hAnsi="Times New Roman" w:cs="Times New Roman"/>
                <w:sz w:val="28"/>
                <w:szCs w:val="28"/>
              </w:rPr>
            </w:pPr>
            <w:r w:rsidRPr="00CD7C27">
              <w:rPr>
                <w:rFonts w:ascii="Times New Roman" w:hAnsi="Times New Roman" w:cs="Times New Roman"/>
                <w:sz w:val="28"/>
                <w:szCs w:val="28"/>
              </w:rPr>
              <w:t>1,06</w:t>
            </w:r>
          </w:p>
        </w:tc>
        <w:tc>
          <w:tcPr>
            <w:tcW w:w="2069" w:type="dxa"/>
            <w:vAlign w:val="center"/>
          </w:tcPr>
          <w:p w14:paraId="6E1E193B" w14:textId="77777777" w:rsidR="0046142C" w:rsidRPr="00CD7C27" w:rsidRDefault="0046142C" w:rsidP="00446A37">
            <w:pPr>
              <w:spacing w:after="0" w:line="240" w:lineRule="auto"/>
              <w:jc w:val="center"/>
              <w:rPr>
                <w:rFonts w:ascii="Times New Roman" w:hAnsi="Times New Roman" w:cs="Times New Roman"/>
                <w:sz w:val="28"/>
                <w:szCs w:val="28"/>
              </w:rPr>
            </w:pPr>
            <w:r w:rsidRPr="00CD7C27">
              <w:rPr>
                <w:rFonts w:ascii="Times New Roman" w:hAnsi="Times New Roman" w:cs="Times New Roman"/>
                <w:sz w:val="28"/>
                <w:szCs w:val="28"/>
              </w:rPr>
              <w:t>56,2</w:t>
            </w:r>
          </w:p>
        </w:tc>
        <w:tc>
          <w:tcPr>
            <w:tcW w:w="1967" w:type="dxa"/>
            <w:vAlign w:val="center"/>
          </w:tcPr>
          <w:p w14:paraId="13BAE286" w14:textId="77777777" w:rsidR="0046142C" w:rsidRPr="00CD7C27" w:rsidRDefault="0046142C" w:rsidP="00446A37">
            <w:pPr>
              <w:spacing w:after="0" w:line="240" w:lineRule="auto"/>
              <w:jc w:val="center"/>
              <w:rPr>
                <w:rFonts w:ascii="Times New Roman" w:hAnsi="Times New Roman" w:cs="Times New Roman"/>
                <w:sz w:val="28"/>
                <w:szCs w:val="28"/>
              </w:rPr>
            </w:pPr>
            <w:r w:rsidRPr="00CD7C27">
              <w:rPr>
                <w:rFonts w:ascii="Times New Roman" w:hAnsi="Times New Roman" w:cs="Times New Roman"/>
                <w:sz w:val="28"/>
                <w:szCs w:val="28"/>
              </w:rPr>
              <w:t>59,1</w:t>
            </w:r>
          </w:p>
        </w:tc>
        <w:tc>
          <w:tcPr>
            <w:tcW w:w="1756" w:type="dxa"/>
            <w:vAlign w:val="center"/>
          </w:tcPr>
          <w:p w14:paraId="0390EC5A" w14:textId="77777777" w:rsidR="0046142C" w:rsidRPr="00CD7C27" w:rsidRDefault="0046142C" w:rsidP="00446A37">
            <w:pPr>
              <w:spacing w:after="0" w:line="240" w:lineRule="auto"/>
              <w:jc w:val="center"/>
              <w:rPr>
                <w:rFonts w:ascii="Times New Roman" w:hAnsi="Times New Roman" w:cs="Times New Roman"/>
                <w:sz w:val="28"/>
                <w:szCs w:val="28"/>
              </w:rPr>
            </w:pPr>
            <w:r w:rsidRPr="00CD7C27">
              <w:rPr>
                <w:rFonts w:ascii="Times New Roman" w:hAnsi="Times New Roman" w:cs="Times New Roman"/>
                <w:sz w:val="28"/>
                <w:szCs w:val="28"/>
              </w:rPr>
              <w:t>33,3</w:t>
            </w:r>
          </w:p>
        </w:tc>
        <w:tc>
          <w:tcPr>
            <w:tcW w:w="1763" w:type="dxa"/>
            <w:vAlign w:val="center"/>
          </w:tcPr>
          <w:p w14:paraId="69C7D89D" w14:textId="77777777" w:rsidR="0046142C" w:rsidRPr="00CD7C27" w:rsidRDefault="0046142C" w:rsidP="00446A37">
            <w:pPr>
              <w:spacing w:after="0" w:line="240" w:lineRule="auto"/>
              <w:jc w:val="center"/>
              <w:rPr>
                <w:rFonts w:ascii="Times New Roman" w:hAnsi="Times New Roman" w:cs="Times New Roman"/>
                <w:sz w:val="28"/>
                <w:szCs w:val="28"/>
              </w:rPr>
            </w:pPr>
            <w:r w:rsidRPr="00CD7C27">
              <w:rPr>
                <w:rFonts w:ascii="Times New Roman" w:hAnsi="Times New Roman" w:cs="Times New Roman"/>
                <w:sz w:val="28"/>
                <w:szCs w:val="28"/>
              </w:rPr>
              <w:t>78,8</w:t>
            </w:r>
          </w:p>
        </w:tc>
      </w:tr>
      <w:tr w:rsidR="0046142C" w:rsidRPr="00A43B9C" w14:paraId="30C9A805" w14:textId="77777777" w:rsidTr="00446A37">
        <w:trPr>
          <w:jc w:val="center"/>
        </w:trPr>
        <w:tc>
          <w:tcPr>
            <w:tcW w:w="1790" w:type="dxa"/>
            <w:vAlign w:val="center"/>
          </w:tcPr>
          <w:p w14:paraId="203381F6" w14:textId="77777777" w:rsidR="0046142C" w:rsidRPr="00A43B9C" w:rsidRDefault="0046142C"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1,05</w:t>
            </w:r>
          </w:p>
        </w:tc>
        <w:tc>
          <w:tcPr>
            <w:tcW w:w="2069" w:type="dxa"/>
            <w:vAlign w:val="center"/>
          </w:tcPr>
          <w:p w14:paraId="730D7389" w14:textId="77777777" w:rsidR="0046142C" w:rsidRPr="00A43B9C" w:rsidRDefault="0046142C"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56,2</w:t>
            </w:r>
          </w:p>
        </w:tc>
        <w:tc>
          <w:tcPr>
            <w:tcW w:w="1967" w:type="dxa"/>
            <w:vAlign w:val="center"/>
          </w:tcPr>
          <w:p w14:paraId="66163F4F" w14:textId="77777777" w:rsidR="0046142C" w:rsidRPr="00A43B9C" w:rsidRDefault="0046142C"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56,8</w:t>
            </w:r>
          </w:p>
        </w:tc>
        <w:tc>
          <w:tcPr>
            <w:tcW w:w="1756" w:type="dxa"/>
            <w:vAlign w:val="center"/>
          </w:tcPr>
          <w:p w14:paraId="7E87B34E" w14:textId="77777777" w:rsidR="0046142C" w:rsidRPr="00A43B9C" w:rsidRDefault="0046142C"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32,1</w:t>
            </w:r>
          </w:p>
        </w:tc>
        <w:tc>
          <w:tcPr>
            <w:tcW w:w="1763" w:type="dxa"/>
            <w:vAlign w:val="center"/>
          </w:tcPr>
          <w:p w14:paraId="36F6AFF9" w14:textId="77777777" w:rsidR="0046142C" w:rsidRPr="00A43B9C" w:rsidRDefault="0046142C"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78,1</w:t>
            </w:r>
          </w:p>
        </w:tc>
      </w:tr>
      <w:tr w:rsidR="0046142C" w:rsidRPr="00A43B9C" w14:paraId="36CB18CD" w14:textId="77777777" w:rsidTr="00446A37">
        <w:trPr>
          <w:jc w:val="center"/>
        </w:trPr>
        <w:tc>
          <w:tcPr>
            <w:tcW w:w="1790" w:type="dxa"/>
            <w:vAlign w:val="center"/>
          </w:tcPr>
          <w:p w14:paraId="433F8303"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1,05</w:t>
            </w:r>
          </w:p>
        </w:tc>
        <w:tc>
          <w:tcPr>
            <w:tcW w:w="2069" w:type="dxa"/>
            <w:vAlign w:val="center"/>
          </w:tcPr>
          <w:p w14:paraId="7691D098"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62,5</w:t>
            </w:r>
          </w:p>
        </w:tc>
        <w:tc>
          <w:tcPr>
            <w:tcW w:w="1967" w:type="dxa"/>
            <w:vAlign w:val="center"/>
          </w:tcPr>
          <w:p w14:paraId="52FC547F"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56,8</w:t>
            </w:r>
          </w:p>
        </w:tc>
        <w:tc>
          <w:tcPr>
            <w:tcW w:w="1756" w:type="dxa"/>
            <w:vAlign w:val="center"/>
          </w:tcPr>
          <w:p w14:paraId="354280F3"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34,5</w:t>
            </w:r>
          </w:p>
        </w:tc>
        <w:tc>
          <w:tcPr>
            <w:tcW w:w="1763" w:type="dxa"/>
            <w:vAlign w:val="center"/>
          </w:tcPr>
          <w:p w14:paraId="5359CAEF"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80,6</w:t>
            </w:r>
          </w:p>
        </w:tc>
      </w:tr>
    </w:tbl>
    <w:p w14:paraId="2883527B" w14:textId="77777777" w:rsidR="0046142C" w:rsidRPr="00A43B9C" w:rsidRDefault="0046142C" w:rsidP="0046142C">
      <w:pPr>
        <w:spacing w:after="0" w:line="240" w:lineRule="auto"/>
        <w:rPr>
          <w:rFonts w:ascii="Times New Roman" w:hAnsi="Times New Roman" w:cs="Times New Roman"/>
          <w:sz w:val="28"/>
          <w:szCs w:val="28"/>
        </w:rPr>
      </w:pPr>
    </w:p>
    <w:p w14:paraId="08720BC6" w14:textId="7F3794B0" w:rsidR="0046142C" w:rsidRPr="00A43B9C" w:rsidRDefault="0046142C" w:rsidP="0046142C">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Площадь под ROC-кривой составила 0,566 </w:t>
      </w:r>
      <w:r w:rsidR="00556A77" w:rsidRPr="00A43B9C">
        <w:rPr>
          <w:rFonts w:ascii="Times New Roman" w:hAnsi="Times New Roman" w:cs="Times New Roman"/>
          <w:sz w:val="28"/>
          <w:szCs w:val="28"/>
        </w:rPr>
        <w:t>(</w:t>
      </w:r>
      <w:r w:rsidRPr="00A43B9C">
        <w:rPr>
          <w:rFonts w:ascii="Times New Roman" w:hAnsi="Times New Roman" w:cs="Times New Roman"/>
          <w:sz w:val="28"/>
          <w:szCs w:val="28"/>
        </w:rPr>
        <w:t>95% ДИ 0,398 – 0,734</w:t>
      </w:r>
      <w:r w:rsidR="00556A77" w:rsidRPr="00A43B9C">
        <w:rPr>
          <w:rFonts w:ascii="Times New Roman" w:hAnsi="Times New Roman" w:cs="Times New Roman"/>
          <w:sz w:val="28"/>
          <w:szCs w:val="28"/>
        </w:rPr>
        <w:t>)</w:t>
      </w:r>
      <w:r w:rsidR="00C40B6D" w:rsidRPr="00A43B9C">
        <w:rPr>
          <w:rFonts w:ascii="Times New Roman" w:hAnsi="Times New Roman" w:cs="Times New Roman"/>
          <w:sz w:val="28"/>
          <w:szCs w:val="28"/>
        </w:rPr>
        <w:t>,</w:t>
      </w:r>
      <w:r w:rsidRPr="00A43B9C">
        <w:rPr>
          <w:rFonts w:ascii="Times New Roman" w:hAnsi="Times New Roman" w:cs="Times New Roman"/>
          <w:sz w:val="28"/>
          <w:szCs w:val="28"/>
        </w:rPr>
        <w:t xml:space="preserve"> </w:t>
      </w:r>
      <w:r w:rsidR="00C40B6D" w:rsidRPr="00A43B9C">
        <w:rPr>
          <w:rFonts w:ascii="Times New Roman" w:hAnsi="Times New Roman" w:cs="Times New Roman"/>
          <w:sz w:val="28"/>
          <w:szCs w:val="28"/>
        </w:rPr>
        <w:t>о</w:t>
      </w:r>
      <w:r w:rsidR="00556A77" w:rsidRPr="00A43B9C">
        <w:rPr>
          <w:rFonts w:ascii="Times New Roman" w:hAnsi="Times New Roman" w:cs="Times New Roman"/>
          <w:sz w:val="28"/>
          <w:szCs w:val="28"/>
        </w:rPr>
        <w:t xml:space="preserve">днако эта </w:t>
      </w:r>
      <w:r w:rsidRPr="00A43B9C">
        <w:rPr>
          <w:rFonts w:ascii="Times New Roman" w:hAnsi="Times New Roman" w:cs="Times New Roman"/>
          <w:sz w:val="28"/>
          <w:szCs w:val="28"/>
        </w:rPr>
        <w:t xml:space="preserve">модель не </w:t>
      </w:r>
      <w:r w:rsidR="00C63313" w:rsidRPr="00A43B9C">
        <w:rPr>
          <w:rFonts w:ascii="Times New Roman" w:hAnsi="Times New Roman" w:cs="Times New Roman"/>
          <w:sz w:val="28"/>
          <w:szCs w:val="28"/>
        </w:rPr>
        <w:t>достигла</w:t>
      </w:r>
      <w:r w:rsidRPr="00A43B9C">
        <w:rPr>
          <w:rFonts w:ascii="Times New Roman" w:hAnsi="Times New Roman" w:cs="Times New Roman"/>
          <w:sz w:val="28"/>
          <w:szCs w:val="28"/>
        </w:rPr>
        <w:t xml:space="preserve"> статистическ</w:t>
      </w:r>
      <w:r w:rsidR="00C63313" w:rsidRPr="00A43B9C">
        <w:rPr>
          <w:rFonts w:ascii="Times New Roman" w:hAnsi="Times New Roman" w:cs="Times New Roman"/>
          <w:sz w:val="28"/>
          <w:szCs w:val="28"/>
        </w:rPr>
        <w:t>ой</w:t>
      </w:r>
      <w:r w:rsidRPr="00A43B9C">
        <w:rPr>
          <w:rFonts w:ascii="Times New Roman" w:hAnsi="Times New Roman" w:cs="Times New Roman"/>
          <w:sz w:val="28"/>
          <w:szCs w:val="28"/>
        </w:rPr>
        <w:t xml:space="preserve"> значимо</w:t>
      </w:r>
      <w:r w:rsidR="00C63313" w:rsidRPr="00A43B9C">
        <w:rPr>
          <w:rFonts w:ascii="Times New Roman" w:hAnsi="Times New Roman" w:cs="Times New Roman"/>
          <w:sz w:val="28"/>
          <w:szCs w:val="28"/>
        </w:rPr>
        <w:t>сти</w:t>
      </w:r>
      <w:r w:rsidRPr="00A43B9C">
        <w:rPr>
          <w:rFonts w:ascii="Times New Roman" w:hAnsi="Times New Roman" w:cs="Times New Roman"/>
          <w:sz w:val="28"/>
          <w:szCs w:val="28"/>
        </w:rPr>
        <w:t xml:space="preserve"> (p = 0,437).</w:t>
      </w:r>
      <w:r w:rsidR="00556A77"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Пороговое значение уровня </w:t>
      </w:r>
      <w:r w:rsidR="00556A77"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556A77"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556A77"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RLL в точке </w:t>
      </w:r>
      <w:r w:rsidR="00556A77" w:rsidRPr="00A43B9C">
        <w:rPr>
          <w:rFonts w:ascii="Times New Roman" w:hAnsi="Times New Roman" w:cs="Times New Roman"/>
          <w:sz w:val="28"/>
          <w:szCs w:val="28"/>
        </w:rPr>
        <w:t>отсечения</w:t>
      </w:r>
      <w:r w:rsidRPr="00A43B9C">
        <w:rPr>
          <w:rFonts w:ascii="Times New Roman" w:hAnsi="Times New Roman" w:cs="Times New Roman"/>
          <w:sz w:val="28"/>
          <w:szCs w:val="28"/>
        </w:rPr>
        <w:t xml:space="preserve">, которому соответствовало наивысшее значение индекса Юдена, </w:t>
      </w:r>
      <w:r w:rsidRPr="00A43B9C">
        <w:rPr>
          <w:rFonts w:ascii="Times New Roman" w:hAnsi="Times New Roman" w:cs="Times New Roman"/>
          <w:sz w:val="28"/>
          <w:szCs w:val="28"/>
        </w:rPr>
        <w:lastRenderedPageBreak/>
        <w:t>составило 1,06 (рисунок 5</w:t>
      </w:r>
      <w:r w:rsidR="00E81502">
        <w:rPr>
          <w:rFonts w:ascii="Times New Roman" w:hAnsi="Times New Roman" w:cs="Times New Roman"/>
          <w:sz w:val="28"/>
          <w:szCs w:val="28"/>
        </w:rPr>
        <w:t>7</w:t>
      </w:r>
      <w:r w:rsidRPr="00A43B9C">
        <w:rPr>
          <w:rFonts w:ascii="Times New Roman" w:hAnsi="Times New Roman" w:cs="Times New Roman"/>
          <w:sz w:val="28"/>
          <w:szCs w:val="28"/>
        </w:rPr>
        <w:t xml:space="preserve">). Наличие </w:t>
      </w:r>
      <w:r w:rsidR="000874C1" w:rsidRPr="00A43B9C">
        <w:rPr>
          <w:rFonts w:ascii="Times New Roman" w:eastAsia="Times New Roman" w:hAnsi="Times New Roman" w:cs="Times New Roman"/>
          <w:sz w:val="28"/>
          <w:szCs w:val="28"/>
          <w:lang w:val="en-US" w:eastAsia="ru-RU"/>
        </w:rPr>
        <w:t>pLM</w:t>
      </w:r>
      <w:r w:rsidRPr="00A43B9C">
        <w:rPr>
          <w:rFonts w:ascii="Times New Roman" w:hAnsi="Times New Roman" w:cs="Times New Roman"/>
          <w:sz w:val="28"/>
          <w:szCs w:val="28"/>
        </w:rPr>
        <w:t xml:space="preserve"> прогнозировалось при значении уровня </w:t>
      </w:r>
      <w:r w:rsidR="00556A77"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556A77"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556A77"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RLL ниже данной величины или равном ей. Чувствительность и специфичность модели составили 56,2% и 59,1%, а </w:t>
      </w:r>
      <w:r w:rsidRPr="00A43B9C">
        <w:rPr>
          <w:rFonts w:ascii="Times New Roman" w:hAnsi="Times New Roman" w:cs="Times New Roman"/>
          <w:sz w:val="28"/>
          <w:szCs w:val="28"/>
          <w:lang w:val="en-US"/>
        </w:rPr>
        <w:t>PPV</w:t>
      </w:r>
      <w:r w:rsidRPr="00A43B9C">
        <w:rPr>
          <w:rFonts w:ascii="Times New Roman" w:hAnsi="Times New Roman" w:cs="Times New Roman"/>
          <w:sz w:val="28"/>
          <w:szCs w:val="28"/>
        </w:rPr>
        <w:t xml:space="preserve"> и </w:t>
      </w:r>
      <w:r w:rsidRPr="00A43B9C">
        <w:rPr>
          <w:rFonts w:ascii="Times New Roman" w:hAnsi="Times New Roman" w:cs="Times New Roman"/>
          <w:sz w:val="28"/>
          <w:szCs w:val="28"/>
          <w:lang w:val="en-US"/>
        </w:rPr>
        <w:t>NPV</w:t>
      </w:r>
      <w:r w:rsidRPr="00A43B9C">
        <w:rPr>
          <w:rFonts w:ascii="Times New Roman" w:hAnsi="Times New Roman" w:cs="Times New Roman"/>
          <w:sz w:val="28"/>
          <w:szCs w:val="28"/>
        </w:rPr>
        <w:t xml:space="preserve"> составили 33,3% и 78,8% соответственно (таблица 39).</w:t>
      </w:r>
    </w:p>
    <w:p w14:paraId="1A3A5544" w14:textId="77777777" w:rsidR="0046142C" w:rsidRPr="00A43B9C" w:rsidRDefault="0046142C" w:rsidP="0046142C">
      <w:pPr>
        <w:spacing w:after="0" w:line="240" w:lineRule="auto"/>
        <w:rPr>
          <w:rFonts w:ascii="Times New Roman" w:hAnsi="Times New Roman" w:cs="Times New Roman"/>
          <w:sz w:val="28"/>
          <w:szCs w:val="28"/>
        </w:rPr>
      </w:pPr>
    </w:p>
    <w:p w14:paraId="4AE5DD3B" w14:textId="26C9935D" w:rsidR="0046142C" w:rsidRPr="00A43B9C" w:rsidRDefault="0046142C" w:rsidP="0046142C">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При оценке зависимости вероятности </w:t>
      </w:r>
      <w:r w:rsidR="000874C1" w:rsidRPr="00A43B9C">
        <w:rPr>
          <w:rFonts w:ascii="Times New Roman" w:eastAsia="Times New Roman" w:hAnsi="Times New Roman" w:cs="Times New Roman"/>
          <w:sz w:val="28"/>
          <w:szCs w:val="28"/>
          <w:lang w:val="en-US" w:eastAsia="ru-RU"/>
        </w:rPr>
        <w:t>LM</w:t>
      </w:r>
      <w:r w:rsidRPr="00A43B9C">
        <w:rPr>
          <w:rFonts w:ascii="Times New Roman" w:hAnsi="Times New Roman" w:cs="Times New Roman"/>
          <w:sz w:val="28"/>
          <w:szCs w:val="28"/>
        </w:rPr>
        <w:t xml:space="preserve"> в </w:t>
      </w:r>
      <w:r w:rsidR="00556A77"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RRI с помощью ROC-анализа была получена следующая кривая (рисунок 5</w:t>
      </w:r>
      <w:r w:rsidR="00E81502">
        <w:rPr>
          <w:rFonts w:ascii="Times New Roman" w:hAnsi="Times New Roman" w:cs="Times New Roman"/>
          <w:sz w:val="28"/>
          <w:szCs w:val="28"/>
        </w:rPr>
        <w:t>8</w:t>
      </w:r>
      <w:r w:rsidRPr="00A43B9C">
        <w:rPr>
          <w:rFonts w:ascii="Times New Roman" w:hAnsi="Times New Roman" w:cs="Times New Roman"/>
          <w:sz w:val="28"/>
          <w:szCs w:val="28"/>
        </w:rPr>
        <w:t>).</w:t>
      </w:r>
    </w:p>
    <w:p w14:paraId="5CEB4443" w14:textId="77777777" w:rsidR="00B46227"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7FBE2C4B" wp14:editId="4BF2980B">
            <wp:extent cx="3451258" cy="2124000"/>
            <wp:effectExtent l="0" t="0" r="0" b="0"/>
            <wp:docPr id="26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44.png"/>
                    <pic:cNvPicPr/>
                  </pic:nvPicPr>
                  <pic:blipFill>
                    <a:blip r:embed="rId333"/>
                    <a:stretch>
                      <a:fillRect/>
                    </a:stretch>
                  </pic:blipFill>
                  <pic:spPr>
                    <a:xfrm>
                      <a:off x="0" y="0"/>
                      <a:ext cx="3451258" cy="2124000"/>
                    </a:xfrm>
                    <a:prstGeom prst="rect">
                      <a:avLst/>
                    </a:prstGeom>
                  </pic:spPr>
                </pic:pic>
              </a:graphicData>
            </a:graphic>
          </wp:inline>
        </w:drawing>
      </w:r>
    </w:p>
    <w:p w14:paraId="6F64FDDE" w14:textId="0E26CAC9" w:rsidR="0046142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5</w:t>
      </w:r>
      <w:r w:rsidR="001A1D98">
        <w:rPr>
          <w:rFonts w:ascii="Times New Roman" w:hAnsi="Times New Roman" w:cs="Times New Roman"/>
          <w:sz w:val="28"/>
          <w:szCs w:val="28"/>
        </w:rPr>
        <w:t>8</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ROC-кривая, характеризующая зависимость вероятности </w:t>
      </w:r>
      <w:r w:rsidR="00777C9A">
        <w:rPr>
          <w:rFonts w:ascii="Times New Roman" w:hAnsi="Times New Roman" w:cs="Times New Roman"/>
          <w:sz w:val="28"/>
          <w:szCs w:val="28"/>
          <w:lang w:val="en-US"/>
        </w:rPr>
        <w:t>p</w:t>
      </w:r>
      <w:r w:rsidR="000874C1" w:rsidRPr="00A43B9C">
        <w:rPr>
          <w:rFonts w:ascii="Times New Roman" w:hAnsi="Times New Roman" w:cs="Times New Roman"/>
          <w:sz w:val="28"/>
          <w:szCs w:val="28"/>
          <w:lang w:val="en-US"/>
        </w:rPr>
        <w:t>LM</w:t>
      </w:r>
      <w:r w:rsidRPr="00A43B9C">
        <w:rPr>
          <w:rFonts w:ascii="Times New Roman" w:hAnsi="Times New Roman" w:cs="Times New Roman"/>
          <w:sz w:val="28"/>
          <w:szCs w:val="28"/>
        </w:rPr>
        <w:t xml:space="preserve"> от </w:t>
      </w:r>
      <w:r w:rsidR="00556A77"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RRI</w:t>
      </w:r>
    </w:p>
    <w:p w14:paraId="28323C19" w14:textId="77777777" w:rsidR="00942FF6" w:rsidRPr="00A43B9C" w:rsidRDefault="00942FF6" w:rsidP="0046142C">
      <w:pPr>
        <w:spacing w:after="0" w:line="240" w:lineRule="auto"/>
        <w:jc w:val="center"/>
        <w:rPr>
          <w:rFonts w:ascii="Times New Roman" w:hAnsi="Times New Roman" w:cs="Times New Roman"/>
          <w:sz w:val="28"/>
          <w:szCs w:val="28"/>
        </w:rPr>
      </w:pPr>
    </w:p>
    <w:p w14:paraId="1E5096BD" w14:textId="77777777" w:rsidR="0046142C" w:rsidRPr="00A43B9C" w:rsidRDefault="0046142C" w:rsidP="0046142C">
      <w:pPr>
        <w:spacing w:after="0" w:line="240" w:lineRule="auto"/>
        <w:jc w:val="center"/>
        <w:rPr>
          <w:rFonts w:ascii="Times New Roman" w:hAnsi="Times New Roman" w:cs="Times New Roman"/>
          <w:sz w:val="28"/>
          <w:szCs w:val="28"/>
        </w:rPr>
      </w:pPr>
      <w:r w:rsidRPr="00A43B9C">
        <w:rPr>
          <w:noProof/>
        </w:rPr>
        <w:drawing>
          <wp:inline distT="0" distB="0" distL="0" distR="0" wp14:anchorId="117F1145" wp14:editId="385011AF">
            <wp:extent cx="4653124" cy="2124000"/>
            <wp:effectExtent l="0" t="0" r="0" b="0"/>
            <wp:docPr id="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6.png"/>
                    <pic:cNvPicPr/>
                  </pic:nvPicPr>
                  <pic:blipFill>
                    <a:blip r:embed="rId334"/>
                    <a:stretch>
                      <a:fillRect/>
                    </a:stretch>
                  </pic:blipFill>
                  <pic:spPr>
                    <a:xfrm>
                      <a:off x="0" y="0"/>
                      <a:ext cx="4653124" cy="2124000"/>
                    </a:xfrm>
                    <a:prstGeom prst="rect">
                      <a:avLst/>
                    </a:prstGeom>
                  </pic:spPr>
                </pic:pic>
              </a:graphicData>
            </a:graphic>
          </wp:inline>
        </w:drawing>
      </w:r>
    </w:p>
    <w:p w14:paraId="14B39872" w14:textId="3D5E69A1"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5</w:t>
      </w:r>
      <w:r w:rsidR="001A1D98">
        <w:rPr>
          <w:rFonts w:ascii="Times New Roman" w:hAnsi="Times New Roman" w:cs="Times New Roman"/>
          <w:sz w:val="28"/>
          <w:szCs w:val="28"/>
        </w:rPr>
        <w:t>9</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чувствительности и специфичности модели в зависимости от пороговых значений уровня </w:t>
      </w:r>
      <w:r w:rsidR="00556A77"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556A77"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556A77"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RRI</w:t>
      </w:r>
    </w:p>
    <w:p w14:paraId="48EC0157" w14:textId="77777777" w:rsidR="0046142C" w:rsidRPr="00A43B9C" w:rsidRDefault="0046142C" w:rsidP="0046142C">
      <w:pPr>
        <w:spacing w:after="0" w:line="240" w:lineRule="auto"/>
        <w:rPr>
          <w:rFonts w:ascii="Times New Roman" w:hAnsi="Times New Roman" w:cs="Times New Roman"/>
          <w:sz w:val="28"/>
          <w:szCs w:val="28"/>
        </w:rPr>
      </w:pPr>
    </w:p>
    <w:p w14:paraId="20FC3BBA" w14:textId="75C0E29E" w:rsidR="0046142C"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40 -</w:t>
      </w:r>
      <w:r w:rsidR="0046142C" w:rsidRPr="00A43B9C">
        <w:rPr>
          <w:rFonts w:ascii="Times New Roman" w:hAnsi="Times New Roman" w:cs="Times New Roman"/>
          <w:sz w:val="28"/>
          <w:szCs w:val="28"/>
        </w:rPr>
        <w:t xml:space="preserve"> Пороговые значения уровня </w:t>
      </w:r>
      <w:r w:rsidR="00556A77"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556A77" w:rsidRPr="00A43B9C">
        <w:rPr>
          <w:rFonts w:ascii="Times New Roman" w:hAnsi="Times New Roman" w:cs="Times New Roman"/>
          <w:sz w:val="28"/>
          <w:szCs w:val="28"/>
        </w:rPr>
        <w:t xml:space="preserve"> </w:t>
      </w:r>
      <w:r w:rsidR="0046142C" w:rsidRPr="00A43B9C">
        <w:rPr>
          <w:rFonts w:ascii="Times New Roman" w:hAnsi="Times New Roman" w:cs="Times New Roman"/>
          <w:sz w:val="28"/>
          <w:szCs w:val="28"/>
          <w:lang w:val="en-US"/>
        </w:rPr>
        <w:t>SUV</w:t>
      </w:r>
      <w:r w:rsidR="0046142C" w:rsidRPr="00A43B9C">
        <w:rPr>
          <w:rFonts w:ascii="Times New Roman" w:hAnsi="Times New Roman" w:cs="Times New Roman"/>
          <w:sz w:val="28"/>
          <w:szCs w:val="28"/>
          <w:vertAlign w:val="subscript"/>
          <w:lang w:val="en-US"/>
        </w:rPr>
        <w:t>max</w:t>
      </w:r>
      <w:r w:rsidR="0046142C" w:rsidRPr="00A43B9C">
        <w:rPr>
          <w:rFonts w:ascii="Times New Roman" w:hAnsi="Times New Roman" w:cs="Times New Roman"/>
          <w:sz w:val="28"/>
          <w:szCs w:val="28"/>
        </w:rPr>
        <w:t xml:space="preserve"> в </w:t>
      </w:r>
      <w:r w:rsidR="00556A77" w:rsidRPr="00A43B9C">
        <w:rPr>
          <w:rFonts w:ascii="Times New Roman" w:hAnsi="Times New Roman" w:cs="Times New Roman"/>
          <w:sz w:val="28"/>
          <w:szCs w:val="28"/>
        </w:rPr>
        <w:t xml:space="preserve">локализации </w:t>
      </w:r>
      <w:r w:rsidR="0046142C" w:rsidRPr="00A43B9C">
        <w:rPr>
          <w:rFonts w:ascii="Times New Roman" w:hAnsi="Times New Roman" w:cs="Times New Roman"/>
          <w:sz w:val="28"/>
          <w:szCs w:val="28"/>
        </w:rPr>
        <w:t>RRI</w:t>
      </w:r>
    </w:p>
    <w:p w14:paraId="17DD805E"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0" w:type="auto"/>
        <w:jc w:val="center"/>
        <w:tblLook w:val="04A0" w:firstRow="1" w:lastRow="0" w:firstColumn="1" w:lastColumn="0" w:noHBand="0" w:noVBand="1"/>
      </w:tblPr>
      <w:tblGrid>
        <w:gridCol w:w="1789"/>
        <w:gridCol w:w="2069"/>
        <w:gridCol w:w="1967"/>
        <w:gridCol w:w="1756"/>
        <w:gridCol w:w="1763"/>
      </w:tblGrid>
      <w:tr w:rsidR="0046142C" w:rsidRPr="00A43B9C" w14:paraId="61F0A9A5" w14:textId="77777777" w:rsidTr="00AB2535">
        <w:trPr>
          <w:jc w:val="center"/>
        </w:trPr>
        <w:tc>
          <w:tcPr>
            <w:tcW w:w="1789" w:type="dxa"/>
            <w:vAlign w:val="center"/>
          </w:tcPr>
          <w:p w14:paraId="078C0F3D" w14:textId="3C890971"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Порог</w:t>
            </w:r>
            <w:r w:rsidR="00556A77" w:rsidRPr="00A43B9C">
              <w:rPr>
                <w:rFonts w:ascii="Times New Roman" w:hAnsi="Times New Roman" w:cs="Times New Roman"/>
                <w:sz w:val="28"/>
                <w:szCs w:val="28"/>
              </w:rPr>
              <w:t>овое значение</w:t>
            </w:r>
          </w:p>
        </w:tc>
        <w:tc>
          <w:tcPr>
            <w:tcW w:w="2069" w:type="dxa"/>
            <w:vAlign w:val="center"/>
          </w:tcPr>
          <w:p w14:paraId="23314146" w14:textId="72B36B7C"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Se, %</w:t>
            </w:r>
          </w:p>
        </w:tc>
        <w:tc>
          <w:tcPr>
            <w:tcW w:w="1967" w:type="dxa"/>
            <w:vAlign w:val="center"/>
          </w:tcPr>
          <w:p w14:paraId="33A1D10E" w14:textId="7FD92994"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Sp, %</w:t>
            </w:r>
          </w:p>
        </w:tc>
        <w:tc>
          <w:tcPr>
            <w:tcW w:w="1756" w:type="dxa"/>
            <w:vAlign w:val="center"/>
          </w:tcPr>
          <w:p w14:paraId="61DDC985" w14:textId="5F48A5F4"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PPV</w:t>
            </w:r>
            <w:r w:rsidR="003E57FA" w:rsidRPr="00A43B9C">
              <w:rPr>
                <w:rFonts w:ascii="Times New Roman" w:hAnsi="Times New Roman" w:cs="Times New Roman"/>
                <w:sz w:val="28"/>
                <w:szCs w:val="28"/>
                <w:lang w:val="en-US"/>
              </w:rPr>
              <w:t>, %</w:t>
            </w:r>
          </w:p>
        </w:tc>
        <w:tc>
          <w:tcPr>
            <w:tcW w:w="1763" w:type="dxa"/>
            <w:vAlign w:val="center"/>
          </w:tcPr>
          <w:p w14:paraId="1488DF71" w14:textId="01135A82"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NPV</w:t>
            </w:r>
            <w:r w:rsidR="003E57FA" w:rsidRPr="00A43B9C">
              <w:rPr>
                <w:rFonts w:ascii="Times New Roman" w:hAnsi="Times New Roman" w:cs="Times New Roman"/>
                <w:sz w:val="28"/>
                <w:szCs w:val="28"/>
                <w:lang w:val="en-US"/>
              </w:rPr>
              <w:t>, %</w:t>
            </w:r>
          </w:p>
        </w:tc>
      </w:tr>
      <w:tr w:rsidR="0046142C" w:rsidRPr="00A43B9C" w14:paraId="6D86A513" w14:textId="77777777" w:rsidTr="00AB2535">
        <w:trPr>
          <w:jc w:val="center"/>
        </w:trPr>
        <w:tc>
          <w:tcPr>
            <w:tcW w:w="1789" w:type="dxa"/>
            <w:vAlign w:val="center"/>
          </w:tcPr>
          <w:p w14:paraId="7A989F38"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0,89</w:t>
            </w:r>
          </w:p>
        </w:tc>
        <w:tc>
          <w:tcPr>
            <w:tcW w:w="2069" w:type="dxa"/>
            <w:vAlign w:val="center"/>
          </w:tcPr>
          <w:p w14:paraId="4C212D2A"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62,5</w:t>
            </w:r>
          </w:p>
        </w:tc>
        <w:tc>
          <w:tcPr>
            <w:tcW w:w="1967" w:type="dxa"/>
            <w:vAlign w:val="center"/>
          </w:tcPr>
          <w:p w14:paraId="2FCE8DFC"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70,5</w:t>
            </w:r>
          </w:p>
        </w:tc>
        <w:tc>
          <w:tcPr>
            <w:tcW w:w="1756" w:type="dxa"/>
            <w:vAlign w:val="center"/>
          </w:tcPr>
          <w:p w14:paraId="2229BB57"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43,5</w:t>
            </w:r>
          </w:p>
        </w:tc>
        <w:tc>
          <w:tcPr>
            <w:tcW w:w="1763" w:type="dxa"/>
            <w:vAlign w:val="center"/>
          </w:tcPr>
          <w:p w14:paraId="3604B453"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83,8</w:t>
            </w:r>
          </w:p>
        </w:tc>
      </w:tr>
      <w:tr w:rsidR="0046142C" w:rsidRPr="00A43B9C" w14:paraId="684CCAE8" w14:textId="77777777" w:rsidTr="00AB2535">
        <w:trPr>
          <w:jc w:val="center"/>
        </w:trPr>
        <w:tc>
          <w:tcPr>
            <w:tcW w:w="1789" w:type="dxa"/>
            <w:vAlign w:val="center"/>
          </w:tcPr>
          <w:p w14:paraId="6177AA55" w14:textId="77777777" w:rsidR="0046142C" w:rsidRPr="00A43B9C" w:rsidRDefault="0046142C"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0,82</w:t>
            </w:r>
          </w:p>
        </w:tc>
        <w:tc>
          <w:tcPr>
            <w:tcW w:w="2069" w:type="dxa"/>
            <w:vAlign w:val="center"/>
          </w:tcPr>
          <w:p w14:paraId="46CE7664" w14:textId="77777777" w:rsidR="0046142C" w:rsidRPr="00A43B9C" w:rsidRDefault="0046142C"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62,5</w:t>
            </w:r>
          </w:p>
        </w:tc>
        <w:tc>
          <w:tcPr>
            <w:tcW w:w="1967" w:type="dxa"/>
            <w:vAlign w:val="center"/>
          </w:tcPr>
          <w:p w14:paraId="79A0A94D" w14:textId="77777777" w:rsidR="0046142C" w:rsidRPr="00A43B9C" w:rsidRDefault="0046142C"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61,4</w:t>
            </w:r>
          </w:p>
        </w:tc>
        <w:tc>
          <w:tcPr>
            <w:tcW w:w="1756" w:type="dxa"/>
            <w:vAlign w:val="center"/>
          </w:tcPr>
          <w:p w14:paraId="238BDA0C" w14:textId="77777777" w:rsidR="0046142C" w:rsidRPr="00A43B9C" w:rsidRDefault="0046142C"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37,0</w:t>
            </w:r>
          </w:p>
        </w:tc>
        <w:tc>
          <w:tcPr>
            <w:tcW w:w="1763" w:type="dxa"/>
            <w:vAlign w:val="center"/>
          </w:tcPr>
          <w:p w14:paraId="4738C790" w14:textId="77777777" w:rsidR="0046142C" w:rsidRPr="00A43B9C" w:rsidRDefault="0046142C"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81,8</w:t>
            </w:r>
          </w:p>
        </w:tc>
      </w:tr>
      <w:tr w:rsidR="0046142C" w:rsidRPr="00CD7C27" w14:paraId="6939B1A9" w14:textId="77777777" w:rsidTr="00AB2535">
        <w:trPr>
          <w:jc w:val="center"/>
        </w:trPr>
        <w:tc>
          <w:tcPr>
            <w:tcW w:w="1789" w:type="dxa"/>
            <w:vAlign w:val="center"/>
          </w:tcPr>
          <w:p w14:paraId="65112030" w14:textId="77777777" w:rsidR="0046142C" w:rsidRPr="00CD7C27" w:rsidRDefault="0046142C" w:rsidP="00446A37">
            <w:pPr>
              <w:spacing w:after="0" w:line="240" w:lineRule="auto"/>
              <w:jc w:val="center"/>
              <w:rPr>
                <w:rFonts w:ascii="Times New Roman" w:hAnsi="Times New Roman" w:cs="Times New Roman"/>
                <w:sz w:val="28"/>
                <w:szCs w:val="28"/>
              </w:rPr>
            </w:pPr>
            <w:r w:rsidRPr="00CD7C27">
              <w:rPr>
                <w:rFonts w:ascii="Times New Roman" w:hAnsi="Times New Roman" w:cs="Times New Roman"/>
                <w:sz w:val="28"/>
                <w:szCs w:val="28"/>
              </w:rPr>
              <w:t>0,78</w:t>
            </w:r>
          </w:p>
        </w:tc>
        <w:tc>
          <w:tcPr>
            <w:tcW w:w="2069" w:type="dxa"/>
            <w:vAlign w:val="center"/>
          </w:tcPr>
          <w:p w14:paraId="5D0CBF95" w14:textId="77777777" w:rsidR="0046142C" w:rsidRPr="00CD7C27" w:rsidRDefault="0046142C" w:rsidP="00446A37">
            <w:pPr>
              <w:spacing w:after="0" w:line="240" w:lineRule="auto"/>
              <w:jc w:val="center"/>
              <w:rPr>
                <w:rFonts w:ascii="Times New Roman" w:hAnsi="Times New Roman" w:cs="Times New Roman"/>
                <w:sz w:val="28"/>
                <w:szCs w:val="28"/>
              </w:rPr>
            </w:pPr>
            <w:r w:rsidRPr="00CD7C27">
              <w:rPr>
                <w:rFonts w:ascii="Times New Roman" w:hAnsi="Times New Roman" w:cs="Times New Roman"/>
                <w:sz w:val="28"/>
                <w:szCs w:val="28"/>
              </w:rPr>
              <w:t>68,8</w:t>
            </w:r>
          </w:p>
        </w:tc>
        <w:tc>
          <w:tcPr>
            <w:tcW w:w="1967" w:type="dxa"/>
            <w:vAlign w:val="center"/>
          </w:tcPr>
          <w:p w14:paraId="4D1E916B" w14:textId="77777777" w:rsidR="0046142C" w:rsidRPr="00CD7C27" w:rsidRDefault="0046142C" w:rsidP="00446A37">
            <w:pPr>
              <w:spacing w:after="0" w:line="240" w:lineRule="auto"/>
              <w:jc w:val="center"/>
              <w:rPr>
                <w:rFonts w:ascii="Times New Roman" w:hAnsi="Times New Roman" w:cs="Times New Roman"/>
                <w:sz w:val="28"/>
                <w:szCs w:val="28"/>
              </w:rPr>
            </w:pPr>
            <w:r w:rsidRPr="00CD7C27">
              <w:rPr>
                <w:rFonts w:ascii="Times New Roman" w:hAnsi="Times New Roman" w:cs="Times New Roman"/>
                <w:sz w:val="28"/>
                <w:szCs w:val="28"/>
              </w:rPr>
              <w:t>61,4</w:t>
            </w:r>
          </w:p>
        </w:tc>
        <w:tc>
          <w:tcPr>
            <w:tcW w:w="1756" w:type="dxa"/>
            <w:vAlign w:val="center"/>
          </w:tcPr>
          <w:p w14:paraId="28BD8AFE" w14:textId="77777777" w:rsidR="0046142C" w:rsidRPr="00CD7C27" w:rsidRDefault="0046142C" w:rsidP="00446A37">
            <w:pPr>
              <w:spacing w:after="0" w:line="240" w:lineRule="auto"/>
              <w:jc w:val="center"/>
              <w:rPr>
                <w:rFonts w:ascii="Times New Roman" w:hAnsi="Times New Roman" w:cs="Times New Roman"/>
                <w:sz w:val="28"/>
                <w:szCs w:val="28"/>
              </w:rPr>
            </w:pPr>
            <w:r w:rsidRPr="00CD7C27">
              <w:rPr>
                <w:rFonts w:ascii="Times New Roman" w:hAnsi="Times New Roman" w:cs="Times New Roman"/>
                <w:sz w:val="28"/>
                <w:szCs w:val="28"/>
              </w:rPr>
              <w:t>39,3</w:t>
            </w:r>
          </w:p>
        </w:tc>
        <w:tc>
          <w:tcPr>
            <w:tcW w:w="1763" w:type="dxa"/>
            <w:vAlign w:val="center"/>
          </w:tcPr>
          <w:p w14:paraId="0A89F2F1" w14:textId="77777777" w:rsidR="0046142C" w:rsidRPr="00CD7C27" w:rsidRDefault="0046142C" w:rsidP="00446A37">
            <w:pPr>
              <w:spacing w:after="0" w:line="240" w:lineRule="auto"/>
              <w:jc w:val="center"/>
              <w:rPr>
                <w:rFonts w:ascii="Times New Roman" w:hAnsi="Times New Roman" w:cs="Times New Roman"/>
                <w:sz w:val="28"/>
                <w:szCs w:val="28"/>
              </w:rPr>
            </w:pPr>
            <w:r w:rsidRPr="00CD7C27">
              <w:rPr>
                <w:rFonts w:ascii="Times New Roman" w:hAnsi="Times New Roman" w:cs="Times New Roman"/>
                <w:sz w:val="28"/>
                <w:szCs w:val="28"/>
              </w:rPr>
              <w:t>84,4</w:t>
            </w:r>
          </w:p>
        </w:tc>
      </w:tr>
      <w:tr w:rsidR="0046142C" w:rsidRPr="00A43B9C" w14:paraId="7FED289E" w14:textId="77777777" w:rsidTr="00AB2535">
        <w:trPr>
          <w:jc w:val="center"/>
        </w:trPr>
        <w:tc>
          <w:tcPr>
            <w:tcW w:w="1789" w:type="dxa"/>
            <w:vAlign w:val="center"/>
          </w:tcPr>
          <w:p w14:paraId="65617D61"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0,76</w:t>
            </w:r>
          </w:p>
        </w:tc>
        <w:tc>
          <w:tcPr>
            <w:tcW w:w="2069" w:type="dxa"/>
            <w:vAlign w:val="center"/>
          </w:tcPr>
          <w:p w14:paraId="6813DC09"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68,8</w:t>
            </w:r>
          </w:p>
        </w:tc>
        <w:tc>
          <w:tcPr>
            <w:tcW w:w="1967" w:type="dxa"/>
            <w:vAlign w:val="center"/>
          </w:tcPr>
          <w:p w14:paraId="5CED3164"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52,3</w:t>
            </w:r>
          </w:p>
        </w:tc>
        <w:tc>
          <w:tcPr>
            <w:tcW w:w="1756" w:type="dxa"/>
            <w:vAlign w:val="center"/>
          </w:tcPr>
          <w:p w14:paraId="128CA74B"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34,4</w:t>
            </w:r>
          </w:p>
        </w:tc>
        <w:tc>
          <w:tcPr>
            <w:tcW w:w="1763" w:type="dxa"/>
            <w:vAlign w:val="center"/>
          </w:tcPr>
          <w:p w14:paraId="38FA932E"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82,1</w:t>
            </w:r>
          </w:p>
        </w:tc>
      </w:tr>
      <w:tr w:rsidR="0046142C" w:rsidRPr="00A43B9C" w14:paraId="73B2E0B7" w14:textId="77777777" w:rsidTr="00AB2535">
        <w:trPr>
          <w:jc w:val="center"/>
        </w:trPr>
        <w:tc>
          <w:tcPr>
            <w:tcW w:w="1789" w:type="dxa"/>
            <w:vAlign w:val="center"/>
          </w:tcPr>
          <w:p w14:paraId="483C3E98"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0,76</w:t>
            </w:r>
          </w:p>
        </w:tc>
        <w:tc>
          <w:tcPr>
            <w:tcW w:w="2069" w:type="dxa"/>
            <w:vAlign w:val="center"/>
          </w:tcPr>
          <w:p w14:paraId="4A3A172C"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81,2</w:t>
            </w:r>
          </w:p>
        </w:tc>
        <w:tc>
          <w:tcPr>
            <w:tcW w:w="1967" w:type="dxa"/>
            <w:vAlign w:val="center"/>
          </w:tcPr>
          <w:p w14:paraId="3197D78A"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52,3</w:t>
            </w:r>
          </w:p>
        </w:tc>
        <w:tc>
          <w:tcPr>
            <w:tcW w:w="1756" w:type="dxa"/>
            <w:vAlign w:val="center"/>
          </w:tcPr>
          <w:p w14:paraId="293499D5"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38,2</w:t>
            </w:r>
          </w:p>
        </w:tc>
        <w:tc>
          <w:tcPr>
            <w:tcW w:w="1763" w:type="dxa"/>
            <w:vAlign w:val="center"/>
          </w:tcPr>
          <w:p w14:paraId="61FE4BE8"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88,5</w:t>
            </w:r>
          </w:p>
        </w:tc>
      </w:tr>
    </w:tbl>
    <w:p w14:paraId="284D8EAE" w14:textId="5C3FCCCF" w:rsidR="0046142C" w:rsidRPr="00A43B9C" w:rsidRDefault="0046142C" w:rsidP="0046142C">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lastRenderedPageBreak/>
        <w:t xml:space="preserve">Площадь под ROC-кривой составила 0,679 </w:t>
      </w:r>
      <w:r w:rsidR="00556A77" w:rsidRPr="00A43B9C">
        <w:rPr>
          <w:rFonts w:ascii="Times New Roman" w:hAnsi="Times New Roman" w:cs="Times New Roman"/>
          <w:sz w:val="28"/>
          <w:szCs w:val="28"/>
        </w:rPr>
        <w:t>(</w:t>
      </w:r>
      <w:r w:rsidRPr="00A43B9C">
        <w:rPr>
          <w:rFonts w:ascii="Times New Roman" w:hAnsi="Times New Roman" w:cs="Times New Roman"/>
          <w:sz w:val="28"/>
          <w:szCs w:val="28"/>
        </w:rPr>
        <w:t>95% ДИ 0,517 – 0,841</w:t>
      </w:r>
      <w:r w:rsidR="00556A77" w:rsidRPr="00A43B9C">
        <w:rPr>
          <w:rFonts w:ascii="Times New Roman" w:hAnsi="Times New Roman" w:cs="Times New Roman"/>
          <w:sz w:val="28"/>
          <w:szCs w:val="28"/>
        </w:rPr>
        <w:t>)</w:t>
      </w:r>
      <w:r w:rsidR="00C40B6D" w:rsidRPr="00A43B9C">
        <w:rPr>
          <w:rFonts w:ascii="Times New Roman" w:hAnsi="Times New Roman" w:cs="Times New Roman"/>
          <w:sz w:val="28"/>
          <w:szCs w:val="28"/>
        </w:rPr>
        <w:t>, и в</w:t>
      </w:r>
      <w:r w:rsidR="00556A77" w:rsidRPr="00A43B9C">
        <w:rPr>
          <w:rFonts w:ascii="Times New Roman" w:hAnsi="Times New Roman" w:cs="Times New Roman"/>
          <w:sz w:val="28"/>
          <w:szCs w:val="28"/>
        </w:rPr>
        <w:t xml:space="preserve"> этом случае п</w:t>
      </w:r>
      <w:r w:rsidRPr="00A43B9C">
        <w:rPr>
          <w:rFonts w:ascii="Times New Roman" w:hAnsi="Times New Roman" w:cs="Times New Roman"/>
          <w:sz w:val="28"/>
          <w:szCs w:val="28"/>
        </w:rPr>
        <w:t>олученная модель была статистически значимой (p = 0,035).</w:t>
      </w:r>
      <w:r w:rsidR="00556A77"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Пороговое значение уровня </w:t>
      </w:r>
      <w:r w:rsidR="00556A77"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556A77"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556A77"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RRI в точке </w:t>
      </w:r>
      <w:r w:rsidR="00556A77" w:rsidRPr="00A43B9C">
        <w:rPr>
          <w:rFonts w:ascii="Times New Roman" w:hAnsi="Times New Roman" w:cs="Times New Roman"/>
          <w:sz w:val="28"/>
          <w:szCs w:val="28"/>
        </w:rPr>
        <w:t>отсечения</w:t>
      </w:r>
      <w:r w:rsidRPr="00A43B9C">
        <w:rPr>
          <w:rFonts w:ascii="Times New Roman" w:hAnsi="Times New Roman" w:cs="Times New Roman"/>
          <w:sz w:val="28"/>
          <w:szCs w:val="28"/>
        </w:rPr>
        <w:t>, которому соответствовало наивысшее значение индекса Юдена, составило 0,78 (рисунок 5</w:t>
      </w:r>
      <w:r w:rsidR="00E81502">
        <w:rPr>
          <w:rFonts w:ascii="Times New Roman" w:hAnsi="Times New Roman" w:cs="Times New Roman"/>
          <w:sz w:val="28"/>
          <w:szCs w:val="28"/>
        </w:rPr>
        <w:t>9</w:t>
      </w:r>
      <w:r w:rsidRPr="00A43B9C">
        <w:rPr>
          <w:rFonts w:ascii="Times New Roman" w:hAnsi="Times New Roman" w:cs="Times New Roman"/>
          <w:sz w:val="28"/>
          <w:szCs w:val="28"/>
        </w:rPr>
        <w:t xml:space="preserve">). Наличие </w:t>
      </w:r>
      <w:r w:rsidR="000874C1" w:rsidRPr="00A43B9C">
        <w:rPr>
          <w:rFonts w:ascii="Times New Roman" w:eastAsia="Times New Roman" w:hAnsi="Times New Roman" w:cs="Times New Roman"/>
          <w:sz w:val="28"/>
          <w:szCs w:val="28"/>
          <w:lang w:val="en-US" w:eastAsia="ru-RU"/>
        </w:rPr>
        <w:t>pLM</w:t>
      </w:r>
      <w:r w:rsidRPr="00A43B9C">
        <w:rPr>
          <w:rFonts w:ascii="Times New Roman" w:hAnsi="Times New Roman" w:cs="Times New Roman"/>
          <w:sz w:val="28"/>
          <w:szCs w:val="28"/>
        </w:rPr>
        <w:t xml:space="preserve"> прогнозировалось при значении уровня </w:t>
      </w:r>
      <w:r w:rsidR="00556A77"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556A77"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556A77"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RRI ниже данной величины или равном ей. Чувствительность и специфичность модели составили 68,8% и 61,4%, а </w:t>
      </w:r>
      <w:r w:rsidRPr="00A43B9C">
        <w:rPr>
          <w:rFonts w:ascii="Times New Roman" w:hAnsi="Times New Roman" w:cs="Times New Roman"/>
          <w:sz w:val="28"/>
          <w:szCs w:val="28"/>
          <w:lang w:val="en-US"/>
        </w:rPr>
        <w:t>PPV</w:t>
      </w:r>
      <w:r w:rsidRPr="00A43B9C">
        <w:rPr>
          <w:rFonts w:ascii="Times New Roman" w:hAnsi="Times New Roman" w:cs="Times New Roman"/>
          <w:sz w:val="28"/>
          <w:szCs w:val="28"/>
        </w:rPr>
        <w:t xml:space="preserve"> и </w:t>
      </w:r>
      <w:r w:rsidRPr="00A43B9C">
        <w:rPr>
          <w:rFonts w:ascii="Times New Roman" w:hAnsi="Times New Roman" w:cs="Times New Roman"/>
          <w:sz w:val="28"/>
          <w:szCs w:val="28"/>
          <w:lang w:val="en-US"/>
        </w:rPr>
        <w:t>NPV</w:t>
      </w:r>
      <w:r w:rsidRPr="00A43B9C">
        <w:rPr>
          <w:rFonts w:ascii="Times New Roman" w:hAnsi="Times New Roman" w:cs="Times New Roman"/>
          <w:sz w:val="28"/>
          <w:szCs w:val="28"/>
        </w:rPr>
        <w:t xml:space="preserve"> составили 39,3% и 84,4% соответственно (таблица 40).</w:t>
      </w:r>
    </w:p>
    <w:p w14:paraId="64A18B72" w14:textId="0CB46B98" w:rsidR="00D20893" w:rsidRDefault="00D20893" w:rsidP="00D20893">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Результаты топографической реконструкции </w:t>
      </w:r>
      <w:r w:rsidRPr="00A43B9C">
        <w:rPr>
          <w:rFonts w:ascii="Times New Roman" w:eastAsia="NewtonC" w:hAnsi="Times New Roman" w:cs="Times New Roman"/>
          <w:sz w:val="28"/>
          <w:szCs w:val="28"/>
        </w:rPr>
        <w:t>изображений ПЭТ/КТ исследования в а</w:t>
      </w:r>
      <w:r w:rsidRPr="00A43B9C">
        <w:rPr>
          <w:rFonts w:ascii="Times New Roman" w:hAnsi="Times New Roman" w:cs="Times New Roman"/>
          <w:sz w:val="28"/>
          <w:szCs w:val="28"/>
        </w:rPr>
        <w:t xml:space="preserve">ксиальной плоскости приведены на рисунке </w:t>
      </w:r>
      <w:r w:rsidR="00E81502">
        <w:rPr>
          <w:rFonts w:ascii="Times New Roman" w:hAnsi="Times New Roman" w:cs="Times New Roman"/>
          <w:sz w:val="28"/>
          <w:szCs w:val="28"/>
        </w:rPr>
        <w:t>60</w:t>
      </w:r>
      <w:r w:rsidRPr="00A43B9C">
        <w:rPr>
          <w:rFonts w:ascii="Times New Roman" w:hAnsi="Times New Roman" w:cs="Times New Roman"/>
          <w:sz w:val="28"/>
          <w:szCs w:val="28"/>
        </w:rPr>
        <w:t xml:space="preserve"> для статистически достоверной области RRI.</w:t>
      </w:r>
    </w:p>
    <w:p w14:paraId="47825491" w14:textId="77777777" w:rsidR="00942FF6" w:rsidRPr="00A43B9C" w:rsidRDefault="00942FF6" w:rsidP="00D20893">
      <w:pPr>
        <w:spacing w:after="0" w:line="240" w:lineRule="auto"/>
        <w:ind w:firstLine="709"/>
        <w:jc w:val="both"/>
        <w:rPr>
          <w:rFonts w:ascii="Times New Roman" w:hAnsi="Times New Roman" w:cs="Times New Roman"/>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677"/>
      </w:tblGrid>
      <w:tr w:rsidR="00CF664F" w14:paraId="521A61EE" w14:textId="77777777" w:rsidTr="00CF664F">
        <w:tc>
          <w:tcPr>
            <w:tcW w:w="4677" w:type="dxa"/>
          </w:tcPr>
          <w:p w14:paraId="44C71673" w14:textId="3A241D7A" w:rsidR="00E97D9E" w:rsidRDefault="00E97D9E" w:rsidP="00D20893">
            <w:pPr>
              <w:autoSpaceDE w:val="0"/>
              <w:autoSpaceDN w:val="0"/>
              <w:adjustRightInd w:val="0"/>
              <w:spacing w:after="0" w:line="240" w:lineRule="auto"/>
              <w:jc w:val="center"/>
              <w:rPr>
                <w:rFonts w:ascii="Times New Roman" w:eastAsia="NewtonC" w:hAnsi="Times New Roman" w:cs="Times New Roman"/>
                <w:sz w:val="28"/>
                <w:szCs w:val="28"/>
              </w:rPr>
            </w:pPr>
            <w:r w:rsidRPr="00A43B9C">
              <w:rPr>
                <w:rFonts w:ascii="Times New Roman" w:hAnsi="Times New Roman" w:cs="Times New Roman"/>
                <w:noProof/>
                <w:sz w:val="28"/>
                <w:szCs w:val="28"/>
              </w:rPr>
              <w:drawing>
                <wp:inline distT="0" distB="0" distL="0" distR="0" wp14:anchorId="168BB61A" wp14:editId="750733C8">
                  <wp:extent cx="2880000" cy="1913794"/>
                  <wp:effectExtent l="0" t="0" r="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35">
                            <a:extLst>
                              <a:ext uri="{28A0092B-C50C-407E-A947-70E740481C1C}">
                                <a14:useLocalDpi xmlns:a14="http://schemas.microsoft.com/office/drawing/2010/main" val="0"/>
                              </a:ext>
                            </a:extLst>
                          </a:blip>
                          <a:srcRect l="21722" t="26691" r="16703" b="21998"/>
                          <a:stretch/>
                        </pic:blipFill>
                        <pic:spPr bwMode="auto">
                          <a:xfrm>
                            <a:off x="0" y="0"/>
                            <a:ext cx="2880000" cy="191379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8" w:type="dxa"/>
          </w:tcPr>
          <w:p w14:paraId="24B51604" w14:textId="1DB72AFF" w:rsidR="00E97D9E" w:rsidRDefault="00E97D9E" w:rsidP="00D20893">
            <w:pPr>
              <w:autoSpaceDE w:val="0"/>
              <w:autoSpaceDN w:val="0"/>
              <w:adjustRightInd w:val="0"/>
              <w:spacing w:after="0" w:line="240" w:lineRule="auto"/>
              <w:jc w:val="center"/>
              <w:rPr>
                <w:rFonts w:ascii="Times New Roman" w:eastAsia="NewtonC" w:hAnsi="Times New Roman" w:cs="Times New Roman"/>
                <w:sz w:val="28"/>
                <w:szCs w:val="28"/>
              </w:rPr>
            </w:pPr>
            <w:r w:rsidRPr="00A43B9C">
              <w:rPr>
                <w:rFonts w:ascii="Times New Roman" w:hAnsi="Times New Roman" w:cs="Times New Roman"/>
                <w:noProof/>
                <w:sz w:val="28"/>
                <w:szCs w:val="28"/>
              </w:rPr>
              <w:drawing>
                <wp:inline distT="0" distB="0" distL="0" distR="0" wp14:anchorId="16F937CE" wp14:editId="4B29FEE5">
                  <wp:extent cx="2880000" cy="1894370"/>
                  <wp:effectExtent l="0" t="0" r="0" b="0"/>
                  <wp:docPr id="2105141241" name="Рисунок 210514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36">
                            <a:extLst>
                              <a:ext uri="{28A0092B-C50C-407E-A947-70E740481C1C}">
                                <a14:useLocalDpi xmlns:a14="http://schemas.microsoft.com/office/drawing/2010/main" val="0"/>
                              </a:ext>
                            </a:extLst>
                          </a:blip>
                          <a:srcRect l="23512" t="18973" r="17260" b="40837"/>
                          <a:stretch/>
                        </pic:blipFill>
                        <pic:spPr bwMode="auto">
                          <a:xfrm>
                            <a:off x="0" y="0"/>
                            <a:ext cx="2880000" cy="189437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F664F" w14:paraId="59E8D07F" w14:textId="77777777" w:rsidTr="00CF664F">
        <w:tc>
          <w:tcPr>
            <w:tcW w:w="4677" w:type="dxa"/>
          </w:tcPr>
          <w:p w14:paraId="592BD66E" w14:textId="771F1383" w:rsidR="00E97D9E" w:rsidRPr="00AB2535" w:rsidRDefault="00E97D9E" w:rsidP="00E97D9E">
            <w:pPr>
              <w:autoSpaceDE w:val="0"/>
              <w:autoSpaceDN w:val="0"/>
              <w:adjustRightInd w:val="0"/>
              <w:spacing w:after="0" w:line="240" w:lineRule="auto"/>
              <w:jc w:val="center"/>
              <w:rPr>
                <w:rFonts w:ascii="Times New Roman" w:eastAsia="NewtonC" w:hAnsi="Times New Roman" w:cs="Times New Roman"/>
                <w:sz w:val="24"/>
                <w:szCs w:val="28"/>
              </w:rPr>
            </w:pPr>
            <w:r w:rsidRPr="00AB2535">
              <w:rPr>
                <w:rFonts w:ascii="Times New Roman" w:hAnsi="Times New Roman" w:cs="Times New Roman"/>
                <w:noProof/>
                <w:sz w:val="24"/>
                <w:szCs w:val="28"/>
                <w:lang w:eastAsia="ru-RU"/>
              </w:rPr>
              <w:t>а)</w:t>
            </w:r>
            <w:r w:rsidR="00AB2535" w:rsidRPr="00AB2535">
              <w:rPr>
                <w:rFonts w:ascii="Times New Roman" w:hAnsi="Times New Roman" w:cs="Times New Roman"/>
                <w:sz w:val="24"/>
                <w:szCs w:val="28"/>
              </w:rPr>
              <w:t xml:space="preserve"> ПЭТ изображение</w:t>
            </w:r>
          </w:p>
        </w:tc>
        <w:tc>
          <w:tcPr>
            <w:tcW w:w="4678" w:type="dxa"/>
          </w:tcPr>
          <w:p w14:paraId="01CE142E" w14:textId="01BB8478" w:rsidR="00E97D9E" w:rsidRPr="00AB2535" w:rsidRDefault="00E97D9E" w:rsidP="00E97D9E">
            <w:pPr>
              <w:autoSpaceDE w:val="0"/>
              <w:autoSpaceDN w:val="0"/>
              <w:adjustRightInd w:val="0"/>
              <w:spacing w:after="0" w:line="240" w:lineRule="auto"/>
              <w:jc w:val="center"/>
              <w:rPr>
                <w:rFonts w:ascii="Times New Roman" w:eastAsia="NewtonC" w:hAnsi="Times New Roman" w:cs="Times New Roman"/>
                <w:sz w:val="24"/>
                <w:szCs w:val="28"/>
              </w:rPr>
            </w:pPr>
            <w:r w:rsidRPr="00AB2535">
              <w:rPr>
                <w:rFonts w:ascii="Times New Roman" w:hAnsi="Times New Roman" w:cs="Times New Roman"/>
                <w:noProof/>
                <w:sz w:val="24"/>
                <w:szCs w:val="28"/>
                <w:lang w:eastAsia="ru-RU"/>
              </w:rPr>
              <w:t>б)</w:t>
            </w:r>
            <w:r w:rsidR="00AB2535" w:rsidRPr="00AB2535">
              <w:rPr>
                <w:rFonts w:ascii="Times New Roman" w:hAnsi="Times New Roman" w:cs="Times New Roman"/>
                <w:sz w:val="24"/>
                <w:szCs w:val="28"/>
              </w:rPr>
              <w:t xml:space="preserve"> Визуализация накопления </w:t>
            </w:r>
            <w:r w:rsidR="00AB2535" w:rsidRPr="00AB2535">
              <w:rPr>
                <w:rFonts w:ascii="Times New Roman" w:eastAsia="NewtonC" w:hAnsi="Times New Roman" w:cs="Times New Roman"/>
                <w:sz w:val="24"/>
                <w:szCs w:val="28"/>
                <w:vertAlign w:val="superscript"/>
              </w:rPr>
              <w:t>18</w:t>
            </w:r>
            <w:r w:rsidR="00AB2535" w:rsidRPr="00AB2535">
              <w:rPr>
                <w:rFonts w:ascii="Times New Roman" w:eastAsia="NewtonC" w:hAnsi="Times New Roman" w:cs="Times New Roman"/>
                <w:sz w:val="24"/>
                <w:szCs w:val="28"/>
                <w:lang w:val="en-US"/>
              </w:rPr>
              <w:t>F</w:t>
            </w:r>
            <w:r w:rsidR="00AB2535" w:rsidRPr="00AB2535">
              <w:rPr>
                <w:rFonts w:ascii="Times New Roman" w:eastAsia="NewtonC" w:hAnsi="Times New Roman" w:cs="Times New Roman"/>
                <w:sz w:val="24"/>
                <w:szCs w:val="28"/>
              </w:rPr>
              <w:t>-</w:t>
            </w:r>
            <w:r w:rsidR="00AB2535" w:rsidRPr="00AB2535">
              <w:rPr>
                <w:rFonts w:ascii="Times New Roman" w:eastAsia="NewtonC" w:hAnsi="Times New Roman" w:cs="Times New Roman"/>
                <w:sz w:val="24"/>
                <w:szCs w:val="28"/>
                <w:lang w:val="en-US"/>
              </w:rPr>
              <w:t>FDG</w:t>
            </w:r>
            <w:r w:rsidR="00AB2535" w:rsidRPr="00AB2535">
              <w:rPr>
                <w:rFonts w:ascii="Times New Roman" w:eastAsia="NewtonC" w:hAnsi="Times New Roman" w:cs="Times New Roman"/>
                <w:sz w:val="24"/>
                <w:szCs w:val="28"/>
              </w:rPr>
              <w:t xml:space="preserve"> в режиме </w:t>
            </w:r>
            <w:r w:rsidR="00AB2535" w:rsidRPr="00AB2535">
              <w:rPr>
                <w:rFonts w:ascii="Times New Roman" w:eastAsia="NewtonC" w:hAnsi="Times New Roman" w:cs="Times New Roman"/>
                <w:sz w:val="24"/>
                <w:szCs w:val="28"/>
                <w:lang w:val="en-US"/>
              </w:rPr>
              <w:t>Fusion</w:t>
            </w:r>
          </w:p>
        </w:tc>
      </w:tr>
    </w:tbl>
    <w:p w14:paraId="4AAD08EC" w14:textId="77777777" w:rsidR="00AB2535" w:rsidRDefault="00AB2535" w:rsidP="00D20893">
      <w:pPr>
        <w:autoSpaceDE w:val="0"/>
        <w:autoSpaceDN w:val="0"/>
        <w:adjustRightInd w:val="0"/>
        <w:spacing w:after="0" w:line="240" w:lineRule="auto"/>
        <w:ind w:firstLine="709"/>
        <w:jc w:val="center"/>
        <w:rPr>
          <w:rFonts w:ascii="Times New Roman" w:eastAsia="NewtonC" w:hAnsi="Times New Roman" w:cs="Times New Roman"/>
          <w:sz w:val="28"/>
          <w:szCs w:val="28"/>
        </w:rPr>
      </w:pPr>
    </w:p>
    <w:p w14:paraId="031CE73A" w14:textId="5AC8ED9A" w:rsidR="00077C46" w:rsidRPr="00A43B9C" w:rsidRDefault="00D20893" w:rsidP="00D20893">
      <w:pPr>
        <w:autoSpaceDE w:val="0"/>
        <w:autoSpaceDN w:val="0"/>
        <w:adjustRightInd w:val="0"/>
        <w:spacing w:after="0" w:line="240" w:lineRule="auto"/>
        <w:ind w:firstLine="709"/>
        <w:jc w:val="center"/>
        <w:rPr>
          <w:rFonts w:ascii="Times New Roman" w:hAnsi="Times New Roman" w:cs="Times New Roman"/>
          <w:sz w:val="28"/>
          <w:szCs w:val="28"/>
        </w:rPr>
      </w:pPr>
      <w:r w:rsidRPr="00A43B9C">
        <w:rPr>
          <w:rFonts w:ascii="Times New Roman" w:eastAsia="NewtonC" w:hAnsi="Times New Roman" w:cs="Times New Roman"/>
          <w:sz w:val="28"/>
          <w:szCs w:val="28"/>
        </w:rPr>
        <w:t xml:space="preserve">Рисунок </w:t>
      </w:r>
      <w:r w:rsidR="001A1D98">
        <w:rPr>
          <w:rFonts w:ascii="Times New Roman" w:eastAsia="NewtonC" w:hAnsi="Times New Roman" w:cs="Times New Roman"/>
          <w:sz w:val="28"/>
          <w:szCs w:val="28"/>
        </w:rPr>
        <w:t>60</w:t>
      </w:r>
      <w:r w:rsidRPr="00A43B9C">
        <w:rPr>
          <w:rFonts w:ascii="Times New Roman" w:eastAsia="NewtonC" w:hAnsi="Times New Roman" w:cs="Times New Roman"/>
          <w:sz w:val="28"/>
          <w:szCs w:val="28"/>
        </w:rPr>
        <w:t xml:space="preserve"> – Пациент </w:t>
      </w:r>
      <w:r w:rsidR="009D3910" w:rsidRPr="00A43B9C">
        <w:rPr>
          <w:rFonts w:ascii="Times New Roman" w:eastAsia="NewtonC" w:hAnsi="Times New Roman" w:cs="Times New Roman"/>
          <w:sz w:val="28"/>
          <w:szCs w:val="28"/>
        </w:rPr>
        <w:t>С</w:t>
      </w:r>
      <w:r w:rsidRPr="00A43B9C">
        <w:rPr>
          <w:rFonts w:ascii="Times New Roman" w:eastAsia="NewtonC" w:hAnsi="Times New Roman" w:cs="Times New Roman"/>
          <w:sz w:val="28"/>
          <w:szCs w:val="28"/>
        </w:rPr>
        <w:t xml:space="preserve">. </w:t>
      </w:r>
      <w:r w:rsidR="00A4596B" w:rsidRPr="00A43B9C">
        <w:rPr>
          <w:rFonts w:ascii="Times New Roman" w:eastAsia="NewtonC" w:hAnsi="Times New Roman" w:cs="Times New Roman"/>
          <w:sz w:val="28"/>
          <w:szCs w:val="28"/>
        </w:rPr>
        <w:t>(58 л., жен</w:t>
      </w:r>
      <w:r w:rsidR="00C40B6D" w:rsidRPr="00A43B9C">
        <w:rPr>
          <w:rFonts w:ascii="Times New Roman" w:eastAsia="NewtonC" w:hAnsi="Times New Roman" w:cs="Times New Roman"/>
          <w:sz w:val="28"/>
          <w:szCs w:val="28"/>
        </w:rPr>
        <w:t>щина</w:t>
      </w:r>
      <w:r w:rsidR="00A4596B" w:rsidRPr="00A43B9C">
        <w:rPr>
          <w:rFonts w:ascii="Times New Roman" w:eastAsia="NewtonC" w:hAnsi="Times New Roman" w:cs="Times New Roman"/>
          <w:sz w:val="28"/>
          <w:szCs w:val="28"/>
        </w:rPr>
        <w:t xml:space="preserve">) </w:t>
      </w:r>
      <w:r w:rsidR="00556A77" w:rsidRPr="00A43B9C">
        <w:rPr>
          <w:rFonts w:ascii="Times New Roman" w:eastAsia="NewtonC" w:hAnsi="Times New Roman" w:cs="Times New Roman"/>
          <w:sz w:val="28"/>
          <w:szCs w:val="28"/>
        </w:rPr>
        <w:t>с КРР</w:t>
      </w:r>
      <w:r w:rsidR="00252824">
        <w:rPr>
          <w:rFonts w:ascii="Times New Roman" w:eastAsia="NewtonC" w:hAnsi="Times New Roman" w:cs="Times New Roman"/>
          <w:sz w:val="28"/>
          <w:szCs w:val="28"/>
        </w:rPr>
        <w:t>,</w:t>
      </w:r>
      <w:r w:rsidRPr="00A43B9C">
        <w:rPr>
          <w:rFonts w:ascii="Times New Roman" w:eastAsia="NewtonC" w:hAnsi="Times New Roman" w:cs="Times New Roman"/>
          <w:sz w:val="28"/>
          <w:szCs w:val="28"/>
        </w:rPr>
        <w:t xml:space="preserve"> </w:t>
      </w:r>
      <w:r w:rsidRPr="00A43B9C">
        <w:rPr>
          <w:rFonts w:ascii="Times New Roman" w:eastAsia="NewtonC" w:hAnsi="Times New Roman" w:cs="Times New Roman"/>
          <w:sz w:val="28"/>
          <w:szCs w:val="28"/>
          <w:lang w:val="en-US"/>
        </w:rPr>
        <w:t>St</w:t>
      </w:r>
      <w:r w:rsidRPr="00A43B9C">
        <w:rPr>
          <w:rFonts w:ascii="Times New Roman" w:eastAsia="NewtonC" w:hAnsi="Times New Roman" w:cs="Times New Roman"/>
          <w:sz w:val="28"/>
          <w:szCs w:val="28"/>
        </w:rPr>
        <w:t xml:space="preserve"> </w:t>
      </w:r>
      <w:r w:rsidRPr="00A43B9C">
        <w:rPr>
          <w:rFonts w:ascii="Times New Roman" w:eastAsia="NewtonC" w:hAnsi="Times New Roman" w:cs="Times New Roman"/>
          <w:sz w:val="28"/>
          <w:szCs w:val="28"/>
          <w:lang w:val="en-US"/>
        </w:rPr>
        <w:t>II</w:t>
      </w:r>
      <w:r w:rsidR="00252824">
        <w:rPr>
          <w:rFonts w:ascii="Times New Roman" w:eastAsia="NewtonC" w:hAnsi="Times New Roman" w:cs="Times New Roman"/>
          <w:sz w:val="28"/>
          <w:szCs w:val="28"/>
        </w:rPr>
        <w:t>,</w:t>
      </w:r>
      <w:r w:rsidRPr="00A43B9C">
        <w:rPr>
          <w:rFonts w:ascii="Times New Roman" w:eastAsia="NewtonC" w:hAnsi="Times New Roman" w:cs="Times New Roman"/>
          <w:sz w:val="28"/>
          <w:szCs w:val="28"/>
        </w:rPr>
        <w:t xml:space="preserve"> </w:t>
      </w:r>
      <w:r w:rsidRPr="00A43B9C">
        <w:rPr>
          <w:rFonts w:ascii="Times New Roman" w:hAnsi="Times New Roman" w:cs="Times New Roman"/>
          <w:sz w:val="28"/>
          <w:szCs w:val="28"/>
          <w:lang w:val="en-US"/>
        </w:rPr>
        <w:t>T</w:t>
      </w:r>
      <w:r w:rsidR="00B67A8D" w:rsidRPr="00A43B9C">
        <w:rPr>
          <w:rFonts w:ascii="Times New Roman" w:hAnsi="Times New Roman" w:cs="Times New Roman"/>
          <w:sz w:val="28"/>
          <w:szCs w:val="28"/>
          <w:vertAlign w:val="subscript"/>
        </w:rPr>
        <w:t>3</w:t>
      </w:r>
      <w:r w:rsidRPr="00A43B9C">
        <w:rPr>
          <w:rFonts w:ascii="Times New Roman" w:hAnsi="Times New Roman" w:cs="Times New Roman"/>
          <w:sz w:val="28"/>
          <w:szCs w:val="28"/>
          <w:lang w:val="en-US"/>
        </w:rPr>
        <w:t>N</w:t>
      </w:r>
      <w:r w:rsidRPr="00A43B9C">
        <w:rPr>
          <w:rFonts w:ascii="Times New Roman" w:hAnsi="Times New Roman" w:cs="Times New Roman"/>
          <w:sz w:val="28"/>
          <w:szCs w:val="28"/>
          <w:vertAlign w:val="subscript"/>
          <w:lang w:val="en-US"/>
        </w:rPr>
        <w:t>x</w:t>
      </w:r>
      <w:r w:rsidRPr="00A43B9C">
        <w:rPr>
          <w:rFonts w:ascii="Times New Roman" w:hAnsi="Times New Roman" w:cs="Times New Roman"/>
          <w:sz w:val="28"/>
          <w:szCs w:val="28"/>
          <w:lang w:val="en-US"/>
        </w:rPr>
        <w:t>M</w:t>
      </w:r>
      <w:r w:rsidRPr="00A43B9C">
        <w:rPr>
          <w:rFonts w:ascii="Times New Roman" w:hAnsi="Times New Roman" w:cs="Times New Roman"/>
          <w:sz w:val="28"/>
          <w:szCs w:val="28"/>
          <w:vertAlign w:val="subscript"/>
        </w:rPr>
        <w:t>0</w:t>
      </w:r>
      <w:r w:rsidRPr="00A43B9C">
        <w:rPr>
          <w:rFonts w:ascii="Times New Roman" w:eastAsia="NewtonC" w:hAnsi="Times New Roman" w:cs="Times New Roman"/>
          <w:sz w:val="28"/>
          <w:szCs w:val="28"/>
        </w:rPr>
        <w:t>. Результаты топографической реконструкции изображений ПЭТ/КТ исследования в а</w:t>
      </w:r>
      <w:r w:rsidRPr="00A43B9C">
        <w:rPr>
          <w:rFonts w:ascii="Times New Roman" w:hAnsi="Times New Roman" w:cs="Times New Roman"/>
          <w:sz w:val="28"/>
          <w:szCs w:val="28"/>
        </w:rPr>
        <w:t xml:space="preserve">ксиальной плоскости для </w:t>
      </w:r>
      <w:r w:rsidR="00556A77"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RRI</w:t>
      </w:r>
    </w:p>
    <w:p w14:paraId="426783A6" w14:textId="77777777" w:rsidR="0046142C" w:rsidRPr="00A43B9C" w:rsidRDefault="0046142C" w:rsidP="0046142C">
      <w:pPr>
        <w:spacing w:after="0" w:line="240" w:lineRule="auto"/>
        <w:rPr>
          <w:rFonts w:ascii="Times New Roman" w:hAnsi="Times New Roman" w:cs="Times New Roman"/>
          <w:sz w:val="28"/>
          <w:szCs w:val="28"/>
        </w:rPr>
      </w:pPr>
    </w:p>
    <w:p w14:paraId="18325A5D" w14:textId="44986616" w:rsidR="0046142C" w:rsidRDefault="0046142C" w:rsidP="0046142C">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При оценке зависимости вероятности </w:t>
      </w:r>
      <w:r w:rsidR="000874C1" w:rsidRPr="00A43B9C">
        <w:rPr>
          <w:rFonts w:ascii="Times New Roman" w:eastAsia="Times New Roman" w:hAnsi="Times New Roman" w:cs="Times New Roman"/>
          <w:sz w:val="28"/>
          <w:szCs w:val="28"/>
          <w:lang w:val="en-US" w:eastAsia="ru-RU"/>
        </w:rPr>
        <w:t>LM</w:t>
      </w:r>
      <w:r w:rsidR="00C63313" w:rsidRPr="00A43B9C">
        <w:rPr>
          <w:rFonts w:ascii="Times New Roman" w:eastAsia="Times New Roman" w:hAnsi="Times New Roman" w:cs="Times New Roman"/>
          <w:sz w:val="28"/>
          <w:szCs w:val="28"/>
          <w:lang w:eastAsia="ru-RU"/>
        </w:rPr>
        <w:t xml:space="preserve"> </w:t>
      </w:r>
      <w:r w:rsidRPr="00A43B9C">
        <w:rPr>
          <w:rFonts w:ascii="Times New Roman" w:hAnsi="Times New Roman" w:cs="Times New Roman"/>
          <w:sz w:val="28"/>
          <w:szCs w:val="28"/>
        </w:rPr>
        <w:t xml:space="preserve">в </w:t>
      </w:r>
      <w:r w:rsidR="00556A77"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RP с помощью ROC-анализа была получена следующая кривая (рисунок </w:t>
      </w:r>
      <w:r w:rsidR="00E81502">
        <w:rPr>
          <w:rFonts w:ascii="Times New Roman" w:hAnsi="Times New Roman" w:cs="Times New Roman"/>
          <w:sz w:val="28"/>
          <w:szCs w:val="28"/>
        </w:rPr>
        <w:t>61</w:t>
      </w:r>
      <w:r w:rsidRPr="00A43B9C">
        <w:rPr>
          <w:rFonts w:ascii="Times New Roman" w:hAnsi="Times New Roman" w:cs="Times New Roman"/>
          <w:sz w:val="28"/>
          <w:szCs w:val="28"/>
        </w:rPr>
        <w:t>).</w:t>
      </w:r>
    </w:p>
    <w:p w14:paraId="23CC3CEF" w14:textId="77777777" w:rsidR="00942FF6" w:rsidRPr="00A43B9C" w:rsidRDefault="00942FF6" w:rsidP="0046142C">
      <w:pPr>
        <w:spacing w:after="0" w:line="240" w:lineRule="auto"/>
        <w:ind w:firstLine="709"/>
        <w:jc w:val="both"/>
        <w:rPr>
          <w:rFonts w:ascii="Times New Roman" w:hAnsi="Times New Roman" w:cs="Times New Roman"/>
          <w:sz w:val="28"/>
          <w:szCs w:val="28"/>
        </w:rPr>
      </w:pPr>
    </w:p>
    <w:p w14:paraId="5EC15A34" w14:textId="77777777" w:rsidR="0046142C" w:rsidRPr="00A43B9C" w:rsidRDefault="0046142C" w:rsidP="00B46227">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1BB1E5A0" wp14:editId="100F5FD2">
            <wp:extent cx="3685244" cy="2268000"/>
            <wp:effectExtent l="0" t="0" r="0" b="0"/>
            <wp:docPr id="266"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47.png"/>
                    <pic:cNvPicPr/>
                  </pic:nvPicPr>
                  <pic:blipFill>
                    <a:blip r:embed="rId337"/>
                    <a:stretch>
                      <a:fillRect/>
                    </a:stretch>
                  </pic:blipFill>
                  <pic:spPr>
                    <a:xfrm>
                      <a:off x="0" y="0"/>
                      <a:ext cx="3685244" cy="2268000"/>
                    </a:xfrm>
                    <a:prstGeom prst="rect">
                      <a:avLst/>
                    </a:prstGeom>
                  </pic:spPr>
                </pic:pic>
              </a:graphicData>
            </a:graphic>
          </wp:inline>
        </w:drawing>
      </w:r>
    </w:p>
    <w:p w14:paraId="3AAE747A" w14:textId="013E2F8E"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 xml:space="preserve">Рисунок </w:t>
      </w:r>
      <w:r w:rsidR="001A1D98">
        <w:rPr>
          <w:rFonts w:ascii="Times New Roman" w:hAnsi="Times New Roman" w:cs="Times New Roman"/>
          <w:sz w:val="28"/>
          <w:szCs w:val="28"/>
        </w:rPr>
        <w:t>61</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ROC-кривая, характеризующая зависимость вероятности </w:t>
      </w:r>
      <w:r w:rsidR="00777C9A">
        <w:rPr>
          <w:rFonts w:ascii="Times New Roman" w:hAnsi="Times New Roman" w:cs="Times New Roman"/>
          <w:sz w:val="28"/>
          <w:szCs w:val="28"/>
          <w:lang w:val="en-US"/>
        </w:rPr>
        <w:t>p</w:t>
      </w:r>
      <w:r w:rsidR="000874C1" w:rsidRPr="00A43B9C">
        <w:rPr>
          <w:rFonts w:ascii="Times New Roman" w:hAnsi="Times New Roman" w:cs="Times New Roman"/>
          <w:sz w:val="28"/>
          <w:szCs w:val="28"/>
          <w:lang w:val="en-US"/>
        </w:rPr>
        <w:t>LM</w:t>
      </w:r>
      <w:r w:rsidR="00C63313"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от </w:t>
      </w:r>
      <w:r w:rsidR="00556A77"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RP</w:t>
      </w:r>
    </w:p>
    <w:p w14:paraId="51B74243" w14:textId="77777777" w:rsidR="0046142C" w:rsidRPr="00A43B9C" w:rsidRDefault="0046142C" w:rsidP="00BC17A0">
      <w:pPr>
        <w:spacing w:after="0" w:line="240" w:lineRule="auto"/>
        <w:jc w:val="center"/>
        <w:rPr>
          <w:rFonts w:ascii="Times New Roman" w:hAnsi="Times New Roman" w:cs="Times New Roman"/>
          <w:sz w:val="28"/>
          <w:szCs w:val="28"/>
        </w:rPr>
      </w:pPr>
      <w:r w:rsidRPr="00A43B9C">
        <w:rPr>
          <w:noProof/>
        </w:rPr>
        <w:lastRenderedPageBreak/>
        <w:drawing>
          <wp:inline distT="0" distB="0" distL="0" distR="0" wp14:anchorId="5980A481" wp14:editId="32372612">
            <wp:extent cx="4337658" cy="1980000"/>
            <wp:effectExtent l="0" t="0" r="6350" b="1270"/>
            <wp:docPr id="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9.png"/>
                    <pic:cNvPicPr/>
                  </pic:nvPicPr>
                  <pic:blipFill>
                    <a:blip r:embed="rId338"/>
                    <a:stretch>
                      <a:fillRect/>
                    </a:stretch>
                  </pic:blipFill>
                  <pic:spPr>
                    <a:xfrm>
                      <a:off x="0" y="0"/>
                      <a:ext cx="4337658" cy="1980000"/>
                    </a:xfrm>
                    <a:prstGeom prst="rect">
                      <a:avLst/>
                    </a:prstGeom>
                  </pic:spPr>
                </pic:pic>
              </a:graphicData>
            </a:graphic>
          </wp:inline>
        </w:drawing>
      </w:r>
    </w:p>
    <w:p w14:paraId="7E75EB4A" w14:textId="6CAE1030"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6</w:t>
      </w:r>
      <w:r w:rsidR="001A1D98">
        <w:rPr>
          <w:rFonts w:ascii="Times New Roman" w:hAnsi="Times New Roman" w:cs="Times New Roman"/>
          <w:sz w:val="28"/>
          <w:szCs w:val="28"/>
        </w:rPr>
        <w:t>2</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чувствительности и специфичности модели в зависимости от пороговых значений уровня </w:t>
      </w:r>
      <w:r w:rsidR="00556A77"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556A77"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556A77"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RP</w:t>
      </w:r>
    </w:p>
    <w:p w14:paraId="0CD065C1" w14:textId="77777777" w:rsidR="0046142C" w:rsidRPr="00A43B9C" w:rsidRDefault="0046142C" w:rsidP="0046142C">
      <w:pPr>
        <w:spacing w:after="0" w:line="240" w:lineRule="auto"/>
        <w:rPr>
          <w:rFonts w:ascii="Times New Roman" w:hAnsi="Times New Roman" w:cs="Times New Roman"/>
          <w:sz w:val="28"/>
          <w:szCs w:val="28"/>
        </w:rPr>
      </w:pPr>
    </w:p>
    <w:p w14:paraId="31DC57EF" w14:textId="6C3DCC3E" w:rsidR="0046142C"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41 -</w:t>
      </w:r>
      <w:r w:rsidR="0046142C" w:rsidRPr="00A43B9C">
        <w:rPr>
          <w:rFonts w:ascii="Times New Roman" w:hAnsi="Times New Roman" w:cs="Times New Roman"/>
          <w:sz w:val="28"/>
          <w:szCs w:val="28"/>
        </w:rPr>
        <w:t xml:space="preserve"> Пороговые значения уровня </w:t>
      </w:r>
      <w:r w:rsidR="00101272"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101272" w:rsidRPr="00A43B9C">
        <w:rPr>
          <w:rFonts w:ascii="Times New Roman" w:hAnsi="Times New Roman" w:cs="Times New Roman"/>
          <w:sz w:val="28"/>
          <w:szCs w:val="28"/>
        </w:rPr>
        <w:t xml:space="preserve"> </w:t>
      </w:r>
      <w:r w:rsidR="0046142C" w:rsidRPr="00A43B9C">
        <w:rPr>
          <w:rFonts w:ascii="Times New Roman" w:hAnsi="Times New Roman" w:cs="Times New Roman"/>
          <w:sz w:val="28"/>
          <w:szCs w:val="28"/>
          <w:lang w:val="en-US"/>
        </w:rPr>
        <w:t>SUV</w:t>
      </w:r>
      <w:r w:rsidR="0046142C" w:rsidRPr="00A43B9C">
        <w:rPr>
          <w:rFonts w:ascii="Times New Roman" w:hAnsi="Times New Roman" w:cs="Times New Roman"/>
          <w:sz w:val="28"/>
          <w:szCs w:val="28"/>
          <w:vertAlign w:val="subscript"/>
          <w:lang w:val="en-US"/>
        </w:rPr>
        <w:t>max</w:t>
      </w:r>
      <w:r w:rsidR="0046142C" w:rsidRPr="00A43B9C">
        <w:rPr>
          <w:rFonts w:ascii="Times New Roman" w:hAnsi="Times New Roman" w:cs="Times New Roman"/>
          <w:sz w:val="28"/>
          <w:szCs w:val="28"/>
        </w:rPr>
        <w:t xml:space="preserve"> в </w:t>
      </w:r>
      <w:r w:rsidR="00101272" w:rsidRPr="00A43B9C">
        <w:rPr>
          <w:rFonts w:ascii="Times New Roman" w:hAnsi="Times New Roman" w:cs="Times New Roman"/>
          <w:sz w:val="28"/>
          <w:szCs w:val="28"/>
        </w:rPr>
        <w:t xml:space="preserve">локализации </w:t>
      </w:r>
      <w:r w:rsidR="0046142C" w:rsidRPr="00A43B9C">
        <w:rPr>
          <w:rFonts w:ascii="Times New Roman" w:hAnsi="Times New Roman" w:cs="Times New Roman"/>
          <w:sz w:val="28"/>
          <w:szCs w:val="28"/>
        </w:rPr>
        <w:t>RP</w:t>
      </w:r>
    </w:p>
    <w:p w14:paraId="333EC3DE"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0" w:type="auto"/>
        <w:jc w:val="center"/>
        <w:tblLook w:val="04A0" w:firstRow="1" w:lastRow="0" w:firstColumn="1" w:lastColumn="0" w:noHBand="0" w:noVBand="1"/>
      </w:tblPr>
      <w:tblGrid>
        <w:gridCol w:w="1789"/>
        <w:gridCol w:w="2069"/>
        <w:gridCol w:w="1967"/>
        <w:gridCol w:w="1756"/>
        <w:gridCol w:w="1763"/>
      </w:tblGrid>
      <w:tr w:rsidR="0046142C" w:rsidRPr="00A43B9C" w14:paraId="4DC8E039" w14:textId="77777777" w:rsidTr="00446A37">
        <w:trPr>
          <w:jc w:val="center"/>
        </w:trPr>
        <w:tc>
          <w:tcPr>
            <w:tcW w:w="1790" w:type="dxa"/>
            <w:vAlign w:val="center"/>
          </w:tcPr>
          <w:p w14:paraId="6D2635DA" w14:textId="0E69DCE0"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Порог</w:t>
            </w:r>
            <w:r w:rsidR="00101272" w:rsidRPr="00A43B9C">
              <w:rPr>
                <w:rFonts w:ascii="Times New Roman" w:hAnsi="Times New Roman" w:cs="Times New Roman"/>
                <w:sz w:val="28"/>
                <w:szCs w:val="28"/>
              </w:rPr>
              <w:t>овое значение</w:t>
            </w:r>
          </w:p>
        </w:tc>
        <w:tc>
          <w:tcPr>
            <w:tcW w:w="2069" w:type="dxa"/>
            <w:vAlign w:val="center"/>
          </w:tcPr>
          <w:p w14:paraId="6DECD7B7" w14:textId="7845CA41"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Se, %</w:t>
            </w:r>
          </w:p>
        </w:tc>
        <w:tc>
          <w:tcPr>
            <w:tcW w:w="1967" w:type="dxa"/>
            <w:vAlign w:val="center"/>
          </w:tcPr>
          <w:p w14:paraId="321C7A7F" w14:textId="5EC48CA0"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Sp, %</w:t>
            </w:r>
          </w:p>
        </w:tc>
        <w:tc>
          <w:tcPr>
            <w:tcW w:w="1756" w:type="dxa"/>
            <w:vAlign w:val="center"/>
          </w:tcPr>
          <w:p w14:paraId="09942D16" w14:textId="65EEB53A"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PPV</w:t>
            </w:r>
            <w:r w:rsidR="003E57FA" w:rsidRPr="00A43B9C">
              <w:rPr>
                <w:rFonts w:ascii="Times New Roman" w:hAnsi="Times New Roman" w:cs="Times New Roman"/>
                <w:sz w:val="28"/>
                <w:szCs w:val="28"/>
                <w:lang w:val="en-US"/>
              </w:rPr>
              <w:t>, %</w:t>
            </w:r>
          </w:p>
        </w:tc>
        <w:tc>
          <w:tcPr>
            <w:tcW w:w="1763" w:type="dxa"/>
            <w:vAlign w:val="center"/>
          </w:tcPr>
          <w:p w14:paraId="14925B65" w14:textId="57EE9793"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NPV</w:t>
            </w:r>
            <w:r w:rsidR="003E57FA" w:rsidRPr="00A43B9C">
              <w:rPr>
                <w:rFonts w:ascii="Times New Roman" w:hAnsi="Times New Roman" w:cs="Times New Roman"/>
                <w:sz w:val="28"/>
                <w:szCs w:val="28"/>
                <w:lang w:val="en-US"/>
              </w:rPr>
              <w:t>, %</w:t>
            </w:r>
          </w:p>
        </w:tc>
      </w:tr>
      <w:tr w:rsidR="0046142C" w:rsidRPr="00A43B9C" w14:paraId="16A1CF41" w14:textId="77777777" w:rsidTr="00446A37">
        <w:trPr>
          <w:jc w:val="center"/>
        </w:trPr>
        <w:tc>
          <w:tcPr>
            <w:tcW w:w="1790" w:type="dxa"/>
            <w:vAlign w:val="center"/>
          </w:tcPr>
          <w:p w14:paraId="2E4EBCD4"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1,21</w:t>
            </w:r>
          </w:p>
        </w:tc>
        <w:tc>
          <w:tcPr>
            <w:tcW w:w="2069" w:type="dxa"/>
            <w:vAlign w:val="center"/>
          </w:tcPr>
          <w:p w14:paraId="1DAEEDDB"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50,0</w:t>
            </w:r>
          </w:p>
        </w:tc>
        <w:tc>
          <w:tcPr>
            <w:tcW w:w="1967" w:type="dxa"/>
            <w:vAlign w:val="center"/>
          </w:tcPr>
          <w:p w14:paraId="5AE7A00E"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81,8</w:t>
            </w:r>
          </w:p>
        </w:tc>
        <w:tc>
          <w:tcPr>
            <w:tcW w:w="1756" w:type="dxa"/>
            <w:vAlign w:val="center"/>
          </w:tcPr>
          <w:p w14:paraId="02F42D74"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50,0</w:t>
            </w:r>
          </w:p>
        </w:tc>
        <w:tc>
          <w:tcPr>
            <w:tcW w:w="1763" w:type="dxa"/>
            <w:vAlign w:val="center"/>
          </w:tcPr>
          <w:p w14:paraId="6C8071FC"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81,8</w:t>
            </w:r>
          </w:p>
        </w:tc>
      </w:tr>
      <w:tr w:rsidR="0046142C" w:rsidRPr="00A43B9C" w14:paraId="72460E12" w14:textId="77777777" w:rsidTr="00446A37">
        <w:trPr>
          <w:jc w:val="center"/>
        </w:trPr>
        <w:tc>
          <w:tcPr>
            <w:tcW w:w="1790" w:type="dxa"/>
            <w:vAlign w:val="center"/>
          </w:tcPr>
          <w:p w14:paraId="5898C103"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1,18</w:t>
            </w:r>
          </w:p>
        </w:tc>
        <w:tc>
          <w:tcPr>
            <w:tcW w:w="2069" w:type="dxa"/>
            <w:vAlign w:val="center"/>
          </w:tcPr>
          <w:p w14:paraId="7731661B"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50,0</w:t>
            </w:r>
          </w:p>
        </w:tc>
        <w:tc>
          <w:tcPr>
            <w:tcW w:w="1967" w:type="dxa"/>
            <w:vAlign w:val="center"/>
          </w:tcPr>
          <w:p w14:paraId="3D2707BB"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79,5</w:t>
            </w:r>
          </w:p>
        </w:tc>
        <w:tc>
          <w:tcPr>
            <w:tcW w:w="1756" w:type="dxa"/>
            <w:vAlign w:val="center"/>
          </w:tcPr>
          <w:p w14:paraId="1D605665"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47,1</w:t>
            </w:r>
          </w:p>
        </w:tc>
        <w:tc>
          <w:tcPr>
            <w:tcW w:w="1763" w:type="dxa"/>
            <w:vAlign w:val="center"/>
          </w:tcPr>
          <w:p w14:paraId="13DF22C8"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81,4</w:t>
            </w:r>
          </w:p>
        </w:tc>
      </w:tr>
      <w:tr w:rsidR="0046142C" w:rsidRPr="00A43B9C" w14:paraId="77E6D1EF" w14:textId="77777777" w:rsidTr="00446A37">
        <w:trPr>
          <w:jc w:val="center"/>
        </w:trPr>
        <w:tc>
          <w:tcPr>
            <w:tcW w:w="1790" w:type="dxa"/>
            <w:vAlign w:val="center"/>
          </w:tcPr>
          <w:p w14:paraId="0496CA52"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1,17</w:t>
            </w:r>
          </w:p>
        </w:tc>
        <w:tc>
          <w:tcPr>
            <w:tcW w:w="2069" w:type="dxa"/>
            <w:vAlign w:val="center"/>
          </w:tcPr>
          <w:p w14:paraId="27DC4FFB"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56,2</w:t>
            </w:r>
          </w:p>
        </w:tc>
        <w:tc>
          <w:tcPr>
            <w:tcW w:w="1967" w:type="dxa"/>
            <w:vAlign w:val="center"/>
          </w:tcPr>
          <w:p w14:paraId="49F51FC2"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79,5</w:t>
            </w:r>
          </w:p>
        </w:tc>
        <w:tc>
          <w:tcPr>
            <w:tcW w:w="1756" w:type="dxa"/>
            <w:vAlign w:val="center"/>
          </w:tcPr>
          <w:p w14:paraId="5BD02B91"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50,0</w:t>
            </w:r>
          </w:p>
        </w:tc>
        <w:tc>
          <w:tcPr>
            <w:tcW w:w="1763" w:type="dxa"/>
            <w:vAlign w:val="center"/>
          </w:tcPr>
          <w:p w14:paraId="5C244E90"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83,3</w:t>
            </w:r>
          </w:p>
        </w:tc>
      </w:tr>
      <w:tr w:rsidR="0046142C" w:rsidRPr="00A43B9C" w14:paraId="6476FB6A" w14:textId="77777777" w:rsidTr="00446A37">
        <w:trPr>
          <w:jc w:val="center"/>
        </w:trPr>
        <w:tc>
          <w:tcPr>
            <w:tcW w:w="1790" w:type="dxa"/>
            <w:vAlign w:val="center"/>
          </w:tcPr>
          <w:p w14:paraId="6D10C60B"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1,15</w:t>
            </w:r>
          </w:p>
        </w:tc>
        <w:tc>
          <w:tcPr>
            <w:tcW w:w="2069" w:type="dxa"/>
            <w:vAlign w:val="center"/>
          </w:tcPr>
          <w:p w14:paraId="378A7687"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56,2</w:t>
            </w:r>
          </w:p>
        </w:tc>
        <w:tc>
          <w:tcPr>
            <w:tcW w:w="1967" w:type="dxa"/>
            <w:vAlign w:val="center"/>
          </w:tcPr>
          <w:p w14:paraId="55F1ED7C"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77,3</w:t>
            </w:r>
          </w:p>
        </w:tc>
        <w:tc>
          <w:tcPr>
            <w:tcW w:w="1756" w:type="dxa"/>
            <w:vAlign w:val="center"/>
          </w:tcPr>
          <w:p w14:paraId="3D30A316"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47,4</w:t>
            </w:r>
          </w:p>
        </w:tc>
        <w:tc>
          <w:tcPr>
            <w:tcW w:w="1763" w:type="dxa"/>
            <w:vAlign w:val="center"/>
          </w:tcPr>
          <w:p w14:paraId="0DED5232"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82,9</w:t>
            </w:r>
          </w:p>
        </w:tc>
      </w:tr>
      <w:tr w:rsidR="0046142C" w:rsidRPr="00CD7C27" w14:paraId="22DC9ACD" w14:textId="77777777" w:rsidTr="00446A37">
        <w:trPr>
          <w:jc w:val="center"/>
        </w:trPr>
        <w:tc>
          <w:tcPr>
            <w:tcW w:w="1790" w:type="dxa"/>
            <w:vAlign w:val="center"/>
          </w:tcPr>
          <w:p w14:paraId="4397F4A3" w14:textId="77777777" w:rsidR="0046142C" w:rsidRPr="00CD7C27" w:rsidRDefault="0046142C" w:rsidP="00446A37">
            <w:pPr>
              <w:spacing w:after="0" w:line="240" w:lineRule="auto"/>
              <w:jc w:val="center"/>
              <w:rPr>
                <w:rFonts w:ascii="Times New Roman" w:hAnsi="Times New Roman" w:cs="Times New Roman"/>
                <w:sz w:val="28"/>
                <w:szCs w:val="28"/>
              </w:rPr>
            </w:pPr>
            <w:r w:rsidRPr="00CD7C27">
              <w:rPr>
                <w:rFonts w:ascii="Times New Roman" w:hAnsi="Times New Roman" w:cs="Times New Roman"/>
                <w:sz w:val="28"/>
                <w:szCs w:val="28"/>
              </w:rPr>
              <w:t>1,13</w:t>
            </w:r>
          </w:p>
        </w:tc>
        <w:tc>
          <w:tcPr>
            <w:tcW w:w="2069" w:type="dxa"/>
            <w:vAlign w:val="center"/>
          </w:tcPr>
          <w:p w14:paraId="3790F6F8" w14:textId="77777777" w:rsidR="0046142C" w:rsidRPr="00CD7C27" w:rsidRDefault="0046142C" w:rsidP="00446A37">
            <w:pPr>
              <w:spacing w:after="0" w:line="240" w:lineRule="auto"/>
              <w:jc w:val="center"/>
              <w:rPr>
                <w:rFonts w:ascii="Times New Roman" w:hAnsi="Times New Roman" w:cs="Times New Roman"/>
                <w:sz w:val="28"/>
                <w:szCs w:val="28"/>
              </w:rPr>
            </w:pPr>
            <w:r w:rsidRPr="00CD7C27">
              <w:rPr>
                <w:rFonts w:ascii="Times New Roman" w:hAnsi="Times New Roman" w:cs="Times New Roman"/>
                <w:sz w:val="28"/>
                <w:szCs w:val="28"/>
              </w:rPr>
              <w:t>62,5</w:t>
            </w:r>
          </w:p>
        </w:tc>
        <w:tc>
          <w:tcPr>
            <w:tcW w:w="1967" w:type="dxa"/>
            <w:vAlign w:val="center"/>
          </w:tcPr>
          <w:p w14:paraId="4F5F5532" w14:textId="77777777" w:rsidR="0046142C" w:rsidRPr="00CD7C27" w:rsidRDefault="0046142C" w:rsidP="00446A37">
            <w:pPr>
              <w:spacing w:after="0" w:line="240" w:lineRule="auto"/>
              <w:jc w:val="center"/>
              <w:rPr>
                <w:rFonts w:ascii="Times New Roman" w:hAnsi="Times New Roman" w:cs="Times New Roman"/>
                <w:sz w:val="28"/>
                <w:szCs w:val="28"/>
              </w:rPr>
            </w:pPr>
            <w:r w:rsidRPr="00CD7C27">
              <w:rPr>
                <w:rFonts w:ascii="Times New Roman" w:hAnsi="Times New Roman" w:cs="Times New Roman"/>
                <w:sz w:val="28"/>
                <w:szCs w:val="28"/>
              </w:rPr>
              <w:t>77,3</w:t>
            </w:r>
          </w:p>
        </w:tc>
        <w:tc>
          <w:tcPr>
            <w:tcW w:w="1756" w:type="dxa"/>
            <w:vAlign w:val="center"/>
          </w:tcPr>
          <w:p w14:paraId="1754357C" w14:textId="77777777" w:rsidR="0046142C" w:rsidRPr="00CD7C27" w:rsidRDefault="0046142C" w:rsidP="00446A37">
            <w:pPr>
              <w:spacing w:after="0" w:line="240" w:lineRule="auto"/>
              <w:jc w:val="center"/>
              <w:rPr>
                <w:rFonts w:ascii="Times New Roman" w:hAnsi="Times New Roman" w:cs="Times New Roman"/>
                <w:sz w:val="28"/>
                <w:szCs w:val="28"/>
              </w:rPr>
            </w:pPr>
            <w:r w:rsidRPr="00CD7C27">
              <w:rPr>
                <w:rFonts w:ascii="Times New Roman" w:hAnsi="Times New Roman" w:cs="Times New Roman"/>
                <w:sz w:val="28"/>
                <w:szCs w:val="28"/>
              </w:rPr>
              <w:t>50,0</w:t>
            </w:r>
          </w:p>
        </w:tc>
        <w:tc>
          <w:tcPr>
            <w:tcW w:w="1763" w:type="dxa"/>
            <w:vAlign w:val="center"/>
          </w:tcPr>
          <w:p w14:paraId="1494931E" w14:textId="77777777" w:rsidR="0046142C" w:rsidRPr="00CD7C27" w:rsidRDefault="0046142C" w:rsidP="00446A37">
            <w:pPr>
              <w:spacing w:after="0" w:line="240" w:lineRule="auto"/>
              <w:jc w:val="center"/>
              <w:rPr>
                <w:rFonts w:ascii="Times New Roman" w:hAnsi="Times New Roman" w:cs="Times New Roman"/>
                <w:sz w:val="28"/>
                <w:szCs w:val="28"/>
              </w:rPr>
            </w:pPr>
            <w:r w:rsidRPr="00CD7C27">
              <w:rPr>
                <w:rFonts w:ascii="Times New Roman" w:hAnsi="Times New Roman" w:cs="Times New Roman"/>
                <w:sz w:val="28"/>
                <w:szCs w:val="28"/>
              </w:rPr>
              <w:t>85,0</w:t>
            </w:r>
          </w:p>
        </w:tc>
      </w:tr>
      <w:tr w:rsidR="0046142C" w:rsidRPr="00A43B9C" w14:paraId="2166458F" w14:textId="77777777" w:rsidTr="00446A37">
        <w:trPr>
          <w:jc w:val="center"/>
        </w:trPr>
        <w:tc>
          <w:tcPr>
            <w:tcW w:w="1790" w:type="dxa"/>
            <w:vAlign w:val="center"/>
          </w:tcPr>
          <w:p w14:paraId="042B6718" w14:textId="77777777" w:rsidR="0046142C" w:rsidRPr="00A43B9C" w:rsidRDefault="0046142C"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1,03</w:t>
            </w:r>
          </w:p>
        </w:tc>
        <w:tc>
          <w:tcPr>
            <w:tcW w:w="2069" w:type="dxa"/>
            <w:vAlign w:val="center"/>
          </w:tcPr>
          <w:p w14:paraId="101EB52D" w14:textId="77777777" w:rsidR="0046142C" w:rsidRPr="00A43B9C" w:rsidRDefault="0046142C"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62,5</w:t>
            </w:r>
          </w:p>
        </w:tc>
        <w:tc>
          <w:tcPr>
            <w:tcW w:w="1967" w:type="dxa"/>
            <w:vAlign w:val="center"/>
          </w:tcPr>
          <w:p w14:paraId="05192E55" w14:textId="77777777" w:rsidR="0046142C" w:rsidRPr="00A43B9C" w:rsidRDefault="0046142C"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56,8</w:t>
            </w:r>
          </w:p>
        </w:tc>
        <w:tc>
          <w:tcPr>
            <w:tcW w:w="1756" w:type="dxa"/>
            <w:vAlign w:val="center"/>
          </w:tcPr>
          <w:p w14:paraId="32132216" w14:textId="77777777" w:rsidR="0046142C" w:rsidRPr="00A43B9C" w:rsidRDefault="0046142C"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34,5</w:t>
            </w:r>
          </w:p>
        </w:tc>
        <w:tc>
          <w:tcPr>
            <w:tcW w:w="1763" w:type="dxa"/>
            <w:vAlign w:val="center"/>
          </w:tcPr>
          <w:p w14:paraId="230F6A1B" w14:textId="77777777" w:rsidR="0046142C" w:rsidRPr="00A43B9C" w:rsidRDefault="0046142C"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80,6</w:t>
            </w:r>
          </w:p>
        </w:tc>
      </w:tr>
      <w:tr w:rsidR="0046142C" w:rsidRPr="00A43B9C" w14:paraId="08FF2196" w14:textId="77777777" w:rsidTr="00446A37">
        <w:trPr>
          <w:jc w:val="center"/>
        </w:trPr>
        <w:tc>
          <w:tcPr>
            <w:tcW w:w="1790" w:type="dxa"/>
            <w:vAlign w:val="center"/>
          </w:tcPr>
          <w:p w14:paraId="6B8737D1"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1,02</w:t>
            </w:r>
          </w:p>
        </w:tc>
        <w:tc>
          <w:tcPr>
            <w:tcW w:w="2069" w:type="dxa"/>
            <w:vAlign w:val="center"/>
          </w:tcPr>
          <w:p w14:paraId="3D7547F5"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68,8</w:t>
            </w:r>
          </w:p>
        </w:tc>
        <w:tc>
          <w:tcPr>
            <w:tcW w:w="1967" w:type="dxa"/>
            <w:vAlign w:val="center"/>
          </w:tcPr>
          <w:p w14:paraId="575665BB"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56,8</w:t>
            </w:r>
          </w:p>
        </w:tc>
        <w:tc>
          <w:tcPr>
            <w:tcW w:w="1756" w:type="dxa"/>
            <w:vAlign w:val="center"/>
          </w:tcPr>
          <w:p w14:paraId="2889AE12"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36,7</w:t>
            </w:r>
          </w:p>
        </w:tc>
        <w:tc>
          <w:tcPr>
            <w:tcW w:w="1763" w:type="dxa"/>
            <w:vAlign w:val="center"/>
          </w:tcPr>
          <w:p w14:paraId="44E7BB09"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83,3</w:t>
            </w:r>
          </w:p>
        </w:tc>
      </w:tr>
    </w:tbl>
    <w:p w14:paraId="3EB83EC0" w14:textId="77777777" w:rsidR="0046142C" w:rsidRPr="00A43B9C" w:rsidRDefault="0046142C" w:rsidP="0046142C">
      <w:pPr>
        <w:spacing w:after="0" w:line="240" w:lineRule="auto"/>
        <w:rPr>
          <w:rFonts w:ascii="Times New Roman" w:hAnsi="Times New Roman" w:cs="Times New Roman"/>
          <w:sz w:val="28"/>
          <w:szCs w:val="28"/>
        </w:rPr>
      </w:pPr>
    </w:p>
    <w:p w14:paraId="2BCC94BB" w14:textId="4C05E081" w:rsidR="0046142C" w:rsidRPr="00A43B9C" w:rsidRDefault="0046142C" w:rsidP="0046142C">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Площадь под ROC-кривой составила 0,661 </w:t>
      </w:r>
      <w:r w:rsidR="00101272" w:rsidRPr="00A43B9C">
        <w:rPr>
          <w:rFonts w:ascii="Times New Roman" w:hAnsi="Times New Roman" w:cs="Times New Roman"/>
          <w:sz w:val="28"/>
          <w:szCs w:val="28"/>
        </w:rPr>
        <w:t>(</w:t>
      </w:r>
      <w:r w:rsidRPr="00A43B9C">
        <w:rPr>
          <w:rFonts w:ascii="Times New Roman" w:hAnsi="Times New Roman" w:cs="Times New Roman"/>
          <w:sz w:val="28"/>
          <w:szCs w:val="28"/>
        </w:rPr>
        <w:t>95% ДИ 0,497 – 0,824</w:t>
      </w:r>
      <w:r w:rsidR="00101272" w:rsidRPr="00A43B9C">
        <w:rPr>
          <w:rFonts w:ascii="Times New Roman" w:hAnsi="Times New Roman" w:cs="Times New Roman"/>
          <w:sz w:val="28"/>
          <w:szCs w:val="28"/>
        </w:rPr>
        <w:t>)</w:t>
      </w:r>
      <w:r w:rsidRPr="00A43B9C">
        <w:rPr>
          <w:rFonts w:ascii="Times New Roman" w:hAnsi="Times New Roman" w:cs="Times New Roman"/>
          <w:sz w:val="28"/>
          <w:szCs w:val="28"/>
        </w:rPr>
        <w:t>. П</w:t>
      </w:r>
      <w:r w:rsidR="00101272" w:rsidRPr="00A43B9C">
        <w:rPr>
          <w:rFonts w:ascii="Times New Roman" w:hAnsi="Times New Roman" w:cs="Times New Roman"/>
          <w:sz w:val="28"/>
          <w:szCs w:val="28"/>
        </w:rPr>
        <w:t xml:space="preserve">ри этом </w:t>
      </w:r>
      <w:r w:rsidR="00C63313" w:rsidRPr="00A43B9C">
        <w:rPr>
          <w:rFonts w:ascii="Times New Roman" w:hAnsi="Times New Roman" w:cs="Times New Roman"/>
          <w:sz w:val="28"/>
          <w:szCs w:val="28"/>
        </w:rPr>
        <w:t xml:space="preserve">такая </w:t>
      </w:r>
      <w:r w:rsidRPr="00A43B9C">
        <w:rPr>
          <w:rFonts w:ascii="Times New Roman" w:hAnsi="Times New Roman" w:cs="Times New Roman"/>
          <w:sz w:val="28"/>
          <w:szCs w:val="28"/>
        </w:rPr>
        <w:t>модель не была статистически значимой (p = 0,059).</w:t>
      </w:r>
      <w:r w:rsidR="0010127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Пороговое значение уровня </w:t>
      </w:r>
      <w:r w:rsidR="00101272"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101272"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101272"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RP в точке </w:t>
      </w:r>
      <w:r w:rsidR="00101272" w:rsidRPr="00A43B9C">
        <w:rPr>
          <w:rFonts w:ascii="Times New Roman" w:hAnsi="Times New Roman" w:cs="Times New Roman"/>
          <w:sz w:val="28"/>
          <w:szCs w:val="28"/>
        </w:rPr>
        <w:t>отсечения</w:t>
      </w:r>
      <w:r w:rsidRPr="00A43B9C">
        <w:rPr>
          <w:rFonts w:ascii="Times New Roman" w:hAnsi="Times New Roman" w:cs="Times New Roman"/>
          <w:sz w:val="28"/>
          <w:szCs w:val="28"/>
        </w:rPr>
        <w:t>, которому соответствовало наивысшее значение индекса Юдена, составило 1,13 (рисунок 6</w:t>
      </w:r>
      <w:r w:rsidR="00E81502">
        <w:rPr>
          <w:rFonts w:ascii="Times New Roman" w:hAnsi="Times New Roman" w:cs="Times New Roman"/>
          <w:sz w:val="28"/>
          <w:szCs w:val="28"/>
        </w:rPr>
        <w:t>2</w:t>
      </w:r>
      <w:r w:rsidRPr="00A43B9C">
        <w:rPr>
          <w:rFonts w:ascii="Times New Roman" w:hAnsi="Times New Roman" w:cs="Times New Roman"/>
          <w:sz w:val="28"/>
          <w:szCs w:val="28"/>
        </w:rPr>
        <w:t xml:space="preserve">). Наличие </w:t>
      </w:r>
      <w:r w:rsidR="000874C1" w:rsidRPr="00A43B9C">
        <w:rPr>
          <w:rFonts w:ascii="Times New Roman" w:eastAsia="Times New Roman" w:hAnsi="Times New Roman" w:cs="Times New Roman"/>
          <w:sz w:val="28"/>
          <w:szCs w:val="28"/>
          <w:lang w:val="en-US" w:eastAsia="ru-RU"/>
        </w:rPr>
        <w:t>pLM</w:t>
      </w:r>
      <w:r w:rsidRPr="00A43B9C">
        <w:rPr>
          <w:rFonts w:ascii="Times New Roman" w:hAnsi="Times New Roman" w:cs="Times New Roman"/>
          <w:sz w:val="28"/>
          <w:szCs w:val="28"/>
        </w:rPr>
        <w:t xml:space="preserve"> прогнозировалось при значении уровня </w:t>
      </w:r>
      <w:r w:rsidR="00101272"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101272"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101272"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RP ниже данной величины или равном ей. Чувствительность и специфичность модели составили 62,5% и 77,3%, а </w:t>
      </w:r>
      <w:r w:rsidRPr="00A43B9C">
        <w:rPr>
          <w:rFonts w:ascii="Times New Roman" w:hAnsi="Times New Roman" w:cs="Times New Roman"/>
          <w:sz w:val="28"/>
          <w:szCs w:val="28"/>
          <w:lang w:val="en-US"/>
        </w:rPr>
        <w:t>PPV</w:t>
      </w:r>
      <w:r w:rsidRPr="00A43B9C">
        <w:rPr>
          <w:rFonts w:ascii="Times New Roman" w:hAnsi="Times New Roman" w:cs="Times New Roman"/>
          <w:sz w:val="28"/>
          <w:szCs w:val="28"/>
        </w:rPr>
        <w:t xml:space="preserve"> и </w:t>
      </w:r>
      <w:r w:rsidRPr="00A43B9C">
        <w:rPr>
          <w:rFonts w:ascii="Times New Roman" w:hAnsi="Times New Roman" w:cs="Times New Roman"/>
          <w:sz w:val="28"/>
          <w:szCs w:val="28"/>
          <w:lang w:val="en-US"/>
        </w:rPr>
        <w:t>NPV</w:t>
      </w:r>
      <w:r w:rsidRPr="00A43B9C">
        <w:rPr>
          <w:rFonts w:ascii="Times New Roman" w:hAnsi="Times New Roman" w:cs="Times New Roman"/>
          <w:sz w:val="28"/>
          <w:szCs w:val="28"/>
        </w:rPr>
        <w:t xml:space="preserve"> составили 50,0% и 85,0% соответственно (таблица 41).</w:t>
      </w:r>
    </w:p>
    <w:p w14:paraId="627287F9" w14:textId="77777777" w:rsidR="0046142C" w:rsidRPr="00A43B9C" w:rsidRDefault="0046142C" w:rsidP="0046142C">
      <w:pPr>
        <w:spacing w:after="0" w:line="240" w:lineRule="auto"/>
        <w:rPr>
          <w:rFonts w:ascii="Times New Roman" w:hAnsi="Times New Roman" w:cs="Times New Roman"/>
          <w:sz w:val="28"/>
          <w:szCs w:val="28"/>
        </w:rPr>
      </w:pPr>
    </w:p>
    <w:p w14:paraId="5ED74494" w14:textId="617BBA26" w:rsidR="0046142C" w:rsidRPr="00A43B9C" w:rsidRDefault="0046142C" w:rsidP="0046142C">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При оценке зависимости вероятности </w:t>
      </w:r>
      <w:r w:rsidR="000874C1" w:rsidRPr="00A43B9C">
        <w:rPr>
          <w:rFonts w:ascii="Times New Roman" w:eastAsia="Times New Roman" w:hAnsi="Times New Roman" w:cs="Times New Roman"/>
          <w:sz w:val="28"/>
          <w:szCs w:val="28"/>
          <w:lang w:val="en-US" w:eastAsia="ru-RU"/>
        </w:rPr>
        <w:t>LM</w:t>
      </w:r>
      <w:r w:rsidRPr="00A43B9C">
        <w:rPr>
          <w:rFonts w:ascii="Times New Roman" w:hAnsi="Times New Roman" w:cs="Times New Roman"/>
          <w:sz w:val="28"/>
          <w:szCs w:val="28"/>
        </w:rPr>
        <w:t xml:space="preserve"> в </w:t>
      </w:r>
      <w:r w:rsidR="00101272"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RLI с помощью ROC-анализа была получена следующая кривая (рисунок </w:t>
      </w:r>
      <w:r w:rsidR="00FA33C1" w:rsidRPr="00A43B9C">
        <w:rPr>
          <w:rFonts w:ascii="Times New Roman" w:hAnsi="Times New Roman" w:cs="Times New Roman"/>
          <w:sz w:val="28"/>
          <w:szCs w:val="28"/>
        </w:rPr>
        <w:t>6</w:t>
      </w:r>
      <w:r w:rsidR="00E81502">
        <w:rPr>
          <w:rFonts w:ascii="Times New Roman" w:hAnsi="Times New Roman" w:cs="Times New Roman"/>
          <w:sz w:val="28"/>
          <w:szCs w:val="28"/>
        </w:rPr>
        <w:t>3</w:t>
      </w:r>
      <w:r w:rsidRPr="00A43B9C">
        <w:rPr>
          <w:rFonts w:ascii="Times New Roman" w:hAnsi="Times New Roman" w:cs="Times New Roman"/>
          <w:sz w:val="28"/>
          <w:szCs w:val="28"/>
        </w:rPr>
        <w:t>).</w:t>
      </w:r>
    </w:p>
    <w:p w14:paraId="036EDBE7" w14:textId="77777777"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lastRenderedPageBreak/>
        <w:drawing>
          <wp:inline distT="0" distB="0" distL="0" distR="0" wp14:anchorId="58371FC2" wp14:editId="02BDE331">
            <wp:extent cx="3217274" cy="1980000"/>
            <wp:effectExtent l="0" t="0" r="2540" b="1270"/>
            <wp:docPr id="26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50.png"/>
                    <pic:cNvPicPr/>
                  </pic:nvPicPr>
                  <pic:blipFill>
                    <a:blip r:embed="rId339"/>
                    <a:stretch>
                      <a:fillRect/>
                    </a:stretch>
                  </pic:blipFill>
                  <pic:spPr>
                    <a:xfrm>
                      <a:off x="0" y="0"/>
                      <a:ext cx="3217274" cy="1980000"/>
                    </a:xfrm>
                    <a:prstGeom prst="rect">
                      <a:avLst/>
                    </a:prstGeom>
                  </pic:spPr>
                </pic:pic>
              </a:graphicData>
            </a:graphic>
          </wp:inline>
        </w:drawing>
      </w:r>
    </w:p>
    <w:p w14:paraId="4EF6E33E" w14:textId="49B30658"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 xml:space="preserve">Рисунок </w:t>
      </w:r>
      <w:r w:rsidR="00FA33C1" w:rsidRPr="00A43B9C">
        <w:rPr>
          <w:rFonts w:ascii="Times New Roman" w:hAnsi="Times New Roman" w:cs="Times New Roman"/>
          <w:sz w:val="28"/>
          <w:szCs w:val="28"/>
        </w:rPr>
        <w:t>6</w:t>
      </w:r>
      <w:r w:rsidR="001A1D98">
        <w:rPr>
          <w:rFonts w:ascii="Times New Roman" w:hAnsi="Times New Roman" w:cs="Times New Roman"/>
          <w:sz w:val="28"/>
          <w:szCs w:val="28"/>
        </w:rPr>
        <w:t>3</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ROC-кривая, характеризующая зависимость вероятности </w:t>
      </w:r>
      <w:r w:rsidR="00777C9A">
        <w:rPr>
          <w:rFonts w:ascii="Times New Roman" w:hAnsi="Times New Roman" w:cs="Times New Roman"/>
          <w:sz w:val="28"/>
          <w:szCs w:val="28"/>
          <w:lang w:val="en-US"/>
        </w:rPr>
        <w:t>p</w:t>
      </w:r>
      <w:r w:rsidR="000874C1" w:rsidRPr="00A43B9C">
        <w:rPr>
          <w:rFonts w:ascii="Times New Roman" w:hAnsi="Times New Roman" w:cs="Times New Roman"/>
          <w:sz w:val="28"/>
          <w:szCs w:val="28"/>
          <w:lang w:val="en-US"/>
        </w:rPr>
        <w:t>LM</w:t>
      </w:r>
      <w:r w:rsidR="00105031"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от </w:t>
      </w:r>
      <w:r w:rsidR="00101272"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RLI</w:t>
      </w:r>
    </w:p>
    <w:p w14:paraId="70788F72" w14:textId="77777777" w:rsidR="0046142C" w:rsidRPr="00A43B9C" w:rsidRDefault="0046142C" w:rsidP="0046142C">
      <w:pPr>
        <w:spacing w:after="0" w:line="240" w:lineRule="auto"/>
        <w:rPr>
          <w:rFonts w:ascii="Times New Roman" w:hAnsi="Times New Roman" w:cs="Times New Roman"/>
          <w:sz w:val="28"/>
          <w:szCs w:val="28"/>
        </w:rPr>
      </w:pPr>
    </w:p>
    <w:p w14:paraId="5C240505" w14:textId="77777777" w:rsidR="0046142C" w:rsidRPr="00A43B9C" w:rsidRDefault="0046142C" w:rsidP="0046142C">
      <w:pPr>
        <w:spacing w:after="0" w:line="240" w:lineRule="auto"/>
        <w:jc w:val="center"/>
        <w:rPr>
          <w:rFonts w:ascii="Times New Roman" w:hAnsi="Times New Roman" w:cs="Times New Roman"/>
          <w:sz w:val="28"/>
          <w:szCs w:val="28"/>
        </w:rPr>
      </w:pPr>
      <w:r w:rsidRPr="00A43B9C">
        <w:rPr>
          <w:noProof/>
        </w:rPr>
        <w:drawing>
          <wp:inline distT="0" distB="0" distL="0" distR="0" wp14:anchorId="4BE1816E" wp14:editId="536D97CE">
            <wp:extent cx="4337658" cy="1980000"/>
            <wp:effectExtent l="0" t="0" r="6350" b="1270"/>
            <wp:docPr id="2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12.png"/>
                    <pic:cNvPicPr/>
                  </pic:nvPicPr>
                  <pic:blipFill>
                    <a:blip r:embed="rId340"/>
                    <a:stretch>
                      <a:fillRect/>
                    </a:stretch>
                  </pic:blipFill>
                  <pic:spPr>
                    <a:xfrm>
                      <a:off x="0" y="0"/>
                      <a:ext cx="4337658" cy="1980000"/>
                    </a:xfrm>
                    <a:prstGeom prst="rect">
                      <a:avLst/>
                    </a:prstGeom>
                  </pic:spPr>
                </pic:pic>
              </a:graphicData>
            </a:graphic>
          </wp:inline>
        </w:drawing>
      </w:r>
    </w:p>
    <w:p w14:paraId="6CE16D5A" w14:textId="1F1DF18C"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 xml:space="preserve">Рисунок </w:t>
      </w:r>
      <w:r w:rsidR="00FA33C1" w:rsidRPr="00A43B9C">
        <w:rPr>
          <w:rFonts w:ascii="Times New Roman" w:hAnsi="Times New Roman" w:cs="Times New Roman"/>
          <w:sz w:val="28"/>
          <w:szCs w:val="28"/>
        </w:rPr>
        <w:t>6</w:t>
      </w:r>
      <w:r w:rsidR="001A1D98">
        <w:rPr>
          <w:rFonts w:ascii="Times New Roman" w:hAnsi="Times New Roman" w:cs="Times New Roman"/>
          <w:sz w:val="28"/>
          <w:szCs w:val="28"/>
        </w:rPr>
        <w:t>4</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чувствительности и специфичности модели в зависимости от пороговых значений уровня </w:t>
      </w:r>
      <w:r w:rsidR="00101272"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101272"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101272"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RLI</w:t>
      </w:r>
    </w:p>
    <w:p w14:paraId="1F2CFC0D" w14:textId="77777777" w:rsidR="0046142C" w:rsidRPr="00A43B9C" w:rsidRDefault="0046142C" w:rsidP="0046142C">
      <w:pPr>
        <w:spacing w:after="0" w:line="240" w:lineRule="auto"/>
        <w:rPr>
          <w:rFonts w:ascii="Times New Roman" w:hAnsi="Times New Roman" w:cs="Times New Roman"/>
          <w:sz w:val="28"/>
          <w:szCs w:val="28"/>
        </w:rPr>
      </w:pPr>
    </w:p>
    <w:p w14:paraId="1BCE36FF" w14:textId="555D1BF9" w:rsidR="0046142C"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42 -</w:t>
      </w:r>
      <w:r w:rsidR="0046142C" w:rsidRPr="00A43B9C">
        <w:rPr>
          <w:rFonts w:ascii="Times New Roman" w:hAnsi="Times New Roman" w:cs="Times New Roman"/>
          <w:sz w:val="28"/>
          <w:szCs w:val="28"/>
        </w:rPr>
        <w:t xml:space="preserve"> Пороговые значения уровня </w:t>
      </w:r>
      <w:r w:rsidR="00101272"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101272" w:rsidRPr="00A43B9C">
        <w:rPr>
          <w:rFonts w:ascii="Times New Roman" w:hAnsi="Times New Roman" w:cs="Times New Roman"/>
          <w:sz w:val="28"/>
          <w:szCs w:val="28"/>
        </w:rPr>
        <w:t xml:space="preserve"> </w:t>
      </w:r>
      <w:r w:rsidR="0046142C" w:rsidRPr="00A43B9C">
        <w:rPr>
          <w:rFonts w:ascii="Times New Roman" w:hAnsi="Times New Roman" w:cs="Times New Roman"/>
          <w:sz w:val="28"/>
          <w:szCs w:val="28"/>
          <w:lang w:val="en-US"/>
        </w:rPr>
        <w:t>SUV</w:t>
      </w:r>
      <w:r w:rsidR="0046142C" w:rsidRPr="00A43B9C">
        <w:rPr>
          <w:rFonts w:ascii="Times New Roman" w:hAnsi="Times New Roman" w:cs="Times New Roman"/>
          <w:sz w:val="28"/>
          <w:szCs w:val="28"/>
          <w:vertAlign w:val="subscript"/>
          <w:lang w:val="en-US"/>
        </w:rPr>
        <w:t>max</w:t>
      </w:r>
      <w:r w:rsidR="0046142C" w:rsidRPr="00A43B9C">
        <w:rPr>
          <w:rFonts w:ascii="Times New Roman" w:hAnsi="Times New Roman" w:cs="Times New Roman"/>
          <w:sz w:val="28"/>
          <w:szCs w:val="28"/>
        </w:rPr>
        <w:t xml:space="preserve"> в </w:t>
      </w:r>
      <w:r w:rsidR="00101272" w:rsidRPr="00A43B9C">
        <w:rPr>
          <w:rFonts w:ascii="Times New Roman" w:hAnsi="Times New Roman" w:cs="Times New Roman"/>
          <w:sz w:val="28"/>
          <w:szCs w:val="28"/>
        </w:rPr>
        <w:t xml:space="preserve">локализации </w:t>
      </w:r>
      <w:r w:rsidR="0046142C" w:rsidRPr="00A43B9C">
        <w:rPr>
          <w:rFonts w:ascii="Times New Roman" w:hAnsi="Times New Roman" w:cs="Times New Roman"/>
          <w:sz w:val="28"/>
          <w:szCs w:val="28"/>
        </w:rPr>
        <w:t>RLI</w:t>
      </w:r>
    </w:p>
    <w:p w14:paraId="5E3D0000"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0" w:type="auto"/>
        <w:jc w:val="center"/>
        <w:tblLook w:val="04A0" w:firstRow="1" w:lastRow="0" w:firstColumn="1" w:lastColumn="0" w:noHBand="0" w:noVBand="1"/>
      </w:tblPr>
      <w:tblGrid>
        <w:gridCol w:w="1789"/>
        <w:gridCol w:w="2069"/>
        <w:gridCol w:w="1967"/>
        <w:gridCol w:w="1756"/>
        <w:gridCol w:w="1763"/>
      </w:tblGrid>
      <w:tr w:rsidR="0046142C" w:rsidRPr="00A43B9C" w14:paraId="696E691C" w14:textId="77777777" w:rsidTr="00446A37">
        <w:trPr>
          <w:jc w:val="center"/>
        </w:trPr>
        <w:tc>
          <w:tcPr>
            <w:tcW w:w="1790" w:type="dxa"/>
            <w:vAlign w:val="center"/>
          </w:tcPr>
          <w:p w14:paraId="512097EC" w14:textId="2F5B70B9"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Порог</w:t>
            </w:r>
            <w:r w:rsidR="00101272" w:rsidRPr="00A43B9C">
              <w:rPr>
                <w:rFonts w:ascii="Times New Roman" w:hAnsi="Times New Roman" w:cs="Times New Roman"/>
                <w:sz w:val="28"/>
                <w:szCs w:val="28"/>
              </w:rPr>
              <w:t>овое значение</w:t>
            </w:r>
          </w:p>
        </w:tc>
        <w:tc>
          <w:tcPr>
            <w:tcW w:w="2069" w:type="dxa"/>
            <w:vAlign w:val="center"/>
          </w:tcPr>
          <w:p w14:paraId="6A7116EB" w14:textId="678F5D05"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Se, %</w:t>
            </w:r>
          </w:p>
        </w:tc>
        <w:tc>
          <w:tcPr>
            <w:tcW w:w="1967" w:type="dxa"/>
            <w:vAlign w:val="center"/>
          </w:tcPr>
          <w:p w14:paraId="0F891B94" w14:textId="01193546"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Sp, %</w:t>
            </w:r>
          </w:p>
        </w:tc>
        <w:tc>
          <w:tcPr>
            <w:tcW w:w="1756" w:type="dxa"/>
            <w:vAlign w:val="center"/>
          </w:tcPr>
          <w:p w14:paraId="19F3A6F4" w14:textId="734DC41C"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PPV</w:t>
            </w:r>
            <w:r w:rsidR="003E57FA" w:rsidRPr="00A43B9C">
              <w:rPr>
                <w:rFonts w:ascii="Times New Roman" w:hAnsi="Times New Roman" w:cs="Times New Roman"/>
                <w:sz w:val="28"/>
                <w:szCs w:val="28"/>
                <w:lang w:val="en-US"/>
              </w:rPr>
              <w:t>, %</w:t>
            </w:r>
          </w:p>
        </w:tc>
        <w:tc>
          <w:tcPr>
            <w:tcW w:w="1763" w:type="dxa"/>
            <w:vAlign w:val="center"/>
          </w:tcPr>
          <w:p w14:paraId="33589C3C" w14:textId="09696388"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NPV</w:t>
            </w:r>
            <w:r w:rsidR="003E57FA" w:rsidRPr="00A43B9C">
              <w:rPr>
                <w:rFonts w:ascii="Times New Roman" w:hAnsi="Times New Roman" w:cs="Times New Roman"/>
                <w:sz w:val="28"/>
                <w:szCs w:val="28"/>
                <w:lang w:val="en-US"/>
              </w:rPr>
              <w:t>, %</w:t>
            </w:r>
          </w:p>
        </w:tc>
      </w:tr>
      <w:tr w:rsidR="0046142C" w:rsidRPr="00A43B9C" w14:paraId="578F9C7C" w14:textId="77777777" w:rsidTr="00446A37">
        <w:trPr>
          <w:jc w:val="center"/>
        </w:trPr>
        <w:tc>
          <w:tcPr>
            <w:tcW w:w="1790" w:type="dxa"/>
            <w:vAlign w:val="center"/>
          </w:tcPr>
          <w:p w14:paraId="4BC343AB"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0,87</w:t>
            </w:r>
          </w:p>
        </w:tc>
        <w:tc>
          <w:tcPr>
            <w:tcW w:w="2069" w:type="dxa"/>
            <w:vAlign w:val="center"/>
          </w:tcPr>
          <w:p w14:paraId="1D07D190"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50,0</w:t>
            </w:r>
          </w:p>
        </w:tc>
        <w:tc>
          <w:tcPr>
            <w:tcW w:w="1967" w:type="dxa"/>
            <w:vAlign w:val="center"/>
          </w:tcPr>
          <w:p w14:paraId="4FFF3E01"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63,6</w:t>
            </w:r>
          </w:p>
        </w:tc>
        <w:tc>
          <w:tcPr>
            <w:tcW w:w="1756" w:type="dxa"/>
            <w:vAlign w:val="center"/>
          </w:tcPr>
          <w:p w14:paraId="0DFA8B27"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33,3</w:t>
            </w:r>
          </w:p>
        </w:tc>
        <w:tc>
          <w:tcPr>
            <w:tcW w:w="1763" w:type="dxa"/>
            <w:vAlign w:val="center"/>
          </w:tcPr>
          <w:p w14:paraId="5FB90206"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77,8</w:t>
            </w:r>
          </w:p>
        </w:tc>
      </w:tr>
      <w:tr w:rsidR="0046142C" w:rsidRPr="00A43B9C" w14:paraId="55DC49EF" w14:textId="77777777" w:rsidTr="00446A37">
        <w:trPr>
          <w:jc w:val="center"/>
        </w:trPr>
        <w:tc>
          <w:tcPr>
            <w:tcW w:w="1790" w:type="dxa"/>
            <w:vAlign w:val="center"/>
          </w:tcPr>
          <w:p w14:paraId="3B732800"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0,85</w:t>
            </w:r>
          </w:p>
        </w:tc>
        <w:tc>
          <w:tcPr>
            <w:tcW w:w="2069" w:type="dxa"/>
            <w:vAlign w:val="center"/>
          </w:tcPr>
          <w:p w14:paraId="4BD25181"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50,0</w:t>
            </w:r>
          </w:p>
        </w:tc>
        <w:tc>
          <w:tcPr>
            <w:tcW w:w="1967" w:type="dxa"/>
            <w:vAlign w:val="center"/>
          </w:tcPr>
          <w:p w14:paraId="5E8DA2F8"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56,8</w:t>
            </w:r>
          </w:p>
        </w:tc>
        <w:tc>
          <w:tcPr>
            <w:tcW w:w="1756" w:type="dxa"/>
            <w:vAlign w:val="center"/>
          </w:tcPr>
          <w:p w14:paraId="7AB1ED84"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29,6</w:t>
            </w:r>
          </w:p>
        </w:tc>
        <w:tc>
          <w:tcPr>
            <w:tcW w:w="1763" w:type="dxa"/>
            <w:vAlign w:val="center"/>
          </w:tcPr>
          <w:p w14:paraId="16F1D099"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75,8</w:t>
            </w:r>
          </w:p>
        </w:tc>
      </w:tr>
      <w:tr w:rsidR="0046142C" w:rsidRPr="00CD7C27" w14:paraId="09308646" w14:textId="77777777" w:rsidTr="00446A37">
        <w:trPr>
          <w:jc w:val="center"/>
        </w:trPr>
        <w:tc>
          <w:tcPr>
            <w:tcW w:w="1790" w:type="dxa"/>
            <w:vAlign w:val="center"/>
          </w:tcPr>
          <w:p w14:paraId="7F0D332E" w14:textId="77777777" w:rsidR="0046142C" w:rsidRPr="00CD7C27" w:rsidRDefault="0046142C" w:rsidP="00446A37">
            <w:pPr>
              <w:spacing w:after="0" w:line="240" w:lineRule="auto"/>
              <w:jc w:val="center"/>
              <w:rPr>
                <w:rFonts w:ascii="Times New Roman" w:hAnsi="Times New Roman" w:cs="Times New Roman"/>
                <w:bCs/>
                <w:sz w:val="28"/>
                <w:szCs w:val="28"/>
              </w:rPr>
            </w:pPr>
            <w:r w:rsidRPr="00CD7C27">
              <w:rPr>
                <w:rFonts w:ascii="Times New Roman" w:hAnsi="Times New Roman" w:cs="Times New Roman"/>
                <w:bCs/>
                <w:sz w:val="28"/>
                <w:szCs w:val="28"/>
              </w:rPr>
              <w:t>0,83</w:t>
            </w:r>
          </w:p>
        </w:tc>
        <w:tc>
          <w:tcPr>
            <w:tcW w:w="2069" w:type="dxa"/>
            <w:vAlign w:val="center"/>
          </w:tcPr>
          <w:p w14:paraId="3871785A" w14:textId="77777777" w:rsidR="0046142C" w:rsidRPr="00CD7C27" w:rsidRDefault="0046142C" w:rsidP="00446A37">
            <w:pPr>
              <w:spacing w:after="0" w:line="240" w:lineRule="auto"/>
              <w:jc w:val="center"/>
              <w:rPr>
                <w:rFonts w:ascii="Times New Roman" w:hAnsi="Times New Roman" w:cs="Times New Roman"/>
                <w:bCs/>
                <w:sz w:val="28"/>
                <w:szCs w:val="28"/>
              </w:rPr>
            </w:pPr>
            <w:r w:rsidRPr="00CD7C27">
              <w:rPr>
                <w:rFonts w:ascii="Times New Roman" w:hAnsi="Times New Roman" w:cs="Times New Roman"/>
                <w:bCs/>
                <w:sz w:val="28"/>
                <w:szCs w:val="28"/>
              </w:rPr>
              <w:t>62,5</w:t>
            </w:r>
          </w:p>
        </w:tc>
        <w:tc>
          <w:tcPr>
            <w:tcW w:w="1967" w:type="dxa"/>
            <w:vAlign w:val="center"/>
          </w:tcPr>
          <w:p w14:paraId="7422EC49" w14:textId="77777777" w:rsidR="0046142C" w:rsidRPr="00CD7C27" w:rsidRDefault="0046142C" w:rsidP="00446A37">
            <w:pPr>
              <w:spacing w:after="0" w:line="240" w:lineRule="auto"/>
              <w:jc w:val="center"/>
              <w:rPr>
                <w:rFonts w:ascii="Times New Roman" w:hAnsi="Times New Roman" w:cs="Times New Roman"/>
                <w:bCs/>
                <w:sz w:val="28"/>
                <w:szCs w:val="28"/>
              </w:rPr>
            </w:pPr>
            <w:r w:rsidRPr="00CD7C27">
              <w:rPr>
                <w:rFonts w:ascii="Times New Roman" w:hAnsi="Times New Roman" w:cs="Times New Roman"/>
                <w:bCs/>
                <w:sz w:val="28"/>
                <w:szCs w:val="28"/>
              </w:rPr>
              <w:t>56,8</w:t>
            </w:r>
          </w:p>
        </w:tc>
        <w:tc>
          <w:tcPr>
            <w:tcW w:w="1756" w:type="dxa"/>
            <w:vAlign w:val="center"/>
          </w:tcPr>
          <w:p w14:paraId="7ACF9351" w14:textId="77777777" w:rsidR="0046142C" w:rsidRPr="00CD7C27" w:rsidRDefault="0046142C" w:rsidP="00446A37">
            <w:pPr>
              <w:spacing w:after="0" w:line="240" w:lineRule="auto"/>
              <w:jc w:val="center"/>
              <w:rPr>
                <w:rFonts w:ascii="Times New Roman" w:hAnsi="Times New Roman" w:cs="Times New Roman"/>
                <w:bCs/>
                <w:sz w:val="28"/>
                <w:szCs w:val="28"/>
              </w:rPr>
            </w:pPr>
            <w:r w:rsidRPr="00CD7C27">
              <w:rPr>
                <w:rFonts w:ascii="Times New Roman" w:hAnsi="Times New Roman" w:cs="Times New Roman"/>
                <w:bCs/>
                <w:sz w:val="28"/>
                <w:szCs w:val="28"/>
              </w:rPr>
              <w:t>34,5</w:t>
            </w:r>
          </w:p>
        </w:tc>
        <w:tc>
          <w:tcPr>
            <w:tcW w:w="1763" w:type="dxa"/>
            <w:vAlign w:val="center"/>
          </w:tcPr>
          <w:p w14:paraId="085392B9" w14:textId="77777777" w:rsidR="0046142C" w:rsidRPr="00CD7C27" w:rsidRDefault="0046142C" w:rsidP="00446A37">
            <w:pPr>
              <w:spacing w:after="0" w:line="240" w:lineRule="auto"/>
              <w:jc w:val="center"/>
              <w:rPr>
                <w:rFonts w:ascii="Times New Roman" w:hAnsi="Times New Roman" w:cs="Times New Roman"/>
                <w:bCs/>
                <w:sz w:val="28"/>
                <w:szCs w:val="28"/>
              </w:rPr>
            </w:pPr>
            <w:r w:rsidRPr="00CD7C27">
              <w:rPr>
                <w:rFonts w:ascii="Times New Roman" w:hAnsi="Times New Roman" w:cs="Times New Roman"/>
                <w:bCs/>
                <w:sz w:val="28"/>
                <w:szCs w:val="28"/>
              </w:rPr>
              <w:t>80,6</w:t>
            </w:r>
          </w:p>
        </w:tc>
      </w:tr>
      <w:tr w:rsidR="0046142C" w:rsidRPr="00A43B9C" w14:paraId="0FC3EF77" w14:textId="77777777" w:rsidTr="00446A37">
        <w:trPr>
          <w:jc w:val="center"/>
        </w:trPr>
        <w:tc>
          <w:tcPr>
            <w:tcW w:w="1790" w:type="dxa"/>
            <w:vAlign w:val="center"/>
          </w:tcPr>
          <w:p w14:paraId="259BCE59"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0,81</w:t>
            </w:r>
          </w:p>
        </w:tc>
        <w:tc>
          <w:tcPr>
            <w:tcW w:w="2069" w:type="dxa"/>
            <w:vAlign w:val="center"/>
          </w:tcPr>
          <w:p w14:paraId="6547F888"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62,5</w:t>
            </w:r>
          </w:p>
        </w:tc>
        <w:tc>
          <w:tcPr>
            <w:tcW w:w="1967" w:type="dxa"/>
            <w:vAlign w:val="center"/>
          </w:tcPr>
          <w:p w14:paraId="15166F32"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52,3</w:t>
            </w:r>
          </w:p>
        </w:tc>
        <w:tc>
          <w:tcPr>
            <w:tcW w:w="1756" w:type="dxa"/>
            <w:vAlign w:val="center"/>
          </w:tcPr>
          <w:p w14:paraId="18B49953"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32,3</w:t>
            </w:r>
          </w:p>
        </w:tc>
        <w:tc>
          <w:tcPr>
            <w:tcW w:w="1763" w:type="dxa"/>
            <w:vAlign w:val="center"/>
          </w:tcPr>
          <w:p w14:paraId="636AB58E"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79,3</w:t>
            </w:r>
          </w:p>
        </w:tc>
      </w:tr>
      <w:tr w:rsidR="0046142C" w:rsidRPr="00A43B9C" w14:paraId="07F49FF9" w14:textId="77777777" w:rsidTr="00446A37">
        <w:trPr>
          <w:jc w:val="center"/>
        </w:trPr>
        <w:tc>
          <w:tcPr>
            <w:tcW w:w="1790" w:type="dxa"/>
            <w:vAlign w:val="center"/>
          </w:tcPr>
          <w:p w14:paraId="6AC66AC4"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0,79</w:t>
            </w:r>
          </w:p>
        </w:tc>
        <w:tc>
          <w:tcPr>
            <w:tcW w:w="2069" w:type="dxa"/>
            <w:vAlign w:val="center"/>
          </w:tcPr>
          <w:p w14:paraId="58FAC66E"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68,8</w:t>
            </w:r>
          </w:p>
        </w:tc>
        <w:tc>
          <w:tcPr>
            <w:tcW w:w="1967" w:type="dxa"/>
            <w:vAlign w:val="center"/>
          </w:tcPr>
          <w:p w14:paraId="279B5316"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52,3</w:t>
            </w:r>
          </w:p>
        </w:tc>
        <w:tc>
          <w:tcPr>
            <w:tcW w:w="1756" w:type="dxa"/>
            <w:vAlign w:val="center"/>
          </w:tcPr>
          <w:p w14:paraId="0CCF46C4"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34,4</w:t>
            </w:r>
          </w:p>
        </w:tc>
        <w:tc>
          <w:tcPr>
            <w:tcW w:w="1763" w:type="dxa"/>
            <w:vAlign w:val="center"/>
          </w:tcPr>
          <w:p w14:paraId="06DA8388"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82,1</w:t>
            </w:r>
          </w:p>
        </w:tc>
      </w:tr>
    </w:tbl>
    <w:p w14:paraId="4EA9C356" w14:textId="77777777" w:rsidR="0046142C" w:rsidRPr="00A43B9C" w:rsidRDefault="0046142C" w:rsidP="0046142C">
      <w:pPr>
        <w:spacing w:after="0" w:line="240" w:lineRule="auto"/>
        <w:rPr>
          <w:rFonts w:ascii="Times New Roman" w:hAnsi="Times New Roman" w:cs="Times New Roman"/>
          <w:sz w:val="28"/>
          <w:szCs w:val="28"/>
        </w:rPr>
      </w:pPr>
    </w:p>
    <w:p w14:paraId="5B1D56C6" w14:textId="5EBDDDC7" w:rsidR="0046142C" w:rsidRPr="00A43B9C" w:rsidRDefault="0046142C" w:rsidP="0046142C">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Площадь под ROC-кривой составила 0,578 </w:t>
      </w:r>
      <w:r w:rsidR="00101272" w:rsidRPr="00A43B9C">
        <w:rPr>
          <w:rFonts w:ascii="Times New Roman" w:hAnsi="Times New Roman" w:cs="Times New Roman"/>
          <w:sz w:val="28"/>
          <w:szCs w:val="28"/>
        </w:rPr>
        <w:t>(</w:t>
      </w:r>
      <w:r w:rsidRPr="00A43B9C">
        <w:rPr>
          <w:rFonts w:ascii="Times New Roman" w:hAnsi="Times New Roman" w:cs="Times New Roman"/>
          <w:sz w:val="28"/>
          <w:szCs w:val="28"/>
        </w:rPr>
        <w:t>95% ДИ 0,410 – 0,746</w:t>
      </w:r>
      <w:r w:rsidR="00101272" w:rsidRPr="00A43B9C">
        <w:rPr>
          <w:rFonts w:ascii="Times New Roman" w:hAnsi="Times New Roman" w:cs="Times New Roman"/>
          <w:sz w:val="28"/>
          <w:szCs w:val="28"/>
        </w:rPr>
        <w:t>)</w:t>
      </w:r>
      <w:r w:rsidRPr="00A43B9C">
        <w:rPr>
          <w:rFonts w:ascii="Times New Roman" w:hAnsi="Times New Roman" w:cs="Times New Roman"/>
          <w:sz w:val="28"/>
          <w:szCs w:val="28"/>
        </w:rPr>
        <w:t xml:space="preserve">. </w:t>
      </w:r>
      <w:r w:rsidR="00101272" w:rsidRPr="00A43B9C">
        <w:rPr>
          <w:rFonts w:ascii="Times New Roman" w:hAnsi="Times New Roman" w:cs="Times New Roman"/>
          <w:sz w:val="28"/>
          <w:szCs w:val="28"/>
        </w:rPr>
        <w:t>В этом случае п</w:t>
      </w:r>
      <w:r w:rsidRPr="00A43B9C">
        <w:rPr>
          <w:rFonts w:ascii="Times New Roman" w:hAnsi="Times New Roman" w:cs="Times New Roman"/>
          <w:sz w:val="28"/>
          <w:szCs w:val="28"/>
        </w:rPr>
        <w:t xml:space="preserve">олученная модель </w:t>
      </w:r>
      <w:r w:rsidR="00101272" w:rsidRPr="00A43B9C">
        <w:rPr>
          <w:rFonts w:ascii="Times New Roman" w:hAnsi="Times New Roman" w:cs="Times New Roman"/>
          <w:sz w:val="28"/>
          <w:szCs w:val="28"/>
        </w:rPr>
        <w:t xml:space="preserve">также </w:t>
      </w:r>
      <w:r w:rsidRPr="00A43B9C">
        <w:rPr>
          <w:rFonts w:ascii="Times New Roman" w:hAnsi="Times New Roman" w:cs="Times New Roman"/>
          <w:sz w:val="28"/>
          <w:szCs w:val="28"/>
        </w:rPr>
        <w:t>не была статистически значимой (p = 0,358).</w:t>
      </w:r>
      <w:r w:rsidR="0010127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Пороговое значение уровня </w:t>
      </w:r>
      <w:r w:rsidR="00101272"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101272"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101272"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RLI в точке </w:t>
      </w:r>
      <w:r w:rsidR="00101272" w:rsidRPr="00A43B9C">
        <w:rPr>
          <w:rFonts w:ascii="Times New Roman" w:hAnsi="Times New Roman" w:cs="Times New Roman"/>
          <w:sz w:val="28"/>
          <w:szCs w:val="28"/>
        </w:rPr>
        <w:t>отсечения</w:t>
      </w:r>
      <w:r w:rsidRPr="00A43B9C">
        <w:rPr>
          <w:rFonts w:ascii="Times New Roman" w:hAnsi="Times New Roman" w:cs="Times New Roman"/>
          <w:sz w:val="28"/>
          <w:szCs w:val="28"/>
        </w:rPr>
        <w:t xml:space="preserve">, которому соответствовало наивысшее значение индекса Юдена, составило 0,83 (рисунок </w:t>
      </w:r>
      <w:r w:rsidR="00FA33C1" w:rsidRPr="00A43B9C">
        <w:rPr>
          <w:rFonts w:ascii="Times New Roman" w:hAnsi="Times New Roman" w:cs="Times New Roman"/>
          <w:sz w:val="28"/>
          <w:szCs w:val="28"/>
        </w:rPr>
        <w:t>6</w:t>
      </w:r>
      <w:r w:rsidR="00E81502">
        <w:rPr>
          <w:rFonts w:ascii="Times New Roman" w:hAnsi="Times New Roman" w:cs="Times New Roman"/>
          <w:sz w:val="28"/>
          <w:szCs w:val="28"/>
        </w:rPr>
        <w:t>4</w:t>
      </w:r>
      <w:r w:rsidRPr="00A43B9C">
        <w:rPr>
          <w:rFonts w:ascii="Times New Roman" w:hAnsi="Times New Roman" w:cs="Times New Roman"/>
          <w:sz w:val="28"/>
          <w:szCs w:val="28"/>
        </w:rPr>
        <w:t xml:space="preserve">). Наличие </w:t>
      </w:r>
      <w:r w:rsidR="000874C1" w:rsidRPr="00A43B9C">
        <w:rPr>
          <w:rFonts w:ascii="Times New Roman" w:eastAsia="Times New Roman" w:hAnsi="Times New Roman" w:cs="Times New Roman"/>
          <w:sz w:val="28"/>
          <w:szCs w:val="28"/>
          <w:lang w:val="en-US" w:eastAsia="ru-RU"/>
        </w:rPr>
        <w:t>pLM</w:t>
      </w:r>
      <w:r w:rsidRPr="00A43B9C">
        <w:rPr>
          <w:rFonts w:ascii="Times New Roman" w:hAnsi="Times New Roman" w:cs="Times New Roman"/>
          <w:sz w:val="28"/>
          <w:szCs w:val="28"/>
        </w:rPr>
        <w:t xml:space="preserve"> прогнозировалось при значении уровня </w:t>
      </w:r>
      <w:r w:rsidR="00101272"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101272"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101272"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RLI ниже данной величины или равном ей. Чувствительность и специфичность модели </w:t>
      </w:r>
      <w:r w:rsidRPr="00A43B9C">
        <w:rPr>
          <w:rFonts w:ascii="Times New Roman" w:hAnsi="Times New Roman" w:cs="Times New Roman"/>
          <w:sz w:val="28"/>
          <w:szCs w:val="28"/>
        </w:rPr>
        <w:lastRenderedPageBreak/>
        <w:t xml:space="preserve">составили 62,5% и 56,8%, а </w:t>
      </w:r>
      <w:r w:rsidRPr="00A43B9C">
        <w:rPr>
          <w:rFonts w:ascii="Times New Roman" w:hAnsi="Times New Roman" w:cs="Times New Roman"/>
          <w:sz w:val="28"/>
          <w:szCs w:val="28"/>
          <w:lang w:val="en-US"/>
        </w:rPr>
        <w:t>PPV</w:t>
      </w:r>
      <w:r w:rsidRPr="00A43B9C">
        <w:rPr>
          <w:rFonts w:ascii="Times New Roman" w:hAnsi="Times New Roman" w:cs="Times New Roman"/>
          <w:sz w:val="28"/>
          <w:szCs w:val="28"/>
        </w:rPr>
        <w:t xml:space="preserve"> и </w:t>
      </w:r>
      <w:r w:rsidRPr="00A43B9C">
        <w:rPr>
          <w:rFonts w:ascii="Times New Roman" w:hAnsi="Times New Roman" w:cs="Times New Roman"/>
          <w:sz w:val="28"/>
          <w:szCs w:val="28"/>
          <w:lang w:val="en-US"/>
        </w:rPr>
        <w:t>NPV</w:t>
      </w:r>
      <w:r w:rsidRPr="00A43B9C">
        <w:rPr>
          <w:rFonts w:ascii="Times New Roman" w:hAnsi="Times New Roman" w:cs="Times New Roman"/>
          <w:sz w:val="28"/>
          <w:szCs w:val="28"/>
        </w:rPr>
        <w:t xml:space="preserve"> составили 34,5% и 80,6% соответственно (таблица 42).</w:t>
      </w:r>
    </w:p>
    <w:p w14:paraId="0F96CC8A" w14:textId="77777777" w:rsidR="0046142C" w:rsidRPr="00A43B9C" w:rsidRDefault="0046142C" w:rsidP="0046142C">
      <w:pPr>
        <w:spacing w:after="0" w:line="240" w:lineRule="auto"/>
        <w:rPr>
          <w:rFonts w:ascii="Times New Roman" w:hAnsi="Times New Roman" w:cs="Times New Roman"/>
          <w:sz w:val="28"/>
          <w:szCs w:val="28"/>
        </w:rPr>
      </w:pPr>
    </w:p>
    <w:p w14:paraId="27317F1C" w14:textId="43DF8DCC" w:rsidR="0046142C" w:rsidRDefault="0046142C" w:rsidP="0046142C">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При оценке зависимости вероятности </w:t>
      </w:r>
      <w:r w:rsidR="000874C1" w:rsidRPr="00A43B9C">
        <w:rPr>
          <w:rFonts w:ascii="Times New Roman" w:eastAsia="Times New Roman" w:hAnsi="Times New Roman" w:cs="Times New Roman"/>
          <w:sz w:val="28"/>
          <w:szCs w:val="28"/>
          <w:lang w:val="en-US" w:eastAsia="ru-RU"/>
        </w:rPr>
        <w:t>LM</w:t>
      </w:r>
      <w:r w:rsidRPr="00A43B9C">
        <w:rPr>
          <w:rFonts w:ascii="Times New Roman" w:hAnsi="Times New Roman" w:cs="Times New Roman"/>
          <w:sz w:val="28"/>
          <w:szCs w:val="28"/>
        </w:rPr>
        <w:t xml:space="preserve"> в </w:t>
      </w:r>
      <w:r w:rsidR="00101272"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P с помощью ROC-анализа была получена следующая кривая (рисунок </w:t>
      </w:r>
      <w:r w:rsidR="00FA33C1" w:rsidRPr="00A43B9C">
        <w:rPr>
          <w:rFonts w:ascii="Times New Roman" w:hAnsi="Times New Roman" w:cs="Times New Roman"/>
          <w:sz w:val="28"/>
          <w:szCs w:val="28"/>
        </w:rPr>
        <w:t>6</w:t>
      </w:r>
      <w:r w:rsidR="00E81502">
        <w:rPr>
          <w:rFonts w:ascii="Times New Roman" w:hAnsi="Times New Roman" w:cs="Times New Roman"/>
          <w:sz w:val="28"/>
          <w:szCs w:val="28"/>
        </w:rPr>
        <w:t>5</w:t>
      </w:r>
      <w:r w:rsidRPr="00A43B9C">
        <w:rPr>
          <w:rFonts w:ascii="Times New Roman" w:hAnsi="Times New Roman" w:cs="Times New Roman"/>
          <w:sz w:val="28"/>
          <w:szCs w:val="28"/>
        </w:rPr>
        <w:t>).</w:t>
      </w:r>
    </w:p>
    <w:p w14:paraId="5B97B65C" w14:textId="77777777" w:rsidR="00942FF6" w:rsidRPr="00A43B9C" w:rsidRDefault="00942FF6" w:rsidP="0046142C">
      <w:pPr>
        <w:spacing w:after="0" w:line="240" w:lineRule="auto"/>
        <w:ind w:firstLine="709"/>
        <w:jc w:val="both"/>
        <w:rPr>
          <w:rFonts w:ascii="Times New Roman" w:hAnsi="Times New Roman" w:cs="Times New Roman"/>
          <w:sz w:val="28"/>
          <w:szCs w:val="28"/>
        </w:rPr>
      </w:pPr>
    </w:p>
    <w:p w14:paraId="30E618C2" w14:textId="77777777"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1DFC1CD0" wp14:editId="58318896">
            <wp:extent cx="3217275" cy="1980000"/>
            <wp:effectExtent l="0" t="0" r="2540" b="1270"/>
            <wp:docPr id="272"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53.png"/>
                    <pic:cNvPicPr/>
                  </pic:nvPicPr>
                  <pic:blipFill>
                    <a:blip r:embed="rId341"/>
                    <a:stretch>
                      <a:fillRect/>
                    </a:stretch>
                  </pic:blipFill>
                  <pic:spPr>
                    <a:xfrm>
                      <a:off x="0" y="0"/>
                      <a:ext cx="3217275" cy="1980000"/>
                    </a:xfrm>
                    <a:prstGeom prst="rect">
                      <a:avLst/>
                    </a:prstGeom>
                  </pic:spPr>
                </pic:pic>
              </a:graphicData>
            </a:graphic>
          </wp:inline>
        </w:drawing>
      </w:r>
    </w:p>
    <w:p w14:paraId="06509E2D" w14:textId="74073ACE" w:rsidR="0046142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 xml:space="preserve">Рисунок </w:t>
      </w:r>
      <w:r w:rsidR="00FA33C1" w:rsidRPr="00A43B9C">
        <w:rPr>
          <w:rFonts w:ascii="Times New Roman" w:hAnsi="Times New Roman" w:cs="Times New Roman"/>
          <w:sz w:val="28"/>
          <w:szCs w:val="28"/>
        </w:rPr>
        <w:t>6</w:t>
      </w:r>
      <w:r w:rsidR="001A1D98">
        <w:rPr>
          <w:rFonts w:ascii="Times New Roman" w:hAnsi="Times New Roman" w:cs="Times New Roman"/>
          <w:sz w:val="28"/>
          <w:szCs w:val="28"/>
        </w:rPr>
        <w:t>5</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ROC-кривая, характеризующая зависимость вероятности </w:t>
      </w:r>
      <w:r w:rsidR="00777C9A">
        <w:rPr>
          <w:rFonts w:ascii="Times New Roman" w:hAnsi="Times New Roman" w:cs="Times New Roman"/>
          <w:sz w:val="28"/>
          <w:szCs w:val="28"/>
          <w:lang w:val="en-US"/>
        </w:rPr>
        <w:t>p</w:t>
      </w:r>
      <w:r w:rsidR="000874C1" w:rsidRPr="00A43B9C">
        <w:rPr>
          <w:rFonts w:ascii="Times New Roman" w:hAnsi="Times New Roman" w:cs="Times New Roman"/>
          <w:sz w:val="28"/>
          <w:szCs w:val="28"/>
          <w:lang w:val="en-US"/>
        </w:rPr>
        <w:t>LM</w:t>
      </w:r>
      <w:r w:rsidRPr="00A43B9C">
        <w:rPr>
          <w:rFonts w:ascii="Times New Roman" w:hAnsi="Times New Roman" w:cs="Times New Roman"/>
          <w:sz w:val="28"/>
          <w:szCs w:val="28"/>
        </w:rPr>
        <w:t xml:space="preserve"> от </w:t>
      </w:r>
      <w:r w:rsidR="00101272"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P</w:t>
      </w:r>
    </w:p>
    <w:p w14:paraId="21AAC863" w14:textId="77777777" w:rsidR="00942FF6" w:rsidRPr="00A43B9C" w:rsidRDefault="00942FF6" w:rsidP="0046142C">
      <w:pPr>
        <w:spacing w:after="0" w:line="240" w:lineRule="auto"/>
        <w:jc w:val="center"/>
        <w:rPr>
          <w:rFonts w:ascii="Times New Roman" w:hAnsi="Times New Roman" w:cs="Times New Roman"/>
          <w:sz w:val="28"/>
          <w:szCs w:val="28"/>
        </w:rPr>
      </w:pPr>
    </w:p>
    <w:p w14:paraId="2F567270" w14:textId="77777777" w:rsidR="0046142C" w:rsidRPr="00A43B9C" w:rsidRDefault="0046142C" w:rsidP="0046142C">
      <w:pPr>
        <w:spacing w:after="0" w:line="240" w:lineRule="auto"/>
        <w:jc w:val="center"/>
        <w:rPr>
          <w:rFonts w:ascii="Times New Roman" w:hAnsi="Times New Roman" w:cs="Times New Roman"/>
          <w:sz w:val="28"/>
          <w:szCs w:val="28"/>
        </w:rPr>
      </w:pPr>
      <w:r w:rsidRPr="00A43B9C">
        <w:rPr>
          <w:noProof/>
        </w:rPr>
        <w:drawing>
          <wp:inline distT="0" distB="0" distL="0" distR="0" wp14:anchorId="0DC76406" wp14:editId="3C3BA1AA">
            <wp:extent cx="4337658" cy="1980000"/>
            <wp:effectExtent l="0" t="0" r="6350" b="1270"/>
            <wp:docPr id="3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15.png"/>
                    <pic:cNvPicPr/>
                  </pic:nvPicPr>
                  <pic:blipFill>
                    <a:blip r:embed="rId342"/>
                    <a:stretch>
                      <a:fillRect/>
                    </a:stretch>
                  </pic:blipFill>
                  <pic:spPr>
                    <a:xfrm>
                      <a:off x="0" y="0"/>
                      <a:ext cx="4337658" cy="1980000"/>
                    </a:xfrm>
                    <a:prstGeom prst="rect">
                      <a:avLst/>
                    </a:prstGeom>
                  </pic:spPr>
                </pic:pic>
              </a:graphicData>
            </a:graphic>
          </wp:inline>
        </w:drawing>
      </w:r>
    </w:p>
    <w:p w14:paraId="2271088F" w14:textId="243CFDAF"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6</w:t>
      </w:r>
      <w:r w:rsidR="001A1D98">
        <w:rPr>
          <w:rFonts w:ascii="Times New Roman" w:hAnsi="Times New Roman" w:cs="Times New Roman"/>
          <w:sz w:val="28"/>
          <w:szCs w:val="28"/>
        </w:rPr>
        <w:t>6</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чувствительности и специфичности модели в зависимости от пороговых значений уровня </w:t>
      </w:r>
      <w:r w:rsidR="00101272"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101272"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101272"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P</w:t>
      </w:r>
    </w:p>
    <w:p w14:paraId="65620F91" w14:textId="77777777" w:rsidR="0046142C" w:rsidRPr="00A43B9C" w:rsidRDefault="0046142C" w:rsidP="0046142C">
      <w:pPr>
        <w:spacing w:after="0" w:line="240" w:lineRule="auto"/>
        <w:rPr>
          <w:rFonts w:ascii="Times New Roman" w:hAnsi="Times New Roman" w:cs="Times New Roman"/>
          <w:sz w:val="28"/>
          <w:szCs w:val="28"/>
        </w:rPr>
      </w:pPr>
    </w:p>
    <w:p w14:paraId="7DFC21A9" w14:textId="61084131" w:rsidR="0046142C"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43 -</w:t>
      </w:r>
      <w:r w:rsidR="0046142C" w:rsidRPr="00A43B9C">
        <w:rPr>
          <w:rFonts w:ascii="Times New Roman" w:hAnsi="Times New Roman" w:cs="Times New Roman"/>
          <w:sz w:val="28"/>
          <w:szCs w:val="28"/>
        </w:rPr>
        <w:t xml:space="preserve"> Пороговые значения уровня </w:t>
      </w:r>
      <w:r w:rsidR="00101272"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101272" w:rsidRPr="00A43B9C">
        <w:rPr>
          <w:rFonts w:ascii="Times New Roman" w:hAnsi="Times New Roman" w:cs="Times New Roman"/>
          <w:sz w:val="28"/>
          <w:szCs w:val="28"/>
        </w:rPr>
        <w:t xml:space="preserve"> </w:t>
      </w:r>
      <w:r w:rsidR="0046142C" w:rsidRPr="00A43B9C">
        <w:rPr>
          <w:rFonts w:ascii="Times New Roman" w:hAnsi="Times New Roman" w:cs="Times New Roman"/>
          <w:sz w:val="28"/>
          <w:szCs w:val="28"/>
          <w:lang w:val="en-US"/>
        </w:rPr>
        <w:t>SUV</w:t>
      </w:r>
      <w:r w:rsidR="0046142C" w:rsidRPr="00A43B9C">
        <w:rPr>
          <w:rFonts w:ascii="Times New Roman" w:hAnsi="Times New Roman" w:cs="Times New Roman"/>
          <w:sz w:val="28"/>
          <w:szCs w:val="28"/>
          <w:vertAlign w:val="subscript"/>
          <w:lang w:val="en-US"/>
        </w:rPr>
        <w:t>max</w:t>
      </w:r>
      <w:r w:rsidR="0046142C" w:rsidRPr="00A43B9C">
        <w:rPr>
          <w:rFonts w:ascii="Times New Roman" w:hAnsi="Times New Roman" w:cs="Times New Roman"/>
          <w:sz w:val="28"/>
          <w:szCs w:val="28"/>
        </w:rPr>
        <w:t xml:space="preserve"> в </w:t>
      </w:r>
      <w:r w:rsidR="00101272" w:rsidRPr="00A43B9C">
        <w:rPr>
          <w:rFonts w:ascii="Times New Roman" w:hAnsi="Times New Roman" w:cs="Times New Roman"/>
          <w:sz w:val="28"/>
          <w:szCs w:val="28"/>
        </w:rPr>
        <w:t xml:space="preserve">локализации </w:t>
      </w:r>
      <w:r w:rsidR="0046142C" w:rsidRPr="00A43B9C">
        <w:rPr>
          <w:rFonts w:ascii="Times New Roman" w:hAnsi="Times New Roman" w:cs="Times New Roman"/>
          <w:sz w:val="28"/>
          <w:szCs w:val="28"/>
        </w:rPr>
        <w:t>P</w:t>
      </w:r>
    </w:p>
    <w:p w14:paraId="608DC0C6"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0" w:type="auto"/>
        <w:jc w:val="center"/>
        <w:tblLook w:val="04A0" w:firstRow="1" w:lastRow="0" w:firstColumn="1" w:lastColumn="0" w:noHBand="0" w:noVBand="1"/>
      </w:tblPr>
      <w:tblGrid>
        <w:gridCol w:w="1789"/>
        <w:gridCol w:w="2069"/>
        <w:gridCol w:w="1967"/>
        <w:gridCol w:w="1756"/>
        <w:gridCol w:w="1763"/>
      </w:tblGrid>
      <w:tr w:rsidR="0046142C" w:rsidRPr="00A43B9C" w14:paraId="2909D16A" w14:textId="77777777" w:rsidTr="00446A37">
        <w:trPr>
          <w:jc w:val="center"/>
        </w:trPr>
        <w:tc>
          <w:tcPr>
            <w:tcW w:w="1790" w:type="dxa"/>
            <w:vAlign w:val="center"/>
          </w:tcPr>
          <w:p w14:paraId="4CA4577D" w14:textId="5D61AC82"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Порог</w:t>
            </w:r>
            <w:r w:rsidR="00101272" w:rsidRPr="00A43B9C">
              <w:rPr>
                <w:rFonts w:ascii="Times New Roman" w:hAnsi="Times New Roman" w:cs="Times New Roman"/>
                <w:sz w:val="28"/>
                <w:szCs w:val="28"/>
              </w:rPr>
              <w:t>овое значение</w:t>
            </w:r>
          </w:p>
        </w:tc>
        <w:tc>
          <w:tcPr>
            <w:tcW w:w="2069" w:type="dxa"/>
            <w:vAlign w:val="center"/>
          </w:tcPr>
          <w:p w14:paraId="57BD436E" w14:textId="6518576F"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Se, %</w:t>
            </w:r>
          </w:p>
        </w:tc>
        <w:tc>
          <w:tcPr>
            <w:tcW w:w="1967" w:type="dxa"/>
            <w:vAlign w:val="center"/>
          </w:tcPr>
          <w:p w14:paraId="12D0B7D1" w14:textId="1AD28688"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Sp, %</w:t>
            </w:r>
          </w:p>
        </w:tc>
        <w:tc>
          <w:tcPr>
            <w:tcW w:w="1756" w:type="dxa"/>
            <w:vAlign w:val="center"/>
          </w:tcPr>
          <w:p w14:paraId="6C289322" w14:textId="4FCEDAFA"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PPV</w:t>
            </w:r>
            <w:r w:rsidR="003E57FA" w:rsidRPr="00A43B9C">
              <w:rPr>
                <w:rFonts w:ascii="Times New Roman" w:hAnsi="Times New Roman" w:cs="Times New Roman"/>
                <w:sz w:val="28"/>
                <w:szCs w:val="28"/>
                <w:lang w:val="en-US"/>
              </w:rPr>
              <w:t>, %</w:t>
            </w:r>
          </w:p>
        </w:tc>
        <w:tc>
          <w:tcPr>
            <w:tcW w:w="1763" w:type="dxa"/>
            <w:vAlign w:val="center"/>
          </w:tcPr>
          <w:p w14:paraId="6BA160C2" w14:textId="4DB38BF3"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NPV</w:t>
            </w:r>
            <w:r w:rsidR="003E57FA" w:rsidRPr="00A43B9C">
              <w:rPr>
                <w:rFonts w:ascii="Times New Roman" w:hAnsi="Times New Roman" w:cs="Times New Roman"/>
                <w:sz w:val="28"/>
                <w:szCs w:val="28"/>
                <w:lang w:val="en-US"/>
              </w:rPr>
              <w:t>, %</w:t>
            </w:r>
          </w:p>
        </w:tc>
      </w:tr>
      <w:tr w:rsidR="0046142C" w:rsidRPr="00CD7C27" w14:paraId="5660B9F8" w14:textId="77777777" w:rsidTr="00446A37">
        <w:trPr>
          <w:jc w:val="center"/>
        </w:trPr>
        <w:tc>
          <w:tcPr>
            <w:tcW w:w="1790" w:type="dxa"/>
            <w:vAlign w:val="center"/>
          </w:tcPr>
          <w:p w14:paraId="78B38860" w14:textId="77777777" w:rsidR="0046142C" w:rsidRPr="00CD7C27" w:rsidRDefault="0046142C" w:rsidP="00446A37">
            <w:pPr>
              <w:spacing w:after="0" w:line="240" w:lineRule="auto"/>
              <w:jc w:val="center"/>
              <w:rPr>
                <w:rFonts w:ascii="Times New Roman" w:hAnsi="Times New Roman" w:cs="Times New Roman"/>
                <w:bCs/>
                <w:sz w:val="28"/>
                <w:szCs w:val="28"/>
              </w:rPr>
            </w:pPr>
            <w:r w:rsidRPr="00CD7C27">
              <w:rPr>
                <w:rFonts w:ascii="Times New Roman" w:hAnsi="Times New Roman" w:cs="Times New Roman"/>
                <w:bCs/>
                <w:sz w:val="28"/>
                <w:szCs w:val="28"/>
              </w:rPr>
              <w:t>1,00</w:t>
            </w:r>
          </w:p>
        </w:tc>
        <w:tc>
          <w:tcPr>
            <w:tcW w:w="2069" w:type="dxa"/>
            <w:vAlign w:val="center"/>
          </w:tcPr>
          <w:p w14:paraId="1A83C5E9" w14:textId="77777777" w:rsidR="0046142C" w:rsidRPr="00CD7C27" w:rsidRDefault="0046142C" w:rsidP="00446A37">
            <w:pPr>
              <w:spacing w:after="0" w:line="240" w:lineRule="auto"/>
              <w:jc w:val="center"/>
              <w:rPr>
                <w:rFonts w:ascii="Times New Roman" w:hAnsi="Times New Roman" w:cs="Times New Roman"/>
                <w:bCs/>
                <w:sz w:val="28"/>
                <w:szCs w:val="28"/>
              </w:rPr>
            </w:pPr>
            <w:r w:rsidRPr="00CD7C27">
              <w:rPr>
                <w:rFonts w:ascii="Times New Roman" w:hAnsi="Times New Roman" w:cs="Times New Roman"/>
                <w:bCs/>
                <w:sz w:val="28"/>
                <w:szCs w:val="28"/>
              </w:rPr>
              <w:t>62,5</w:t>
            </w:r>
          </w:p>
        </w:tc>
        <w:tc>
          <w:tcPr>
            <w:tcW w:w="1967" w:type="dxa"/>
            <w:vAlign w:val="center"/>
          </w:tcPr>
          <w:p w14:paraId="4C4C3903" w14:textId="77777777" w:rsidR="0046142C" w:rsidRPr="00CD7C27" w:rsidRDefault="0046142C" w:rsidP="00446A37">
            <w:pPr>
              <w:spacing w:after="0" w:line="240" w:lineRule="auto"/>
              <w:jc w:val="center"/>
              <w:rPr>
                <w:rFonts w:ascii="Times New Roman" w:hAnsi="Times New Roman" w:cs="Times New Roman"/>
                <w:bCs/>
                <w:sz w:val="28"/>
                <w:szCs w:val="28"/>
              </w:rPr>
            </w:pPr>
            <w:r w:rsidRPr="00CD7C27">
              <w:rPr>
                <w:rFonts w:ascii="Times New Roman" w:hAnsi="Times New Roman" w:cs="Times New Roman"/>
                <w:bCs/>
                <w:sz w:val="28"/>
                <w:szCs w:val="28"/>
              </w:rPr>
              <w:t>63,6</w:t>
            </w:r>
          </w:p>
        </w:tc>
        <w:tc>
          <w:tcPr>
            <w:tcW w:w="1756" w:type="dxa"/>
            <w:vAlign w:val="center"/>
          </w:tcPr>
          <w:p w14:paraId="2333F8DD" w14:textId="77777777" w:rsidR="0046142C" w:rsidRPr="00CD7C27" w:rsidRDefault="0046142C" w:rsidP="00446A37">
            <w:pPr>
              <w:spacing w:after="0" w:line="240" w:lineRule="auto"/>
              <w:jc w:val="center"/>
              <w:rPr>
                <w:rFonts w:ascii="Times New Roman" w:hAnsi="Times New Roman" w:cs="Times New Roman"/>
                <w:bCs/>
                <w:sz w:val="28"/>
                <w:szCs w:val="28"/>
              </w:rPr>
            </w:pPr>
            <w:r w:rsidRPr="00CD7C27">
              <w:rPr>
                <w:rFonts w:ascii="Times New Roman" w:hAnsi="Times New Roman" w:cs="Times New Roman"/>
                <w:bCs/>
                <w:sz w:val="28"/>
                <w:szCs w:val="28"/>
              </w:rPr>
              <w:t>38,5</w:t>
            </w:r>
          </w:p>
        </w:tc>
        <w:tc>
          <w:tcPr>
            <w:tcW w:w="1763" w:type="dxa"/>
            <w:vAlign w:val="center"/>
          </w:tcPr>
          <w:p w14:paraId="1BDF08C9" w14:textId="77777777" w:rsidR="0046142C" w:rsidRPr="00CD7C27" w:rsidRDefault="0046142C" w:rsidP="00446A37">
            <w:pPr>
              <w:spacing w:after="0" w:line="240" w:lineRule="auto"/>
              <w:jc w:val="center"/>
              <w:rPr>
                <w:rFonts w:ascii="Times New Roman" w:hAnsi="Times New Roman" w:cs="Times New Roman"/>
                <w:bCs/>
                <w:sz w:val="28"/>
                <w:szCs w:val="28"/>
              </w:rPr>
            </w:pPr>
            <w:r w:rsidRPr="00CD7C27">
              <w:rPr>
                <w:rFonts w:ascii="Times New Roman" w:hAnsi="Times New Roman" w:cs="Times New Roman"/>
                <w:bCs/>
                <w:sz w:val="28"/>
                <w:szCs w:val="28"/>
              </w:rPr>
              <w:t>82,4</w:t>
            </w:r>
          </w:p>
        </w:tc>
      </w:tr>
      <w:tr w:rsidR="0046142C" w:rsidRPr="00A43B9C" w14:paraId="6D362D90" w14:textId="77777777" w:rsidTr="00446A37">
        <w:trPr>
          <w:jc w:val="center"/>
        </w:trPr>
        <w:tc>
          <w:tcPr>
            <w:tcW w:w="1790" w:type="dxa"/>
            <w:vAlign w:val="center"/>
          </w:tcPr>
          <w:p w14:paraId="57CB4CB6"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0,97</w:t>
            </w:r>
          </w:p>
        </w:tc>
        <w:tc>
          <w:tcPr>
            <w:tcW w:w="2069" w:type="dxa"/>
            <w:vAlign w:val="center"/>
          </w:tcPr>
          <w:p w14:paraId="2D4AD85B"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62,5</w:t>
            </w:r>
          </w:p>
        </w:tc>
        <w:tc>
          <w:tcPr>
            <w:tcW w:w="1967" w:type="dxa"/>
            <w:vAlign w:val="center"/>
          </w:tcPr>
          <w:p w14:paraId="2B5AE6AA"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52,3</w:t>
            </w:r>
          </w:p>
        </w:tc>
        <w:tc>
          <w:tcPr>
            <w:tcW w:w="1756" w:type="dxa"/>
            <w:vAlign w:val="center"/>
          </w:tcPr>
          <w:p w14:paraId="594FC5CC"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32,3</w:t>
            </w:r>
          </w:p>
        </w:tc>
        <w:tc>
          <w:tcPr>
            <w:tcW w:w="1763" w:type="dxa"/>
            <w:vAlign w:val="center"/>
          </w:tcPr>
          <w:p w14:paraId="64640C3B"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79,3</w:t>
            </w:r>
          </w:p>
        </w:tc>
      </w:tr>
      <w:tr w:rsidR="0046142C" w:rsidRPr="00A43B9C" w14:paraId="2CD46DF8" w14:textId="77777777" w:rsidTr="00446A37">
        <w:trPr>
          <w:jc w:val="center"/>
        </w:trPr>
        <w:tc>
          <w:tcPr>
            <w:tcW w:w="1790" w:type="dxa"/>
            <w:vAlign w:val="center"/>
          </w:tcPr>
          <w:p w14:paraId="527EF05C"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0,96</w:t>
            </w:r>
          </w:p>
        </w:tc>
        <w:tc>
          <w:tcPr>
            <w:tcW w:w="2069" w:type="dxa"/>
            <w:vAlign w:val="center"/>
          </w:tcPr>
          <w:p w14:paraId="6AD7EDC9"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68,8</w:t>
            </w:r>
          </w:p>
        </w:tc>
        <w:tc>
          <w:tcPr>
            <w:tcW w:w="1967" w:type="dxa"/>
            <w:vAlign w:val="center"/>
          </w:tcPr>
          <w:p w14:paraId="78CA153A"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52,3</w:t>
            </w:r>
          </w:p>
        </w:tc>
        <w:tc>
          <w:tcPr>
            <w:tcW w:w="1756" w:type="dxa"/>
            <w:vAlign w:val="center"/>
          </w:tcPr>
          <w:p w14:paraId="7B9D50C5"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34,4</w:t>
            </w:r>
          </w:p>
        </w:tc>
        <w:tc>
          <w:tcPr>
            <w:tcW w:w="1763" w:type="dxa"/>
            <w:vAlign w:val="center"/>
          </w:tcPr>
          <w:p w14:paraId="5D309BC3"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82,1</w:t>
            </w:r>
          </w:p>
        </w:tc>
      </w:tr>
    </w:tbl>
    <w:p w14:paraId="69F07553" w14:textId="72CE6316" w:rsidR="0046142C" w:rsidRDefault="0046142C" w:rsidP="0046142C">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Площадь под ROC-кривой составила 0,628 </w:t>
      </w:r>
      <w:r w:rsidR="00101272" w:rsidRPr="00A43B9C">
        <w:rPr>
          <w:rFonts w:ascii="Times New Roman" w:hAnsi="Times New Roman" w:cs="Times New Roman"/>
          <w:sz w:val="28"/>
          <w:szCs w:val="28"/>
        </w:rPr>
        <w:t>(</w:t>
      </w:r>
      <w:r w:rsidRPr="00A43B9C">
        <w:rPr>
          <w:rFonts w:ascii="Times New Roman" w:hAnsi="Times New Roman" w:cs="Times New Roman"/>
          <w:sz w:val="28"/>
          <w:szCs w:val="28"/>
        </w:rPr>
        <w:t>95% ДИ 0,462 – 0,794</w:t>
      </w:r>
      <w:r w:rsidR="00101272" w:rsidRPr="00A43B9C">
        <w:rPr>
          <w:rFonts w:ascii="Times New Roman" w:hAnsi="Times New Roman" w:cs="Times New Roman"/>
          <w:sz w:val="28"/>
          <w:szCs w:val="28"/>
        </w:rPr>
        <w:t>)</w:t>
      </w:r>
      <w:r w:rsidRPr="00A43B9C">
        <w:rPr>
          <w:rFonts w:ascii="Times New Roman" w:hAnsi="Times New Roman" w:cs="Times New Roman"/>
          <w:sz w:val="28"/>
          <w:szCs w:val="28"/>
        </w:rPr>
        <w:t xml:space="preserve">. </w:t>
      </w:r>
      <w:r w:rsidR="00101272" w:rsidRPr="00A43B9C">
        <w:rPr>
          <w:rFonts w:ascii="Times New Roman" w:hAnsi="Times New Roman" w:cs="Times New Roman"/>
          <w:sz w:val="28"/>
          <w:szCs w:val="28"/>
        </w:rPr>
        <w:t xml:space="preserve">Данная </w:t>
      </w:r>
      <w:r w:rsidRPr="00A43B9C">
        <w:rPr>
          <w:rFonts w:ascii="Times New Roman" w:hAnsi="Times New Roman" w:cs="Times New Roman"/>
          <w:sz w:val="28"/>
          <w:szCs w:val="28"/>
        </w:rPr>
        <w:t xml:space="preserve">модель </w:t>
      </w:r>
      <w:r w:rsidR="00101272" w:rsidRPr="00A43B9C">
        <w:rPr>
          <w:rFonts w:ascii="Times New Roman" w:hAnsi="Times New Roman" w:cs="Times New Roman"/>
          <w:sz w:val="28"/>
          <w:szCs w:val="28"/>
        </w:rPr>
        <w:t xml:space="preserve">в итоге </w:t>
      </w:r>
      <w:r w:rsidRPr="00A43B9C">
        <w:rPr>
          <w:rFonts w:ascii="Times New Roman" w:hAnsi="Times New Roman" w:cs="Times New Roman"/>
          <w:sz w:val="28"/>
          <w:szCs w:val="28"/>
        </w:rPr>
        <w:t xml:space="preserve">не </w:t>
      </w:r>
      <w:r w:rsidR="00C63313" w:rsidRPr="00A43B9C">
        <w:rPr>
          <w:rFonts w:ascii="Times New Roman" w:hAnsi="Times New Roman" w:cs="Times New Roman"/>
          <w:sz w:val="28"/>
          <w:szCs w:val="28"/>
        </w:rPr>
        <w:t>достигла</w:t>
      </w:r>
      <w:r w:rsidRPr="00A43B9C">
        <w:rPr>
          <w:rFonts w:ascii="Times New Roman" w:hAnsi="Times New Roman" w:cs="Times New Roman"/>
          <w:sz w:val="28"/>
          <w:szCs w:val="28"/>
        </w:rPr>
        <w:t xml:space="preserve"> статистическ</w:t>
      </w:r>
      <w:r w:rsidR="00C63313" w:rsidRPr="00A43B9C">
        <w:rPr>
          <w:rFonts w:ascii="Times New Roman" w:hAnsi="Times New Roman" w:cs="Times New Roman"/>
          <w:sz w:val="28"/>
          <w:szCs w:val="28"/>
        </w:rPr>
        <w:t>ой</w:t>
      </w:r>
      <w:r w:rsidRPr="00A43B9C">
        <w:rPr>
          <w:rFonts w:ascii="Times New Roman" w:hAnsi="Times New Roman" w:cs="Times New Roman"/>
          <w:sz w:val="28"/>
          <w:szCs w:val="28"/>
        </w:rPr>
        <w:t xml:space="preserve"> значимо</w:t>
      </w:r>
      <w:r w:rsidR="00C63313" w:rsidRPr="00A43B9C">
        <w:rPr>
          <w:rFonts w:ascii="Times New Roman" w:hAnsi="Times New Roman" w:cs="Times New Roman"/>
          <w:sz w:val="28"/>
          <w:szCs w:val="28"/>
        </w:rPr>
        <w:t>сти</w:t>
      </w:r>
      <w:r w:rsidRPr="00A43B9C">
        <w:rPr>
          <w:rFonts w:ascii="Times New Roman" w:hAnsi="Times New Roman" w:cs="Times New Roman"/>
          <w:sz w:val="28"/>
          <w:szCs w:val="28"/>
        </w:rPr>
        <w:t xml:space="preserve"> (p = 0,132).</w:t>
      </w:r>
      <w:r w:rsidR="0010127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Пороговое значение уровня </w:t>
      </w:r>
      <w:r w:rsidR="00101272"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101272"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101272"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P в точке </w:t>
      </w:r>
      <w:r w:rsidR="00101272" w:rsidRPr="00A43B9C">
        <w:rPr>
          <w:rFonts w:ascii="Times New Roman" w:hAnsi="Times New Roman" w:cs="Times New Roman"/>
          <w:sz w:val="28"/>
          <w:szCs w:val="28"/>
        </w:rPr>
        <w:t>отсечения</w:t>
      </w:r>
      <w:r w:rsidRPr="00A43B9C">
        <w:rPr>
          <w:rFonts w:ascii="Times New Roman" w:hAnsi="Times New Roman" w:cs="Times New Roman"/>
          <w:sz w:val="28"/>
          <w:szCs w:val="28"/>
        </w:rPr>
        <w:t>, которому соответствовало наивысшее значение индекса Юдена, составило 1,00 (рисунок 6</w:t>
      </w:r>
      <w:r w:rsidR="00E81502">
        <w:rPr>
          <w:rFonts w:ascii="Times New Roman" w:hAnsi="Times New Roman" w:cs="Times New Roman"/>
          <w:sz w:val="28"/>
          <w:szCs w:val="28"/>
        </w:rPr>
        <w:t>6</w:t>
      </w:r>
      <w:r w:rsidRPr="00A43B9C">
        <w:rPr>
          <w:rFonts w:ascii="Times New Roman" w:hAnsi="Times New Roman" w:cs="Times New Roman"/>
          <w:sz w:val="28"/>
          <w:szCs w:val="28"/>
        </w:rPr>
        <w:t xml:space="preserve">). Наличие </w:t>
      </w:r>
      <w:r w:rsidR="000874C1" w:rsidRPr="00A43B9C">
        <w:rPr>
          <w:rFonts w:ascii="Times New Roman" w:eastAsia="Times New Roman" w:hAnsi="Times New Roman" w:cs="Times New Roman"/>
          <w:sz w:val="28"/>
          <w:szCs w:val="28"/>
          <w:lang w:val="en-US" w:eastAsia="ru-RU"/>
        </w:rPr>
        <w:t>pLM</w:t>
      </w:r>
      <w:r w:rsidRPr="00A43B9C">
        <w:rPr>
          <w:rFonts w:ascii="Times New Roman" w:hAnsi="Times New Roman" w:cs="Times New Roman"/>
          <w:sz w:val="28"/>
          <w:szCs w:val="28"/>
        </w:rPr>
        <w:t xml:space="preserve"> прогнозировалось при значении </w:t>
      </w:r>
      <w:r w:rsidRPr="00A43B9C">
        <w:rPr>
          <w:rFonts w:ascii="Times New Roman" w:hAnsi="Times New Roman" w:cs="Times New Roman"/>
          <w:sz w:val="28"/>
          <w:szCs w:val="28"/>
        </w:rPr>
        <w:lastRenderedPageBreak/>
        <w:t xml:space="preserve">уровня </w:t>
      </w:r>
      <w:r w:rsidR="00101272"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101272"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C63313" w:rsidRPr="00A43B9C">
        <w:rPr>
          <w:rFonts w:ascii="Times New Roman" w:hAnsi="Times New Roman" w:cs="Times New Roman"/>
          <w:sz w:val="28"/>
          <w:szCs w:val="28"/>
        </w:rPr>
        <w:t>локализации</w:t>
      </w:r>
      <w:r w:rsidR="0010127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P ниже данной величины или равном ей. Чувствительность и специфичность модели составили 62,5% и 63,6%, а </w:t>
      </w:r>
      <w:r w:rsidRPr="00A43B9C">
        <w:rPr>
          <w:rFonts w:ascii="Times New Roman" w:hAnsi="Times New Roman" w:cs="Times New Roman"/>
          <w:sz w:val="28"/>
          <w:szCs w:val="28"/>
          <w:lang w:val="en-US"/>
        </w:rPr>
        <w:t>PPV</w:t>
      </w:r>
      <w:r w:rsidRPr="00A43B9C">
        <w:rPr>
          <w:rFonts w:ascii="Times New Roman" w:hAnsi="Times New Roman" w:cs="Times New Roman"/>
          <w:sz w:val="28"/>
          <w:szCs w:val="28"/>
        </w:rPr>
        <w:t xml:space="preserve"> и </w:t>
      </w:r>
      <w:r w:rsidRPr="00A43B9C">
        <w:rPr>
          <w:rFonts w:ascii="Times New Roman" w:hAnsi="Times New Roman" w:cs="Times New Roman"/>
          <w:sz w:val="28"/>
          <w:szCs w:val="28"/>
          <w:lang w:val="en-US"/>
        </w:rPr>
        <w:t>NPV</w:t>
      </w:r>
      <w:r w:rsidRPr="00A43B9C">
        <w:rPr>
          <w:rFonts w:ascii="Times New Roman" w:hAnsi="Times New Roman" w:cs="Times New Roman"/>
          <w:sz w:val="28"/>
          <w:szCs w:val="28"/>
        </w:rPr>
        <w:t xml:space="preserve"> составили 38,5% и 82,4% соответственно (таблица 43).</w:t>
      </w:r>
    </w:p>
    <w:p w14:paraId="41123CCF" w14:textId="77777777" w:rsidR="00AB2535" w:rsidRPr="00A43B9C" w:rsidRDefault="00AB2535" w:rsidP="0046142C">
      <w:pPr>
        <w:spacing w:after="0" w:line="240" w:lineRule="auto"/>
        <w:ind w:firstLine="709"/>
        <w:jc w:val="both"/>
        <w:rPr>
          <w:rFonts w:ascii="Times New Roman" w:hAnsi="Times New Roman" w:cs="Times New Roman"/>
          <w:sz w:val="28"/>
          <w:szCs w:val="28"/>
        </w:rPr>
      </w:pPr>
    </w:p>
    <w:p w14:paraId="033FB802" w14:textId="0AAB6ED3" w:rsidR="00E96563" w:rsidRPr="00A43B9C" w:rsidRDefault="00040E82" w:rsidP="00EB0A77">
      <w:pPr>
        <w:pStyle w:val="31"/>
        <w:spacing w:before="0" w:line="240" w:lineRule="auto"/>
        <w:ind w:firstLine="709"/>
        <w:jc w:val="both"/>
        <w:rPr>
          <w:rFonts w:ascii="Times New Roman" w:eastAsia="Times New Roman" w:hAnsi="Times New Roman" w:cs="Times New Roman"/>
          <w:color w:val="auto"/>
          <w:sz w:val="28"/>
          <w:szCs w:val="28"/>
          <w:lang w:val="kk-KZ" w:eastAsia="ru-RU"/>
        </w:rPr>
      </w:pPr>
      <w:bookmarkStart w:id="96" w:name="_Toc94105264"/>
      <w:bookmarkStart w:id="97" w:name="_Toc101447665"/>
      <w:bookmarkStart w:id="98" w:name="_Toc101861826"/>
      <w:bookmarkStart w:id="99" w:name="_Toc102937629"/>
      <w:bookmarkStart w:id="100" w:name="_Hlk102936318"/>
      <w:r w:rsidRPr="00A43B9C">
        <w:rPr>
          <w:rFonts w:ascii="Times New Roman" w:eastAsia="Times New Roman" w:hAnsi="Times New Roman" w:cs="Times New Roman"/>
          <w:color w:val="auto"/>
          <w:sz w:val="28"/>
          <w:szCs w:val="28"/>
          <w:lang w:eastAsia="ru-RU"/>
        </w:rPr>
        <w:t>3</w:t>
      </w:r>
      <w:r w:rsidR="00E96563" w:rsidRPr="00A43B9C">
        <w:rPr>
          <w:rFonts w:ascii="Times New Roman" w:eastAsia="Times New Roman" w:hAnsi="Times New Roman" w:cs="Times New Roman"/>
          <w:color w:val="auto"/>
          <w:sz w:val="28"/>
          <w:szCs w:val="28"/>
          <w:lang w:eastAsia="ru-RU"/>
        </w:rPr>
        <w:t>.</w:t>
      </w:r>
      <w:r w:rsidRPr="00A43B9C">
        <w:rPr>
          <w:rFonts w:ascii="Times New Roman" w:eastAsia="Times New Roman" w:hAnsi="Times New Roman" w:cs="Times New Roman"/>
          <w:color w:val="auto"/>
          <w:sz w:val="28"/>
          <w:szCs w:val="28"/>
          <w:lang w:eastAsia="ru-RU"/>
        </w:rPr>
        <w:t>2.</w:t>
      </w:r>
      <w:r w:rsidR="00B674B1" w:rsidRPr="00A43B9C">
        <w:rPr>
          <w:rFonts w:ascii="Times New Roman" w:eastAsia="Times New Roman" w:hAnsi="Times New Roman" w:cs="Times New Roman"/>
          <w:color w:val="auto"/>
          <w:sz w:val="28"/>
          <w:szCs w:val="28"/>
          <w:lang w:eastAsia="ru-RU"/>
        </w:rPr>
        <w:t>5</w:t>
      </w:r>
      <w:r w:rsidR="00E96563" w:rsidRPr="00A43B9C">
        <w:rPr>
          <w:rFonts w:ascii="Times New Roman" w:eastAsia="Times New Roman" w:hAnsi="Times New Roman" w:cs="Times New Roman"/>
          <w:color w:val="auto"/>
          <w:sz w:val="28"/>
          <w:szCs w:val="28"/>
          <w:lang w:eastAsia="ru-RU"/>
        </w:rPr>
        <w:t xml:space="preserve"> </w:t>
      </w:r>
      <w:r w:rsidR="00E27D35" w:rsidRPr="00A43B9C">
        <w:rPr>
          <w:rFonts w:ascii="Times New Roman" w:eastAsia="Times New Roman" w:hAnsi="Times New Roman" w:cs="Times New Roman"/>
          <w:color w:val="auto"/>
          <w:sz w:val="28"/>
          <w:szCs w:val="28"/>
          <w:lang w:eastAsia="ru-RU"/>
        </w:rPr>
        <w:t xml:space="preserve">Результаты оценки </w:t>
      </w:r>
      <w:r w:rsidR="00E96563" w:rsidRPr="00A43B9C">
        <w:rPr>
          <w:rFonts w:ascii="Times New Roman" w:eastAsia="Times New Roman" w:hAnsi="Times New Roman" w:cs="Times New Roman"/>
          <w:color w:val="auto"/>
          <w:sz w:val="28"/>
          <w:szCs w:val="28"/>
          <w:lang w:eastAsia="ru-RU"/>
        </w:rPr>
        <w:t xml:space="preserve">прогностической </w:t>
      </w:r>
      <w:r w:rsidR="00E96563" w:rsidRPr="00A43B9C">
        <w:rPr>
          <w:rFonts w:ascii="Times New Roman" w:eastAsia="Times New Roman" w:hAnsi="Times New Roman" w:cs="Times New Roman"/>
          <w:color w:val="auto"/>
          <w:sz w:val="28"/>
          <w:szCs w:val="28"/>
          <w:lang w:val="kk-KZ" w:eastAsia="ru-RU"/>
        </w:rPr>
        <w:t>ценност</w:t>
      </w:r>
      <w:bookmarkEnd w:id="96"/>
      <w:bookmarkEnd w:id="97"/>
      <w:r w:rsidR="00E96563" w:rsidRPr="00A43B9C">
        <w:rPr>
          <w:rFonts w:ascii="Times New Roman" w:eastAsia="Times New Roman" w:hAnsi="Times New Roman" w:cs="Times New Roman"/>
          <w:color w:val="auto"/>
          <w:sz w:val="28"/>
          <w:szCs w:val="28"/>
          <w:lang w:val="kk-KZ" w:eastAsia="ru-RU"/>
        </w:rPr>
        <w:t>и</w:t>
      </w:r>
      <w:bookmarkEnd w:id="98"/>
      <w:bookmarkEnd w:id="99"/>
    </w:p>
    <w:p w14:paraId="483F6FBF" w14:textId="3AC9AE27" w:rsidR="00CF1D93" w:rsidRPr="00A43B9C" w:rsidRDefault="003844C6" w:rsidP="00CF1D93">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Нами б</w:t>
      </w:r>
      <w:r w:rsidR="00CF1D93" w:rsidRPr="00A43B9C">
        <w:rPr>
          <w:rFonts w:ascii="Times New Roman" w:hAnsi="Times New Roman" w:cs="Times New Roman"/>
          <w:sz w:val="28"/>
          <w:szCs w:val="28"/>
        </w:rPr>
        <w:t xml:space="preserve">ыла разработана прогностическая модель для определения вероятности </w:t>
      </w:r>
      <w:r w:rsidR="000874C1" w:rsidRPr="00A43B9C">
        <w:rPr>
          <w:rFonts w:ascii="Times New Roman" w:hAnsi="Times New Roman" w:cs="Times New Roman"/>
          <w:sz w:val="28"/>
          <w:szCs w:val="28"/>
          <w:lang w:val="en-US"/>
        </w:rPr>
        <w:t>LM</w:t>
      </w:r>
      <w:r w:rsidR="00CF1D93" w:rsidRPr="00A43B9C">
        <w:rPr>
          <w:rFonts w:ascii="Times New Roman" w:hAnsi="Times New Roman" w:cs="Times New Roman"/>
          <w:sz w:val="28"/>
          <w:szCs w:val="28"/>
        </w:rPr>
        <w:t xml:space="preserve"> при проведении </w:t>
      </w:r>
      <w:r w:rsidR="00CF1D93" w:rsidRPr="00A43B9C">
        <w:rPr>
          <w:rFonts w:ascii="Times New Roman" w:hAnsi="Times New Roman" w:cs="Times New Roman"/>
          <w:sz w:val="28"/>
          <w:szCs w:val="28"/>
          <w:vertAlign w:val="superscript"/>
        </w:rPr>
        <w:t>18</w:t>
      </w:r>
      <w:r w:rsidR="00CF1D93" w:rsidRPr="00A43B9C">
        <w:rPr>
          <w:rFonts w:ascii="Times New Roman" w:hAnsi="Times New Roman" w:cs="Times New Roman"/>
          <w:sz w:val="28"/>
          <w:szCs w:val="28"/>
          <w:lang w:val="en-US"/>
        </w:rPr>
        <w:t>F</w:t>
      </w:r>
      <w:r w:rsidR="00CF1D93" w:rsidRPr="00A43B9C">
        <w:rPr>
          <w:rFonts w:ascii="Times New Roman" w:hAnsi="Times New Roman" w:cs="Times New Roman"/>
          <w:sz w:val="28"/>
          <w:szCs w:val="28"/>
        </w:rPr>
        <w:t>-</w:t>
      </w:r>
      <w:r w:rsidR="00CF1D93" w:rsidRPr="00A43B9C">
        <w:rPr>
          <w:rFonts w:ascii="Times New Roman" w:hAnsi="Times New Roman" w:cs="Times New Roman"/>
          <w:sz w:val="28"/>
          <w:szCs w:val="28"/>
          <w:lang w:val="en-US"/>
        </w:rPr>
        <w:t>FDG</w:t>
      </w:r>
      <w:r w:rsidR="00CF1D93" w:rsidRPr="00A43B9C">
        <w:rPr>
          <w:rFonts w:ascii="Times New Roman" w:hAnsi="Times New Roman" w:cs="Times New Roman"/>
          <w:sz w:val="28"/>
          <w:szCs w:val="28"/>
        </w:rPr>
        <w:t xml:space="preserve"> ПЭТ/КТ исследовании в зависимости от уровня </w:t>
      </w:r>
      <w:r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00CF1D93" w:rsidRPr="00A43B9C">
        <w:rPr>
          <w:rFonts w:ascii="Times New Roman" w:hAnsi="Times New Roman" w:cs="Times New Roman"/>
          <w:sz w:val="28"/>
          <w:szCs w:val="28"/>
          <w:lang w:val="en-US"/>
        </w:rPr>
        <w:t>SUV</w:t>
      </w:r>
      <w:r w:rsidR="00CF1D93" w:rsidRPr="00A43B9C">
        <w:rPr>
          <w:rFonts w:ascii="Times New Roman" w:hAnsi="Times New Roman" w:cs="Times New Roman"/>
          <w:sz w:val="28"/>
          <w:szCs w:val="28"/>
          <w:vertAlign w:val="subscript"/>
          <w:lang w:val="en-US"/>
        </w:rPr>
        <w:t>max</w:t>
      </w:r>
      <w:r w:rsidR="00CF1D93" w:rsidRPr="00A43B9C">
        <w:rPr>
          <w:rFonts w:ascii="Times New Roman" w:hAnsi="Times New Roman" w:cs="Times New Roman"/>
          <w:sz w:val="28"/>
          <w:szCs w:val="28"/>
        </w:rPr>
        <w:t xml:space="preserve"> в </w:t>
      </w:r>
      <w:r w:rsidR="00CF1D93" w:rsidRPr="00A43B9C">
        <w:rPr>
          <w:rFonts w:ascii="Times New Roman" w:hAnsi="Times New Roman" w:cs="Times New Roman"/>
          <w:sz w:val="28"/>
          <w:szCs w:val="28"/>
          <w:lang w:val="en-US"/>
        </w:rPr>
        <w:t>VAT</w:t>
      </w:r>
      <w:r w:rsidR="00CF1D93" w:rsidRPr="00A43B9C">
        <w:rPr>
          <w:rFonts w:ascii="Times New Roman" w:hAnsi="Times New Roman" w:cs="Times New Roman"/>
          <w:sz w:val="28"/>
          <w:szCs w:val="28"/>
        </w:rPr>
        <w:t xml:space="preserve"> в локализации R</w:t>
      </w:r>
      <w:r w:rsidR="00CF1D93" w:rsidRPr="00A43B9C">
        <w:rPr>
          <w:rFonts w:ascii="Times New Roman" w:hAnsi="Times New Roman" w:cs="Times New Roman"/>
          <w:sz w:val="28"/>
          <w:szCs w:val="28"/>
          <w:lang w:val="en-US"/>
        </w:rPr>
        <w:t>U</w:t>
      </w:r>
      <w:r w:rsidR="00CF1D93" w:rsidRPr="00A43B9C">
        <w:rPr>
          <w:rFonts w:ascii="Times New Roman" w:hAnsi="Times New Roman" w:cs="Times New Roman"/>
          <w:sz w:val="28"/>
          <w:szCs w:val="28"/>
        </w:rPr>
        <w:t xml:space="preserve"> методом бинарной логистической регрессии</w:t>
      </w:r>
      <w:r w:rsidR="00FA33C1" w:rsidRPr="00A43B9C">
        <w:rPr>
          <w:rFonts w:ascii="Times New Roman" w:hAnsi="Times New Roman" w:cs="Times New Roman"/>
          <w:sz w:val="28"/>
          <w:szCs w:val="28"/>
        </w:rPr>
        <w:t xml:space="preserve"> (рисунок 6</w:t>
      </w:r>
      <w:r w:rsidR="00E81502">
        <w:rPr>
          <w:rFonts w:ascii="Times New Roman" w:hAnsi="Times New Roman" w:cs="Times New Roman"/>
          <w:sz w:val="28"/>
          <w:szCs w:val="28"/>
        </w:rPr>
        <w:t>7</w:t>
      </w:r>
      <w:r w:rsidR="00FA33C1" w:rsidRPr="00A43B9C">
        <w:rPr>
          <w:rFonts w:ascii="Times New Roman" w:hAnsi="Times New Roman" w:cs="Times New Roman"/>
          <w:sz w:val="28"/>
          <w:szCs w:val="28"/>
        </w:rPr>
        <w:t>)</w:t>
      </w:r>
      <w:r w:rsidR="00CF1D93" w:rsidRPr="00A43B9C">
        <w:rPr>
          <w:rFonts w:ascii="Times New Roman" w:hAnsi="Times New Roman" w:cs="Times New Roman"/>
          <w:sz w:val="28"/>
          <w:szCs w:val="28"/>
        </w:rPr>
        <w:t>. Число наблюдений составило 60. Наблюдаемая зависимость описывается уравнением:</w:t>
      </w:r>
    </w:p>
    <w:p w14:paraId="44AECD80" w14:textId="77777777" w:rsidR="00CF1D93" w:rsidRPr="00A43B9C" w:rsidRDefault="00CF1D93" w:rsidP="00CF1D93">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lang w:val="en-US"/>
        </w:rPr>
        <w:t>P</w:t>
      </w:r>
      <w:r w:rsidRPr="00A43B9C">
        <w:rPr>
          <w:rFonts w:ascii="Times New Roman" w:hAnsi="Times New Roman" w:cs="Times New Roman"/>
          <w:sz w:val="28"/>
          <w:szCs w:val="28"/>
        </w:rPr>
        <w:t xml:space="preserve"> = 1 / (1 + </w:t>
      </w:r>
      <w:r w:rsidRPr="00A43B9C">
        <w:rPr>
          <w:rFonts w:ascii="Times New Roman" w:hAnsi="Times New Roman" w:cs="Times New Roman"/>
          <w:sz w:val="28"/>
          <w:szCs w:val="28"/>
          <w:lang w:val="en-US"/>
        </w:rPr>
        <w:t>e</w:t>
      </w:r>
      <w:r w:rsidRPr="00A43B9C">
        <w:rPr>
          <w:rFonts w:ascii="Times New Roman" w:hAnsi="Times New Roman" w:cs="Times New Roman"/>
          <w:sz w:val="28"/>
          <w:szCs w:val="28"/>
          <w:vertAlign w:val="superscript"/>
        </w:rPr>
        <w:t>-</w:t>
      </w:r>
      <w:r w:rsidRPr="00A43B9C">
        <w:rPr>
          <w:rFonts w:ascii="Times New Roman" w:hAnsi="Times New Roman" w:cs="Times New Roman"/>
          <w:sz w:val="28"/>
          <w:szCs w:val="28"/>
          <w:vertAlign w:val="superscript"/>
          <w:lang w:val="en-US"/>
        </w:rPr>
        <w:t>z</w:t>
      </w:r>
      <w:r w:rsidRPr="00A43B9C">
        <w:rPr>
          <w:rFonts w:ascii="Times New Roman" w:hAnsi="Times New Roman" w:cs="Times New Roman"/>
          <w:sz w:val="28"/>
          <w:szCs w:val="28"/>
        </w:rPr>
        <w:t>) × 100%</w:t>
      </w:r>
    </w:p>
    <w:p w14:paraId="010E7C8C" w14:textId="77777777" w:rsidR="00CF1D93" w:rsidRPr="00A43B9C" w:rsidRDefault="00CF1D93" w:rsidP="00CF1D93">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lang w:val="en-US"/>
        </w:rPr>
        <w:t>z</w:t>
      </w:r>
      <w:r w:rsidRPr="00A43B9C">
        <w:rPr>
          <w:rFonts w:ascii="Times New Roman" w:hAnsi="Times New Roman" w:cs="Times New Roman"/>
          <w:sz w:val="28"/>
          <w:szCs w:val="28"/>
        </w:rPr>
        <w:t xml:space="preserve"> = -2,744 + 1,815</w:t>
      </w:r>
      <w:r w:rsidRPr="00A43B9C">
        <w:rPr>
          <w:rFonts w:ascii="Times New Roman" w:hAnsi="Times New Roman" w:cs="Times New Roman"/>
          <w:sz w:val="28"/>
          <w:szCs w:val="28"/>
          <w:lang w:val="en-US"/>
        </w:rPr>
        <w:t>X</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RU</w:t>
      </w:r>
    </w:p>
    <w:p w14:paraId="23CCC08E" w14:textId="77777777" w:rsidR="00CF1D93" w:rsidRPr="00A43B9C" w:rsidRDefault="00CF1D93" w:rsidP="00CF1D93">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где </w:t>
      </w:r>
      <w:r w:rsidRPr="00A43B9C">
        <w:rPr>
          <w:rFonts w:ascii="Times New Roman" w:hAnsi="Times New Roman" w:cs="Times New Roman"/>
          <w:sz w:val="28"/>
          <w:szCs w:val="28"/>
          <w:lang w:val="en-US"/>
        </w:rPr>
        <w:t>P</w:t>
      </w:r>
      <w:r w:rsidRPr="00A43B9C">
        <w:rPr>
          <w:rFonts w:ascii="Times New Roman" w:hAnsi="Times New Roman" w:cs="Times New Roman"/>
          <w:sz w:val="28"/>
          <w:szCs w:val="28"/>
        </w:rPr>
        <w:t xml:space="preserve"> – вероятность </w:t>
      </w:r>
      <w:r w:rsidRPr="00A43B9C">
        <w:rPr>
          <w:rFonts w:ascii="Times New Roman" w:hAnsi="Times New Roman" w:cs="Times New Roman"/>
          <w:sz w:val="28"/>
          <w:szCs w:val="28"/>
          <w:lang w:val="en-US"/>
        </w:rPr>
        <w:t>pLM</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X</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RU</w:t>
      </w:r>
      <w:r w:rsidRPr="00A43B9C">
        <w:rPr>
          <w:rFonts w:ascii="Times New Roman" w:hAnsi="Times New Roman" w:cs="Times New Roman"/>
          <w:sz w:val="28"/>
          <w:szCs w:val="28"/>
        </w:rPr>
        <w:t xml:space="preserve"> –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RU</w:t>
      </w:r>
    </w:p>
    <w:p w14:paraId="0103DC2F" w14:textId="77777777" w:rsidR="00CF1D93" w:rsidRPr="00A43B9C" w:rsidRDefault="00CF1D93" w:rsidP="00CF1D93">
      <w:pPr>
        <w:spacing w:after="0" w:line="240" w:lineRule="auto"/>
        <w:rPr>
          <w:rFonts w:ascii="Times New Roman" w:hAnsi="Times New Roman" w:cs="Times New Roman"/>
          <w:sz w:val="28"/>
          <w:szCs w:val="28"/>
        </w:rPr>
      </w:pPr>
    </w:p>
    <w:p w14:paraId="2B194C43" w14:textId="09D2F35C" w:rsidR="00CF1D93" w:rsidRPr="00A43B9C" w:rsidRDefault="00CF1D93" w:rsidP="00CF1D93">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Полученная регрессионная модель является статистически значимой (p = 0,011). Исходя из значения коэффициента детерминации Найджелкерка, модель объясняет 14,9% наблюдаемой дисперсии показателя </w:t>
      </w:r>
      <w:r w:rsidR="000874C1" w:rsidRPr="00A43B9C">
        <w:rPr>
          <w:rFonts w:ascii="Times New Roman" w:eastAsia="Times New Roman" w:hAnsi="Times New Roman" w:cs="Times New Roman"/>
          <w:sz w:val="28"/>
          <w:szCs w:val="28"/>
          <w:lang w:val="en-US" w:eastAsia="ru-RU"/>
        </w:rPr>
        <w:t>LM</w:t>
      </w:r>
      <w:r w:rsidRPr="00A43B9C">
        <w:rPr>
          <w:rFonts w:ascii="Times New Roman" w:hAnsi="Times New Roman" w:cs="Times New Roman"/>
          <w:sz w:val="28"/>
          <w:szCs w:val="28"/>
        </w:rPr>
        <w:t>.</w:t>
      </w:r>
      <w:r w:rsidR="003844C6"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Исходя из значений регрессионных коэффициентов, была установлена прямая </w:t>
      </w:r>
      <w:r w:rsidR="003844C6" w:rsidRPr="00A43B9C">
        <w:rPr>
          <w:rFonts w:ascii="Times New Roman" w:hAnsi="Times New Roman" w:cs="Times New Roman"/>
          <w:sz w:val="28"/>
          <w:szCs w:val="28"/>
        </w:rPr>
        <w:t>ассоциация</w:t>
      </w:r>
      <w:r w:rsidRPr="00A43B9C">
        <w:rPr>
          <w:rFonts w:ascii="Times New Roman" w:hAnsi="Times New Roman" w:cs="Times New Roman"/>
          <w:sz w:val="28"/>
          <w:szCs w:val="28"/>
        </w:rPr>
        <w:t xml:space="preserve"> </w:t>
      </w:r>
      <w:r w:rsidR="003844C6"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w:t>
      </w:r>
      <w:r w:rsidRPr="00A43B9C">
        <w:rPr>
          <w:rFonts w:ascii="Times New Roman" w:hAnsi="Times New Roman" w:cs="Times New Roman"/>
          <w:sz w:val="28"/>
          <w:szCs w:val="28"/>
          <w:lang w:val="en-US"/>
        </w:rPr>
        <w:t>U</w:t>
      </w:r>
      <w:r w:rsidRPr="00A43B9C">
        <w:rPr>
          <w:rFonts w:ascii="Times New Roman" w:hAnsi="Times New Roman" w:cs="Times New Roman"/>
          <w:sz w:val="28"/>
          <w:szCs w:val="28"/>
        </w:rPr>
        <w:t xml:space="preserve"> с вероятностью выявления </w:t>
      </w:r>
      <w:r w:rsidRPr="00A43B9C">
        <w:rPr>
          <w:rFonts w:ascii="Times New Roman" w:eastAsia="Times New Roman" w:hAnsi="Times New Roman" w:cs="Times New Roman"/>
          <w:sz w:val="28"/>
          <w:szCs w:val="28"/>
          <w:lang w:eastAsia="ru-RU"/>
        </w:rPr>
        <w:t xml:space="preserve">метастатического поражения </w:t>
      </w:r>
      <w:r w:rsidR="00D83043">
        <w:rPr>
          <w:rFonts w:ascii="Times New Roman" w:eastAsia="Times New Roman" w:hAnsi="Times New Roman" w:cs="Times New Roman"/>
          <w:sz w:val="28"/>
          <w:szCs w:val="28"/>
          <w:lang w:eastAsia="ru-RU"/>
        </w:rPr>
        <w:t>брюшины</w:t>
      </w:r>
      <w:r w:rsidRPr="00A43B9C">
        <w:rPr>
          <w:rFonts w:ascii="Times New Roman" w:eastAsia="Times New Roman" w:hAnsi="Times New Roman" w:cs="Times New Roman"/>
          <w:sz w:val="28"/>
          <w:szCs w:val="28"/>
          <w:lang w:eastAsia="ru-RU"/>
        </w:rPr>
        <w:t xml:space="preserve"> (таблица 44)</w:t>
      </w:r>
      <w:r w:rsidRPr="00A43B9C">
        <w:rPr>
          <w:rFonts w:ascii="Times New Roman" w:hAnsi="Times New Roman" w:cs="Times New Roman"/>
          <w:sz w:val="28"/>
          <w:szCs w:val="28"/>
        </w:rPr>
        <w:t>.</w:t>
      </w:r>
    </w:p>
    <w:p w14:paraId="048F6642" w14:textId="77777777" w:rsidR="00CF1D93" w:rsidRPr="00A43B9C" w:rsidRDefault="00CF1D93" w:rsidP="00CF1D93">
      <w:pPr>
        <w:spacing w:after="0" w:line="240" w:lineRule="auto"/>
        <w:rPr>
          <w:rFonts w:ascii="Times New Roman" w:hAnsi="Times New Roman" w:cs="Times New Roman"/>
          <w:sz w:val="28"/>
          <w:szCs w:val="28"/>
        </w:rPr>
      </w:pPr>
    </w:p>
    <w:p w14:paraId="0C52A322" w14:textId="754679D2" w:rsidR="00CF1D93" w:rsidRPr="00A43B9C" w:rsidRDefault="000A6F86" w:rsidP="000B6935">
      <w:pPr>
        <w:spacing w:after="0" w:line="240" w:lineRule="auto"/>
        <w:jc w:val="both"/>
        <w:rPr>
          <w:rFonts w:ascii="Times New Roman" w:eastAsia="Times New Roman" w:hAnsi="Times New Roman" w:cs="Times New Roman"/>
          <w:sz w:val="28"/>
          <w:szCs w:val="28"/>
          <w:lang w:eastAsia="ru-RU"/>
        </w:rPr>
      </w:pPr>
      <w:r w:rsidRPr="00A43B9C">
        <w:rPr>
          <w:rFonts w:ascii="Times New Roman" w:hAnsi="Times New Roman" w:cs="Times New Roman"/>
          <w:sz w:val="28"/>
          <w:szCs w:val="28"/>
        </w:rPr>
        <w:t>Таблица 44 -</w:t>
      </w:r>
      <w:r w:rsidR="00CF1D93" w:rsidRPr="00A43B9C">
        <w:rPr>
          <w:rFonts w:ascii="Times New Roman" w:hAnsi="Times New Roman" w:cs="Times New Roman"/>
          <w:sz w:val="28"/>
          <w:szCs w:val="28"/>
        </w:rPr>
        <w:t xml:space="preserve"> Характеристики </w:t>
      </w:r>
      <w:r w:rsidR="003844C6" w:rsidRPr="00A43B9C">
        <w:rPr>
          <w:rFonts w:ascii="Times New Roman" w:hAnsi="Times New Roman" w:cs="Times New Roman"/>
          <w:sz w:val="28"/>
          <w:szCs w:val="28"/>
        </w:rPr>
        <w:t>ассоциации</w:t>
      </w:r>
      <w:r w:rsidR="00CF1D93" w:rsidRPr="00A43B9C">
        <w:rPr>
          <w:rFonts w:ascii="Times New Roman" w:hAnsi="Times New Roman" w:cs="Times New Roman"/>
          <w:sz w:val="28"/>
          <w:szCs w:val="28"/>
        </w:rPr>
        <w:t xml:space="preserve"> предикторов модели с вероятностью выявления показателя </w:t>
      </w:r>
      <w:r w:rsidR="000874C1" w:rsidRPr="00A43B9C">
        <w:rPr>
          <w:rFonts w:ascii="Times New Roman" w:eastAsia="Times New Roman" w:hAnsi="Times New Roman" w:cs="Times New Roman"/>
          <w:sz w:val="28"/>
          <w:szCs w:val="28"/>
          <w:lang w:val="en-US" w:eastAsia="ru-RU"/>
        </w:rPr>
        <w:t>LM</w:t>
      </w:r>
    </w:p>
    <w:p w14:paraId="7FC823D6" w14:textId="77777777" w:rsidR="000B6935" w:rsidRPr="00A43B9C" w:rsidRDefault="000B6935" w:rsidP="000B6935">
      <w:pPr>
        <w:spacing w:after="0" w:line="240" w:lineRule="auto"/>
        <w:jc w:val="both"/>
        <w:rPr>
          <w:rFonts w:ascii="Times New Roman" w:hAnsi="Times New Roman" w:cs="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3"/>
        <w:gridCol w:w="1851"/>
        <w:gridCol w:w="1850"/>
        <w:gridCol w:w="1850"/>
        <w:gridCol w:w="1850"/>
      </w:tblGrid>
      <w:tr w:rsidR="003844C6" w:rsidRPr="00A43B9C" w14:paraId="6B64F9F6" w14:textId="77777777" w:rsidTr="00446A37">
        <w:trPr>
          <w:jc w:val="center"/>
        </w:trPr>
        <w:tc>
          <w:tcPr>
            <w:tcW w:w="1944" w:type="dxa"/>
            <w:vMerge w:val="restart"/>
            <w:vAlign w:val="center"/>
          </w:tcPr>
          <w:p w14:paraId="594908D2" w14:textId="77777777" w:rsidR="003844C6" w:rsidRPr="00A43B9C" w:rsidRDefault="003844C6" w:rsidP="003844C6">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Предикторы</w:t>
            </w:r>
          </w:p>
        </w:tc>
        <w:tc>
          <w:tcPr>
            <w:tcW w:w="3701" w:type="dxa"/>
            <w:gridSpan w:val="2"/>
            <w:vAlign w:val="center"/>
          </w:tcPr>
          <w:p w14:paraId="61E44657" w14:textId="69DD5C7C" w:rsidR="003844C6" w:rsidRPr="00A43B9C" w:rsidRDefault="003844C6" w:rsidP="003844C6">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Однофакторный анализ</w:t>
            </w:r>
          </w:p>
        </w:tc>
        <w:tc>
          <w:tcPr>
            <w:tcW w:w="3700" w:type="dxa"/>
            <w:gridSpan w:val="2"/>
            <w:vAlign w:val="center"/>
          </w:tcPr>
          <w:p w14:paraId="0D6B6095" w14:textId="6C31EC44" w:rsidR="003844C6" w:rsidRPr="00A43B9C" w:rsidRDefault="003844C6" w:rsidP="003844C6">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Многофакторный анализ</w:t>
            </w:r>
          </w:p>
        </w:tc>
      </w:tr>
      <w:tr w:rsidR="00CF1D93" w:rsidRPr="00A43B9C" w14:paraId="4DDF5398" w14:textId="77777777" w:rsidTr="00446A37">
        <w:trPr>
          <w:jc w:val="center"/>
        </w:trPr>
        <w:tc>
          <w:tcPr>
            <w:tcW w:w="1944" w:type="dxa"/>
            <w:vMerge/>
          </w:tcPr>
          <w:p w14:paraId="1BD6374C" w14:textId="77777777" w:rsidR="00CF1D93" w:rsidRPr="00A43B9C" w:rsidRDefault="00CF1D93" w:rsidP="00446A37">
            <w:pPr>
              <w:spacing w:after="0" w:line="240" w:lineRule="auto"/>
              <w:ind w:firstLine="709"/>
              <w:jc w:val="center"/>
              <w:rPr>
                <w:rFonts w:ascii="Times New Roman" w:hAnsi="Times New Roman" w:cs="Times New Roman"/>
                <w:b/>
                <w:bCs/>
                <w:sz w:val="28"/>
                <w:szCs w:val="28"/>
              </w:rPr>
            </w:pPr>
          </w:p>
        </w:tc>
        <w:tc>
          <w:tcPr>
            <w:tcW w:w="1851" w:type="dxa"/>
            <w:vAlign w:val="center"/>
          </w:tcPr>
          <w:p w14:paraId="04142BDD" w14:textId="5241EA22" w:rsidR="00CF1D93" w:rsidRPr="00A43B9C" w:rsidRDefault="003844C6"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ОШ</w:t>
            </w:r>
            <w:r w:rsidR="00CF1D93" w:rsidRPr="00A43B9C">
              <w:rPr>
                <w:rFonts w:ascii="Times New Roman" w:hAnsi="Times New Roman" w:cs="Times New Roman"/>
                <w:sz w:val="28"/>
                <w:szCs w:val="28"/>
              </w:rPr>
              <w:t>; 95% ДИ</w:t>
            </w:r>
          </w:p>
        </w:tc>
        <w:tc>
          <w:tcPr>
            <w:tcW w:w="1850" w:type="dxa"/>
            <w:vAlign w:val="center"/>
          </w:tcPr>
          <w:p w14:paraId="14E37B2E"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w:t>
            </w:r>
          </w:p>
        </w:tc>
        <w:tc>
          <w:tcPr>
            <w:tcW w:w="1850" w:type="dxa"/>
            <w:vAlign w:val="center"/>
          </w:tcPr>
          <w:p w14:paraId="75F94888" w14:textId="45BFF6E3" w:rsidR="00CF1D93" w:rsidRPr="00A43B9C" w:rsidRDefault="003844C6"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ОШ</w:t>
            </w:r>
            <w:r w:rsidR="00CF1D93" w:rsidRPr="00A43B9C">
              <w:rPr>
                <w:rFonts w:ascii="Times New Roman" w:hAnsi="Times New Roman" w:cs="Times New Roman"/>
                <w:sz w:val="28"/>
                <w:szCs w:val="28"/>
              </w:rPr>
              <w:t>; 95% ДИ</w:t>
            </w:r>
          </w:p>
        </w:tc>
        <w:tc>
          <w:tcPr>
            <w:tcW w:w="1850" w:type="dxa"/>
            <w:vAlign w:val="center"/>
          </w:tcPr>
          <w:p w14:paraId="77608BC7"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w:t>
            </w:r>
          </w:p>
        </w:tc>
      </w:tr>
      <w:tr w:rsidR="00CF1D93" w:rsidRPr="00A43B9C" w14:paraId="027F74E2" w14:textId="77777777" w:rsidTr="00446A37">
        <w:trPr>
          <w:jc w:val="center"/>
        </w:trPr>
        <w:tc>
          <w:tcPr>
            <w:tcW w:w="1944" w:type="dxa"/>
            <w:vAlign w:val="center"/>
          </w:tcPr>
          <w:p w14:paraId="0B96C344"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SUV</w:t>
            </w:r>
            <w:r w:rsidRPr="00A43B9C">
              <w:rPr>
                <w:rFonts w:ascii="Times New Roman" w:hAnsi="Times New Roman" w:cs="Times New Roman"/>
                <w:sz w:val="28"/>
                <w:szCs w:val="28"/>
                <w:vertAlign w:val="subscript"/>
              </w:rPr>
              <w:t>max</w:t>
            </w:r>
            <w:r w:rsidRPr="00A43B9C">
              <w:rPr>
                <w:rFonts w:ascii="Times New Roman" w:hAnsi="Times New Roman" w:cs="Times New Roman"/>
                <w:sz w:val="28"/>
                <w:szCs w:val="28"/>
              </w:rPr>
              <w:t xml:space="preserve"> RU</w:t>
            </w:r>
          </w:p>
        </w:tc>
        <w:tc>
          <w:tcPr>
            <w:tcW w:w="1851" w:type="dxa"/>
            <w:vAlign w:val="center"/>
          </w:tcPr>
          <w:p w14:paraId="31CDC166"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6,141; 1,401 – 26,924</w:t>
            </w:r>
          </w:p>
        </w:tc>
        <w:tc>
          <w:tcPr>
            <w:tcW w:w="1850" w:type="dxa"/>
            <w:vAlign w:val="center"/>
          </w:tcPr>
          <w:p w14:paraId="3D813AA6"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0,016*</w:t>
            </w:r>
          </w:p>
        </w:tc>
        <w:tc>
          <w:tcPr>
            <w:tcW w:w="1850" w:type="dxa"/>
            <w:vAlign w:val="center"/>
          </w:tcPr>
          <w:p w14:paraId="21B3CEEB"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6,141; 1,401 – 26,924</w:t>
            </w:r>
          </w:p>
        </w:tc>
        <w:tc>
          <w:tcPr>
            <w:tcW w:w="1850" w:type="dxa"/>
            <w:vAlign w:val="center"/>
          </w:tcPr>
          <w:p w14:paraId="0A15D455"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0,016*</w:t>
            </w:r>
          </w:p>
        </w:tc>
      </w:tr>
    </w:tbl>
    <w:p w14:paraId="6EB3B7D3" w14:textId="77777777" w:rsidR="00CF1D93" w:rsidRPr="00A43B9C" w:rsidRDefault="00CF1D93" w:rsidP="00CF1D93">
      <w:pPr>
        <w:spacing w:after="0" w:line="240" w:lineRule="auto"/>
        <w:rPr>
          <w:rFonts w:ascii="Times New Roman" w:hAnsi="Times New Roman" w:cs="Times New Roman"/>
          <w:sz w:val="28"/>
          <w:szCs w:val="28"/>
        </w:rPr>
      </w:pPr>
    </w:p>
    <w:p w14:paraId="7F9FFC8E" w14:textId="77777777" w:rsidR="00CF1D93" w:rsidRPr="00A43B9C" w:rsidRDefault="00CF1D93" w:rsidP="00CF1D93">
      <w:pPr>
        <w:spacing w:after="0" w:line="240" w:lineRule="auto"/>
        <w:jc w:val="center"/>
        <w:rPr>
          <w:rFonts w:ascii="Times New Roman" w:hAnsi="Times New Roman" w:cs="Times New Roman"/>
          <w:sz w:val="28"/>
          <w:szCs w:val="28"/>
        </w:rPr>
      </w:pPr>
      <w:r w:rsidRPr="00A43B9C">
        <w:rPr>
          <w:noProof/>
        </w:rPr>
        <w:drawing>
          <wp:inline distT="0" distB="0" distL="0" distR="0" wp14:anchorId="7FABE8A1" wp14:editId="5B1BB72A">
            <wp:extent cx="3114439" cy="1800000"/>
            <wp:effectExtent l="0" t="0" r="0" b="0"/>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1.png"/>
                    <pic:cNvPicPr/>
                  </pic:nvPicPr>
                  <pic:blipFill>
                    <a:blip r:embed="rId343"/>
                    <a:stretch>
                      <a:fillRect/>
                    </a:stretch>
                  </pic:blipFill>
                  <pic:spPr>
                    <a:xfrm>
                      <a:off x="0" y="0"/>
                      <a:ext cx="3114439" cy="1800000"/>
                    </a:xfrm>
                    <a:prstGeom prst="rect">
                      <a:avLst/>
                    </a:prstGeom>
                  </pic:spPr>
                </pic:pic>
              </a:graphicData>
            </a:graphic>
          </wp:inline>
        </w:drawing>
      </w:r>
    </w:p>
    <w:p w14:paraId="37A8E1E0" w14:textId="7F5CA7C0" w:rsidR="00CF1D93" w:rsidRPr="00A43B9C" w:rsidRDefault="00CF1D93" w:rsidP="00CF1D9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6</w:t>
      </w:r>
      <w:r w:rsidR="001A1D98">
        <w:rPr>
          <w:rFonts w:ascii="Times New Roman" w:hAnsi="Times New Roman" w:cs="Times New Roman"/>
          <w:sz w:val="28"/>
          <w:szCs w:val="28"/>
        </w:rPr>
        <w:t>7</w:t>
      </w:r>
      <w:r w:rsidR="001D33E2" w:rsidRPr="00A43B9C">
        <w:rPr>
          <w:rFonts w:ascii="Times New Roman" w:hAnsi="Times New Roman" w:cs="Times New Roman"/>
          <w:sz w:val="28"/>
          <w:szCs w:val="28"/>
        </w:rPr>
        <w:t xml:space="preserve"> </w:t>
      </w:r>
      <w:r w:rsidR="003844C6" w:rsidRPr="00A43B9C">
        <w:rPr>
          <w:rFonts w:ascii="Times New Roman" w:hAnsi="Times New Roman" w:cs="Times New Roman"/>
          <w:sz w:val="28"/>
          <w:szCs w:val="28"/>
        </w:rPr>
        <w:t>–</w:t>
      </w:r>
      <w:r w:rsidRPr="00A43B9C">
        <w:rPr>
          <w:rFonts w:ascii="Times New Roman" w:hAnsi="Times New Roman" w:cs="Times New Roman"/>
          <w:sz w:val="28"/>
          <w:szCs w:val="28"/>
        </w:rPr>
        <w:t xml:space="preserve"> </w:t>
      </w:r>
      <w:r w:rsidR="003844C6" w:rsidRPr="00A43B9C">
        <w:rPr>
          <w:rFonts w:ascii="Times New Roman" w:hAnsi="Times New Roman" w:cs="Times New Roman"/>
          <w:sz w:val="28"/>
          <w:szCs w:val="28"/>
        </w:rPr>
        <w:t>Величины ОШ</w:t>
      </w:r>
      <w:r w:rsidRPr="00A43B9C">
        <w:rPr>
          <w:rFonts w:ascii="Times New Roman" w:hAnsi="Times New Roman" w:cs="Times New Roman"/>
          <w:sz w:val="28"/>
          <w:szCs w:val="28"/>
        </w:rPr>
        <w:t xml:space="preserve"> с 95% ДИ для изучаемых предикторов показателя </w:t>
      </w:r>
      <w:r w:rsidR="000874C1" w:rsidRPr="00A43B9C">
        <w:rPr>
          <w:rFonts w:ascii="Times New Roman" w:hAnsi="Times New Roman" w:cs="Times New Roman"/>
          <w:sz w:val="28"/>
          <w:szCs w:val="28"/>
          <w:lang w:val="en-US"/>
        </w:rPr>
        <w:t>LM</w:t>
      </w:r>
    </w:p>
    <w:p w14:paraId="1F2D9BCB" w14:textId="182759FC" w:rsidR="00CF1D93" w:rsidRDefault="00CF1D93" w:rsidP="00CF1D93">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При оценке зависимости вероятности </w:t>
      </w:r>
      <w:r w:rsidR="000874C1" w:rsidRPr="00A43B9C">
        <w:rPr>
          <w:rFonts w:ascii="Times New Roman" w:eastAsia="Times New Roman" w:hAnsi="Times New Roman" w:cs="Times New Roman"/>
          <w:sz w:val="28"/>
          <w:szCs w:val="28"/>
          <w:lang w:val="en-US" w:eastAsia="ru-RU"/>
        </w:rPr>
        <w:t>LM</w:t>
      </w:r>
      <w:r w:rsidRPr="00A43B9C">
        <w:rPr>
          <w:rFonts w:ascii="Times New Roman" w:hAnsi="Times New Roman" w:cs="Times New Roman"/>
          <w:sz w:val="28"/>
          <w:szCs w:val="28"/>
        </w:rPr>
        <w:t xml:space="preserve"> </w:t>
      </w:r>
      <w:r w:rsidR="003844C6" w:rsidRPr="00A43B9C">
        <w:rPr>
          <w:rFonts w:ascii="Times New Roman" w:hAnsi="Times New Roman" w:cs="Times New Roman"/>
          <w:sz w:val="28"/>
          <w:szCs w:val="28"/>
        </w:rPr>
        <w:t xml:space="preserve">в зависимости </w:t>
      </w:r>
      <w:r w:rsidRPr="00A43B9C">
        <w:rPr>
          <w:rFonts w:ascii="Times New Roman" w:hAnsi="Times New Roman" w:cs="Times New Roman"/>
          <w:sz w:val="28"/>
          <w:szCs w:val="28"/>
        </w:rPr>
        <w:t xml:space="preserve">от значения логистической функции </w:t>
      </w:r>
      <w:r w:rsidR="003844C6"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P с помощью ROC-анализа была получена следующая кривая (рисунок 6</w:t>
      </w:r>
      <w:r w:rsidR="00E81502">
        <w:rPr>
          <w:rFonts w:ascii="Times New Roman" w:hAnsi="Times New Roman" w:cs="Times New Roman"/>
          <w:sz w:val="28"/>
          <w:szCs w:val="28"/>
        </w:rPr>
        <w:t>8</w:t>
      </w:r>
      <w:r w:rsidRPr="00A43B9C">
        <w:rPr>
          <w:rFonts w:ascii="Times New Roman" w:hAnsi="Times New Roman" w:cs="Times New Roman"/>
          <w:sz w:val="28"/>
          <w:szCs w:val="28"/>
        </w:rPr>
        <w:t>).</w:t>
      </w:r>
    </w:p>
    <w:p w14:paraId="12DFD8C1" w14:textId="77777777" w:rsidR="00942FF6" w:rsidRPr="00A43B9C" w:rsidRDefault="00942FF6" w:rsidP="00CF1D93">
      <w:pPr>
        <w:spacing w:after="0" w:line="240" w:lineRule="auto"/>
        <w:ind w:firstLine="709"/>
        <w:jc w:val="both"/>
        <w:rPr>
          <w:rFonts w:ascii="Times New Roman" w:hAnsi="Times New Roman" w:cs="Times New Roman"/>
          <w:sz w:val="28"/>
          <w:szCs w:val="28"/>
        </w:rPr>
      </w:pPr>
    </w:p>
    <w:p w14:paraId="33BE7E8F" w14:textId="77777777" w:rsidR="00CF1D93" w:rsidRPr="00A43B9C" w:rsidRDefault="00CF1D93" w:rsidP="00CF1D93">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lastRenderedPageBreak/>
        <w:drawing>
          <wp:inline distT="0" distB="0" distL="0" distR="0" wp14:anchorId="38B3D67F" wp14:editId="23A324D0">
            <wp:extent cx="3158779" cy="1944000"/>
            <wp:effectExtent l="0" t="0" r="3810" b="0"/>
            <wp:docPr id="1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2.png"/>
                    <pic:cNvPicPr/>
                  </pic:nvPicPr>
                  <pic:blipFill>
                    <a:blip r:embed="rId327"/>
                    <a:stretch>
                      <a:fillRect/>
                    </a:stretch>
                  </pic:blipFill>
                  <pic:spPr>
                    <a:xfrm>
                      <a:off x="0" y="0"/>
                      <a:ext cx="3158779" cy="1944000"/>
                    </a:xfrm>
                    <a:prstGeom prst="rect">
                      <a:avLst/>
                    </a:prstGeom>
                  </pic:spPr>
                </pic:pic>
              </a:graphicData>
            </a:graphic>
          </wp:inline>
        </w:drawing>
      </w:r>
    </w:p>
    <w:p w14:paraId="2E09F630" w14:textId="5467D829" w:rsidR="00CF1D93" w:rsidRPr="00A43B9C" w:rsidRDefault="00CF1D93" w:rsidP="00CF1D9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6</w:t>
      </w:r>
      <w:r w:rsidR="001A1D98">
        <w:rPr>
          <w:rFonts w:ascii="Times New Roman" w:hAnsi="Times New Roman" w:cs="Times New Roman"/>
          <w:sz w:val="28"/>
          <w:szCs w:val="28"/>
        </w:rPr>
        <w:t>8</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ROC-кривая, характеризующая зависимость вероятности </w:t>
      </w:r>
      <w:r w:rsidR="00777C9A">
        <w:rPr>
          <w:rFonts w:ascii="Times New Roman" w:hAnsi="Times New Roman" w:cs="Times New Roman"/>
          <w:sz w:val="28"/>
          <w:szCs w:val="28"/>
          <w:lang w:val="en-US"/>
        </w:rPr>
        <w:t>p</w:t>
      </w:r>
      <w:r w:rsidR="000874C1" w:rsidRPr="00A43B9C">
        <w:rPr>
          <w:rFonts w:ascii="Times New Roman" w:eastAsia="Times New Roman" w:hAnsi="Times New Roman" w:cs="Times New Roman"/>
          <w:sz w:val="28"/>
          <w:szCs w:val="28"/>
          <w:lang w:val="en-US" w:eastAsia="ru-RU"/>
        </w:rPr>
        <w:t>LM</w:t>
      </w:r>
      <w:r w:rsidRPr="00A43B9C">
        <w:rPr>
          <w:rFonts w:ascii="Times New Roman" w:hAnsi="Times New Roman" w:cs="Times New Roman"/>
          <w:sz w:val="28"/>
          <w:szCs w:val="28"/>
        </w:rPr>
        <w:t xml:space="preserve"> от значения логистической функции </w:t>
      </w:r>
      <w:r w:rsidR="003844C6"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P</w:t>
      </w:r>
    </w:p>
    <w:p w14:paraId="4F3658CB" w14:textId="77777777" w:rsidR="00CF1D93" w:rsidRPr="00292863" w:rsidRDefault="00CF1D93" w:rsidP="00CF1D93">
      <w:pPr>
        <w:spacing w:after="0" w:line="240" w:lineRule="auto"/>
        <w:rPr>
          <w:rFonts w:ascii="Times New Roman" w:hAnsi="Times New Roman" w:cs="Times New Roman"/>
          <w:sz w:val="24"/>
          <w:szCs w:val="24"/>
        </w:rPr>
      </w:pPr>
    </w:p>
    <w:p w14:paraId="72F936EA" w14:textId="77777777" w:rsidR="00CF1D93" w:rsidRPr="00A43B9C" w:rsidRDefault="00CF1D93" w:rsidP="00CF1D93">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24FF3B3A" wp14:editId="19E43B9E">
            <wp:extent cx="4258791" cy="1944000"/>
            <wp:effectExtent l="0" t="0" r="8890" b="0"/>
            <wp:docPr id="1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3.png"/>
                    <pic:cNvPicPr/>
                  </pic:nvPicPr>
                  <pic:blipFill>
                    <a:blip r:embed="rId344"/>
                    <a:stretch>
                      <a:fillRect/>
                    </a:stretch>
                  </pic:blipFill>
                  <pic:spPr>
                    <a:xfrm>
                      <a:off x="0" y="0"/>
                      <a:ext cx="4258791" cy="1944000"/>
                    </a:xfrm>
                    <a:prstGeom prst="rect">
                      <a:avLst/>
                    </a:prstGeom>
                  </pic:spPr>
                </pic:pic>
              </a:graphicData>
            </a:graphic>
          </wp:inline>
        </w:drawing>
      </w:r>
    </w:p>
    <w:p w14:paraId="5DBCA0AC" w14:textId="3B65EBA8" w:rsidR="00CF1D93" w:rsidRPr="00A43B9C" w:rsidRDefault="00CF1D93" w:rsidP="00CF1D9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6</w:t>
      </w:r>
      <w:r w:rsidR="001A1D98">
        <w:rPr>
          <w:rFonts w:ascii="Times New Roman" w:hAnsi="Times New Roman" w:cs="Times New Roman"/>
          <w:sz w:val="28"/>
          <w:szCs w:val="28"/>
        </w:rPr>
        <w:t>9</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чувствительности и специфичности модели в зависимости от пороговых значений логистической функции </w:t>
      </w:r>
      <w:r w:rsidR="003844C6"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P</w:t>
      </w:r>
    </w:p>
    <w:p w14:paraId="286CD574" w14:textId="77777777" w:rsidR="00CF1D93" w:rsidRPr="00292863" w:rsidRDefault="00CF1D93" w:rsidP="00CF1D93">
      <w:pPr>
        <w:spacing w:after="0" w:line="240" w:lineRule="auto"/>
        <w:rPr>
          <w:rFonts w:ascii="Times New Roman" w:hAnsi="Times New Roman" w:cs="Times New Roman"/>
          <w:sz w:val="28"/>
          <w:szCs w:val="28"/>
        </w:rPr>
      </w:pPr>
    </w:p>
    <w:p w14:paraId="72459D5A" w14:textId="75A21A31" w:rsidR="00CF1D93"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45 -</w:t>
      </w:r>
      <w:r w:rsidR="00CF1D93" w:rsidRPr="00A43B9C">
        <w:rPr>
          <w:rFonts w:ascii="Times New Roman" w:hAnsi="Times New Roman" w:cs="Times New Roman"/>
          <w:sz w:val="28"/>
          <w:szCs w:val="28"/>
        </w:rPr>
        <w:t xml:space="preserve"> Пороговые значения логистической функции </w:t>
      </w:r>
      <w:r w:rsidR="003844C6" w:rsidRPr="00A43B9C">
        <w:rPr>
          <w:rFonts w:ascii="Times New Roman" w:hAnsi="Times New Roman" w:cs="Times New Roman"/>
          <w:sz w:val="28"/>
          <w:szCs w:val="28"/>
        </w:rPr>
        <w:t xml:space="preserve">локализации </w:t>
      </w:r>
      <w:r w:rsidR="00CF1D93" w:rsidRPr="00A43B9C">
        <w:rPr>
          <w:rFonts w:ascii="Times New Roman" w:hAnsi="Times New Roman" w:cs="Times New Roman"/>
          <w:sz w:val="28"/>
          <w:szCs w:val="28"/>
        </w:rPr>
        <w:t>P</w:t>
      </w:r>
    </w:p>
    <w:p w14:paraId="5FFF276A"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0" w:type="auto"/>
        <w:jc w:val="center"/>
        <w:tblLook w:val="04A0" w:firstRow="1" w:lastRow="0" w:firstColumn="1" w:lastColumn="0" w:noHBand="0" w:noVBand="1"/>
      </w:tblPr>
      <w:tblGrid>
        <w:gridCol w:w="1789"/>
        <w:gridCol w:w="2069"/>
        <w:gridCol w:w="1967"/>
        <w:gridCol w:w="1756"/>
        <w:gridCol w:w="1763"/>
      </w:tblGrid>
      <w:tr w:rsidR="00CF1D93" w:rsidRPr="00A43B9C" w14:paraId="67E73519" w14:textId="77777777" w:rsidTr="00446A37">
        <w:trPr>
          <w:jc w:val="center"/>
        </w:trPr>
        <w:tc>
          <w:tcPr>
            <w:tcW w:w="1790" w:type="dxa"/>
            <w:vAlign w:val="center"/>
          </w:tcPr>
          <w:p w14:paraId="73B27A35" w14:textId="071D62C0"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Порог</w:t>
            </w:r>
            <w:r w:rsidR="003844C6" w:rsidRPr="00A43B9C">
              <w:rPr>
                <w:rFonts w:ascii="Times New Roman" w:hAnsi="Times New Roman" w:cs="Times New Roman"/>
                <w:sz w:val="28"/>
                <w:szCs w:val="28"/>
              </w:rPr>
              <w:t>овое значение</w:t>
            </w:r>
          </w:p>
        </w:tc>
        <w:tc>
          <w:tcPr>
            <w:tcW w:w="2069" w:type="dxa"/>
            <w:vAlign w:val="center"/>
          </w:tcPr>
          <w:p w14:paraId="21072E7A" w14:textId="551F2CE0"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Se, %</w:t>
            </w:r>
          </w:p>
        </w:tc>
        <w:tc>
          <w:tcPr>
            <w:tcW w:w="1967" w:type="dxa"/>
            <w:vAlign w:val="center"/>
          </w:tcPr>
          <w:p w14:paraId="2B8ED577" w14:textId="0F0B152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Sp, %</w:t>
            </w:r>
          </w:p>
        </w:tc>
        <w:tc>
          <w:tcPr>
            <w:tcW w:w="1756" w:type="dxa"/>
            <w:vAlign w:val="center"/>
          </w:tcPr>
          <w:p w14:paraId="219FF339" w14:textId="1A0F720F"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PPV</w:t>
            </w:r>
            <w:r w:rsidR="003E57FA" w:rsidRPr="00A43B9C">
              <w:rPr>
                <w:rFonts w:ascii="Times New Roman" w:hAnsi="Times New Roman" w:cs="Times New Roman"/>
                <w:sz w:val="28"/>
                <w:szCs w:val="28"/>
                <w:lang w:val="en-US"/>
              </w:rPr>
              <w:t>, %</w:t>
            </w:r>
          </w:p>
        </w:tc>
        <w:tc>
          <w:tcPr>
            <w:tcW w:w="1763" w:type="dxa"/>
            <w:vAlign w:val="center"/>
          </w:tcPr>
          <w:p w14:paraId="1042A601" w14:textId="5D975894"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NPV</w:t>
            </w:r>
            <w:r w:rsidR="003E57FA" w:rsidRPr="00A43B9C">
              <w:rPr>
                <w:rFonts w:ascii="Times New Roman" w:hAnsi="Times New Roman" w:cs="Times New Roman"/>
                <w:sz w:val="28"/>
                <w:szCs w:val="28"/>
                <w:lang w:val="en-US"/>
              </w:rPr>
              <w:t>, %</w:t>
            </w:r>
          </w:p>
        </w:tc>
      </w:tr>
      <w:tr w:rsidR="00CF1D93" w:rsidRPr="00A43B9C" w14:paraId="41D07795" w14:textId="77777777" w:rsidTr="00446A37">
        <w:trPr>
          <w:jc w:val="center"/>
        </w:trPr>
        <w:tc>
          <w:tcPr>
            <w:tcW w:w="1790" w:type="dxa"/>
            <w:vAlign w:val="center"/>
          </w:tcPr>
          <w:p w14:paraId="2BECFDE3"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0,310</w:t>
            </w:r>
          </w:p>
        </w:tc>
        <w:tc>
          <w:tcPr>
            <w:tcW w:w="2069" w:type="dxa"/>
            <w:vAlign w:val="center"/>
          </w:tcPr>
          <w:p w14:paraId="3DD4C655"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50,0</w:t>
            </w:r>
          </w:p>
        </w:tc>
        <w:tc>
          <w:tcPr>
            <w:tcW w:w="1967" w:type="dxa"/>
            <w:vAlign w:val="center"/>
          </w:tcPr>
          <w:p w14:paraId="26C96EB1"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75,0</w:t>
            </w:r>
          </w:p>
        </w:tc>
        <w:tc>
          <w:tcPr>
            <w:tcW w:w="1756" w:type="dxa"/>
            <w:vAlign w:val="center"/>
          </w:tcPr>
          <w:p w14:paraId="18A83E8A"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66,7</w:t>
            </w:r>
          </w:p>
        </w:tc>
        <w:tc>
          <w:tcPr>
            <w:tcW w:w="1763" w:type="dxa"/>
            <w:vAlign w:val="center"/>
          </w:tcPr>
          <w:p w14:paraId="0973FD7E"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60,0</w:t>
            </w:r>
          </w:p>
        </w:tc>
      </w:tr>
      <w:tr w:rsidR="00CF1D93" w:rsidRPr="00A43B9C" w14:paraId="4CD24E7D" w14:textId="77777777" w:rsidTr="00446A37">
        <w:trPr>
          <w:jc w:val="center"/>
        </w:trPr>
        <w:tc>
          <w:tcPr>
            <w:tcW w:w="1790" w:type="dxa"/>
            <w:vAlign w:val="center"/>
          </w:tcPr>
          <w:p w14:paraId="75885A6E"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0,258</w:t>
            </w:r>
          </w:p>
        </w:tc>
        <w:tc>
          <w:tcPr>
            <w:tcW w:w="2069" w:type="dxa"/>
            <w:vAlign w:val="center"/>
          </w:tcPr>
          <w:p w14:paraId="0B021CDC"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50,0</w:t>
            </w:r>
          </w:p>
        </w:tc>
        <w:tc>
          <w:tcPr>
            <w:tcW w:w="1967" w:type="dxa"/>
            <w:vAlign w:val="center"/>
          </w:tcPr>
          <w:p w14:paraId="6B19D0CD"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65,9</w:t>
            </w:r>
          </w:p>
        </w:tc>
        <w:tc>
          <w:tcPr>
            <w:tcW w:w="1756" w:type="dxa"/>
            <w:vAlign w:val="center"/>
          </w:tcPr>
          <w:p w14:paraId="586C411B"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59,5</w:t>
            </w:r>
          </w:p>
        </w:tc>
        <w:tc>
          <w:tcPr>
            <w:tcW w:w="1763" w:type="dxa"/>
            <w:vAlign w:val="center"/>
          </w:tcPr>
          <w:p w14:paraId="4C0A93BB"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56,9</w:t>
            </w:r>
          </w:p>
        </w:tc>
      </w:tr>
      <w:tr w:rsidR="00CF1D93" w:rsidRPr="00A43B9C" w14:paraId="065A8B63" w14:textId="77777777" w:rsidTr="00446A37">
        <w:trPr>
          <w:jc w:val="center"/>
        </w:trPr>
        <w:tc>
          <w:tcPr>
            <w:tcW w:w="1790" w:type="dxa"/>
            <w:vAlign w:val="center"/>
          </w:tcPr>
          <w:p w14:paraId="3B19FE48"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0,258</w:t>
            </w:r>
          </w:p>
        </w:tc>
        <w:tc>
          <w:tcPr>
            <w:tcW w:w="2069" w:type="dxa"/>
            <w:vAlign w:val="center"/>
          </w:tcPr>
          <w:p w14:paraId="6F3CE712"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56,2</w:t>
            </w:r>
          </w:p>
        </w:tc>
        <w:tc>
          <w:tcPr>
            <w:tcW w:w="1967" w:type="dxa"/>
            <w:vAlign w:val="center"/>
          </w:tcPr>
          <w:p w14:paraId="0E79925B"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65,9</w:t>
            </w:r>
          </w:p>
        </w:tc>
        <w:tc>
          <w:tcPr>
            <w:tcW w:w="1756" w:type="dxa"/>
            <w:vAlign w:val="center"/>
          </w:tcPr>
          <w:p w14:paraId="68F0676D"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62,3</w:t>
            </w:r>
          </w:p>
        </w:tc>
        <w:tc>
          <w:tcPr>
            <w:tcW w:w="1763" w:type="dxa"/>
            <w:vAlign w:val="center"/>
          </w:tcPr>
          <w:p w14:paraId="69BCAD8B"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60,1</w:t>
            </w:r>
          </w:p>
        </w:tc>
      </w:tr>
      <w:tr w:rsidR="00CF1D93" w:rsidRPr="00A43B9C" w14:paraId="26B187DB" w14:textId="77777777" w:rsidTr="00446A37">
        <w:trPr>
          <w:jc w:val="center"/>
        </w:trPr>
        <w:tc>
          <w:tcPr>
            <w:tcW w:w="1790" w:type="dxa"/>
            <w:vAlign w:val="center"/>
          </w:tcPr>
          <w:p w14:paraId="5AA1F8EE"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0,254</w:t>
            </w:r>
          </w:p>
        </w:tc>
        <w:tc>
          <w:tcPr>
            <w:tcW w:w="2069" w:type="dxa"/>
            <w:vAlign w:val="center"/>
          </w:tcPr>
          <w:p w14:paraId="12D7A37F"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56,2</w:t>
            </w:r>
          </w:p>
        </w:tc>
        <w:tc>
          <w:tcPr>
            <w:tcW w:w="1967" w:type="dxa"/>
            <w:vAlign w:val="center"/>
          </w:tcPr>
          <w:p w14:paraId="75A7FB3A"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61,4</w:t>
            </w:r>
          </w:p>
        </w:tc>
        <w:tc>
          <w:tcPr>
            <w:tcW w:w="1756" w:type="dxa"/>
            <w:vAlign w:val="center"/>
          </w:tcPr>
          <w:p w14:paraId="485DD3D6"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59,3</w:t>
            </w:r>
          </w:p>
        </w:tc>
        <w:tc>
          <w:tcPr>
            <w:tcW w:w="1763" w:type="dxa"/>
            <w:vAlign w:val="center"/>
          </w:tcPr>
          <w:p w14:paraId="529484A5"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58,4</w:t>
            </w:r>
          </w:p>
        </w:tc>
      </w:tr>
      <w:tr w:rsidR="00CF1D93" w:rsidRPr="00CD7C27" w14:paraId="05BEF4D3" w14:textId="77777777" w:rsidTr="00446A37">
        <w:trPr>
          <w:jc w:val="center"/>
        </w:trPr>
        <w:tc>
          <w:tcPr>
            <w:tcW w:w="1790" w:type="dxa"/>
            <w:vAlign w:val="center"/>
          </w:tcPr>
          <w:p w14:paraId="03B5B534" w14:textId="77777777" w:rsidR="00CF1D93" w:rsidRPr="00CD7C27" w:rsidRDefault="00CF1D93" w:rsidP="00446A37">
            <w:pPr>
              <w:spacing w:after="0" w:line="240" w:lineRule="auto"/>
              <w:jc w:val="center"/>
              <w:rPr>
                <w:rFonts w:ascii="Times New Roman" w:hAnsi="Times New Roman" w:cs="Times New Roman"/>
                <w:bCs/>
                <w:sz w:val="28"/>
                <w:szCs w:val="28"/>
              </w:rPr>
            </w:pPr>
            <w:r w:rsidRPr="00CD7C27">
              <w:rPr>
                <w:rFonts w:ascii="Times New Roman" w:hAnsi="Times New Roman" w:cs="Times New Roman"/>
                <w:bCs/>
                <w:sz w:val="28"/>
                <w:szCs w:val="28"/>
              </w:rPr>
              <w:t>0,232</w:t>
            </w:r>
          </w:p>
        </w:tc>
        <w:tc>
          <w:tcPr>
            <w:tcW w:w="2069" w:type="dxa"/>
            <w:vAlign w:val="center"/>
          </w:tcPr>
          <w:p w14:paraId="6CF53ACB" w14:textId="77777777" w:rsidR="00CF1D93" w:rsidRPr="00CD7C27" w:rsidRDefault="00CF1D93" w:rsidP="00446A37">
            <w:pPr>
              <w:spacing w:after="0" w:line="240" w:lineRule="auto"/>
              <w:jc w:val="center"/>
              <w:rPr>
                <w:rFonts w:ascii="Times New Roman" w:hAnsi="Times New Roman" w:cs="Times New Roman"/>
                <w:bCs/>
                <w:sz w:val="28"/>
                <w:szCs w:val="28"/>
              </w:rPr>
            </w:pPr>
            <w:r w:rsidRPr="00CD7C27">
              <w:rPr>
                <w:rFonts w:ascii="Times New Roman" w:hAnsi="Times New Roman" w:cs="Times New Roman"/>
                <w:bCs/>
                <w:sz w:val="28"/>
                <w:szCs w:val="28"/>
              </w:rPr>
              <w:t>62,5</w:t>
            </w:r>
          </w:p>
        </w:tc>
        <w:tc>
          <w:tcPr>
            <w:tcW w:w="1967" w:type="dxa"/>
            <w:vAlign w:val="center"/>
          </w:tcPr>
          <w:p w14:paraId="16DD72B6" w14:textId="77777777" w:rsidR="00CF1D93" w:rsidRPr="00CD7C27" w:rsidRDefault="00CF1D93" w:rsidP="00446A37">
            <w:pPr>
              <w:spacing w:after="0" w:line="240" w:lineRule="auto"/>
              <w:jc w:val="center"/>
              <w:rPr>
                <w:rFonts w:ascii="Times New Roman" w:hAnsi="Times New Roman" w:cs="Times New Roman"/>
                <w:bCs/>
                <w:sz w:val="28"/>
                <w:szCs w:val="28"/>
              </w:rPr>
            </w:pPr>
            <w:r w:rsidRPr="00CD7C27">
              <w:rPr>
                <w:rFonts w:ascii="Times New Roman" w:hAnsi="Times New Roman" w:cs="Times New Roman"/>
                <w:bCs/>
                <w:sz w:val="28"/>
                <w:szCs w:val="28"/>
              </w:rPr>
              <w:t>61,4</w:t>
            </w:r>
          </w:p>
        </w:tc>
        <w:tc>
          <w:tcPr>
            <w:tcW w:w="1756" w:type="dxa"/>
            <w:vAlign w:val="center"/>
          </w:tcPr>
          <w:p w14:paraId="4886786C" w14:textId="77777777" w:rsidR="00CF1D93" w:rsidRPr="00CD7C27" w:rsidRDefault="00CF1D93" w:rsidP="00446A37">
            <w:pPr>
              <w:spacing w:after="0" w:line="240" w:lineRule="auto"/>
              <w:jc w:val="center"/>
              <w:rPr>
                <w:rFonts w:ascii="Times New Roman" w:hAnsi="Times New Roman" w:cs="Times New Roman"/>
                <w:bCs/>
                <w:sz w:val="28"/>
                <w:szCs w:val="28"/>
              </w:rPr>
            </w:pPr>
            <w:r w:rsidRPr="00CD7C27">
              <w:rPr>
                <w:rFonts w:ascii="Times New Roman" w:hAnsi="Times New Roman" w:cs="Times New Roman"/>
                <w:bCs/>
                <w:sz w:val="28"/>
                <w:szCs w:val="28"/>
              </w:rPr>
              <w:t>61,8</w:t>
            </w:r>
          </w:p>
        </w:tc>
        <w:tc>
          <w:tcPr>
            <w:tcW w:w="1763" w:type="dxa"/>
            <w:vAlign w:val="center"/>
          </w:tcPr>
          <w:p w14:paraId="69C6ABF0" w14:textId="77777777" w:rsidR="00CF1D93" w:rsidRPr="00CD7C27" w:rsidRDefault="00CF1D93" w:rsidP="00446A37">
            <w:pPr>
              <w:spacing w:after="0" w:line="240" w:lineRule="auto"/>
              <w:jc w:val="center"/>
              <w:rPr>
                <w:rFonts w:ascii="Times New Roman" w:hAnsi="Times New Roman" w:cs="Times New Roman"/>
                <w:bCs/>
                <w:sz w:val="28"/>
                <w:szCs w:val="28"/>
              </w:rPr>
            </w:pPr>
            <w:r w:rsidRPr="00CD7C27">
              <w:rPr>
                <w:rFonts w:ascii="Times New Roman" w:hAnsi="Times New Roman" w:cs="Times New Roman"/>
                <w:bCs/>
                <w:sz w:val="28"/>
                <w:szCs w:val="28"/>
              </w:rPr>
              <w:t>62,1</w:t>
            </w:r>
          </w:p>
        </w:tc>
      </w:tr>
      <w:tr w:rsidR="00CF1D93" w:rsidRPr="00A43B9C" w14:paraId="6B5132F6" w14:textId="77777777" w:rsidTr="00446A37">
        <w:trPr>
          <w:jc w:val="center"/>
        </w:trPr>
        <w:tc>
          <w:tcPr>
            <w:tcW w:w="1790" w:type="dxa"/>
            <w:vAlign w:val="center"/>
          </w:tcPr>
          <w:p w14:paraId="09C305F1"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0,215</w:t>
            </w:r>
          </w:p>
        </w:tc>
        <w:tc>
          <w:tcPr>
            <w:tcW w:w="2069" w:type="dxa"/>
            <w:vAlign w:val="center"/>
          </w:tcPr>
          <w:p w14:paraId="19C7A660"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62,5</w:t>
            </w:r>
          </w:p>
        </w:tc>
        <w:tc>
          <w:tcPr>
            <w:tcW w:w="1967" w:type="dxa"/>
            <w:vAlign w:val="center"/>
          </w:tcPr>
          <w:p w14:paraId="1B4670B7"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56,8</w:t>
            </w:r>
          </w:p>
        </w:tc>
        <w:tc>
          <w:tcPr>
            <w:tcW w:w="1756" w:type="dxa"/>
            <w:vAlign w:val="center"/>
          </w:tcPr>
          <w:p w14:paraId="785EED06"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59,1</w:t>
            </w:r>
          </w:p>
        </w:tc>
        <w:tc>
          <w:tcPr>
            <w:tcW w:w="1763" w:type="dxa"/>
            <w:vAlign w:val="center"/>
          </w:tcPr>
          <w:p w14:paraId="6CB8097F"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60,2</w:t>
            </w:r>
          </w:p>
        </w:tc>
      </w:tr>
      <w:tr w:rsidR="00CF1D93" w:rsidRPr="00A43B9C" w14:paraId="4A4C29A6" w14:textId="77777777" w:rsidTr="00446A37">
        <w:trPr>
          <w:jc w:val="center"/>
        </w:trPr>
        <w:tc>
          <w:tcPr>
            <w:tcW w:w="1790" w:type="dxa"/>
            <w:vAlign w:val="center"/>
          </w:tcPr>
          <w:p w14:paraId="251D01E0"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0,214</w:t>
            </w:r>
          </w:p>
        </w:tc>
        <w:tc>
          <w:tcPr>
            <w:tcW w:w="2069" w:type="dxa"/>
            <w:vAlign w:val="center"/>
          </w:tcPr>
          <w:p w14:paraId="64DDC79D"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68,8</w:t>
            </w:r>
          </w:p>
        </w:tc>
        <w:tc>
          <w:tcPr>
            <w:tcW w:w="1967" w:type="dxa"/>
            <w:vAlign w:val="center"/>
          </w:tcPr>
          <w:p w14:paraId="2B3FB8B0"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56,8</w:t>
            </w:r>
          </w:p>
        </w:tc>
        <w:tc>
          <w:tcPr>
            <w:tcW w:w="1756" w:type="dxa"/>
            <w:vAlign w:val="center"/>
          </w:tcPr>
          <w:p w14:paraId="469D0BEF"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61,4</w:t>
            </w:r>
          </w:p>
        </w:tc>
        <w:tc>
          <w:tcPr>
            <w:tcW w:w="1763" w:type="dxa"/>
            <w:vAlign w:val="center"/>
          </w:tcPr>
          <w:p w14:paraId="11DF9B0E"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64,5</w:t>
            </w:r>
          </w:p>
        </w:tc>
      </w:tr>
    </w:tbl>
    <w:p w14:paraId="66E69CAB" w14:textId="77777777" w:rsidR="00CF1D93" w:rsidRPr="00A43B9C" w:rsidRDefault="00CF1D93" w:rsidP="00CF1D93">
      <w:pPr>
        <w:spacing w:after="0" w:line="240" w:lineRule="auto"/>
        <w:rPr>
          <w:rFonts w:ascii="Times New Roman" w:hAnsi="Times New Roman" w:cs="Times New Roman"/>
          <w:sz w:val="28"/>
          <w:szCs w:val="28"/>
        </w:rPr>
      </w:pPr>
    </w:p>
    <w:p w14:paraId="140FFFFF" w14:textId="0F2544CA" w:rsidR="00292863" w:rsidRPr="00292863" w:rsidRDefault="00CF1D93" w:rsidP="00292863">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Площадь под ROC-кривой составила 0,672 </w:t>
      </w:r>
      <w:r w:rsidR="003844C6" w:rsidRPr="00A43B9C">
        <w:rPr>
          <w:rFonts w:ascii="Times New Roman" w:hAnsi="Times New Roman" w:cs="Times New Roman"/>
          <w:sz w:val="28"/>
          <w:szCs w:val="28"/>
        </w:rPr>
        <w:t>(</w:t>
      </w:r>
      <w:r w:rsidRPr="00A43B9C">
        <w:rPr>
          <w:rFonts w:ascii="Times New Roman" w:hAnsi="Times New Roman" w:cs="Times New Roman"/>
          <w:sz w:val="28"/>
          <w:szCs w:val="28"/>
        </w:rPr>
        <w:t>95% ДИ 0,509 – 0,835</w:t>
      </w:r>
      <w:r w:rsidR="003844C6" w:rsidRPr="00A43B9C">
        <w:rPr>
          <w:rFonts w:ascii="Times New Roman" w:hAnsi="Times New Roman" w:cs="Times New Roman"/>
          <w:sz w:val="28"/>
          <w:szCs w:val="28"/>
        </w:rPr>
        <w:t>), и такая п</w:t>
      </w:r>
      <w:r w:rsidRPr="00A43B9C">
        <w:rPr>
          <w:rFonts w:ascii="Times New Roman" w:hAnsi="Times New Roman" w:cs="Times New Roman"/>
          <w:sz w:val="28"/>
          <w:szCs w:val="28"/>
        </w:rPr>
        <w:t>олученная модель была статистически значимой (p = 0,043).</w:t>
      </w:r>
      <w:r w:rsidR="003844C6"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Пороговое значение логистической функции </w:t>
      </w:r>
      <w:r w:rsidR="003844C6"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P в точке </w:t>
      </w:r>
      <w:r w:rsidR="003844C6" w:rsidRPr="00A43B9C">
        <w:rPr>
          <w:rFonts w:ascii="Times New Roman" w:hAnsi="Times New Roman" w:cs="Times New Roman"/>
          <w:sz w:val="28"/>
          <w:szCs w:val="28"/>
        </w:rPr>
        <w:t>отсечения</w:t>
      </w:r>
      <w:r w:rsidRPr="00A43B9C">
        <w:rPr>
          <w:rFonts w:ascii="Times New Roman" w:hAnsi="Times New Roman" w:cs="Times New Roman"/>
          <w:sz w:val="28"/>
          <w:szCs w:val="28"/>
        </w:rPr>
        <w:t>, которому соответствовало наивысшее значение индекса Юдена, составило 0,232 (рисунок 6</w:t>
      </w:r>
      <w:r w:rsidR="00E81502">
        <w:rPr>
          <w:rFonts w:ascii="Times New Roman" w:hAnsi="Times New Roman" w:cs="Times New Roman"/>
          <w:sz w:val="28"/>
          <w:szCs w:val="28"/>
        </w:rPr>
        <w:t>9</w:t>
      </w:r>
      <w:r w:rsidRPr="00A43B9C">
        <w:rPr>
          <w:rFonts w:ascii="Times New Roman" w:hAnsi="Times New Roman" w:cs="Times New Roman"/>
          <w:sz w:val="28"/>
          <w:szCs w:val="28"/>
        </w:rPr>
        <w:t xml:space="preserve">). Наличие </w:t>
      </w:r>
      <w:r w:rsidR="000874C1" w:rsidRPr="00A43B9C">
        <w:rPr>
          <w:rFonts w:ascii="Times New Roman" w:eastAsia="Times New Roman" w:hAnsi="Times New Roman" w:cs="Times New Roman"/>
          <w:sz w:val="28"/>
          <w:szCs w:val="28"/>
          <w:lang w:val="en-US" w:eastAsia="ru-RU"/>
        </w:rPr>
        <w:t>pLM</w:t>
      </w:r>
      <w:r w:rsidRPr="00A43B9C">
        <w:rPr>
          <w:rFonts w:ascii="Times New Roman" w:hAnsi="Times New Roman" w:cs="Times New Roman"/>
          <w:sz w:val="28"/>
          <w:szCs w:val="28"/>
        </w:rPr>
        <w:t xml:space="preserve"> прогнозировалось при значении логистической функции </w:t>
      </w:r>
      <w:r w:rsidR="003844C6"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P выше данной величины или равном ей. Чувствительность и специфичность модели составили 62,5% и 61,4%, а </w:t>
      </w:r>
      <w:r w:rsidRPr="00A43B9C">
        <w:rPr>
          <w:rFonts w:ascii="Times New Roman" w:hAnsi="Times New Roman" w:cs="Times New Roman"/>
          <w:sz w:val="28"/>
          <w:szCs w:val="28"/>
          <w:lang w:val="en-US"/>
        </w:rPr>
        <w:t>PPV</w:t>
      </w:r>
      <w:r w:rsidRPr="00A43B9C">
        <w:rPr>
          <w:rFonts w:ascii="Times New Roman" w:hAnsi="Times New Roman" w:cs="Times New Roman"/>
          <w:sz w:val="28"/>
          <w:szCs w:val="28"/>
        </w:rPr>
        <w:t xml:space="preserve"> и </w:t>
      </w:r>
      <w:r w:rsidRPr="00A43B9C">
        <w:rPr>
          <w:rFonts w:ascii="Times New Roman" w:hAnsi="Times New Roman" w:cs="Times New Roman"/>
          <w:sz w:val="28"/>
          <w:szCs w:val="28"/>
          <w:lang w:val="en-US"/>
        </w:rPr>
        <w:t>NPV</w:t>
      </w:r>
      <w:r w:rsidRPr="00A43B9C">
        <w:rPr>
          <w:rFonts w:ascii="Times New Roman" w:hAnsi="Times New Roman" w:cs="Times New Roman"/>
          <w:sz w:val="28"/>
          <w:szCs w:val="28"/>
        </w:rPr>
        <w:t xml:space="preserve"> составили 61,8% и 62,1% соответственно (таблица 45).</w:t>
      </w:r>
      <w:r w:rsidR="00292863" w:rsidRPr="00292863">
        <w:rPr>
          <w:rFonts w:ascii="Times New Roman" w:hAnsi="Times New Roman" w:cs="Times New Roman"/>
          <w:sz w:val="28"/>
          <w:szCs w:val="28"/>
        </w:rPr>
        <w:br w:type="page"/>
      </w:r>
    </w:p>
    <w:p w14:paraId="74849E27" w14:textId="3A3CA1B5" w:rsidR="00D26255" w:rsidRPr="00A43B9C" w:rsidRDefault="00040E82" w:rsidP="00AE28CD">
      <w:pPr>
        <w:pStyle w:val="1"/>
        <w:spacing w:line="240" w:lineRule="auto"/>
        <w:ind w:left="709"/>
        <w:jc w:val="both"/>
        <w:rPr>
          <w:rFonts w:eastAsia="Times New Roman"/>
          <w:lang w:val="kk-KZ" w:eastAsia="ru-RU"/>
        </w:rPr>
      </w:pPr>
      <w:bookmarkStart w:id="101" w:name="_Toc101861827"/>
      <w:bookmarkStart w:id="102" w:name="_Toc102937630"/>
      <w:bookmarkEnd w:id="100"/>
      <w:r w:rsidRPr="00A43B9C">
        <w:rPr>
          <w:rFonts w:eastAsia="Times New Roman"/>
          <w:lang w:eastAsia="ru-RU"/>
        </w:rPr>
        <w:lastRenderedPageBreak/>
        <w:t>4 ОБСУЖДЕНИЕ</w:t>
      </w:r>
      <w:bookmarkEnd w:id="101"/>
      <w:bookmarkEnd w:id="102"/>
      <w:r w:rsidR="00E152C0" w:rsidRPr="00A43B9C">
        <w:rPr>
          <w:rFonts w:eastAsia="Times New Roman"/>
          <w:lang w:eastAsia="ru-RU"/>
        </w:rPr>
        <w:t xml:space="preserve"> ПОЛУЧЕННЫХ ДАННЫХ</w:t>
      </w:r>
    </w:p>
    <w:p w14:paraId="7DCB3F1B" w14:textId="77777777" w:rsidR="00AE28CD" w:rsidRPr="00A43B9C" w:rsidRDefault="00AE28CD" w:rsidP="0092566F">
      <w:pPr>
        <w:tabs>
          <w:tab w:val="left" w:pos="851"/>
        </w:tabs>
        <w:spacing w:after="0" w:line="240" w:lineRule="auto"/>
        <w:ind w:firstLine="709"/>
        <w:jc w:val="both"/>
        <w:rPr>
          <w:rFonts w:ascii="Times New Roman" w:hAnsi="Times New Roman" w:cs="Times New Roman"/>
          <w:sz w:val="28"/>
          <w:szCs w:val="23"/>
        </w:rPr>
      </w:pPr>
      <w:bookmarkStart w:id="103" w:name="_Hlk103251076"/>
    </w:p>
    <w:p w14:paraId="1054595C" w14:textId="515962EA" w:rsidR="0092566F" w:rsidRPr="00A43B9C" w:rsidRDefault="000648E2" w:rsidP="0092566F">
      <w:pPr>
        <w:tabs>
          <w:tab w:val="left" w:pos="851"/>
        </w:tabs>
        <w:spacing w:after="0" w:line="240" w:lineRule="auto"/>
        <w:ind w:firstLine="709"/>
        <w:jc w:val="both"/>
        <w:rPr>
          <w:rFonts w:ascii="Times New Roman" w:hAnsi="Times New Roman" w:cs="Times New Roman"/>
          <w:sz w:val="28"/>
          <w:szCs w:val="24"/>
        </w:rPr>
      </w:pPr>
      <w:bookmarkStart w:id="104" w:name="_Hlk117893480"/>
      <w:r>
        <w:rPr>
          <w:rFonts w:ascii="Times New Roman" w:hAnsi="Times New Roman" w:cs="Times New Roman"/>
          <w:sz w:val="28"/>
          <w:szCs w:val="23"/>
        </w:rPr>
        <w:t xml:space="preserve">Овариальный рак </w:t>
      </w:r>
      <w:r w:rsidR="00EB0788">
        <w:rPr>
          <w:rFonts w:ascii="Times New Roman" w:hAnsi="Times New Roman" w:cs="Times New Roman"/>
          <w:sz w:val="28"/>
          <w:szCs w:val="23"/>
        </w:rPr>
        <w:t xml:space="preserve">является актуальной проблемой современной онкогинекологии, обусловленная отсутствием эффективных методов ранней диагностики (большая часть случаев заболевания диагностируется на </w:t>
      </w:r>
      <w:r w:rsidR="00EB0788">
        <w:rPr>
          <w:rFonts w:ascii="Times New Roman" w:hAnsi="Times New Roman" w:cs="Times New Roman"/>
          <w:sz w:val="28"/>
          <w:szCs w:val="23"/>
          <w:lang w:val="en-US"/>
        </w:rPr>
        <w:t>III</w:t>
      </w:r>
      <w:r w:rsidR="00EB0788" w:rsidRPr="00EB0788">
        <w:rPr>
          <w:rFonts w:ascii="Times New Roman" w:hAnsi="Times New Roman" w:cs="Times New Roman"/>
          <w:sz w:val="28"/>
          <w:szCs w:val="23"/>
        </w:rPr>
        <w:t>-</w:t>
      </w:r>
      <w:r w:rsidR="00EB0788">
        <w:rPr>
          <w:rFonts w:ascii="Times New Roman" w:hAnsi="Times New Roman" w:cs="Times New Roman"/>
          <w:sz w:val="28"/>
          <w:szCs w:val="23"/>
          <w:lang w:val="en-US"/>
        </w:rPr>
        <w:t>IV</w:t>
      </w:r>
      <w:r w:rsidR="00EB0788">
        <w:rPr>
          <w:rFonts w:ascii="Times New Roman" w:hAnsi="Times New Roman" w:cs="Times New Roman"/>
          <w:sz w:val="28"/>
          <w:szCs w:val="23"/>
        </w:rPr>
        <w:t xml:space="preserve"> стадиях опухолевого процесса), неблагоприятными эпидемиологическими показателями (</w:t>
      </w:r>
      <w:r w:rsidR="00A10B52">
        <w:rPr>
          <w:rFonts w:ascii="Times New Roman" w:hAnsi="Times New Roman" w:cs="Times New Roman"/>
          <w:sz w:val="28"/>
          <w:szCs w:val="23"/>
        </w:rPr>
        <w:t xml:space="preserve">эпителиальный рак </w:t>
      </w:r>
      <w:r w:rsidR="00EB0788">
        <w:rPr>
          <w:rFonts w:ascii="Times New Roman" w:hAnsi="Times New Roman" w:cs="Times New Roman"/>
          <w:sz w:val="28"/>
          <w:szCs w:val="23"/>
        </w:rPr>
        <w:t>составляет до 90% новообразований яичника) и высокими показателями смертности</w:t>
      </w:r>
      <w:r w:rsidR="0092566F" w:rsidRPr="00A43B9C">
        <w:rPr>
          <w:rFonts w:ascii="Times New Roman" w:hAnsi="Times New Roman" w:cs="Times New Roman"/>
          <w:sz w:val="28"/>
          <w:szCs w:val="23"/>
        </w:rPr>
        <w:t xml:space="preserve">. </w:t>
      </w:r>
      <w:r w:rsidR="0092566F" w:rsidRPr="00A43B9C">
        <w:rPr>
          <w:rStyle w:val="hl"/>
          <w:rFonts w:ascii="Times New Roman" w:hAnsi="Times New Roman" w:cs="Times New Roman"/>
          <w:color w:val="000000"/>
          <w:sz w:val="28"/>
          <w:szCs w:val="28"/>
          <w:bdr w:val="none" w:sz="0" w:space="0" w:color="auto" w:frame="1"/>
        </w:rPr>
        <w:t xml:space="preserve">Выявление и прогнозирование течения </w:t>
      </w:r>
      <w:r w:rsidR="00A10B52">
        <w:rPr>
          <w:rStyle w:val="hl"/>
          <w:rFonts w:ascii="Times New Roman" w:hAnsi="Times New Roman" w:cs="Times New Roman"/>
          <w:color w:val="000000"/>
          <w:sz w:val="28"/>
          <w:szCs w:val="28"/>
          <w:bdr w:val="none" w:sz="0" w:space="0" w:color="auto" w:frame="1"/>
        </w:rPr>
        <w:t xml:space="preserve">рака яичников </w:t>
      </w:r>
      <w:r w:rsidR="0092566F" w:rsidRPr="00A43B9C">
        <w:rPr>
          <w:rFonts w:ascii="Times New Roman" w:hAnsi="Times New Roman" w:cs="Times New Roman"/>
          <w:color w:val="000000"/>
          <w:sz w:val="28"/>
          <w:szCs w:val="28"/>
        </w:rPr>
        <w:t xml:space="preserve">затруднены, что делает актуальным поиск прогностических критериев этой патологии. При этом прогностическое значение некоторых факторов остается малоизученным. </w:t>
      </w:r>
      <w:r w:rsidR="0092566F" w:rsidRPr="00A43B9C">
        <w:rPr>
          <w:rFonts w:ascii="Times New Roman" w:hAnsi="Times New Roman" w:cs="Times New Roman"/>
          <w:sz w:val="28"/>
        </w:rPr>
        <w:t xml:space="preserve">Раковые клетки эпителия яичников могут напрямую распространяться из первичной опухоли в брюшную полость и </w:t>
      </w:r>
      <w:r w:rsidR="0092566F" w:rsidRPr="00A43B9C">
        <w:rPr>
          <w:rFonts w:ascii="Times New Roman" w:hAnsi="Times New Roman" w:cs="Times New Roman"/>
          <w:sz w:val="28"/>
          <w:lang w:val="kk-KZ"/>
        </w:rPr>
        <w:t xml:space="preserve">диссеминировать в </w:t>
      </w:r>
      <w:r w:rsidR="0092566F" w:rsidRPr="00A43B9C">
        <w:rPr>
          <w:rFonts w:ascii="Times New Roman" w:hAnsi="Times New Roman" w:cs="Times New Roman"/>
          <w:sz w:val="28"/>
        </w:rPr>
        <w:t>органы брюшной полости</w:t>
      </w:r>
      <w:r w:rsidR="00493AE7" w:rsidRPr="00A43B9C">
        <w:rPr>
          <w:rFonts w:ascii="Times New Roman" w:hAnsi="Times New Roman" w:cs="Times New Roman"/>
          <w:sz w:val="28"/>
        </w:rPr>
        <w:t>, при этом</w:t>
      </w:r>
      <w:r w:rsidR="0092566F" w:rsidRPr="00A43B9C">
        <w:rPr>
          <w:rFonts w:ascii="Times New Roman" w:hAnsi="Times New Roman" w:cs="Times New Roman"/>
          <w:sz w:val="28"/>
        </w:rPr>
        <w:t xml:space="preserve"> </w:t>
      </w:r>
      <w:r w:rsidR="00A10B52">
        <w:rPr>
          <w:rFonts w:ascii="Times New Roman" w:hAnsi="Times New Roman" w:cs="Times New Roman"/>
          <w:sz w:val="28"/>
        </w:rPr>
        <w:t xml:space="preserve">эпителиальная форма рака </w:t>
      </w:r>
      <w:r w:rsidR="0092566F" w:rsidRPr="00A43B9C">
        <w:rPr>
          <w:rFonts w:ascii="Times New Roman" w:hAnsi="Times New Roman" w:cs="Times New Roman"/>
          <w:sz w:val="28"/>
        </w:rPr>
        <w:t>преимущественно метастазирует в сальник</w:t>
      </w:r>
      <w:r w:rsidR="00164F60" w:rsidRPr="00A43B9C">
        <w:rPr>
          <w:rFonts w:ascii="Times New Roman" w:hAnsi="Times New Roman" w:cs="Times New Roman"/>
          <w:sz w:val="28"/>
        </w:rPr>
        <w:t xml:space="preserve"> </w:t>
      </w:r>
      <w:r w:rsidR="00164F60" w:rsidRPr="00A43B9C">
        <w:rPr>
          <w:rFonts w:ascii="Times New Roman" w:hAnsi="Times New Roman" w:cs="Times New Roman"/>
          <w:sz w:val="28"/>
        </w:rPr>
        <w:fldChar w:fldCharType="begin"/>
      </w:r>
      <w:r w:rsidR="00F6152F">
        <w:rPr>
          <w:rFonts w:ascii="Times New Roman" w:hAnsi="Times New Roman" w:cs="Times New Roman"/>
          <w:sz w:val="28"/>
        </w:rPr>
        <w:instrText xml:space="preserve"> ADDIN ZOTERO_ITEM CSL_CITATION {"citationID":"a1mc6ru6u5f","properties":{"formattedCitation":"[193]","plainCitation":"[193]","noteIndex":0},"citationItems":[{"id":136,"uris":["http://zotero.org/users/8787459/items/WCVZ85AY"],"itemData":{"id":136,"type":"article-journal","abstract":"OBJECTIVE: Metabolic tumour volume (MTV) and total lesion glycolysis (TLG) from (18)F-FDG PET/CT are emerging prognostic biomarkers in various solid neoplasms. These volumetric parameters and the SUVmax have shown to be useful criteria for disease prognostication in preoperative and post-treatment epithelial ovarian cancer (EOC) patients. The purpose of this study was to evaluate the utility of (18)F-FDG PET/CT measurements to predict survival in patients with recurrent EOC.\nMATERIAL AND METHODS: Twenty-six patients with EOC who underwent a total of 31 (18)F-FDG PET/CT studies for suspected recurrence were retrospectively included. SUVmax and volumetric parameters whole-body MTV (wbMTV) and whole-body TLG (wbTLG) with a threshold of 40% and 50% of the SUVmax were obtained. Correlation between PET parameters and progression-free survival (PFS) and the survival analysis of prognostic factors were calculated.\nRESULTS: Serous cancer was the most common histological subtype (76.9%). The median PFS was 12.5 months (range 10.7-20.6 months). Volumetric parameters showed moderate inverse correlation with PFS but there was no significant correlation in the case of SUVmax. The correlation was stronger for first recurrences. By Kaplan-Meier analysis and log-rank test, wbMTV 40%, wbMTV 50% and wbTLG 50% correlated with PFS. However, SUVmax and wbTLG 40% were not statistically significant predictors for PFS.\nCONCLUSION: Volumetric parameters wbMTV and wbTLG 50% measured by (18)F-FDG PET/CT appear to be useful prognostic predictors of outcome and may provide valuable information to individualize treatment strategies in patients with recurrent EOC.","container-title":"Revista Espanola De Medicina Nuclear E Imagen Molecular","DOI":"10.1016/j.remn.2015.08.005","ISSN":"2253-8070","issue":"2","journalAbbreviation":"Rev Esp Med Nucl Imagen Mol","language":"eng","note":"PMID: 26541072","page":"88-95","source":"PubMed","title":"Prognostic value of (18)F-FDG PET/CT volumetric parameters in recurrent epithelial ovarian cancer","volume":"35","author":[{"family":"Mayoral","given":"M."},{"family":"Fernandez-Martinez","given":"A."},{"family":"Vidal","given":"L."},{"family":"Fuster","given":"D."},{"family":"Aya","given":"F."},{"family":"Pavia","given":"J."},{"family":"Pons","given":"F."},{"family":"Lomeña","given":"F."},{"family":"Paredes","given":"P."}],"issued":{"date-parts":[["2016",4]]}}}],"schema":"https://github.com/citation-style-language/schema/raw/master/csl-citation.json"} </w:instrText>
      </w:r>
      <w:r w:rsidR="00164F60" w:rsidRPr="00A43B9C">
        <w:rPr>
          <w:rFonts w:ascii="Times New Roman" w:hAnsi="Times New Roman" w:cs="Times New Roman"/>
          <w:sz w:val="28"/>
        </w:rPr>
        <w:fldChar w:fldCharType="separate"/>
      </w:r>
      <w:r w:rsidR="00F6152F" w:rsidRPr="00F6152F">
        <w:rPr>
          <w:rFonts w:ascii="Times New Roman" w:hAnsi="Times New Roman" w:cs="Times New Roman"/>
          <w:sz w:val="28"/>
        </w:rPr>
        <w:t>[193]</w:t>
      </w:r>
      <w:r w:rsidR="00164F60" w:rsidRPr="00A43B9C">
        <w:rPr>
          <w:rFonts w:ascii="Times New Roman" w:hAnsi="Times New Roman" w:cs="Times New Roman"/>
          <w:sz w:val="28"/>
        </w:rPr>
        <w:fldChar w:fldCharType="end"/>
      </w:r>
      <w:r w:rsidR="0092566F" w:rsidRPr="00A43B9C">
        <w:rPr>
          <w:rFonts w:ascii="Times New Roman" w:hAnsi="Times New Roman" w:cs="Times New Roman"/>
          <w:sz w:val="28"/>
        </w:rPr>
        <w:t>.</w:t>
      </w:r>
      <w:r w:rsidR="008D542E">
        <w:rPr>
          <w:rFonts w:ascii="Times New Roman" w:hAnsi="Times New Roman" w:cs="Times New Roman"/>
          <w:sz w:val="28"/>
        </w:rPr>
        <w:t xml:space="preserve"> </w:t>
      </w:r>
      <w:r w:rsidR="0092566F" w:rsidRPr="00A43B9C">
        <w:rPr>
          <w:rFonts w:ascii="Times New Roman" w:hAnsi="Times New Roman" w:cs="Times New Roman"/>
          <w:sz w:val="28"/>
          <w:szCs w:val="24"/>
          <w:lang w:val="kk-KZ"/>
        </w:rPr>
        <w:t>К</w:t>
      </w:r>
      <w:r w:rsidR="00A10B52">
        <w:rPr>
          <w:rFonts w:ascii="Times New Roman" w:hAnsi="Times New Roman" w:cs="Times New Roman"/>
          <w:sz w:val="28"/>
          <w:szCs w:val="24"/>
          <w:lang w:val="kk-KZ"/>
        </w:rPr>
        <w:t xml:space="preserve">олоректальный рак </w:t>
      </w:r>
      <w:r w:rsidR="0092566F" w:rsidRPr="00A43B9C">
        <w:rPr>
          <w:rFonts w:ascii="Times New Roman" w:hAnsi="Times New Roman" w:cs="Times New Roman"/>
          <w:sz w:val="28"/>
          <w:szCs w:val="24"/>
          <w:lang w:val="kk-KZ"/>
        </w:rPr>
        <w:t xml:space="preserve">также </w:t>
      </w:r>
      <w:r w:rsidR="0092566F" w:rsidRPr="00A43B9C">
        <w:rPr>
          <w:rFonts w:ascii="Times New Roman" w:hAnsi="Times New Roman" w:cs="Times New Roman"/>
          <w:sz w:val="28"/>
          <w:szCs w:val="24"/>
        </w:rPr>
        <w:t xml:space="preserve">является одним из самых распространенных злокачественных </w:t>
      </w:r>
      <w:r w:rsidR="00493AE7" w:rsidRPr="00A43B9C">
        <w:rPr>
          <w:rFonts w:ascii="Times New Roman" w:hAnsi="Times New Roman" w:cs="Times New Roman"/>
          <w:sz w:val="28"/>
          <w:szCs w:val="24"/>
          <w:lang w:val="kk-KZ"/>
        </w:rPr>
        <w:t>новообразований</w:t>
      </w:r>
      <w:r w:rsidR="00493AE7" w:rsidRPr="00A43B9C">
        <w:rPr>
          <w:rFonts w:ascii="Times New Roman" w:hAnsi="Times New Roman" w:cs="Times New Roman"/>
          <w:sz w:val="28"/>
          <w:szCs w:val="24"/>
        </w:rPr>
        <w:t xml:space="preserve"> </w:t>
      </w:r>
      <w:r w:rsidR="0092566F" w:rsidRPr="00A43B9C">
        <w:rPr>
          <w:rFonts w:ascii="Times New Roman" w:hAnsi="Times New Roman" w:cs="Times New Roman"/>
          <w:sz w:val="28"/>
          <w:szCs w:val="24"/>
        </w:rPr>
        <w:t xml:space="preserve">в мире, в основе </w:t>
      </w:r>
      <w:r w:rsidR="00493AE7" w:rsidRPr="00A43B9C">
        <w:rPr>
          <w:rFonts w:ascii="Times New Roman" w:hAnsi="Times New Roman" w:cs="Times New Roman"/>
          <w:sz w:val="28"/>
          <w:szCs w:val="24"/>
        </w:rPr>
        <w:t xml:space="preserve">лечения </w:t>
      </w:r>
      <w:r w:rsidR="0092566F" w:rsidRPr="00A43B9C">
        <w:rPr>
          <w:rFonts w:ascii="Times New Roman" w:hAnsi="Times New Roman" w:cs="Times New Roman"/>
          <w:sz w:val="28"/>
          <w:szCs w:val="24"/>
        </w:rPr>
        <w:t>которого леж</w:t>
      </w:r>
      <w:r w:rsidR="008518E0">
        <w:rPr>
          <w:rFonts w:ascii="Times New Roman" w:hAnsi="Times New Roman" w:cs="Times New Roman"/>
          <w:sz w:val="28"/>
          <w:szCs w:val="24"/>
        </w:rPr>
        <w:t>а</w:t>
      </w:r>
      <w:r w:rsidR="0092566F" w:rsidRPr="00A43B9C">
        <w:rPr>
          <w:rFonts w:ascii="Times New Roman" w:hAnsi="Times New Roman" w:cs="Times New Roman"/>
          <w:sz w:val="28"/>
          <w:szCs w:val="24"/>
        </w:rPr>
        <w:t xml:space="preserve">т хирургический и химиотерапевтический методы лечения. Результаты лечения </w:t>
      </w:r>
      <w:r w:rsidR="00A10B52">
        <w:rPr>
          <w:rFonts w:ascii="Times New Roman" w:hAnsi="Times New Roman" w:cs="Times New Roman"/>
          <w:sz w:val="28"/>
          <w:szCs w:val="24"/>
        </w:rPr>
        <w:t>колоректального рака</w:t>
      </w:r>
      <w:r w:rsidR="0092566F" w:rsidRPr="00A43B9C">
        <w:rPr>
          <w:rFonts w:ascii="Times New Roman" w:hAnsi="Times New Roman" w:cs="Times New Roman"/>
          <w:sz w:val="28"/>
          <w:szCs w:val="24"/>
        </w:rPr>
        <w:t xml:space="preserve"> остаются неудовлетворительными в связи с его частым рецидивированием и метастазированием. По данным авторов разных стран метастазирование в </w:t>
      </w:r>
      <w:r w:rsidR="00D83043">
        <w:rPr>
          <w:rFonts w:ascii="Times New Roman" w:hAnsi="Times New Roman" w:cs="Times New Roman"/>
          <w:sz w:val="28"/>
          <w:szCs w:val="24"/>
        </w:rPr>
        <w:t>брюшину</w:t>
      </w:r>
      <w:r w:rsidR="0092566F" w:rsidRPr="00A43B9C">
        <w:rPr>
          <w:rFonts w:ascii="Times New Roman" w:hAnsi="Times New Roman" w:cs="Times New Roman"/>
          <w:sz w:val="28"/>
          <w:szCs w:val="24"/>
        </w:rPr>
        <w:t xml:space="preserve"> является одним из наиболее важных прогностических факторов при </w:t>
      </w:r>
      <w:r w:rsidR="00A10B52">
        <w:rPr>
          <w:rFonts w:ascii="Times New Roman" w:hAnsi="Times New Roman" w:cs="Times New Roman"/>
          <w:sz w:val="28"/>
          <w:szCs w:val="24"/>
        </w:rPr>
        <w:t>колоректальном раке</w:t>
      </w:r>
      <w:r w:rsidR="0092566F" w:rsidRPr="00A43B9C">
        <w:rPr>
          <w:rFonts w:ascii="Times New Roman" w:hAnsi="Times New Roman" w:cs="Times New Roman"/>
          <w:sz w:val="28"/>
          <w:szCs w:val="24"/>
        </w:rPr>
        <w:t xml:space="preserve">, поскольку выживаемость среди пациентов </w:t>
      </w:r>
      <w:r w:rsidR="00E50700" w:rsidRPr="00A43B9C">
        <w:rPr>
          <w:rFonts w:ascii="Times New Roman" w:hAnsi="Times New Roman" w:cs="Times New Roman"/>
          <w:sz w:val="28"/>
          <w:szCs w:val="24"/>
        </w:rPr>
        <w:t xml:space="preserve">с метастатическим </w:t>
      </w:r>
      <w:r w:rsidR="00A10B52">
        <w:rPr>
          <w:rFonts w:ascii="Times New Roman" w:hAnsi="Times New Roman" w:cs="Times New Roman"/>
          <w:sz w:val="28"/>
          <w:szCs w:val="24"/>
        </w:rPr>
        <w:t>колоректальным раком</w:t>
      </w:r>
      <w:r w:rsidR="0092566F" w:rsidRPr="00A43B9C">
        <w:rPr>
          <w:rFonts w:ascii="Times New Roman" w:hAnsi="Times New Roman" w:cs="Times New Roman"/>
          <w:sz w:val="28"/>
          <w:szCs w:val="24"/>
        </w:rPr>
        <w:t xml:space="preserve"> значительно ниже, чем у пациентов без метастаз</w:t>
      </w:r>
      <w:r w:rsidR="00E50700" w:rsidRPr="00A43B9C">
        <w:rPr>
          <w:rFonts w:ascii="Times New Roman" w:hAnsi="Times New Roman" w:cs="Times New Roman"/>
          <w:sz w:val="28"/>
          <w:szCs w:val="24"/>
        </w:rPr>
        <w:t>ирования</w:t>
      </w:r>
      <w:r w:rsidR="009F21DF" w:rsidRPr="00A43B9C">
        <w:rPr>
          <w:rFonts w:ascii="Times New Roman" w:hAnsi="Times New Roman" w:cs="Times New Roman"/>
          <w:sz w:val="28"/>
          <w:szCs w:val="24"/>
        </w:rPr>
        <w:t xml:space="preserve"> </w:t>
      </w:r>
      <w:r w:rsidR="009F21DF" w:rsidRPr="00A43B9C">
        <w:rPr>
          <w:rFonts w:ascii="Times New Roman" w:hAnsi="Times New Roman" w:cs="Times New Roman"/>
          <w:sz w:val="28"/>
          <w:szCs w:val="24"/>
        </w:rPr>
        <w:fldChar w:fldCharType="begin"/>
      </w:r>
      <w:r w:rsidR="00F6152F">
        <w:rPr>
          <w:rFonts w:ascii="Times New Roman" w:hAnsi="Times New Roman" w:cs="Times New Roman"/>
          <w:sz w:val="28"/>
          <w:szCs w:val="24"/>
        </w:rPr>
        <w:instrText xml:space="preserve"> ADDIN ZOTERO_ITEM CSL_CITATION {"citationID":"a1090pbco8e","properties":{"formattedCitation":"[5, 6, 194]","plainCitation":"[5, 6, 194]","noteIndex":0},"citationItems":[{"id":432,"uris":["http://zotero.org/users/8787459/items/A6EGQ3E3"],"itemData":{"id":432,"type":"article-journal","abstract":"[18F]Fluorodeoxyglucose (FDG)\npositron emission tomography (PET) is a useful imaging tool in the evolving management of patients with colorectal carcinoma. This technique is able to measure and visualize metabolic changes in cancer cells. This feature results in the ability to distinguish viable tumor from scar tissue, in the detection of tumor foci at an earlier stage than possible by conventional anatomic imaging and in the measurement of alterations in tumor metabolism, indicative of tumor response to therapy. Nowadays, FDG-PET plays a pivotal role in staging patients before surgical resection of recurrence and metastases, in the localization of recurrence in patients with an unexplained rise in serum carcinoembryonic antigen and in assessment of residual masses after treatment. In the presurgical evaluation, FDG-PET may be best used in conjunction with anatomic imaging in order to combine the benefits of both anatomical (CT) and functional (PET) information, which leads to significant improvements in preoperative liver staging and preoperative judgment on the feasibility of resection. Integration of FDG-PET into the management algorithm of these categories of patients alters and improves therapeutic management, reduces morbidity due to futile surgery, leads to substantial cost savings and probably also to a better patient outcome. FDG-PET also appears to have great potential in monitoring the success of local ablative therapies soon after intervention and in the prediction and evaluation of response to radiotherapy, systemic therapy, and combinations thereof. This review aims to outline the current and future role of FDG-PET in the field of colorectal cancer.","container-title":"Cancer Imaging","DOI":"10.1102/1470-7330.2006.9014","ISSN":"1740-5025","issue":"Spec No A","journalAbbreviation":"Cancer Imaging","note":"PMID: 17114081\nPMCID: PMC1805073","page":"S71-S81","source":"PubMed Central","title":"FDG-PET in colorectal cancer","volume":"6","author":[{"family":"Geus-Oei","given":"Lioe-Fee","non-dropping-particle":"de"},{"family":"Ruers","given":"Theo J M"},{"family":"Punt","given":"Cornelis J A"},{"family":"Willem Leer","given":"Jan"},{"family":"Corstens","given":"Frans H M"},{"family":"Oyen","given":"Wim J G"}],"issued":{"date-parts":[["2006",10,31]]}},"label":"page"},{"id":219,"uris":["http://zotero.org/users/8787459/items/GUUSN3MV"],"itemData":{"id":219,"type":"article-journal","abstract":"Each year, the American Cancer Society estimates the numbers of new cancer cases and deaths in the United States and compiles the most recent data on population-based cancer occurrence and outcomes. Incidence data (through 2018) were collected by the Surveillance, Epidemiology, and End Results program; the National Program of Cancer Registries; and the North American Association of Central Cancer Registries. Mortality data (through 2019) were collected by the National Center for Health Statistics. In 2022, 1,918,030 new cancer cases and 609,360 cancer deaths are projected to occur in the United States, including approximately 350 deaths per day from lung cancer, the leading cause of cancer death. Incidence during 2014 through 2018 continued a slow increase for female breast cancer (by 0.5% annually) and remained stable for prostate cancer, despite a 4% to 6% annual increase for advanced disease since 2011. Consequently, the proportion of prostate cancer diagnosed at a distant stage increased from 3.9% to 8.2% over the past decade. In contrast, lung cancer incidence continued to decline steeply for advanced disease while rates for localized-stage increased suddenly by 4.5% annually, contributing to gains both in the proportion of localized-stage diagnoses (from 17% in 2004 to 28% in 2018) and 3-year relative survival (from 21% to 31%). Mortality patterns reflect incidence trends, with declines accelerating for lung cancer, slowing for breast cancer, and stabilizing for prostate cancer. In summary, progress has stagnated for breast and prostate cancers but strengthened for lung cancer, coinciding with changes in medical practice related to cancer screening and/or treatment. More targeted cancer control interventions and investment in improved early detection and treatment would facilitate reductions in cancer mortality.","container-title":"CA: A Cancer Journal for Clinicians","DOI":"10.3322/caac.21708","ISSN":"1542-4863","issue":"1","language":"en","note":"_eprint: https://onlinelibrary.wiley.com/doi/pdf/10.3322/caac.21708","page":"7-33","source":"Wiley Online Library","title":"Cancer statistics, 2022","volume":"72","author":[{"family":"Siegel","given":"Rebecca L."},{"family":"Miller","given":"Kimberly D."},{"family":"Fuchs","given":"Hannah E."},{"family":"Jemal","given":"Ahmedin"}],"issued":{"date-parts":[["2022"]]}},"label":"page"},{"id":236,"uris":["http://zotero.org/users/8787459/items/IBQQGTKJ"],"itemData":{"id":236,"type":"article-journal","abstract":"As the third most common malignancy and the second most deadly cancer, colorectal cancer (CRC) induces estimated 1.9 million incidence cases and 0.9 million deaths worldwide in 2020. The incidence of CRC is higher in highly developed countries, and it is increasing in middle- and low-income countries due to westernization. Moreover, a rising incidence of early-onset CRC is also emerging. The large number of CRC cases poses a growing global public health challenge. Raising awareness of CRC is important to promote healthy lifestyle choices, novel strategies for CRC management, and implementation of global screening programs, which are critical to reducing CRC morbidity and mortality in the future. CRC is a heterogeneous disease, and its subtype affiliation influences prognosis and therapeutic response. An accurate CRC subtype classification system is of great significance for basic research and clinical outcome. Here, we present the global epidemiology of CRC in 2020 and projections for 2040, review the major CRC subtypes to better understand CRC molecular basis, and summarize current risk factors, prevention, and screening strategies for CRC.","container-title":"Translational Oncology","DOI":"10.1016/j.tranon.2021.101174","ISSN":"1936-5233","issue":"10","journalAbbreviation":"Transl Oncol","language":"eng","note":"PMID: 34243011\nPMCID: PMC8273208","page":"101174","source":"PubMed","title":"Global colorectal cancer burden in 2020 and projections to 2040","volume":"14","author":[{"family":"Xi","given":"Yue"},{"family":"Xu","given":"Pengfei"}],"issued":{"date-parts":[["2021",10]]}},"label":"page"}],"schema":"https://github.com/citation-style-language/schema/raw/master/csl-citation.json"} </w:instrText>
      </w:r>
      <w:r w:rsidR="009F21DF" w:rsidRPr="00A43B9C">
        <w:rPr>
          <w:rFonts w:ascii="Times New Roman" w:hAnsi="Times New Roman" w:cs="Times New Roman"/>
          <w:sz w:val="28"/>
          <w:szCs w:val="24"/>
        </w:rPr>
        <w:fldChar w:fldCharType="separate"/>
      </w:r>
      <w:r w:rsidR="00F6152F" w:rsidRPr="00F6152F">
        <w:rPr>
          <w:rFonts w:ascii="Times New Roman" w:hAnsi="Times New Roman" w:cs="Times New Roman"/>
          <w:sz w:val="28"/>
        </w:rPr>
        <w:t>[194]</w:t>
      </w:r>
      <w:r w:rsidR="009F21DF" w:rsidRPr="00A43B9C">
        <w:rPr>
          <w:rFonts w:ascii="Times New Roman" w:hAnsi="Times New Roman" w:cs="Times New Roman"/>
          <w:sz w:val="28"/>
          <w:szCs w:val="24"/>
        </w:rPr>
        <w:fldChar w:fldCharType="end"/>
      </w:r>
      <w:r w:rsidR="0092566F" w:rsidRPr="00A43B9C">
        <w:rPr>
          <w:rFonts w:ascii="Times New Roman" w:hAnsi="Times New Roman" w:cs="Times New Roman"/>
          <w:sz w:val="28"/>
          <w:szCs w:val="24"/>
        </w:rPr>
        <w:t>.</w:t>
      </w:r>
    </w:p>
    <w:p w14:paraId="62D462D3" w14:textId="05F0B1B4" w:rsidR="0092566F" w:rsidRDefault="0092566F" w:rsidP="008D542E">
      <w:pPr>
        <w:tabs>
          <w:tab w:val="left" w:pos="0"/>
        </w:tabs>
        <w:spacing w:after="0" w:line="240" w:lineRule="auto"/>
        <w:ind w:firstLine="709"/>
        <w:jc w:val="both"/>
        <w:rPr>
          <w:rFonts w:ascii="Times New Roman" w:hAnsi="Times New Roman" w:cs="Times New Roman"/>
          <w:sz w:val="28"/>
        </w:rPr>
      </w:pPr>
      <w:r w:rsidRPr="00A43B9C">
        <w:rPr>
          <w:rFonts w:ascii="Times New Roman" w:hAnsi="Times New Roman" w:cs="Times New Roman"/>
          <w:sz w:val="28"/>
          <w:szCs w:val="24"/>
        </w:rPr>
        <w:t>Традиционные методы визуализации, имеющие важн</w:t>
      </w:r>
      <w:r w:rsidR="00114795" w:rsidRPr="00A43B9C">
        <w:rPr>
          <w:rFonts w:ascii="Times New Roman" w:hAnsi="Times New Roman" w:cs="Times New Roman"/>
          <w:sz w:val="28"/>
          <w:szCs w:val="24"/>
        </w:rPr>
        <w:t>ое</w:t>
      </w:r>
      <w:r w:rsidRPr="00A43B9C">
        <w:rPr>
          <w:rFonts w:ascii="Times New Roman" w:hAnsi="Times New Roman" w:cs="Times New Roman"/>
          <w:sz w:val="28"/>
          <w:szCs w:val="24"/>
        </w:rPr>
        <w:t xml:space="preserve"> диагностическ</w:t>
      </w:r>
      <w:r w:rsidR="00114795" w:rsidRPr="00A43B9C">
        <w:rPr>
          <w:rFonts w:ascii="Times New Roman" w:hAnsi="Times New Roman" w:cs="Times New Roman"/>
          <w:sz w:val="28"/>
          <w:szCs w:val="24"/>
        </w:rPr>
        <w:t>ое</w:t>
      </w:r>
      <w:r w:rsidRPr="00A43B9C">
        <w:rPr>
          <w:rFonts w:ascii="Times New Roman" w:hAnsi="Times New Roman" w:cs="Times New Roman"/>
          <w:sz w:val="28"/>
          <w:szCs w:val="24"/>
        </w:rPr>
        <w:t xml:space="preserve"> </w:t>
      </w:r>
      <w:r w:rsidR="00114795" w:rsidRPr="00A43B9C">
        <w:rPr>
          <w:rFonts w:ascii="Times New Roman" w:hAnsi="Times New Roman" w:cs="Times New Roman"/>
          <w:sz w:val="28"/>
          <w:szCs w:val="24"/>
        </w:rPr>
        <w:t xml:space="preserve">значение </w:t>
      </w:r>
      <w:r w:rsidRPr="00A43B9C">
        <w:rPr>
          <w:rFonts w:ascii="Times New Roman" w:hAnsi="Times New Roman" w:cs="Times New Roman"/>
          <w:sz w:val="28"/>
          <w:szCs w:val="24"/>
        </w:rPr>
        <w:t xml:space="preserve">в выявлении метастазов злокачественных опухолей, отражают только размер, плотность и морфологию </w:t>
      </w:r>
      <w:r w:rsidR="00A10B52">
        <w:rPr>
          <w:rFonts w:ascii="Times New Roman" w:hAnsi="Times New Roman" w:cs="Times New Roman"/>
          <w:sz w:val="28"/>
          <w:szCs w:val="24"/>
        </w:rPr>
        <w:t>лимфоузлов</w:t>
      </w:r>
      <w:r w:rsidR="00E50700" w:rsidRPr="00A43B9C">
        <w:rPr>
          <w:rFonts w:ascii="Times New Roman" w:hAnsi="Times New Roman" w:cs="Times New Roman"/>
          <w:sz w:val="28"/>
          <w:szCs w:val="24"/>
        </w:rPr>
        <w:t xml:space="preserve">, </w:t>
      </w:r>
      <w:r w:rsidRPr="00A43B9C">
        <w:rPr>
          <w:rFonts w:ascii="Times New Roman" w:hAnsi="Times New Roman" w:cs="Times New Roman"/>
          <w:sz w:val="28"/>
          <w:szCs w:val="24"/>
        </w:rPr>
        <w:t xml:space="preserve">в то время как биологическая активность и агрессивность </w:t>
      </w:r>
      <w:r w:rsidR="00A10B52">
        <w:rPr>
          <w:rFonts w:ascii="Times New Roman" w:hAnsi="Times New Roman" w:cs="Times New Roman"/>
          <w:sz w:val="28"/>
          <w:szCs w:val="24"/>
        </w:rPr>
        <w:t>лимфоузлов</w:t>
      </w:r>
      <w:r w:rsidRPr="00A43B9C">
        <w:rPr>
          <w:rFonts w:ascii="Times New Roman" w:hAnsi="Times New Roman" w:cs="Times New Roman"/>
          <w:sz w:val="28"/>
          <w:szCs w:val="24"/>
        </w:rPr>
        <w:t xml:space="preserve"> не может быть определена традиционными методами визуализации, которые лучше отражают биологическое поведение </w:t>
      </w:r>
      <w:r w:rsidR="00A10B52">
        <w:rPr>
          <w:rFonts w:ascii="Times New Roman" w:hAnsi="Times New Roman" w:cs="Times New Roman"/>
          <w:sz w:val="28"/>
          <w:szCs w:val="24"/>
        </w:rPr>
        <w:t>лимфоузлов</w:t>
      </w:r>
      <w:r w:rsidRPr="00A43B9C">
        <w:rPr>
          <w:rFonts w:ascii="Times New Roman" w:hAnsi="Times New Roman" w:cs="Times New Roman"/>
          <w:sz w:val="28"/>
          <w:szCs w:val="24"/>
        </w:rPr>
        <w:t xml:space="preserve"> при </w:t>
      </w:r>
      <w:r w:rsidR="00A10B52">
        <w:rPr>
          <w:rFonts w:ascii="Times New Roman" w:hAnsi="Times New Roman" w:cs="Times New Roman"/>
          <w:sz w:val="28"/>
          <w:szCs w:val="24"/>
        </w:rPr>
        <w:t>эпителиальном раке яичников и колоректальном раке</w:t>
      </w:r>
      <w:r w:rsidRPr="00A43B9C">
        <w:rPr>
          <w:rFonts w:ascii="Times New Roman" w:hAnsi="Times New Roman" w:cs="Times New Roman"/>
          <w:sz w:val="28"/>
          <w:szCs w:val="24"/>
        </w:rPr>
        <w:t>.</w:t>
      </w:r>
      <w:r w:rsidR="008D542E">
        <w:rPr>
          <w:rFonts w:ascii="Times New Roman" w:hAnsi="Times New Roman" w:cs="Times New Roman"/>
          <w:sz w:val="28"/>
          <w:szCs w:val="24"/>
        </w:rPr>
        <w:t xml:space="preserve"> </w:t>
      </w:r>
      <w:r w:rsidRPr="00A43B9C">
        <w:rPr>
          <w:rFonts w:ascii="Times New Roman" w:hAnsi="Times New Roman" w:cs="Times New Roman"/>
          <w:sz w:val="28"/>
        </w:rPr>
        <w:t>Нарушение регуляции висцеральной жировой ткани способствует секреции различных противовоспалительных адипокинов как результата системного воспаления, играющих ключевую роль в метастазировании.</w:t>
      </w:r>
    </w:p>
    <w:p w14:paraId="4F88D7C7" w14:textId="0B899645" w:rsidR="008014FB" w:rsidRDefault="00EB0788" w:rsidP="008014FB">
      <w:pPr>
        <w:pStyle w:val="p"/>
        <w:spacing w:before="0" w:beforeAutospacing="0" w:after="0" w:afterAutospacing="0"/>
        <w:ind w:firstLine="708"/>
        <w:jc w:val="both"/>
        <w:rPr>
          <w:rFonts w:eastAsia="TimesNewRomanPSMT"/>
          <w:sz w:val="28"/>
          <w:szCs w:val="28"/>
        </w:rPr>
      </w:pPr>
      <w:bookmarkStart w:id="105" w:name="_Hlk117893501"/>
      <w:bookmarkEnd w:id="104"/>
      <w:r>
        <w:rPr>
          <w:rFonts w:eastAsia="TimesNewRomanPSMT"/>
          <w:sz w:val="28"/>
          <w:szCs w:val="28"/>
          <w:lang w:val="kk-KZ"/>
        </w:rPr>
        <w:t xml:space="preserve">В этой связи в нашем исследовании первоначально были </w:t>
      </w:r>
      <w:r w:rsidR="008D542E" w:rsidRPr="00A43B9C">
        <w:rPr>
          <w:rFonts w:eastAsia="TimesNewRomanPSMT"/>
          <w:sz w:val="28"/>
          <w:szCs w:val="28"/>
          <w:lang w:val="kk-KZ"/>
        </w:rPr>
        <w:t xml:space="preserve">зарегистрированы </w:t>
      </w:r>
      <w:r w:rsidR="008D542E">
        <w:rPr>
          <w:rFonts w:eastAsia="TimesNewRomanPSMT"/>
          <w:sz w:val="28"/>
          <w:szCs w:val="28"/>
          <w:lang w:val="kk-KZ"/>
        </w:rPr>
        <w:t xml:space="preserve">большее количество </w:t>
      </w:r>
      <w:r w:rsidR="008D542E" w:rsidRPr="00A43B9C">
        <w:rPr>
          <w:rFonts w:eastAsia="TimesNewRomanPSMT"/>
          <w:sz w:val="28"/>
          <w:szCs w:val="28"/>
        </w:rPr>
        <w:t xml:space="preserve">пациентов с </w:t>
      </w:r>
      <w:r w:rsidR="008D542E">
        <w:rPr>
          <w:rFonts w:eastAsia="TimesNewRomanPSMT"/>
          <w:sz w:val="28"/>
          <w:szCs w:val="28"/>
        </w:rPr>
        <w:t xml:space="preserve">гистологически верифицированным диагнозом </w:t>
      </w:r>
      <w:r w:rsidR="00A10B52">
        <w:rPr>
          <w:rFonts w:eastAsia="TimesNewRomanPSMT"/>
          <w:sz w:val="28"/>
          <w:szCs w:val="28"/>
        </w:rPr>
        <w:t>эпителиального рака яичников и колоректального рака</w:t>
      </w:r>
      <w:r w:rsidR="008D542E" w:rsidRPr="00A43B9C">
        <w:rPr>
          <w:rFonts w:eastAsia="TimesNewRomanPSMT"/>
          <w:sz w:val="28"/>
          <w:szCs w:val="28"/>
        </w:rPr>
        <w:t xml:space="preserve">, </w:t>
      </w:r>
      <w:r w:rsidR="008D542E" w:rsidRPr="00A43B9C">
        <w:rPr>
          <w:rFonts w:eastAsia="TimesNewRomanPSMT"/>
          <w:sz w:val="28"/>
          <w:szCs w:val="28"/>
          <w:lang w:val="kk-KZ"/>
        </w:rPr>
        <w:t xml:space="preserve">среди которых </w:t>
      </w:r>
      <w:r w:rsidR="008D542E">
        <w:rPr>
          <w:rFonts w:eastAsia="TimesNewRomanPSMT"/>
          <w:sz w:val="28"/>
          <w:szCs w:val="28"/>
          <w:lang w:val="kk-KZ"/>
        </w:rPr>
        <w:t xml:space="preserve">на момент включения </w:t>
      </w:r>
      <w:r w:rsidR="008D542E" w:rsidRPr="00A43B9C">
        <w:rPr>
          <w:rFonts w:eastAsia="TimesNewRomanPSMT"/>
          <w:sz w:val="28"/>
          <w:szCs w:val="28"/>
          <w:lang w:val="kk-KZ"/>
        </w:rPr>
        <w:t xml:space="preserve">у </w:t>
      </w:r>
      <w:r w:rsidR="008D542E">
        <w:rPr>
          <w:rFonts w:eastAsia="TimesNewRomanPSMT"/>
          <w:sz w:val="28"/>
          <w:szCs w:val="28"/>
          <w:lang w:val="kk-KZ"/>
        </w:rPr>
        <w:t xml:space="preserve">основной массы были </w:t>
      </w:r>
      <w:r w:rsidR="008A77D8">
        <w:rPr>
          <w:rFonts w:eastAsia="TimesNewRomanPSMT"/>
          <w:sz w:val="28"/>
          <w:szCs w:val="28"/>
          <w:lang w:val="kk-KZ"/>
        </w:rPr>
        <w:t>выявлены</w:t>
      </w:r>
      <w:r w:rsidR="008D542E">
        <w:rPr>
          <w:rFonts w:eastAsia="TimesNewRomanPSMT"/>
          <w:sz w:val="28"/>
          <w:szCs w:val="28"/>
          <w:lang w:val="kk-KZ"/>
        </w:rPr>
        <w:t xml:space="preserve"> признаки, не соот</w:t>
      </w:r>
      <w:r w:rsidR="008014FB">
        <w:rPr>
          <w:rFonts w:eastAsia="TimesNewRomanPSMT"/>
          <w:sz w:val="28"/>
          <w:szCs w:val="28"/>
          <w:lang w:val="kk-KZ"/>
        </w:rPr>
        <w:t xml:space="preserve">ветствующие </w:t>
      </w:r>
      <w:r w:rsidR="008D542E">
        <w:rPr>
          <w:rFonts w:eastAsia="TimesNewRomanPSMT"/>
          <w:sz w:val="28"/>
          <w:szCs w:val="28"/>
          <w:lang w:val="kk-KZ"/>
        </w:rPr>
        <w:t>критериям включения, что</w:t>
      </w:r>
      <w:r>
        <w:rPr>
          <w:rFonts w:eastAsia="TimesNewRomanPSMT"/>
          <w:sz w:val="28"/>
          <w:szCs w:val="28"/>
          <w:lang w:val="kk-KZ"/>
        </w:rPr>
        <w:t xml:space="preserve"> сыграло </w:t>
      </w:r>
      <w:r w:rsidR="008014FB">
        <w:rPr>
          <w:rFonts w:eastAsia="TimesNewRomanPSMT"/>
          <w:sz w:val="28"/>
          <w:szCs w:val="28"/>
          <w:lang w:val="kk-KZ"/>
        </w:rPr>
        <w:t>бы</w:t>
      </w:r>
      <w:r w:rsidR="008D542E">
        <w:rPr>
          <w:rFonts w:eastAsia="TimesNewRomanPSMT"/>
          <w:sz w:val="28"/>
          <w:szCs w:val="28"/>
          <w:lang w:val="kk-KZ"/>
        </w:rPr>
        <w:t xml:space="preserve"> ключевую роль впоследствии в </w:t>
      </w:r>
      <w:r w:rsidR="008014FB">
        <w:rPr>
          <w:rFonts w:eastAsia="TimesNewRomanPSMT"/>
          <w:sz w:val="28"/>
          <w:szCs w:val="28"/>
          <w:lang w:val="kk-KZ"/>
        </w:rPr>
        <w:t xml:space="preserve">канцероматозе брюшины и </w:t>
      </w:r>
      <w:r w:rsidR="008D542E">
        <w:rPr>
          <w:rFonts w:eastAsia="TimesNewRomanPSMT"/>
          <w:sz w:val="28"/>
          <w:szCs w:val="28"/>
          <w:lang w:val="kk-KZ"/>
        </w:rPr>
        <w:t>метастазировании</w:t>
      </w:r>
      <w:r w:rsidR="008014FB">
        <w:rPr>
          <w:rFonts w:eastAsia="TimesNewRomanPSMT"/>
          <w:sz w:val="28"/>
          <w:szCs w:val="28"/>
          <w:lang w:val="kk-KZ"/>
        </w:rPr>
        <w:t xml:space="preserve"> в </w:t>
      </w:r>
      <w:r w:rsidR="00A10B52">
        <w:rPr>
          <w:rFonts w:eastAsia="TimesNewRomanPSMT"/>
          <w:sz w:val="28"/>
          <w:szCs w:val="28"/>
          <w:lang w:val="kk-KZ"/>
        </w:rPr>
        <w:t>узлы</w:t>
      </w:r>
      <w:r w:rsidR="008D542E">
        <w:rPr>
          <w:rFonts w:eastAsia="TimesNewRomanPSMT"/>
          <w:sz w:val="28"/>
          <w:szCs w:val="28"/>
          <w:lang w:val="kk-KZ"/>
        </w:rPr>
        <w:t xml:space="preserve">, а именно, </w:t>
      </w:r>
      <w:r w:rsidR="008D542E" w:rsidRPr="00A43B9C">
        <w:rPr>
          <w:rFonts w:eastAsia="TimesNewRomanPSMT"/>
          <w:sz w:val="28"/>
          <w:szCs w:val="28"/>
          <w:lang w:val="kk-KZ"/>
        </w:rPr>
        <w:t xml:space="preserve">признаки </w:t>
      </w:r>
      <w:r w:rsidR="008D542E" w:rsidRPr="00A43B9C">
        <w:rPr>
          <w:rFonts w:eastAsia="TimesNewRomanPSMT"/>
          <w:sz w:val="28"/>
          <w:szCs w:val="28"/>
        </w:rPr>
        <w:t xml:space="preserve">метастазирования, </w:t>
      </w:r>
      <w:r w:rsidR="008D542E" w:rsidRPr="00A43B9C">
        <w:rPr>
          <w:rFonts w:eastAsia="TimesNewRomanPSMT"/>
          <w:sz w:val="28"/>
          <w:szCs w:val="28"/>
          <w:lang w:val="kk-KZ"/>
        </w:rPr>
        <w:t>признаки послеоперационного рецидива</w:t>
      </w:r>
      <w:r w:rsidR="008D542E" w:rsidRPr="00A43B9C">
        <w:rPr>
          <w:rFonts w:eastAsia="TimesNewRomanPSMT"/>
          <w:sz w:val="28"/>
          <w:szCs w:val="28"/>
        </w:rPr>
        <w:t xml:space="preserve">, признаки прогрессирования </w:t>
      </w:r>
      <w:r w:rsidR="008D542E" w:rsidRPr="00A43B9C">
        <w:rPr>
          <w:rFonts w:eastAsia="TimesNewRomanPSMT"/>
          <w:sz w:val="28"/>
          <w:szCs w:val="28"/>
          <w:lang w:val="kk-KZ"/>
        </w:rPr>
        <w:t xml:space="preserve">первичного </w:t>
      </w:r>
      <w:r w:rsidR="008D542E" w:rsidRPr="00A43B9C">
        <w:rPr>
          <w:rFonts w:eastAsia="TimesNewRomanPSMT"/>
          <w:sz w:val="28"/>
          <w:szCs w:val="28"/>
        </w:rPr>
        <w:t>онкологического заболевания</w:t>
      </w:r>
      <w:r w:rsidR="008014FB">
        <w:rPr>
          <w:rFonts w:eastAsia="TimesNewRomanPSMT"/>
          <w:sz w:val="28"/>
          <w:szCs w:val="28"/>
        </w:rPr>
        <w:t xml:space="preserve"> с</w:t>
      </w:r>
      <w:r w:rsidR="008014FB" w:rsidRPr="00A43B9C">
        <w:rPr>
          <w:rFonts w:eastAsia="TimesNewRomanPSMT"/>
          <w:sz w:val="28"/>
          <w:szCs w:val="28"/>
        </w:rPr>
        <w:t xml:space="preserve"> высокой метаболической активност</w:t>
      </w:r>
      <w:r w:rsidR="008014FB">
        <w:rPr>
          <w:rFonts w:eastAsia="TimesNewRomanPSMT"/>
          <w:sz w:val="28"/>
          <w:szCs w:val="28"/>
        </w:rPr>
        <w:t>ью</w:t>
      </w:r>
      <w:r w:rsidR="008D542E" w:rsidRPr="00A43B9C">
        <w:rPr>
          <w:rFonts w:eastAsia="TimesNewRomanPSMT"/>
          <w:sz w:val="28"/>
          <w:szCs w:val="28"/>
        </w:rPr>
        <w:t>.</w:t>
      </w:r>
    </w:p>
    <w:p w14:paraId="335A4326" w14:textId="57C91ADC" w:rsidR="000A510E" w:rsidRDefault="0092566F" w:rsidP="008D542E">
      <w:pPr>
        <w:tabs>
          <w:tab w:val="left" w:pos="0"/>
        </w:tabs>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Специфичность ПЭТ/КТ заключается в возможности визуализации жизнеспособной опухолевой ткани и оценк</w:t>
      </w:r>
      <w:r w:rsidR="008014FB">
        <w:rPr>
          <w:rFonts w:ascii="Times New Roman" w:hAnsi="Times New Roman" w:cs="Times New Roman"/>
          <w:sz w:val="28"/>
          <w:szCs w:val="28"/>
        </w:rPr>
        <w:t>е</w:t>
      </w:r>
      <w:r w:rsidRPr="00A43B9C">
        <w:rPr>
          <w:rFonts w:ascii="Times New Roman" w:hAnsi="Times New Roman" w:cs="Times New Roman"/>
          <w:sz w:val="28"/>
          <w:szCs w:val="28"/>
        </w:rPr>
        <w:t xml:space="preserve"> ее биологической активности по степени интенсивности накопления в тканях метаболического </w:t>
      </w:r>
      <w:r w:rsidR="00A10B52">
        <w:rPr>
          <w:rFonts w:ascii="Times New Roman" w:hAnsi="Times New Roman" w:cs="Times New Roman"/>
          <w:sz w:val="28"/>
          <w:szCs w:val="28"/>
        </w:rPr>
        <w:lastRenderedPageBreak/>
        <w:t>радиофармпрепарат</w:t>
      </w:r>
      <w:r w:rsidRPr="00A43B9C">
        <w:rPr>
          <w:rFonts w:ascii="Times New Roman" w:hAnsi="Times New Roman" w:cs="Times New Roman"/>
          <w:sz w:val="28"/>
          <w:szCs w:val="28"/>
        </w:rPr>
        <w:t>.</w:t>
      </w:r>
      <w:r w:rsidR="009F21DF" w:rsidRPr="00A43B9C">
        <w:rPr>
          <w:rFonts w:ascii="Times New Roman" w:hAnsi="Times New Roman" w:cs="Times New Roman"/>
          <w:sz w:val="28"/>
          <w:szCs w:val="28"/>
        </w:rPr>
        <w:t xml:space="preserve"> </w:t>
      </w:r>
      <w:r w:rsidRPr="00A43B9C">
        <w:rPr>
          <w:rFonts w:ascii="Times New Roman" w:hAnsi="Times New Roman" w:cs="Times New Roman"/>
          <w:color w:val="000000"/>
          <w:sz w:val="28"/>
          <w:szCs w:val="28"/>
          <w:shd w:val="clear" w:color="auto" w:fill="FFFFFF"/>
        </w:rPr>
        <w:t>Преимущество радиоизотопной диагностики перед другими методами заключается в ее универсальности</w:t>
      </w:r>
      <w:r w:rsidR="008D542E">
        <w:rPr>
          <w:rFonts w:ascii="Times New Roman" w:hAnsi="Times New Roman" w:cs="Times New Roman"/>
          <w:color w:val="000000"/>
          <w:sz w:val="28"/>
          <w:szCs w:val="28"/>
          <w:shd w:val="clear" w:color="auto" w:fill="FFFFFF"/>
        </w:rPr>
        <w:t xml:space="preserve">, которая </w:t>
      </w:r>
      <w:r w:rsidR="008014FB">
        <w:rPr>
          <w:rFonts w:ascii="Times New Roman" w:hAnsi="Times New Roman" w:cs="Times New Roman"/>
          <w:color w:val="000000"/>
          <w:sz w:val="28"/>
          <w:szCs w:val="28"/>
          <w:shd w:val="clear" w:color="auto" w:fill="FFFFFF"/>
        </w:rPr>
        <w:t xml:space="preserve">применяется </w:t>
      </w:r>
      <w:r w:rsidRPr="00A43B9C">
        <w:rPr>
          <w:rFonts w:ascii="Times New Roman" w:hAnsi="Times New Roman" w:cs="Times New Roman"/>
          <w:color w:val="000000"/>
          <w:sz w:val="28"/>
          <w:szCs w:val="28"/>
          <w:shd w:val="clear" w:color="auto" w:fill="FFFFFF"/>
        </w:rPr>
        <w:t>для определения анатомических, функциональных и биохимических изменений в организме человека, основан</w:t>
      </w:r>
      <w:r w:rsidR="008D542E">
        <w:rPr>
          <w:rFonts w:ascii="Times New Roman" w:hAnsi="Times New Roman" w:cs="Times New Roman"/>
          <w:color w:val="000000"/>
          <w:sz w:val="28"/>
          <w:szCs w:val="28"/>
          <w:shd w:val="clear" w:color="auto" w:fill="FFFFFF"/>
        </w:rPr>
        <w:t>н</w:t>
      </w:r>
      <w:r w:rsidRPr="00A43B9C">
        <w:rPr>
          <w:rFonts w:ascii="Times New Roman" w:hAnsi="Times New Roman" w:cs="Times New Roman"/>
          <w:color w:val="000000"/>
          <w:sz w:val="28"/>
          <w:szCs w:val="28"/>
          <w:shd w:val="clear" w:color="auto" w:fill="FFFFFF"/>
        </w:rPr>
        <w:t>а</w:t>
      </w:r>
      <w:r w:rsidR="008D542E">
        <w:rPr>
          <w:rFonts w:ascii="Times New Roman" w:hAnsi="Times New Roman" w:cs="Times New Roman"/>
          <w:color w:val="000000"/>
          <w:sz w:val="28"/>
          <w:szCs w:val="28"/>
          <w:shd w:val="clear" w:color="auto" w:fill="FFFFFF"/>
        </w:rPr>
        <w:t>я</w:t>
      </w:r>
      <w:r w:rsidRPr="00A43B9C">
        <w:rPr>
          <w:rFonts w:ascii="Times New Roman" w:hAnsi="Times New Roman" w:cs="Times New Roman"/>
          <w:color w:val="000000"/>
          <w:sz w:val="28"/>
          <w:szCs w:val="28"/>
          <w:shd w:val="clear" w:color="auto" w:fill="FFFFFF"/>
        </w:rPr>
        <w:t xml:space="preserve"> на возможности качественной и количественной регистрации излучений.</w:t>
      </w:r>
      <w:r w:rsidR="008D542E">
        <w:rPr>
          <w:rFonts w:ascii="Times New Roman" w:hAnsi="Times New Roman" w:cs="Times New Roman"/>
          <w:color w:val="000000"/>
          <w:sz w:val="28"/>
          <w:szCs w:val="28"/>
          <w:shd w:val="clear" w:color="auto" w:fill="FFFFFF"/>
        </w:rPr>
        <w:t xml:space="preserve"> </w:t>
      </w:r>
      <w:r w:rsidRPr="00A43B9C">
        <w:rPr>
          <w:rFonts w:ascii="Times New Roman" w:hAnsi="Times New Roman" w:cs="Times New Roman"/>
          <w:color w:val="000000"/>
          <w:sz w:val="28"/>
          <w:szCs w:val="28"/>
          <w:shd w:val="clear" w:color="auto" w:fill="FFFFFF"/>
        </w:rPr>
        <w:t xml:space="preserve">Препарат </w:t>
      </w:r>
      <w:r w:rsidRPr="00A43B9C">
        <w:rPr>
          <w:rFonts w:ascii="Times New Roman" w:hAnsi="Times New Roman" w:cs="Times New Roman"/>
          <w:color w:val="000000"/>
          <w:sz w:val="28"/>
          <w:szCs w:val="28"/>
          <w:shd w:val="clear" w:color="auto" w:fill="FFFFFF"/>
          <w:vertAlign w:val="superscript"/>
        </w:rPr>
        <w:t>18</w:t>
      </w:r>
      <w:r w:rsidRPr="00A43B9C">
        <w:rPr>
          <w:rFonts w:ascii="Times New Roman" w:hAnsi="Times New Roman" w:cs="Times New Roman"/>
          <w:color w:val="000000"/>
          <w:sz w:val="28"/>
          <w:szCs w:val="28"/>
          <w:shd w:val="clear" w:color="auto" w:fill="FFFFFF"/>
        </w:rPr>
        <w:t xml:space="preserve">F-FDG </w:t>
      </w:r>
      <w:r w:rsidR="00A10B52">
        <w:rPr>
          <w:rFonts w:ascii="Times New Roman" w:hAnsi="Times New Roman" w:cs="Times New Roman"/>
          <w:color w:val="000000"/>
          <w:sz w:val="28"/>
          <w:szCs w:val="28"/>
          <w:shd w:val="clear" w:color="auto" w:fill="FFFFFF"/>
        </w:rPr>
        <w:t>используется п</w:t>
      </w:r>
      <w:r w:rsidRPr="00A43B9C">
        <w:rPr>
          <w:rFonts w:ascii="Times New Roman" w:hAnsi="Times New Roman" w:cs="Times New Roman"/>
          <w:color w:val="000000"/>
          <w:sz w:val="28"/>
          <w:szCs w:val="28"/>
          <w:shd w:val="clear" w:color="auto" w:fill="FFFFFF"/>
        </w:rPr>
        <w:t xml:space="preserve">ри визуализации на ПЭТ/КТ для оценки функциональной активности </w:t>
      </w:r>
      <w:r w:rsidR="00A10B52">
        <w:rPr>
          <w:rFonts w:ascii="Times New Roman" w:hAnsi="Times New Roman" w:cs="Times New Roman"/>
          <w:color w:val="000000"/>
          <w:sz w:val="28"/>
          <w:szCs w:val="28"/>
          <w:shd w:val="clear" w:color="auto" w:fill="FFFFFF"/>
        </w:rPr>
        <w:t>висцерального жира</w:t>
      </w:r>
      <w:r w:rsidRPr="00A43B9C">
        <w:rPr>
          <w:rFonts w:ascii="Times New Roman" w:hAnsi="Times New Roman" w:cs="Times New Roman"/>
          <w:color w:val="000000"/>
          <w:sz w:val="28"/>
          <w:szCs w:val="28"/>
          <w:shd w:val="clear" w:color="auto" w:fill="FFFFFF"/>
        </w:rPr>
        <w:t xml:space="preserve">. С помощью данного препарата возможно обнаружение сальникового метастазирования у пациентов не только с </w:t>
      </w:r>
      <w:r w:rsidR="00A10B52">
        <w:rPr>
          <w:rFonts w:ascii="Times New Roman" w:hAnsi="Times New Roman" w:cs="Times New Roman"/>
          <w:color w:val="000000"/>
          <w:sz w:val="28"/>
          <w:szCs w:val="28"/>
          <w:shd w:val="clear" w:color="auto" w:fill="FFFFFF"/>
        </w:rPr>
        <w:t>овариальной формой рака</w:t>
      </w:r>
      <w:r w:rsidRPr="00A43B9C">
        <w:rPr>
          <w:rFonts w:ascii="Times New Roman" w:hAnsi="Times New Roman" w:cs="Times New Roman"/>
          <w:color w:val="000000"/>
          <w:sz w:val="28"/>
          <w:szCs w:val="28"/>
          <w:shd w:val="clear" w:color="auto" w:fill="FFFFFF"/>
        </w:rPr>
        <w:t xml:space="preserve">, но и </w:t>
      </w:r>
      <w:r w:rsidR="00A10B52">
        <w:rPr>
          <w:rFonts w:ascii="Times New Roman" w:hAnsi="Times New Roman" w:cs="Times New Roman"/>
          <w:color w:val="000000"/>
          <w:sz w:val="28"/>
          <w:szCs w:val="28"/>
          <w:shd w:val="clear" w:color="auto" w:fill="FFFFFF"/>
        </w:rPr>
        <w:t>колоректальным раком</w:t>
      </w:r>
      <w:r w:rsidRPr="00A43B9C">
        <w:rPr>
          <w:rFonts w:ascii="Times New Roman" w:hAnsi="Times New Roman" w:cs="Times New Roman"/>
          <w:color w:val="000000"/>
          <w:sz w:val="28"/>
          <w:szCs w:val="28"/>
          <w:shd w:val="clear" w:color="auto" w:fill="FFFFFF"/>
        </w:rPr>
        <w:t xml:space="preserve"> на основании определения уровня накоплени</w:t>
      </w:r>
      <w:r w:rsidR="00A120D6" w:rsidRPr="00A43B9C">
        <w:rPr>
          <w:rFonts w:ascii="Times New Roman" w:hAnsi="Times New Roman" w:cs="Times New Roman"/>
          <w:color w:val="000000"/>
          <w:sz w:val="28"/>
          <w:szCs w:val="28"/>
          <w:shd w:val="clear" w:color="auto" w:fill="FFFFFF"/>
        </w:rPr>
        <w:t>я</w:t>
      </w:r>
      <w:r w:rsidRPr="00A43B9C">
        <w:rPr>
          <w:rFonts w:ascii="Times New Roman" w:hAnsi="Times New Roman" w:cs="Times New Roman"/>
          <w:color w:val="000000"/>
          <w:sz w:val="28"/>
          <w:szCs w:val="28"/>
          <w:shd w:val="clear" w:color="auto" w:fill="FFFFFF"/>
        </w:rPr>
        <w:t xml:space="preserve"> </w:t>
      </w:r>
      <w:r w:rsidRPr="00A43B9C">
        <w:rPr>
          <w:rFonts w:ascii="Times New Roman" w:hAnsi="Times New Roman" w:cs="Times New Roman"/>
          <w:color w:val="000000"/>
          <w:sz w:val="28"/>
          <w:szCs w:val="28"/>
          <w:shd w:val="clear" w:color="auto" w:fill="FFFFFF"/>
          <w:vertAlign w:val="superscript"/>
        </w:rPr>
        <w:t>18</w:t>
      </w:r>
      <w:r w:rsidRPr="00A43B9C">
        <w:rPr>
          <w:rFonts w:ascii="Times New Roman" w:hAnsi="Times New Roman" w:cs="Times New Roman"/>
          <w:color w:val="000000"/>
          <w:sz w:val="28"/>
          <w:szCs w:val="28"/>
          <w:shd w:val="clear" w:color="auto" w:fill="FFFFFF"/>
        </w:rPr>
        <w:t xml:space="preserve">F-FDG в </w:t>
      </w:r>
      <w:r w:rsidR="00A10B52">
        <w:rPr>
          <w:rFonts w:ascii="Times New Roman" w:hAnsi="Times New Roman" w:cs="Times New Roman"/>
          <w:color w:val="000000"/>
          <w:sz w:val="28"/>
          <w:szCs w:val="28"/>
          <w:shd w:val="clear" w:color="auto" w:fill="FFFFFF"/>
        </w:rPr>
        <w:t>висцеральной жировой ткани</w:t>
      </w:r>
      <w:r w:rsidRPr="00A43B9C">
        <w:rPr>
          <w:rFonts w:ascii="Times New Roman" w:hAnsi="Times New Roman" w:cs="Times New Roman"/>
          <w:color w:val="000000"/>
          <w:sz w:val="28"/>
          <w:szCs w:val="28"/>
          <w:shd w:val="clear" w:color="auto" w:fill="FFFFFF"/>
        </w:rPr>
        <w:t xml:space="preserve"> при ПЭТ/КТ исследовании, позвол</w:t>
      </w:r>
      <w:r w:rsidR="008D542E">
        <w:rPr>
          <w:rFonts w:ascii="Times New Roman" w:hAnsi="Times New Roman" w:cs="Times New Roman"/>
          <w:color w:val="000000"/>
          <w:sz w:val="28"/>
          <w:szCs w:val="28"/>
          <w:shd w:val="clear" w:color="auto" w:fill="FFFFFF"/>
        </w:rPr>
        <w:t>яющий</w:t>
      </w:r>
      <w:r w:rsidRPr="00A43B9C">
        <w:rPr>
          <w:rFonts w:ascii="Times New Roman" w:hAnsi="Times New Roman" w:cs="Times New Roman"/>
          <w:color w:val="000000"/>
          <w:sz w:val="28"/>
          <w:szCs w:val="28"/>
          <w:shd w:val="clear" w:color="auto" w:fill="FFFFFF"/>
        </w:rPr>
        <w:t xml:space="preserve"> определить факторы риска выявления метастазов в сальниковую сумку.</w:t>
      </w:r>
      <w:r w:rsidR="00114795" w:rsidRPr="00A43B9C">
        <w:rPr>
          <w:rFonts w:ascii="Times New Roman" w:hAnsi="Times New Roman" w:cs="Times New Roman"/>
          <w:color w:val="000000"/>
          <w:sz w:val="28"/>
          <w:szCs w:val="28"/>
          <w:shd w:val="clear" w:color="auto" w:fill="FFFFFF"/>
        </w:rPr>
        <w:t xml:space="preserve"> </w:t>
      </w:r>
      <w:bookmarkEnd w:id="103"/>
      <w:r w:rsidR="00114795" w:rsidRPr="00A43B9C">
        <w:rPr>
          <w:rFonts w:ascii="Times New Roman" w:hAnsi="Times New Roman" w:cs="Times New Roman"/>
          <w:sz w:val="28"/>
          <w:szCs w:val="28"/>
        </w:rPr>
        <w:t>П</w:t>
      </w:r>
      <w:r w:rsidR="00A04E05" w:rsidRPr="00A43B9C">
        <w:rPr>
          <w:rFonts w:ascii="Times New Roman" w:hAnsi="Times New Roman" w:cs="Times New Roman"/>
          <w:sz w:val="28"/>
          <w:szCs w:val="28"/>
        </w:rPr>
        <w:t>рогностическ</w:t>
      </w:r>
      <w:r w:rsidR="00114795" w:rsidRPr="00A43B9C">
        <w:rPr>
          <w:rFonts w:ascii="Times New Roman" w:hAnsi="Times New Roman" w:cs="Times New Roman"/>
          <w:sz w:val="28"/>
          <w:szCs w:val="28"/>
        </w:rPr>
        <w:t>ая</w:t>
      </w:r>
      <w:r w:rsidR="00A04E05" w:rsidRPr="00A43B9C">
        <w:rPr>
          <w:rFonts w:ascii="Times New Roman" w:hAnsi="Times New Roman" w:cs="Times New Roman"/>
          <w:sz w:val="28"/>
          <w:szCs w:val="28"/>
        </w:rPr>
        <w:t xml:space="preserve"> ценност</w:t>
      </w:r>
      <w:r w:rsidR="00114795" w:rsidRPr="00A43B9C">
        <w:rPr>
          <w:rFonts w:ascii="Times New Roman" w:hAnsi="Times New Roman" w:cs="Times New Roman"/>
          <w:sz w:val="28"/>
          <w:szCs w:val="28"/>
        </w:rPr>
        <w:t>ь</w:t>
      </w:r>
      <w:r w:rsidR="00A04E05" w:rsidRPr="00A43B9C">
        <w:rPr>
          <w:rFonts w:ascii="Times New Roman" w:hAnsi="Times New Roman" w:cs="Times New Roman"/>
          <w:sz w:val="28"/>
          <w:szCs w:val="28"/>
        </w:rPr>
        <w:t xml:space="preserve"> уровня накоплени</w:t>
      </w:r>
      <w:r w:rsidR="00A120D6" w:rsidRPr="00A43B9C">
        <w:rPr>
          <w:rFonts w:ascii="Times New Roman" w:hAnsi="Times New Roman" w:cs="Times New Roman"/>
          <w:sz w:val="28"/>
          <w:szCs w:val="28"/>
        </w:rPr>
        <w:t>я</w:t>
      </w:r>
      <w:r w:rsidR="00A04E05" w:rsidRPr="00A43B9C">
        <w:rPr>
          <w:rFonts w:ascii="Times New Roman" w:hAnsi="Times New Roman" w:cs="Times New Roman"/>
          <w:sz w:val="28"/>
          <w:szCs w:val="28"/>
        </w:rPr>
        <w:t xml:space="preserve"> </w:t>
      </w:r>
      <w:r w:rsidR="00A04E05" w:rsidRPr="00A43B9C">
        <w:rPr>
          <w:rFonts w:ascii="Times New Roman" w:hAnsi="Times New Roman" w:cs="Times New Roman"/>
          <w:sz w:val="28"/>
          <w:szCs w:val="28"/>
          <w:vertAlign w:val="superscript"/>
        </w:rPr>
        <w:t>18</w:t>
      </w:r>
      <w:r w:rsidR="00A04E05" w:rsidRPr="00A43B9C">
        <w:rPr>
          <w:rFonts w:ascii="Times New Roman" w:hAnsi="Times New Roman" w:cs="Times New Roman"/>
          <w:sz w:val="28"/>
          <w:szCs w:val="28"/>
          <w:lang w:val="en-US"/>
        </w:rPr>
        <w:t>F</w:t>
      </w:r>
      <w:r w:rsidR="00A04E05" w:rsidRPr="00A43B9C">
        <w:rPr>
          <w:rFonts w:ascii="Times New Roman" w:hAnsi="Times New Roman" w:cs="Times New Roman"/>
          <w:sz w:val="28"/>
          <w:szCs w:val="28"/>
        </w:rPr>
        <w:t>-</w:t>
      </w:r>
      <w:r w:rsidR="00A04E05" w:rsidRPr="00A43B9C">
        <w:rPr>
          <w:rFonts w:ascii="Times New Roman" w:hAnsi="Times New Roman" w:cs="Times New Roman"/>
          <w:sz w:val="28"/>
          <w:szCs w:val="28"/>
          <w:lang w:val="en-US"/>
        </w:rPr>
        <w:t>FDG</w:t>
      </w:r>
      <w:r w:rsidR="00A04E05" w:rsidRPr="00A43B9C">
        <w:rPr>
          <w:rFonts w:ascii="Times New Roman" w:hAnsi="Times New Roman" w:cs="Times New Roman"/>
          <w:sz w:val="28"/>
          <w:szCs w:val="28"/>
        </w:rPr>
        <w:t xml:space="preserve"> ПЭТ/КТ </w:t>
      </w:r>
      <w:r w:rsidR="00114795" w:rsidRPr="00A43B9C">
        <w:rPr>
          <w:rFonts w:ascii="Times New Roman" w:hAnsi="Times New Roman" w:cs="Times New Roman"/>
          <w:sz w:val="28"/>
          <w:szCs w:val="28"/>
        </w:rPr>
        <w:t>была оценена в</w:t>
      </w:r>
      <w:r w:rsidR="000A510E" w:rsidRPr="00A43B9C">
        <w:rPr>
          <w:rFonts w:ascii="Times New Roman" w:hAnsi="Times New Roman" w:cs="Times New Roman"/>
          <w:sz w:val="28"/>
          <w:szCs w:val="28"/>
        </w:rPr>
        <w:t xml:space="preserve"> </w:t>
      </w:r>
      <w:r w:rsidR="00A04E05" w:rsidRPr="00A43B9C">
        <w:rPr>
          <w:rFonts w:ascii="Times New Roman" w:hAnsi="Times New Roman" w:cs="Times New Roman"/>
          <w:sz w:val="28"/>
          <w:szCs w:val="28"/>
        </w:rPr>
        <w:t>ряд</w:t>
      </w:r>
      <w:r w:rsidR="00114795" w:rsidRPr="00A43B9C">
        <w:rPr>
          <w:rFonts w:ascii="Times New Roman" w:hAnsi="Times New Roman" w:cs="Times New Roman"/>
          <w:sz w:val="28"/>
          <w:szCs w:val="28"/>
        </w:rPr>
        <w:t>е</w:t>
      </w:r>
      <w:r w:rsidR="00A04E05" w:rsidRPr="00A43B9C">
        <w:rPr>
          <w:rFonts w:ascii="Times New Roman" w:hAnsi="Times New Roman" w:cs="Times New Roman"/>
          <w:sz w:val="28"/>
          <w:szCs w:val="28"/>
        </w:rPr>
        <w:t xml:space="preserve"> исследований, в которых сообщалось о различных значениях </w:t>
      </w:r>
      <w:r w:rsidR="009825CD" w:rsidRPr="00A43B9C">
        <w:rPr>
          <w:rFonts w:ascii="Times New Roman" w:hAnsi="Times New Roman" w:cs="Times New Roman"/>
          <w:sz w:val="28"/>
          <w:szCs w:val="28"/>
        </w:rPr>
        <w:t xml:space="preserve">накопления </w:t>
      </w:r>
      <w:r w:rsidR="00A04E05" w:rsidRPr="00A43B9C">
        <w:rPr>
          <w:rFonts w:ascii="Times New Roman" w:hAnsi="Times New Roman" w:cs="Times New Roman"/>
          <w:sz w:val="28"/>
          <w:szCs w:val="28"/>
        </w:rPr>
        <w:t xml:space="preserve">уровня </w:t>
      </w:r>
      <w:r w:rsidR="00A04E05" w:rsidRPr="00A43B9C">
        <w:rPr>
          <w:rFonts w:ascii="Times New Roman" w:hAnsi="Times New Roman" w:cs="Times New Roman"/>
          <w:sz w:val="28"/>
          <w:szCs w:val="28"/>
          <w:lang w:val="en-US"/>
        </w:rPr>
        <w:t>SUV</w:t>
      </w:r>
      <w:r w:rsidR="00A04E05" w:rsidRPr="00A43B9C">
        <w:rPr>
          <w:rFonts w:ascii="Times New Roman" w:hAnsi="Times New Roman" w:cs="Times New Roman"/>
          <w:sz w:val="28"/>
          <w:szCs w:val="28"/>
          <w:vertAlign w:val="subscript"/>
          <w:lang w:val="en-US"/>
        </w:rPr>
        <w:t>max</w:t>
      </w:r>
      <w:r w:rsidR="00A04E05" w:rsidRPr="00A43B9C">
        <w:rPr>
          <w:rFonts w:ascii="Times New Roman" w:hAnsi="Times New Roman" w:cs="Times New Roman"/>
          <w:sz w:val="28"/>
          <w:szCs w:val="28"/>
        </w:rPr>
        <w:t xml:space="preserve"> </w:t>
      </w:r>
      <w:r w:rsidR="00C53B4E" w:rsidRPr="00A43B9C">
        <w:rPr>
          <w:rFonts w:ascii="Times New Roman" w:hAnsi="Times New Roman" w:cs="Times New Roman"/>
          <w:sz w:val="28"/>
          <w:szCs w:val="28"/>
        </w:rPr>
        <w:t>и других метаболических параметров</w:t>
      </w:r>
      <w:r w:rsidR="007D3713" w:rsidRPr="00A43B9C">
        <w:rPr>
          <w:rFonts w:ascii="Times New Roman" w:hAnsi="Times New Roman" w:cs="Times New Roman"/>
          <w:sz w:val="28"/>
          <w:szCs w:val="28"/>
        </w:rPr>
        <w:t>:</w:t>
      </w:r>
      <w:r w:rsidR="003F2E99" w:rsidRPr="00A43B9C">
        <w:rPr>
          <w:rFonts w:ascii="Times New Roman" w:hAnsi="Times New Roman" w:cs="Times New Roman"/>
          <w:sz w:val="28"/>
          <w:szCs w:val="28"/>
        </w:rPr>
        <w:t xml:space="preserve"> </w:t>
      </w:r>
      <w:r w:rsidR="003F2E99" w:rsidRPr="00A43B9C">
        <w:rPr>
          <w:rFonts w:ascii="Times New Roman" w:hAnsi="Times New Roman" w:cs="Times New Roman"/>
          <w:sz w:val="28"/>
          <w:szCs w:val="28"/>
          <w:lang w:val="en-US"/>
        </w:rPr>
        <w:t>MTV</w:t>
      </w:r>
      <w:r w:rsidR="003F2E99" w:rsidRPr="00A43B9C">
        <w:rPr>
          <w:rFonts w:ascii="Times New Roman" w:hAnsi="Times New Roman" w:cs="Times New Roman"/>
          <w:sz w:val="28"/>
          <w:szCs w:val="28"/>
        </w:rPr>
        <w:t xml:space="preserve"> и </w:t>
      </w:r>
      <w:r w:rsidR="003F2E99" w:rsidRPr="00A43B9C">
        <w:rPr>
          <w:rFonts w:ascii="Times New Roman" w:hAnsi="Times New Roman" w:cs="Times New Roman"/>
          <w:sz w:val="28"/>
          <w:szCs w:val="28"/>
          <w:lang w:val="en-US"/>
        </w:rPr>
        <w:t>TLG</w:t>
      </w:r>
      <w:r w:rsidR="00A04E05" w:rsidRPr="00A43B9C">
        <w:rPr>
          <w:rFonts w:ascii="Times New Roman" w:hAnsi="Times New Roman" w:cs="Times New Roman"/>
          <w:sz w:val="28"/>
          <w:szCs w:val="28"/>
        </w:rPr>
        <w:t>.</w:t>
      </w:r>
    </w:p>
    <w:p w14:paraId="4013B698" w14:textId="27E1EE99" w:rsidR="007E2D2F" w:rsidRDefault="006638A5" w:rsidP="004721E9">
      <w:pPr>
        <w:pStyle w:val="contributor"/>
        <w:shd w:val="clear" w:color="auto" w:fill="FFFFFF"/>
        <w:spacing w:before="0" w:beforeAutospacing="0" w:after="0" w:afterAutospacing="0"/>
        <w:ind w:firstLine="709"/>
        <w:jc w:val="both"/>
        <w:rPr>
          <w:b/>
          <w:bCs/>
          <w:sz w:val="28"/>
          <w:szCs w:val="28"/>
        </w:rPr>
      </w:pPr>
      <w:bookmarkStart w:id="106" w:name="_Hlk117893528"/>
      <w:bookmarkEnd w:id="105"/>
      <w:r w:rsidRPr="006638A5">
        <w:rPr>
          <w:sz w:val="28"/>
          <w:szCs w:val="28"/>
        </w:rPr>
        <w:t xml:space="preserve">Для нашего исследовании применялся </w:t>
      </w:r>
      <w:r w:rsidRPr="002C2CCA">
        <w:rPr>
          <w:sz w:val="28"/>
          <w:szCs w:val="28"/>
        </w:rPr>
        <w:t xml:space="preserve">ПЭТ/КТ-сканер системы </w:t>
      </w:r>
      <w:r w:rsidRPr="002C2CCA">
        <w:rPr>
          <w:sz w:val="28"/>
          <w:szCs w:val="28"/>
          <w:lang w:val="en-US"/>
        </w:rPr>
        <w:t>Biograph</w:t>
      </w:r>
      <w:r w:rsidRPr="002C2CCA">
        <w:rPr>
          <w:sz w:val="28"/>
          <w:szCs w:val="28"/>
        </w:rPr>
        <w:t xml:space="preserve"> </w:t>
      </w:r>
      <w:r w:rsidRPr="002C2CCA">
        <w:rPr>
          <w:sz w:val="28"/>
          <w:szCs w:val="28"/>
          <w:lang w:val="en-US"/>
        </w:rPr>
        <w:t>TruePoint</w:t>
      </w:r>
      <w:r w:rsidRPr="002C2CCA">
        <w:rPr>
          <w:sz w:val="28"/>
          <w:szCs w:val="28"/>
        </w:rPr>
        <w:t xml:space="preserve"> </w:t>
      </w:r>
      <w:r w:rsidRPr="002C2CCA">
        <w:rPr>
          <w:sz w:val="28"/>
          <w:szCs w:val="28"/>
          <w:lang w:val="en-US"/>
        </w:rPr>
        <w:t>PET</w:t>
      </w:r>
      <w:r w:rsidRPr="002C2CCA">
        <w:rPr>
          <w:sz w:val="28"/>
          <w:szCs w:val="28"/>
        </w:rPr>
        <w:t>·</w:t>
      </w:r>
      <w:r w:rsidRPr="002C2CCA">
        <w:rPr>
          <w:sz w:val="28"/>
          <w:szCs w:val="28"/>
          <w:lang w:val="en-US"/>
        </w:rPr>
        <w:t>CT</w:t>
      </w:r>
      <w:r w:rsidRPr="002C2CCA">
        <w:rPr>
          <w:sz w:val="28"/>
          <w:szCs w:val="28"/>
        </w:rPr>
        <w:t xml:space="preserve"> производства </w:t>
      </w:r>
      <w:r w:rsidRPr="002C2CCA">
        <w:rPr>
          <w:sz w:val="28"/>
          <w:szCs w:val="28"/>
          <w:lang w:val="en-US"/>
        </w:rPr>
        <w:t>Siemens</w:t>
      </w:r>
      <w:r w:rsidRPr="002C2CCA">
        <w:rPr>
          <w:sz w:val="28"/>
          <w:szCs w:val="28"/>
        </w:rPr>
        <w:t xml:space="preserve"> </w:t>
      </w:r>
      <w:r w:rsidRPr="002C2CCA">
        <w:rPr>
          <w:sz w:val="28"/>
          <w:szCs w:val="28"/>
          <w:lang w:val="en-US"/>
        </w:rPr>
        <w:t>Medical</w:t>
      </w:r>
      <w:r w:rsidRPr="002C2CCA">
        <w:rPr>
          <w:sz w:val="28"/>
          <w:szCs w:val="28"/>
        </w:rPr>
        <w:t xml:space="preserve"> </w:t>
      </w:r>
      <w:r w:rsidRPr="002C2CCA">
        <w:rPr>
          <w:sz w:val="28"/>
          <w:szCs w:val="28"/>
          <w:lang w:val="en-US"/>
        </w:rPr>
        <w:t>Solutions</w:t>
      </w:r>
      <w:r w:rsidRPr="002C2CCA">
        <w:rPr>
          <w:sz w:val="28"/>
          <w:szCs w:val="28"/>
        </w:rPr>
        <w:t xml:space="preserve"> </w:t>
      </w:r>
      <w:r w:rsidRPr="002C2CCA">
        <w:rPr>
          <w:sz w:val="28"/>
          <w:szCs w:val="28"/>
          <w:lang w:val="en-US"/>
        </w:rPr>
        <w:t>USA</w:t>
      </w:r>
      <w:r w:rsidRPr="002C2CCA">
        <w:rPr>
          <w:sz w:val="28"/>
          <w:szCs w:val="28"/>
        </w:rPr>
        <w:t xml:space="preserve"> </w:t>
      </w:r>
      <w:r w:rsidRPr="002C2CCA">
        <w:rPr>
          <w:sz w:val="28"/>
          <w:szCs w:val="28"/>
          <w:lang w:val="en-US"/>
        </w:rPr>
        <w:t>Inc</w:t>
      </w:r>
      <w:r w:rsidRPr="002C2CCA">
        <w:rPr>
          <w:sz w:val="28"/>
          <w:szCs w:val="28"/>
        </w:rPr>
        <w:t>., США для проведения обследования</w:t>
      </w:r>
      <w:r w:rsidRPr="006638A5">
        <w:rPr>
          <w:sz w:val="28"/>
          <w:szCs w:val="28"/>
        </w:rPr>
        <w:t xml:space="preserve"> с использованием р</w:t>
      </w:r>
      <w:r w:rsidRPr="002C2CCA">
        <w:rPr>
          <w:sz w:val="28"/>
          <w:szCs w:val="28"/>
        </w:rPr>
        <w:t xml:space="preserve">адиофармацевтического препарата </w:t>
      </w:r>
      <w:r w:rsidRPr="002C2CCA">
        <w:rPr>
          <w:sz w:val="28"/>
          <w:szCs w:val="28"/>
          <w:vertAlign w:val="superscript"/>
        </w:rPr>
        <w:t>18</w:t>
      </w:r>
      <w:r w:rsidRPr="002C2CCA">
        <w:rPr>
          <w:sz w:val="28"/>
          <w:szCs w:val="28"/>
          <w:lang w:val="en-US"/>
        </w:rPr>
        <w:t>F</w:t>
      </w:r>
      <w:r w:rsidRPr="002C2CCA">
        <w:rPr>
          <w:sz w:val="28"/>
          <w:szCs w:val="28"/>
        </w:rPr>
        <w:t>-</w:t>
      </w:r>
      <w:r w:rsidRPr="002C2CCA">
        <w:rPr>
          <w:sz w:val="28"/>
          <w:szCs w:val="28"/>
          <w:lang w:val="en-US"/>
        </w:rPr>
        <w:t>FDG</w:t>
      </w:r>
      <w:r w:rsidRPr="002C2CCA">
        <w:rPr>
          <w:sz w:val="28"/>
          <w:szCs w:val="28"/>
        </w:rPr>
        <w:t xml:space="preserve"> казахстанского производства.</w:t>
      </w:r>
      <w:r w:rsidR="002C2CCA">
        <w:rPr>
          <w:sz w:val="28"/>
          <w:szCs w:val="28"/>
        </w:rPr>
        <w:t xml:space="preserve"> </w:t>
      </w:r>
      <w:r>
        <w:rPr>
          <w:sz w:val="28"/>
          <w:szCs w:val="28"/>
        </w:rPr>
        <w:t xml:space="preserve">Пороговые значения определялись уровнем </w:t>
      </w:r>
      <w:r w:rsidRPr="00A43B9C">
        <w:rPr>
          <w:sz w:val="28"/>
          <w:szCs w:val="28"/>
        </w:rPr>
        <w:t>накоплени</w:t>
      </w:r>
      <w:r>
        <w:rPr>
          <w:sz w:val="28"/>
          <w:szCs w:val="28"/>
        </w:rPr>
        <w:t>я</w:t>
      </w:r>
      <w:r w:rsidRPr="00A43B9C">
        <w:rPr>
          <w:sz w:val="28"/>
          <w:szCs w:val="28"/>
        </w:rPr>
        <w:t xml:space="preserve"> SUV</w:t>
      </w:r>
      <w:r w:rsidRPr="00A43B9C">
        <w:rPr>
          <w:sz w:val="28"/>
          <w:szCs w:val="28"/>
          <w:vertAlign w:val="subscript"/>
          <w:lang w:val="en-US"/>
        </w:rPr>
        <w:t>max</w:t>
      </w:r>
      <w:r w:rsidRPr="00A43B9C">
        <w:rPr>
          <w:sz w:val="28"/>
          <w:szCs w:val="28"/>
        </w:rPr>
        <w:t xml:space="preserve"> в </w:t>
      </w:r>
      <w:r>
        <w:rPr>
          <w:sz w:val="28"/>
          <w:szCs w:val="28"/>
          <w:lang w:val="en-US"/>
        </w:rPr>
        <w:t>VAT</w:t>
      </w:r>
      <w:r>
        <w:rPr>
          <w:sz w:val="28"/>
          <w:szCs w:val="28"/>
        </w:rPr>
        <w:t xml:space="preserve"> для ПЭТ изображений</w:t>
      </w:r>
      <w:r w:rsidRPr="002C2CCA">
        <w:rPr>
          <w:sz w:val="28"/>
          <w:szCs w:val="28"/>
        </w:rPr>
        <w:t>,</w:t>
      </w:r>
      <w:r>
        <w:rPr>
          <w:sz w:val="28"/>
          <w:szCs w:val="28"/>
        </w:rPr>
        <w:t xml:space="preserve"> </w:t>
      </w:r>
      <w:r w:rsidR="002C2CCA">
        <w:rPr>
          <w:sz w:val="28"/>
          <w:szCs w:val="28"/>
        </w:rPr>
        <w:t xml:space="preserve">а </w:t>
      </w:r>
      <w:r w:rsidRPr="00A43B9C">
        <w:rPr>
          <w:sz w:val="28"/>
          <w:szCs w:val="28"/>
        </w:rPr>
        <w:t>шкал</w:t>
      </w:r>
      <w:r>
        <w:rPr>
          <w:sz w:val="28"/>
          <w:szCs w:val="28"/>
        </w:rPr>
        <w:t>а</w:t>
      </w:r>
      <w:r w:rsidRPr="00A43B9C">
        <w:rPr>
          <w:sz w:val="28"/>
          <w:szCs w:val="28"/>
        </w:rPr>
        <w:t xml:space="preserve"> </w:t>
      </w:r>
      <w:r w:rsidR="0020110A">
        <w:rPr>
          <w:sz w:val="28"/>
          <w:szCs w:val="28"/>
          <w:lang w:val="en-US"/>
        </w:rPr>
        <w:t>HU</w:t>
      </w:r>
      <w:r w:rsidRPr="00A43B9C">
        <w:rPr>
          <w:sz w:val="28"/>
          <w:szCs w:val="28"/>
        </w:rPr>
        <w:t xml:space="preserve"> </w:t>
      </w:r>
      <w:r>
        <w:rPr>
          <w:sz w:val="28"/>
          <w:szCs w:val="28"/>
        </w:rPr>
        <w:t xml:space="preserve">определялась для определения жировой ткани в </w:t>
      </w:r>
      <w:r w:rsidR="002C2CCA">
        <w:rPr>
          <w:sz w:val="28"/>
          <w:szCs w:val="28"/>
        </w:rPr>
        <w:t xml:space="preserve">интересующих измеряемых </w:t>
      </w:r>
      <w:r>
        <w:rPr>
          <w:sz w:val="28"/>
          <w:szCs w:val="28"/>
        </w:rPr>
        <w:t>област</w:t>
      </w:r>
      <w:r w:rsidR="002C2CCA">
        <w:rPr>
          <w:sz w:val="28"/>
          <w:szCs w:val="28"/>
        </w:rPr>
        <w:t>ях</w:t>
      </w:r>
      <w:r>
        <w:rPr>
          <w:sz w:val="28"/>
          <w:szCs w:val="28"/>
        </w:rPr>
        <w:t xml:space="preserve">. </w:t>
      </w:r>
      <w:r w:rsidR="005034C6">
        <w:rPr>
          <w:sz w:val="28"/>
          <w:szCs w:val="28"/>
        </w:rPr>
        <w:t xml:space="preserve">Именно уровень </w:t>
      </w:r>
      <w:r w:rsidR="005034C6" w:rsidRPr="00A43B9C">
        <w:rPr>
          <w:sz w:val="28"/>
          <w:szCs w:val="28"/>
        </w:rPr>
        <w:t>накоплени</w:t>
      </w:r>
      <w:r w:rsidR="005034C6">
        <w:rPr>
          <w:sz w:val="28"/>
          <w:szCs w:val="28"/>
        </w:rPr>
        <w:t>я</w:t>
      </w:r>
      <w:r w:rsidR="005034C6" w:rsidRPr="00A43B9C">
        <w:rPr>
          <w:sz w:val="28"/>
          <w:szCs w:val="28"/>
        </w:rPr>
        <w:t xml:space="preserve"> SUV</w:t>
      </w:r>
      <w:r w:rsidR="005034C6" w:rsidRPr="00A43B9C">
        <w:rPr>
          <w:sz w:val="28"/>
          <w:szCs w:val="28"/>
          <w:vertAlign w:val="subscript"/>
          <w:lang w:val="en-US"/>
        </w:rPr>
        <w:t>max</w:t>
      </w:r>
      <w:r w:rsidR="005034C6" w:rsidRPr="00A43B9C">
        <w:rPr>
          <w:sz w:val="28"/>
          <w:szCs w:val="28"/>
        </w:rPr>
        <w:t xml:space="preserve"> в </w:t>
      </w:r>
      <w:r w:rsidR="00A10B52">
        <w:rPr>
          <w:sz w:val="28"/>
          <w:szCs w:val="28"/>
        </w:rPr>
        <w:t xml:space="preserve">висцеральном жире </w:t>
      </w:r>
      <w:r w:rsidR="005034C6">
        <w:rPr>
          <w:sz w:val="28"/>
          <w:szCs w:val="28"/>
        </w:rPr>
        <w:t>как метаболический параметр играл ключевую роль в определении активности</w:t>
      </w:r>
      <w:r w:rsidR="00693395">
        <w:rPr>
          <w:sz w:val="28"/>
          <w:szCs w:val="28"/>
        </w:rPr>
        <w:t xml:space="preserve"> уровня накопления</w:t>
      </w:r>
      <w:r w:rsidR="005034C6">
        <w:rPr>
          <w:sz w:val="28"/>
          <w:szCs w:val="28"/>
        </w:rPr>
        <w:t xml:space="preserve">, </w:t>
      </w:r>
      <w:r w:rsidR="008A77D8">
        <w:rPr>
          <w:sz w:val="28"/>
          <w:szCs w:val="28"/>
        </w:rPr>
        <w:t xml:space="preserve">а </w:t>
      </w:r>
      <w:r w:rsidR="005034C6">
        <w:rPr>
          <w:sz w:val="28"/>
          <w:szCs w:val="28"/>
        </w:rPr>
        <w:t xml:space="preserve">значения </w:t>
      </w:r>
      <w:r w:rsidR="005034C6" w:rsidRPr="00A43B9C">
        <w:rPr>
          <w:sz w:val="28"/>
          <w:szCs w:val="28"/>
        </w:rPr>
        <w:t>SUV</w:t>
      </w:r>
      <w:r w:rsidR="005034C6" w:rsidRPr="00A43B9C">
        <w:rPr>
          <w:sz w:val="28"/>
          <w:szCs w:val="28"/>
          <w:vertAlign w:val="subscript"/>
          <w:lang w:val="en-US"/>
        </w:rPr>
        <w:t>m</w:t>
      </w:r>
      <w:r w:rsidR="005034C6">
        <w:rPr>
          <w:sz w:val="28"/>
          <w:szCs w:val="28"/>
          <w:vertAlign w:val="subscript"/>
          <w:lang w:val="en-US"/>
        </w:rPr>
        <w:t>in</w:t>
      </w:r>
      <w:r w:rsidR="005034C6">
        <w:rPr>
          <w:sz w:val="28"/>
          <w:szCs w:val="28"/>
        </w:rPr>
        <w:t xml:space="preserve"> и </w:t>
      </w:r>
      <w:r w:rsidR="005034C6" w:rsidRPr="00A43B9C">
        <w:rPr>
          <w:sz w:val="28"/>
          <w:szCs w:val="28"/>
        </w:rPr>
        <w:t>SUV</w:t>
      </w:r>
      <w:r w:rsidR="005034C6" w:rsidRPr="00A43B9C">
        <w:rPr>
          <w:sz w:val="28"/>
          <w:szCs w:val="28"/>
          <w:vertAlign w:val="subscript"/>
          <w:lang w:val="en-US"/>
        </w:rPr>
        <w:t>m</w:t>
      </w:r>
      <w:r w:rsidR="005034C6">
        <w:rPr>
          <w:sz w:val="28"/>
          <w:szCs w:val="28"/>
          <w:vertAlign w:val="subscript"/>
          <w:lang w:val="en-US"/>
        </w:rPr>
        <w:t>ean</w:t>
      </w:r>
      <w:r w:rsidR="005034C6">
        <w:rPr>
          <w:sz w:val="28"/>
          <w:szCs w:val="28"/>
        </w:rPr>
        <w:t xml:space="preserve"> не </w:t>
      </w:r>
      <w:r w:rsidR="00786926">
        <w:rPr>
          <w:sz w:val="28"/>
          <w:szCs w:val="28"/>
        </w:rPr>
        <w:t>измерялись</w:t>
      </w:r>
      <w:r w:rsidR="005034C6" w:rsidRPr="002C2CCA">
        <w:rPr>
          <w:sz w:val="28"/>
          <w:szCs w:val="28"/>
        </w:rPr>
        <w:t>, т.к. могли влиять на результаты SUV</w:t>
      </w:r>
      <w:r w:rsidR="005034C6" w:rsidRPr="002C2CCA">
        <w:rPr>
          <w:sz w:val="28"/>
          <w:szCs w:val="28"/>
          <w:vertAlign w:val="subscript"/>
          <w:lang w:val="en-US"/>
        </w:rPr>
        <w:t>max</w:t>
      </w:r>
      <w:r w:rsidR="005034C6" w:rsidRPr="002C2CCA">
        <w:rPr>
          <w:sz w:val="28"/>
          <w:szCs w:val="28"/>
        </w:rPr>
        <w:t xml:space="preserve">. При этом определение </w:t>
      </w:r>
      <w:r w:rsidR="005034C6" w:rsidRPr="002C2CCA">
        <w:rPr>
          <w:sz w:val="28"/>
          <w:szCs w:val="28"/>
          <w:lang w:val="en-US"/>
        </w:rPr>
        <w:t>MTV</w:t>
      </w:r>
      <w:r w:rsidR="005034C6" w:rsidRPr="002C2CCA">
        <w:rPr>
          <w:sz w:val="28"/>
          <w:szCs w:val="28"/>
        </w:rPr>
        <w:t xml:space="preserve"> и </w:t>
      </w:r>
      <w:r w:rsidR="005034C6" w:rsidRPr="002C2CCA">
        <w:rPr>
          <w:sz w:val="28"/>
          <w:szCs w:val="28"/>
          <w:lang w:val="en-US"/>
        </w:rPr>
        <w:t>TLG</w:t>
      </w:r>
      <w:r w:rsidR="005034C6" w:rsidRPr="002C2CCA">
        <w:rPr>
          <w:sz w:val="28"/>
          <w:szCs w:val="28"/>
        </w:rPr>
        <w:t xml:space="preserve"> в качестве метаболических параметров не </w:t>
      </w:r>
      <w:r w:rsidR="008A77D8">
        <w:rPr>
          <w:sz w:val="28"/>
          <w:szCs w:val="28"/>
        </w:rPr>
        <w:t>проводилось</w:t>
      </w:r>
      <w:r w:rsidR="005034C6" w:rsidRPr="002C2CCA">
        <w:rPr>
          <w:sz w:val="28"/>
          <w:szCs w:val="28"/>
        </w:rPr>
        <w:t>, т.к. в первоначальное исследование были включены пациенты, перенесшие оперативное вмешательство</w:t>
      </w:r>
      <w:r w:rsidR="002C2CCA" w:rsidRPr="002C2CCA">
        <w:rPr>
          <w:sz w:val="28"/>
          <w:szCs w:val="28"/>
        </w:rPr>
        <w:t xml:space="preserve"> по удалению основного онкологического заболевания</w:t>
      </w:r>
      <w:r w:rsidR="005034C6" w:rsidRPr="002C2CCA">
        <w:rPr>
          <w:sz w:val="28"/>
          <w:szCs w:val="28"/>
        </w:rPr>
        <w:t xml:space="preserve">, </w:t>
      </w:r>
      <w:r w:rsidR="002C2CCA" w:rsidRPr="002C2CCA">
        <w:rPr>
          <w:sz w:val="28"/>
          <w:szCs w:val="28"/>
        </w:rPr>
        <w:t xml:space="preserve">а также получившие химиотерапевтические курсы лечения, </w:t>
      </w:r>
      <w:r w:rsidR="005034C6" w:rsidRPr="002C2CCA">
        <w:rPr>
          <w:sz w:val="28"/>
          <w:szCs w:val="28"/>
        </w:rPr>
        <w:t>не позволяющ</w:t>
      </w:r>
      <w:r w:rsidR="002C2CCA" w:rsidRPr="002C2CCA">
        <w:rPr>
          <w:sz w:val="28"/>
          <w:szCs w:val="28"/>
        </w:rPr>
        <w:t>их</w:t>
      </w:r>
      <w:r w:rsidR="005034C6" w:rsidRPr="002C2CCA">
        <w:rPr>
          <w:sz w:val="28"/>
          <w:szCs w:val="28"/>
        </w:rPr>
        <w:t xml:space="preserve"> измерить уровень </w:t>
      </w:r>
      <w:r w:rsidR="005034C6" w:rsidRPr="002C2CCA">
        <w:rPr>
          <w:sz w:val="28"/>
          <w:szCs w:val="28"/>
          <w:lang w:val="en-US"/>
        </w:rPr>
        <w:t>MTV</w:t>
      </w:r>
      <w:r w:rsidR="005034C6" w:rsidRPr="002C2CCA">
        <w:rPr>
          <w:sz w:val="28"/>
          <w:szCs w:val="28"/>
        </w:rPr>
        <w:t>, и пациенты без признаков высокой метаболической активности, также не позволяющ</w:t>
      </w:r>
      <w:r w:rsidR="002C2CCA" w:rsidRPr="002C2CCA">
        <w:rPr>
          <w:sz w:val="28"/>
          <w:szCs w:val="28"/>
        </w:rPr>
        <w:t>их</w:t>
      </w:r>
      <w:r w:rsidR="005034C6" w:rsidRPr="002C2CCA">
        <w:rPr>
          <w:sz w:val="28"/>
          <w:szCs w:val="28"/>
        </w:rPr>
        <w:t xml:space="preserve"> измерить уровень </w:t>
      </w:r>
      <w:r w:rsidR="005034C6" w:rsidRPr="002C2CCA">
        <w:rPr>
          <w:sz w:val="28"/>
          <w:szCs w:val="28"/>
          <w:lang w:val="en-US"/>
        </w:rPr>
        <w:t>TLG</w:t>
      </w:r>
      <w:r w:rsidR="002C2CCA">
        <w:rPr>
          <w:sz w:val="28"/>
          <w:szCs w:val="28"/>
        </w:rPr>
        <w:t xml:space="preserve">. </w:t>
      </w:r>
      <w:r w:rsidR="005034C6" w:rsidRPr="002C2CCA">
        <w:rPr>
          <w:color w:val="000000"/>
          <w:sz w:val="28"/>
          <w:szCs w:val="28"/>
        </w:rPr>
        <w:t xml:space="preserve">В нашем исследовании средняя доза активности введенного </w:t>
      </w:r>
      <w:r w:rsidR="005034C6" w:rsidRPr="002C2CCA">
        <w:rPr>
          <w:color w:val="000000"/>
          <w:sz w:val="28"/>
          <w:szCs w:val="28"/>
          <w:vertAlign w:val="superscript"/>
        </w:rPr>
        <w:t>18</w:t>
      </w:r>
      <w:r w:rsidR="005034C6" w:rsidRPr="002C2CCA">
        <w:rPr>
          <w:color w:val="000000"/>
          <w:sz w:val="28"/>
          <w:szCs w:val="28"/>
        </w:rPr>
        <w:t xml:space="preserve">F-FDG для пациентов с </w:t>
      </w:r>
      <w:r w:rsidR="00A10B52">
        <w:rPr>
          <w:color w:val="000000"/>
          <w:sz w:val="28"/>
          <w:szCs w:val="28"/>
        </w:rPr>
        <w:t>эпителиальным раком яичников</w:t>
      </w:r>
      <w:r w:rsidR="005034C6" w:rsidRPr="002C2CCA">
        <w:rPr>
          <w:sz w:val="28"/>
          <w:szCs w:val="28"/>
        </w:rPr>
        <w:t xml:space="preserve"> составила 255,6 МБк, для пациентов с </w:t>
      </w:r>
      <w:r w:rsidR="00A10B52">
        <w:rPr>
          <w:sz w:val="28"/>
          <w:szCs w:val="28"/>
        </w:rPr>
        <w:t xml:space="preserve">колоректальным раком </w:t>
      </w:r>
      <w:r w:rsidR="005034C6" w:rsidRPr="002C2CCA">
        <w:rPr>
          <w:sz w:val="28"/>
          <w:szCs w:val="28"/>
        </w:rPr>
        <w:t xml:space="preserve">составила 252,55 МБк, а средняя эффективная доза облучения для пациентов с </w:t>
      </w:r>
      <w:r w:rsidR="00A10B52">
        <w:rPr>
          <w:sz w:val="28"/>
          <w:szCs w:val="28"/>
        </w:rPr>
        <w:t xml:space="preserve">эпителиальным раком яичников </w:t>
      </w:r>
      <w:r w:rsidR="005034C6" w:rsidRPr="002C2CCA">
        <w:rPr>
          <w:sz w:val="28"/>
          <w:szCs w:val="28"/>
        </w:rPr>
        <w:t xml:space="preserve">составила 8,6 мЗв, для пациентов с </w:t>
      </w:r>
      <w:r w:rsidR="00A10B52">
        <w:rPr>
          <w:sz w:val="28"/>
          <w:szCs w:val="28"/>
        </w:rPr>
        <w:t xml:space="preserve">колоректальным раком </w:t>
      </w:r>
      <w:r w:rsidR="005034C6" w:rsidRPr="002C2CCA">
        <w:rPr>
          <w:sz w:val="28"/>
          <w:szCs w:val="28"/>
        </w:rPr>
        <w:t>составила 8,75 мЗв, данные которых соответствовали нормальным значениям и критериям.</w:t>
      </w:r>
      <w:r w:rsidR="002C2CCA" w:rsidRPr="002C2CCA">
        <w:rPr>
          <w:sz w:val="28"/>
          <w:szCs w:val="28"/>
        </w:rPr>
        <w:t xml:space="preserve"> </w:t>
      </w:r>
      <w:r w:rsidR="005034C6" w:rsidRPr="002C2CCA">
        <w:rPr>
          <w:sz w:val="28"/>
          <w:szCs w:val="28"/>
        </w:rPr>
        <w:t xml:space="preserve">Снимки изображений были </w:t>
      </w:r>
      <w:r w:rsidR="005034C6" w:rsidRPr="002C2CCA">
        <w:rPr>
          <w:color w:val="000000"/>
          <w:sz w:val="28"/>
          <w:szCs w:val="28"/>
        </w:rPr>
        <w:t xml:space="preserve">реконструированы в аксиальных, корональных и сагиттальных срезах. Однако </w:t>
      </w:r>
      <w:r w:rsidR="002C2CCA" w:rsidRPr="002C2CCA">
        <w:rPr>
          <w:color w:val="000000"/>
          <w:sz w:val="28"/>
          <w:szCs w:val="28"/>
        </w:rPr>
        <w:t xml:space="preserve">для </w:t>
      </w:r>
      <w:r w:rsidR="002C2CCA">
        <w:rPr>
          <w:color w:val="000000"/>
          <w:sz w:val="28"/>
          <w:szCs w:val="28"/>
        </w:rPr>
        <w:t xml:space="preserve">достоверности </w:t>
      </w:r>
      <w:r w:rsidR="002C2CCA" w:rsidRPr="002C2CCA">
        <w:rPr>
          <w:color w:val="000000"/>
          <w:sz w:val="28"/>
          <w:szCs w:val="28"/>
        </w:rPr>
        <w:t>интерпретации изображений</w:t>
      </w:r>
      <w:r w:rsidR="002C2CCA">
        <w:rPr>
          <w:color w:val="000000"/>
          <w:sz w:val="28"/>
          <w:szCs w:val="28"/>
        </w:rPr>
        <w:t>,</w:t>
      </w:r>
      <w:r w:rsidR="002C2CCA" w:rsidRPr="002C2CCA">
        <w:rPr>
          <w:color w:val="000000"/>
          <w:sz w:val="28"/>
          <w:szCs w:val="28"/>
        </w:rPr>
        <w:t xml:space="preserve"> изучение активности </w:t>
      </w:r>
      <w:r w:rsidR="00A10B52">
        <w:rPr>
          <w:color w:val="000000"/>
          <w:sz w:val="28"/>
          <w:szCs w:val="28"/>
        </w:rPr>
        <w:t xml:space="preserve">висцерального жира </w:t>
      </w:r>
      <w:r w:rsidR="002C2CCA" w:rsidRPr="002C2CCA">
        <w:rPr>
          <w:color w:val="000000"/>
          <w:sz w:val="28"/>
          <w:szCs w:val="28"/>
        </w:rPr>
        <w:t xml:space="preserve">проводилось в аксиальной плоскости согласно </w:t>
      </w:r>
      <w:r w:rsidR="005034C6" w:rsidRPr="002C2CCA">
        <w:rPr>
          <w:sz w:val="28"/>
          <w:szCs w:val="28"/>
        </w:rPr>
        <w:t>топографической структур</w:t>
      </w:r>
      <w:r w:rsidR="002C2CCA" w:rsidRPr="002C2CCA">
        <w:rPr>
          <w:sz w:val="28"/>
          <w:szCs w:val="28"/>
        </w:rPr>
        <w:t>е</w:t>
      </w:r>
      <w:r w:rsidR="005034C6" w:rsidRPr="002C2CCA">
        <w:rPr>
          <w:sz w:val="28"/>
          <w:szCs w:val="28"/>
        </w:rPr>
        <w:t xml:space="preserve"> брюшной полости </w:t>
      </w:r>
      <w:bookmarkStart w:id="107" w:name="_Hlk117893556"/>
      <w:r w:rsidR="005034C6" w:rsidRPr="002C2CCA">
        <w:rPr>
          <w:sz w:val="28"/>
          <w:szCs w:val="28"/>
        </w:rPr>
        <w:t xml:space="preserve">и </w:t>
      </w:r>
      <w:bookmarkStart w:id="108" w:name="_Hlk117893568"/>
      <w:r w:rsidR="005034C6" w:rsidRPr="002C2CCA">
        <w:rPr>
          <w:sz w:val="28"/>
          <w:szCs w:val="28"/>
        </w:rPr>
        <w:t xml:space="preserve">малого таза по </w:t>
      </w:r>
      <w:r w:rsidR="000206E1">
        <w:rPr>
          <w:sz w:val="28"/>
          <w:szCs w:val="28"/>
        </w:rPr>
        <w:t xml:space="preserve">соответствующим </w:t>
      </w:r>
      <w:r w:rsidR="002C2CCA" w:rsidRPr="002C2CCA">
        <w:rPr>
          <w:sz w:val="28"/>
          <w:szCs w:val="28"/>
        </w:rPr>
        <w:t xml:space="preserve">девяти локализациям – </w:t>
      </w:r>
      <w:r w:rsidR="005034C6" w:rsidRPr="002C2CCA">
        <w:rPr>
          <w:sz w:val="28"/>
          <w:szCs w:val="28"/>
        </w:rPr>
        <w:t>RE</w:t>
      </w:r>
      <w:r w:rsidR="002C2CCA" w:rsidRPr="002C2CCA">
        <w:rPr>
          <w:sz w:val="28"/>
          <w:szCs w:val="28"/>
        </w:rPr>
        <w:t>,</w:t>
      </w:r>
      <w:r w:rsidR="005034C6" w:rsidRPr="002C2CCA">
        <w:rPr>
          <w:sz w:val="28"/>
          <w:szCs w:val="28"/>
        </w:rPr>
        <w:t xml:space="preserve"> RLH</w:t>
      </w:r>
      <w:r w:rsidR="002C2CCA" w:rsidRPr="002C2CCA">
        <w:rPr>
          <w:sz w:val="28"/>
          <w:szCs w:val="28"/>
        </w:rPr>
        <w:t xml:space="preserve">, </w:t>
      </w:r>
      <w:r w:rsidR="005034C6" w:rsidRPr="002C2CCA">
        <w:rPr>
          <w:sz w:val="28"/>
          <w:szCs w:val="28"/>
        </w:rPr>
        <w:t>RRL</w:t>
      </w:r>
      <w:r w:rsidR="002C2CCA" w:rsidRPr="002C2CCA">
        <w:rPr>
          <w:sz w:val="28"/>
          <w:szCs w:val="28"/>
        </w:rPr>
        <w:t xml:space="preserve">, </w:t>
      </w:r>
      <w:r w:rsidR="005034C6" w:rsidRPr="002C2CCA">
        <w:rPr>
          <w:sz w:val="28"/>
          <w:szCs w:val="28"/>
        </w:rPr>
        <w:t>RU</w:t>
      </w:r>
      <w:r w:rsidR="002C2CCA" w:rsidRPr="002C2CCA">
        <w:rPr>
          <w:sz w:val="28"/>
          <w:szCs w:val="28"/>
        </w:rPr>
        <w:t xml:space="preserve">, </w:t>
      </w:r>
      <w:r w:rsidR="005034C6" w:rsidRPr="002C2CCA">
        <w:rPr>
          <w:sz w:val="28"/>
          <w:szCs w:val="28"/>
        </w:rPr>
        <w:t>RLL</w:t>
      </w:r>
      <w:r w:rsidR="002C2CCA" w:rsidRPr="002C2CCA">
        <w:rPr>
          <w:sz w:val="28"/>
          <w:szCs w:val="28"/>
        </w:rPr>
        <w:t xml:space="preserve">, </w:t>
      </w:r>
      <w:r w:rsidR="005034C6" w:rsidRPr="002C2CCA">
        <w:rPr>
          <w:sz w:val="28"/>
          <w:szCs w:val="28"/>
        </w:rPr>
        <w:t>RRI</w:t>
      </w:r>
      <w:r w:rsidR="002C2CCA" w:rsidRPr="002C2CCA">
        <w:rPr>
          <w:sz w:val="28"/>
          <w:szCs w:val="28"/>
        </w:rPr>
        <w:t xml:space="preserve">, </w:t>
      </w:r>
      <w:r w:rsidR="005034C6" w:rsidRPr="002C2CCA">
        <w:rPr>
          <w:sz w:val="28"/>
          <w:szCs w:val="28"/>
        </w:rPr>
        <w:t>RP</w:t>
      </w:r>
      <w:r w:rsidR="002C2CCA" w:rsidRPr="002C2CCA">
        <w:rPr>
          <w:sz w:val="28"/>
          <w:szCs w:val="28"/>
        </w:rPr>
        <w:t xml:space="preserve">, </w:t>
      </w:r>
      <w:r w:rsidR="005034C6" w:rsidRPr="002C2CCA">
        <w:rPr>
          <w:sz w:val="28"/>
          <w:szCs w:val="28"/>
        </w:rPr>
        <w:t>RLI</w:t>
      </w:r>
      <w:r w:rsidR="002C2CCA" w:rsidRPr="002C2CCA">
        <w:rPr>
          <w:sz w:val="28"/>
          <w:szCs w:val="28"/>
        </w:rPr>
        <w:t xml:space="preserve"> и </w:t>
      </w:r>
      <w:r w:rsidR="005034C6" w:rsidRPr="002C2CCA">
        <w:rPr>
          <w:sz w:val="28"/>
          <w:szCs w:val="28"/>
        </w:rPr>
        <w:t>P.</w:t>
      </w:r>
    </w:p>
    <w:p w14:paraId="5478E55D" w14:textId="4033A98D" w:rsidR="009C1D29" w:rsidRDefault="003A68B6" w:rsidP="004721E9">
      <w:pPr>
        <w:pStyle w:val="contributor"/>
        <w:shd w:val="clear" w:color="auto" w:fill="FFFFFF"/>
        <w:spacing w:before="0" w:beforeAutospacing="0" w:after="0" w:afterAutospacing="0"/>
        <w:ind w:firstLine="709"/>
        <w:jc w:val="both"/>
        <w:rPr>
          <w:sz w:val="28"/>
          <w:szCs w:val="28"/>
        </w:rPr>
      </w:pPr>
      <w:r w:rsidRPr="00A43B9C">
        <w:rPr>
          <w:b/>
          <w:bCs/>
          <w:sz w:val="28"/>
          <w:szCs w:val="28"/>
        </w:rPr>
        <w:t xml:space="preserve">Эпителиальный </w:t>
      </w:r>
      <w:r w:rsidR="0020110A">
        <w:rPr>
          <w:b/>
          <w:bCs/>
          <w:sz w:val="28"/>
          <w:szCs w:val="28"/>
        </w:rPr>
        <w:t>рак яичников</w:t>
      </w:r>
      <w:r w:rsidR="00D85264" w:rsidRPr="00A43B9C">
        <w:rPr>
          <w:b/>
          <w:bCs/>
          <w:sz w:val="28"/>
          <w:szCs w:val="28"/>
        </w:rPr>
        <w:t xml:space="preserve">. </w:t>
      </w:r>
      <w:r w:rsidR="00114795" w:rsidRPr="00A43B9C">
        <w:rPr>
          <w:bCs/>
          <w:sz w:val="28"/>
          <w:szCs w:val="28"/>
        </w:rPr>
        <w:t xml:space="preserve">К моменту начала нашего исследования анализ литературы по </w:t>
      </w:r>
      <w:bookmarkEnd w:id="108"/>
      <w:r w:rsidR="00114795" w:rsidRPr="00A43B9C">
        <w:rPr>
          <w:bCs/>
          <w:sz w:val="28"/>
          <w:szCs w:val="28"/>
        </w:rPr>
        <w:t xml:space="preserve">данному вопросу показал следующую </w:t>
      </w:r>
      <w:r w:rsidR="00114795" w:rsidRPr="00A43B9C">
        <w:rPr>
          <w:bCs/>
          <w:sz w:val="28"/>
          <w:szCs w:val="28"/>
        </w:rPr>
        <w:lastRenderedPageBreak/>
        <w:t>картину.</w:t>
      </w:r>
      <w:r w:rsidR="00114795" w:rsidRPr="00667B3B">
        <w:rPr>
          <w:sz w:val="28"/>
          <w:szCs w:val="28"/>
        </w:rPr>
        <w:t xml:space="preserve"> </w:t>
      </w:r>
      <w:r w:rsidR="00C24071" w:rsidRPr="00A43B9C">
        <w:rPr>
          <w:sz w:val="28"/>
          <w:szCs w:val="28"/>
          <w:lang w:val="en-US"/>
        </w:rPr>
        <w:t>Risum</w:t>
      </w:r>
      <w:r w:rsidR="00C24071" w:rsidRPr="00A43B9C">
        <w:rPr>
          <w:sz w:val="28"/>
          <w:szCs w:val="28"/>
        </w:rPr>
        <w:t xml:space="preserve"> </w:t>
      </w:r>
      <w:r w:rsidR="00C24071" w:rsidRPr="00A43B9C">
        <w:rPr>
          <w:sz w:val="28"/>
          <w:szCs w:val="28"/>
          <w:lang w:val="en-US"/>
        </w:rPr>
        <w:t>et</w:t>
      </w:r>
      <w:r w:rsidR="00C24071" w:rsidRPr="00A43B9C">
        <w:rPr>
          <w:sz w:val="28"/>
          <w:szCs w:val="28"/>
        </w:rPr>
        <w:t xml:space="preserve"> </w:t>
      </w:r>
      <w:r w:rsidR="00C24071" w:rsidRPr="00A43B9C">
        <w:rPr>
          <w:sz w:val="28"/>
          <w:szCs w:val="28"/>
          <w:lang w:val="en-US"/>
        </w:rPr>
        <w:t>al</w:t>
      </w:r>
      <w:r w:rsidR="00C24071" w:rsidRPr="00A43B9C">
        <w:rPr>
          <w:sz w:val="28"/>
          <w:szCs w:val="28"/>
        </w:rPr>
        <w:t xml:space="preserve">. показали в проспективном </w:t>
      </w:r>
      <w:r w:rsidR="00C24071" w:rsidRPr="00882C9C">
        <w:rPr>
          <w:sz w:val="28"/>
          <w:szCs w:val="28"/>
        </w:rPr>
        <w:t xml:space="preserve">исследовании </w:t>
      </w:r>
      <w:bookmarkEnd w:id="107"/>
      <w:r w:rsidR="00C24071" w:rsidRPr="00882C9C">
        <w:rPr>
          <w:sz w:val="28"/>
          <w:szCs w:val="28"/>
        </w:rPr>
        <w:t>прогностическую ценность SUV</w:t>
      </w:r>
      <w:r w:rsidR="00C86F34" w:rsidRPr="00882C9C">
        <w:rPr>
          <w:sz w:val="28"/>
          <w:szCs w:val="28"/>
          <w:vertAlign w:val="subscript"/>
        </w:rPr>
        <w:t>max</w:t>
      </w:r>
      <w:r w:rsidR="00C24071" w:rsidRPr="00882C9C">
        <w:rPr>
          <w:sz w:val="28"/>
          <w:szCs w:val="28"/>
        </w:rPr>
        <w:t xml:space="preserve"> в первичной опухоли и оценили значение SUV</w:t>
      </w:r>
      <w:r w:rsidR="00C86F34" w:rsidRPr="00882C9C">
        <w:rPr>
          <w:sz w:val="28"/>
          <w:szCs w:val="28"/>
          <w:vertAlign w:val="subscript"/>
        </w:rPr>
        <w:t>max</w:t>
      </w:r>
      <w:r w:rsidR="00C24071" w:rsidRPr="00882C9C">
        <w:rPr>
          <w:sz w:val="28"/>
          <w:szCs w:val="28"/>
        </w:rPr>
        <w:t xml:space="preserve"> для прогнозирования неполной первичной циторедукции у 60 пациентов с </w:t>
      </w:r>
      <w:r w:rsidR="001A7EDA">
        <w:rPr>
          <w:sz w:val="28"/>
          <w:szCs w:val="28"/>
        </w:rPr>
        <w:t>раком яичников</w:t>
      </w:r>
      <w:r w:rsidR="00C24071" w:rsidRPr="00882C9C">
        <w:rPr>
          <w:sz w:val="28"/>
          <w:szCs w:val="28"/>
        </w:rPr>
        <w:t>, в котором SUV</w:t>
      </w:r>
      <w:r w:rsidR="00C24071" w:rsidRPr="00882C9C">
        <w:rPr>
          <w:sz w:val="28"/>
          <w:szCs w:val="28"/>
          <w:vertAlign w:val="subscript"/>
        </w:rPr>
        <w:t>max</w:t>
      </w:r>
      <w:r w:rsidR="00C24071" w:rsidRPr="00882C9C">
        <w:rPr>
          <w:sz w:val="28"/>
          <w:szCs w:val="28"/>
        </w:rPr>
        <w:t xml:space="preserve"> не был статистически значимой прогностической переменной (р 0,86) </w:t>
      </w:r>
      <w:r w:rsidR="00C24071" w:rsidRPr="00882C9C">
        <w:rPr>
          <w:sz w:val="28"/>
          <w:szCs w:val="28"/>
        </w:rPr>
        <w:fldChar w:fldCharType="begin"/>
      </w:r>
      <w:r w:rsidR="00F6152F">
        <w:rPr>
          <w:sz w:val="28"/>
          <w:szCs w:val="28"/>
        </w:rPr>
        <w:instrText xml:space="preserve"> ADDIN ZOTERO_ITEM CSL_CITATION {"citationID":"a1tjuqock4a","properties":{"formattedCitation":"[195]","plainCitation":"[195]","noteIndex":0},"citationItems":[{"id":713,"uris":["http://zotero.org/users/8787459/items/UCPI77IU"],"itemData":{"id":713,"type":"article-journal","abstract":"INTRODUCTION: In patients with advanced ovarian cancer undergoing preoperative PET/CT, we investigated the prognostic value of SUV in the primary tumor and we evaluated the value of SUV for predicting incomplete primary cytoreduction (macroscopic residual tumor).\nMATERIAL AND METHODS: From September 2004 to August 2007, 201 consecutive patients with a pelvic tumor and a Risk of Malignancy Index (RMI) &gt; 150 based on serum CA-125, ultrasound examinations and menopausal state, underwent PET/CT within two weeks prior to standard surgery/debulking of a pelvic tumor. At two-year follow-up (August 15, 2009) the association between SUV and overall survival/cytoreductive result were analyzed in 60 ovarian cancer patients (58 stage III and two stage IV).\nRESULTS: At inclusion median age was 62 years (range 35-85 years); 97% (58/60) had a performance status ≤2; 42% (25/60) underwent complete debulking (no macroscopic residual tumor); median SUV(max) was 13.5 (range 2.5-39.0). Median follow-up was 30.2 months. At follow-up 57% (34/60) were alive and 43% (26/60) had died from ovarian cancer. SUV(max) in patients alive was not statistically different from SUV(max) in dead patients (p=0.69), and SUV(max) was not correlated with the amount of residual tumor after surgery (p=0.19). Using univariate Cox regression analysis, residual tumor was a significant prognostic variable (p=0.001); SUV(max) was not a statistically significant prognostic variable (p=0.86).\nDISCUSSION: FDG uptake (SUV(max)) in the primary tumor of patients with advanced ovarian cancer was not a prognostic variable and the FDG uptake did not predict complete cytoreduction after primary surgery. Future prospective clinical trials will need to clarify if other PET tracers can serve as prognostic variables in ovarian cancer.","container-title":"Acta Oncologica (Stockholm, Sweden)","DOI":"10.3109/0284186X.2010.500296","ISSN":"1651-226X","issue":"3","journalAbbreviation":"Acta Oncol","language":"eng","note":"PMID: 20698810","page":"415-419","source":"PubMed","title":"Standardized FDG uptake as a prognostic variable and as a predictor of incomplete cytoreduction in primary advanced ovarian cancer","volume":"50","author":[{"family":"Risum","given":"Signe"},{"family":"Loft","given":"Annika"},{"family":"Høgdall","given":"Claus"},{"family":"Berthelsen","given":"Anne K."},{"family":"Høgdall","given":"Estrid"},{"family":"Lundvall","given":"Lene"},{"family":"Nedergaard","given":"Lotte"},{"family":"Engelholm","given":"Svend A."}],"issued":{"date-parts":[["2011",4]]}}}],"schema":"https://github.com/citation-style-language/schema/raw/master/csl-citation.json"} </w:instrText>
      </w:r>
      <w:r w:rsidR="00C24071" w:rsidRPr="00882C9C">
        <w:rPr>
          <w:sz w:val="28"/>
          <w:szCs w:val="28"/>
        </w:rPr>
        <w:fldChar w:fldCharType="separate"/>
      </w:r>
      <w:r w:rsidR="00F6152F" w:rsidRPr="00F6152F">
        <w:rPr>
          <w:sz w:val="28"/>
        </w:rPr>
        <w:t>[195]</w:t>
      </w:r>
      <w:r w:rsidR="00C24071" w:rsidRPr="00882C9C">
        <w:rPr>
          <w:sz w:val="28"/>
          <w:szCs w:val="28"/>
        </w:rPr>
        <w:fldChar w:fldCharType="end"/>
      </w:r>
      <w:r w:rsidR="00C24071" w:rsidRPr="00882C9C">
        <w:rPr>
          <w:sz w:val="28"/>
          <w:szCs w:val="28"/>
        </w:rPr>
        <w:t>.</w:t>
      </w:r>
      <w:r w:rsidR="007D6E7A" w:rsidRPr="00882C9C">
        <w:rPr>
          <w:sz w:val="28"/>
          <w:szCs w:val="28"/>
        </w:rPr>
        <w:t xml:space="preserve"> </w:t>
      </w:r>
      <w:r w:rsidR="00C24071" w:rsidRPr="00882C9C">
        <w:rPr>
          <w:rStyle w:val="name"/>
          <w:sz w:val="28"/>
          <w:szCs w:val="28"/>
        </w:rPr>
        <w:t xml:space="preserve">Limei </w:t>
      </w:r>
      <w:r w:rsidR="00C24071" w:rsidRPr="00882C9C">
        <w:rPr>
          <w:sz w:val="28"/>
          <w:szCs w:val="28"/>
          <w:lang w:val="en-US"/>
        </w:rPr>
        <w:t>et</w:t>
      </w:r>
      <w:r w:rsidR="00C24071" w:rsidRPr="00882C9C">
        <w:rPr>
          <w:sz w:val="28"/>
          <w:szCs w:val="28"/>
        </w:rPr>
        <w:t xml:space="preserve"> </w:t>
      </w:r>
      <w:r w:rsidR="00C24071" w:rsidRPr="00882C9C">
        <w:rPr>
          <w:sz w:val="28"/>
          <w:szCs w:val="28"/>
          <w:lang w:val="en-US"/>
        </w:rPr>
        <w:t>al</w:t>
      </w:r>
      <w:r w:rsidR="00C24071" w:rsidRPr="00882C9C">
        <w:rPr>
          <w:sz w:val="28"/>
          <w:szCs w:val="28"/>
        </w:rPr>
        <w:t xml:space="preserve">. </w:t>
      </w:r>
      <w:r w:rsidR="00817CE6" w:rsidRPr="00882C9C">
        <w:rPr>
          <w:sz w:val="28"/>
          <w:szCs w:val="28"/>
        </w:rPr>
        <w:t xml:space="preserve">провели </w:t>
      </w:r>
      <w:r w:rsidR="00C24071" w:rsidRPr="00882C9C">
        <w:rPr>
          <w:sz w:val="28"/>
          <w:szCs w:val="28"/>
        </w:rPr>
        <w:t xml:space="preserve">систематический обзор в виде мета-анализа у 29 исследований из 1561 пациентов с подозрением на рецидивирующий </w:t>
      </w:r>
      <w:r w:rsidR="00A10B52">
        <w:rPr>
          <w:sz w:val="28"/>
          <w:szCs w:val="28"/>
        </w:rPr>
        <w:t>рак</w:t>
      </w:r>
      <w:r w:rsidR="00C24071" w:rsidRPr="00882C9C">
        <w:rPr>
          <w:sz w:val="28"/>
          <w:szCs w:val="28"/>
        </w:rPr>
        <w:t xml:space="preserve">. В данном исследовании </w:t>
      </w:r>
      <w:r w:rsidR="00114795" w:rsidRPr="00882C9C">
        <w:rPr>
          <w:sz w:val="28"/>
          <w:szCs w:val="28"/>
          <w:lang w:val="en-US"/>
        </w:rPr>
        <w:t>Se</w:t>
      </w:r>
      <w:r w:rsidR="00114795" w:rsidRPr="00882C9C">
        <w:rPr>
          <w:sz w:val="28"/>
          <w:szCs w:val="28"/>
        </w:rPr>
        <w:t xml:space="preserve"> была равна 88,6%, а </w:t>
      </w:r>
      <w:r w:rsidR="00114795" w:rsidRPr="00882C9C">
        <w:rPr>
          <w:sz w:val="28"/>
          <w:szCs w:val="28"/>
          <w:lang w:val="en-US"/>
        </w:rPr>
        <w:t>Sp</w:t>
      </w:r>
      <w:r w:rsidR="00114795" w:rsidRPr="00882C9C">
        <w:rPr>
          <w:sz w:val="28"/>
          <w:szCs w:val="28"/>
        </w:rPr>
        <w:t xml:space="preserve"> равнялась 90,3%, </w:t>
      </w:r>
      <w:r w:rsidR="00C24071" w:rsidRPr="00882C9C">
        <w:rPr>
          <w:sz w:val="28"/>
          <w:szCs w:val="28"/>
        </w:rPr>
        <w:t xml:space="preserve">приведена сводная характеристика </w:t>
      </w:r>
      <w:r w:rsidR="00C24071" w:rsidRPr="00882C9C">
        <w:rPr>
          <w:sz w:val="28"/>
          <w:szCs w:val="28"/>
          <w:lang w:val="en-US"/>
        </w:rPr>
        <w:t>ROC</w:t>
      </w:r>
      <w:r w:rsidR="00C24071" w:rsidRPr="00882C9C">
        <w:rPr>
          <w:sz w:val="28"/>
          <w:szCs w:val="28"/>
        </w:rPr>
        <w:t xml:space="preserve">-анализа для рецидивирующего и не рецидивирующего </w:t>
      </w:r>
      <w:r w:rsidR="00A10B52">
        <w:rPr>
          <w:sz w:val="28"/>
          <w:szCs w:val="28"/>
        </w:rPr>
        <w:t>рака</w:t>
      </w:r>
      <w:r w:rsidR="00C24071" w:rsidRPr="00882C9C">
        <w:rPr>
          <w:sz w:val="28"/>
          <w:szCs w:val="28"/>
        </w:rPr>
        <w:t xml:space="preserve"> (</w:t>
      </w:r>
      <w:r w:rsidR="00C24071" w:rsidRPr="00882C9C">
        <w:rPr>
          <w:sz w:val="28"/>
          <w:szCs w:val="28"/>
          <w:lang w:val="en-US"/>
        </w:rPr>
        <w:t>AUC</w:t>
      </w:r>
      <w:r w:rsidR="00C24071" w:rsidRPr="00882C9C">
        <w:rPr>
          <w:sz w:val="28"/>
          <w:szCs w:val="28"/>
        </w:rPr>
        <w:t xml:space="preserve"> </w:t>
      </w:r>
      <w:r w:rsidR="00C24071" w:rsidRPr="00882C9C">
        <w:rPr>
          <w:sz w:val="28"/>
          <w:szCs w:val="28"/>
          <w:shd w:val="clear" w:color="auto" w:fill="FFFFFF"/>
        </w:rPr>
        <w:t>0,945</w:t>
      </w:r>
      <w:r w:rsidR="00C24071" w:rsidRPr="00882C9C">
        <w:rPr>
          <w:sz w:val="28"/>
          <w:szCs w:val="28"/>
        </w:rPr>
        <w:t xml:space="preserve">) </w:t>
      </w:r>
      <w:r w:rsidR="004721E9" w:rsidRPr="00882C9C">
        <w:rPr>
          <w:sz w:val="28"/>
          <w:szCs w:val="28"/>
        </w:rPr>
        <w:fldChar w:fldCharType="begin"/>
      </w:r>
      <w:r w:rsidR="00F6152F">
        <w:rPr>
          <w:sz w:val="28"/>
          <w:szCs w:val="28"/>
        </w:rPr>
        <w:instrText xml:space="preserve"> ADDIN ZOTERO_ITEM CSL_CITATION {"citationID":"al7ieu9hif","properties":{"formattedCitation":"[196]","plainCitation":"[196]","noteIndex":0},"citationItems":[{"id":716,"uris":["http://zotero.org/users/8787459/items/XIUQC3QL"],"itemData":{"id":716,"type":"article-journal","abstract":"OBJECTIVE: A meta-analysis was performed to estimate the diagnostic accuracy of positron emission tomography/computed tomography (PET/CT) in suspected recurrent ovarian cancer.\nMATERIALS AND METHODS: PubMed, The Cochrane Library, Embase, and Web of Science were systematically searched. Studies that compared PET/CT and reference standards within patients for diagnosis of suspected recurrent ovarian cancer were included.\nRESULTS: Twenty-nine studies involving 1651 patients with ovarian cancer were analyzed. For recurrent versus nonrecurrent ovarian cancer, the pooled sensitivity, specificity, positive likelihood (LH) ratio, negative LH ratio, and diagnostic odds ratio of ovarian carcinoma were 88.6% (95% confidence interval [CI], 86.6%-90.3%), 90.3% (95% CI, 87.6%-92.7%), 6.104 (95% CI, 3.904-9.543), 0.122 (95% CI, 0.077%-0.192%), and 57.032 (95% CI, 30.764-105.73), respectively, for recurrence in the PET/CT. Because sensitivity, specificity, positive LH ratio, and negative LH ratio were all heterogeneous, random effects model was used, and a summary receiver operating characteristic curve was generated. The area under the curve was 0.9445 for recurrent versus nonrecurrent ovarian cancer.\nCONCLUSIONS: Positron emission tomography/computed tomography is a useful tool for predicting the diagnosis and restaging of suspected recurrent ovarian carcinoma.","container-title":"International Journal of Gynecological Cancer: Official Journal of the International Gynecological Cancer Society","DOI":"10.1097/IGC.0b013e31828a183c","ISSN":"1525-1438","issue":"4","journalAbbreviation":"Int J Gynecol Cancer","language":"eng","note":"PMID: 23502451","page":"598-607","source":"PubMed","title":"Accuracy of positron emission tomography/computed tomography in the diagnosis and restaging for recurrent ovarian cancer: a meta-analysis","title-short":"Accuracy of positron emission tomography/computed tomography in the diagnosis and restaging for recurrent ovarian cancer","volume":"23","author":[{"family":"Limei","given":"Zhao"},{"family":"Yong","given":"Chen"},{"family":"Yan","given":"Xu"},{"family":"Shuai","given":"Tang"},{"family":"Jiangyan","given":"Xie"},{"family":"Zhiqing","given":"Liang"}],"issued":{"date-parts":[["2013",5]]}}}],"schema":"https://github.com/citation-style-language/schema/raw/master/csl-citation.json"} </w:instrText>
      </w:r>
      <w:r w:rsidR="004721E9" w:rsidRPr="00882C9C">
        <w:rPr>
          <w:sz w:val="28"/>
          <w:szCs w:val="28"/>
        </w:rPr>
        <w:fldChar w:fldCharType="separate"/>
      </w:r>
      <w:r w:rsidR="00F6152F" w:rsidRPr="00F6152F">
        <w:rPr>
          <w:sz w:val="28"/>
        </w:rPr>
        <w:t>[196]</w:t>
      </w:r>
      <w:r w:rsidR="004721E9" w:rsidRPr="00882C9C">
        <w:rPr>
          <w:sz w:val="28"/>
          <w:szCs w:val="28"/>
        </w:rPr>
        <w:fldChar w:fldCharType="end"/>
      </w:r>
      <w:r w:rsidR="00C24071" w:rsidRPr="00882C9C">
        <w:rPr>
          <w:sz w:val="28"/>
          <w:szCs w:val="28"/>
        </w:rPr>
        <w:t>.</w:t>
      </w:r>
      <w:r w:rsidR="007D6E7A" w:rsidRPr="00882C9C">
        <w:rPr>
          <w:sz w:val="28"/>
          <w:szCs w:val="28"/>
        </w:rPr>
        <w:t xml:space="preserve"> </w:t>
      </w:r>
      <w:hyperlink r:id="rId345" w:tooltip="Correspondence information about the author Robert Fruscio" w:history="1">
        <w:r w:rsidR="00C24071" w:rsidRPr="00882C9C">
          <w:rPr>
            <w:sz w:val="28"/>
            <w:szCs w:val="28"/>
            <w:lang w:val="en-US"/>
          </w:rPr>
          <w:t>Fruscio</w:t>
        </w:r>
      </w:hyperlink>
      <w:r w:rsidR="00C24071" w:rsidRPr="00882C9C">
        <w:rPr>
          <w:sz w:val="28"/>
          <w:szCs w:val="28"/>
        </w:rPr>
        <w:t xml:space="preserve"> </w:t>
      </w:r>
      <w:r w:rsidR="00C24071" w:rsidRPr="00882C9C">
        <w:rPr>
          <w:sz w:val="28"/>
          <w:szCs w:val="28"/>
          <w:lang w:val="en-US"/>
        </w:rPr>
        <w:t>et</w:t>
      </w:r>
      <w:r w:rsidR="00C24071" w:rsidRPr="00882C9C">
        <w:rPr>
          <w:sz w:val="28"/>
          <w:szCs w:val="28"/>
        </w:rPr>
        <w:t xml:space="preserve"> </w:t>
      </w:r>
      <w:r w:rsidR="00C24071" w:rsidRPr="00882C9C">
        <w:rPr>
          <w:sz w:val="28"/>
          <w:szCs w:val="28"/>
          <w:lang w:val="en-US"/>
        </w:rPr>
        <w:t>al</w:t>
      </w:r>
      <w:r w:rsidR="00C24071" w:rsidRPr="00882C9C">
        <w:rPr>
          <w:sz w:val="28"/>
          <w:szCs w:val="28"/>
        </w:rPr>
        <w:t xml:space="preserve">. показали предоперационное обследование </w:t>
      </w:r>
      <w:r w:rsidR="00C24071" w:rsidRPr="00882C9C">
        <w:rPr>
          <w:sz w:val="28"/>
          <w:szCs w:val="28"/>
          <w:vertAlign w:val="superscript"/>
        </w:rPr>
        <w:t>18</w:t>
      </w:r>
      <w:r w:rsidR="00C24071" w:rsidRPr="00882C9C">
        <w:rPr>
          <w:sz w:val="28"/>
          <w:szCs w:val="28"/>
          <w:lang w:val="en-US"/>
        </w:rPr>
        <w:t>FDG</w:t>
      </w:r>
      <w:r w:rsidR="00C24071" w:rsidRPr="00882C9C">
        <w:rPr>
          <w:sz w:val="28"/>
          <w:szCs w:val="28"/>
        </w:rPr>
        <w:t xml:space="preserve"> ПЭТ/КТ у 95 пациентов с </w:t>
      </w:r>
      <w:r w:rsidR="00A10B52">
        <w:rPr>
          <w:sz w:val="28"/>
          <w:szCs w:val="28"/>
        </w:rPr>
        <w:t xml:space="preserve">эпителиальной формой рака яичников </w:t>
      </w:r>
      <w:r w:rsidR="00C24071" w:rsidRPr="00882C9C">
        <w:rPr>
          <w:sz w:val="28"/>
          <w:szCs w:val="28"/>
        </w:rPr>
        <w:t xml:space="preserve">с целью выявления признаков внебрюшинного метастазирования. В итоге был отражена способность метода ПЭТ/КТ выявлять отдаленные метастазы у пациентов с </w:t>
      </w:r>
      <w:r w:rsidR="00A10B52">
        <w:rPr>
          <w:sz w:val="28"/>
          <w:szCs w:val="28"/>
        </w:rPr>
        <w:t xml:space="preserve">эпителиальным раком яичников </w:t>
      </w:r>
      <w:r w:rsidR="004721E9" w:rsidRPr="00882C9C">
        <w:rPr>
          <w:sz w:val="28"/>
          <w:szCs w:val="28"/>
        </w:rPr>
        <w:fldChar w:fldCharType="begin"/>
      </w:r>
      <w:r w:rsidR="00F6152F">
        <w:rPr>
          <w:sz w:val="28"/>
          <w:szCs w:val="28"/>
        </w:rPr>
        <w:instrText xml:space="preserve"> ADDIN ZOTERO_ITEM CSL_CITATION {"citationID":"a1ho6vipad6","properties":{"formattedCitation":"[197]","plainCitation":"[197]","noteIndex":0},"citationItems":[{"id":138,"uris":["http://zotero.org/users/8787459/items/EWKBZLKG"],"itemData":{"id":138,"type":"article-journal","abstract":"OBJECTIVE: The introduction of 18-FDG-PET/CT during preoperative evaluation of patients with epithelial ovarian cancer (EOC) has led to an increase of the detection of extra-abdominal metastases. However, the clinical impact of this upstage remains unclear.\nMETHODS: Patients with suspected advanced EOC underwent 18-FDG-PET/CT within two weeks prior to debulking surgery.\nRESULTS: Between 2006 and 2011 95 patients met the inclusion criteria. Based on the concordance or the discrepancy of clinical and PET/CT stage, patients were divided into 3 groups (A: clinical and PET III; B: clinical III and PET IV; C: clinical and PET IV). Twenty-five patients were upstaged from FIGO stage III to stage IV by PET/CT. The proportion of patients who achieved a residual tumor &lt;1cm in group B and C was similar, whereas it was significantly lower compared to group A. Similarly, complete response to adjuvant chemotherapy was achieved more frequently in patients in group A. PFS was similar in the three groups (17, 17 and 12 months in group A, B and C), as well as OS (51, 41 and 35 months).\nCONCLUSIONS: PET/CT is able to detect distant metastases in EOC patients. The presence of extra-abdominal disease probably indicates a more aggressive disease which also shows a lower response to standard chemotherapy. However, upstaged patients have a similar prognosis compared to stage III patients, probably because intra-abdominal disease is more likely to lead patients to death. This might also explain why residual tumor is the most important prognostic factor for advanced EOC patients.","container-title":"Gynecologic Oncology","DOI":"10.1016/j.ygyno.2013.09.024","ISSN":"1095-6859","issue":"3","journalAbbreviation":"Gynecol Oncol","language":"eng","note":"PMID: 24076062","page":"689-693","source":"PubMed","title":"Preoperative 18F-FDG PET/CT in the management of advanced epithelial ovarian cancer","volume":"131","author":[{"family":"Fruscio","given":"Robert"},{"family":"Sina","given":"Federica"},{"family":"Dolci","given":"Carlotta"},{"family":"Signorelli","given":"Mauro"},{"family":"Crivellaro","given":"Cinzia"},{"family":"Dell'Anna","given":"Tiziana"},{"family":"Cuzzocrea","given":"Marco"},{"family":"Guerra","given":"Luca"},{"family":"Milani","given":"Rodolfo"},{"family":"Messa","given":"Cristina"}],"issued":{"date-parts":[["2013",12]]}}}],"schema":"https://github.com/citation-style-language/schema/raw/master/csl-citation.json"} </w:instrText>
      </w:r>
      <w:r w:rsidR="004721E9" w:rsidRPr="00882C9C">
        <w:rPr>
          <w:sz w:val="28"/>
          <w:szCs w:val="28"/>
        </w:rPr>
        <w:fldChar w:fldCharType="separate"/>
      </w:r>
      <w:r w:rsidR="00F6152F" w:rsidRPr="00F6152F">
        <w:rPr>
          <w:sz w:val="28"/>
        </w:rPr>
        <w:t>[197]</w:t>
      </w:r>
      <w:r w:rsidR="004721E9" w:rsidRPr="00882C9C">
        <w:rPr>
          <w:sz w:val="28"/>
          <w:szCs w:val="28"/>
        </w:rPr>
        <w:fldChar w:fldCharType="end"/>
      </w:r>
      <w:r w:rsidR="00C24071" w:rsidRPr="00882C9C">
        <w:rPr>
          <w:sz w:val="28"/>
          <w:szCs w:val="28"/>
        </w:rPr>
        <w:t>.</w:t>
      </w:r>
      <w:r w:rsidR="007D6E7A" w:rsidRPr="00882C9C">
        <w:rPr>
          <w:sz w:val="28"/>
          <w:szCs w:val="28"/>
        </w:rPr>
        <w:t xml:space="preserve"> </w:t>
      </w:r>
      <w:r w:rsidR="00C24071" w:rsidRPr="00882C9C">
        <w:rPr>
          <w:rStyle w:val="name"/>
          <w:sz w:val="28"/>
          <w:szCs w:val="28"/>
        </w:rPr>
        <w:t xml:space="preserve">Konishi </w:t>
      </w:r>
      <w:r w:rsidR="00C24071" w:rsidRPr="00882C9C">
        <w:rPr>
          <w:sz w:val="28"/>
          <w:szCs w:val="28"/>
          <w:lang w:val="en-US"/>
        </w:rPr>
        <w:t>et</w:t>
      </w:r>
      <w:r w:rsidR="00C24071" w:rsidRPr="00882C9C">
        <w:rPr>
          <w:sz w:val="28"/>
          <w:szCs w:val="28"/>
        </w:rPr>
        <w:t xml:space="preserve"> </w:t>
      </w:r>
      <w:r w:rsidR="00C24071" w:rsidRPr="00882C9C">
        <w:rPr>
          <w:sz w:val="28"/>
          <w:szCs w:val="28"/>
          <w:lang w:val="en-US"/>
        </w:rPr>
        <w:t>al</w:t>
      </w:r>
      <w:r w:rsidR="00C24071" w:rsidRPr="00882C9C">
        <w:rPr>
          <w:sz w:val="28"/>
          <w:szCs w:val="28"/>
        </w:rPr>
        <w:t xml:space="preserve">. в проспективном исследовании показали различия </w:t>
      </w:r>
      <w:r w:rsidR="00C24071" w:rsidRPr="00882C9C">
        <w:rPr>
          <w:sz w:val="28"/>
          <w:szCs w:val="28"/>
          <w:lang w:val="en-US"/>
        </w:rPr>
        <w:t>SUV</w:t>
      </w:r>
      <w:r w:rsidR="00C24071" w:rsidRPr="00882C9C">
        <w:rPr>
          <w:sz w:val="28"/>
          <w:szCs w:val="28"/>
          <w:vertAlign w:val="subscript"/>
          <w:lang w:val="en-US"/>
        </w:rPr>
        <w:t>max</w:t>
      </w:r>
      <w:r w:rsidR="00C24071" w:rsidRPr="00882C9C">
        <w:rPr>
          <w:sz w:val="28"/>
          <w:szCs w:val="28"/>
        </w:rPr>
        <w:t xml:space="preserve"> в зависимости от гистологического типа у 80 пациентов с </w:t>
      </w:r>
      <w:r w:rsidR="00A10B52">
        <w:rPr>
          <w:sz w:val="28"/>
          <w:szCs w:val="28"/>
        </w:rPr>
        <w:t>эпителиальным раком яичников</w:t>
      </w:r>
      <w:r w:rsidR="00C24071" w:rsidRPr="00882C9C">
        <w:rPr>
          <w:sz w:val="28"/>
          <w:szCs w:val="28"/>
        </w:rPr>
        <w:t xml:space="preserve"> и связь </w:t>
      </w:r>
      <w:r w:rsidR="00C24071" w:rsidRPr="00882C9C">
        <w:rPr>
          <w:sz w:val="28"/>
          <w:szCs w:val="28"/>
          <w:lang w:val="en-US"/>
        </w:rPr>
        <w:t>SUV</w:t>
      </w:r>
      <w:r w:rsidR="00C24071" w:rsidRPr="00882C9C">
        <w:rPr>
          <w:sz w:val="28"/>
          <w:szCs w:val="28"/>
          <w:vertAlign w:val="subscript"/>
          <w:lang w:val="en-US"/>
        </w:rPr>
        <w:t>max</w:t>
      </w:r>
      <w:r w:rsidR="00C24071" w:rsidRPr="00882C9C">
        <w:rPr>
          <w:sz w:val="28"/>
          <w:szCs w:val="28"/>
        </w:rPr>
        <w:t xml:space="preserve"> в качестве прогностического маркера.</w:t>
      </w:r>
      <w:r w:rsidR="00C24071" w:rsidRPr="00A43B9C">
        <w:rPr>
          <w:sz w:val="28"/>
          <w:szCs w:val="28"/>
        </w:rPr>
        <w:t xml:space="preserve"> </w:t>
      </w:r>
      <w:r w:rsidR="00114795" w:rsidRPr="00A43B9C">
        <w:rPr>
          <w:sz w:val="28"/>
          <w:szCs w:val="28"/>
        </w:rPr>
        <w:t>Б</w:t>
      </w:r>
      <w:r w:rsidR="00C24071" w:rsidRPr="00A43B9C">
        <w:rPr>
          <w:sz w:val="28"/>
          <w:szCs w:val="28"/>
        </w:rPr>
        <w:t xml:space="preserve">ыли показаны различия </w:t>
      </w:r>
      <w:r w:rsidR="00C24071" w:rsidRPr="00A43B9C">
        <w:rPr>
          <w:sz w:val="28"/>
          <w:szCs w:val="28"/>
          <w:lang w:val="en-US"/>
        </w:rPr>
        <w:t>SUV</w:t>
      </w:r>
      <w:r w:rsidR="00C24071" w:rsidRPr="00A43B9C">
        <w:rPr>
          <w:sz w:val="28"/>
          <w:szCs w:val="28"/>
          <w:vertAlign w:val="subscript"/>
          <w:lang w:val="en-US"/>
        </w:rPr>
        <w:t>max</w:t>
      </w:r>
      <w:r w:rsidR="00C24071" w:rsidRPr="00A43B9C">
        <w:rPr>
          <w:sz w:val="28"/>
          <w:szCs w:val="28"/>
        </w:rPr>
        <w:t xml:space="preserve"> в процентном отношении при предоперационном </w:t>
      </w:r>
      <w:r w:rsidR="00C24071" w:rsidRPr="00A43B9C">
        <w:rPr>
          <w:sz w:val="28"/>
          <w:szCs w:val="28"/>
          <w:vertAlign w:val="superscript"/>
        </w:rPr>
        <w:t>18</w:t>
      </w:r>
      <w:r w:rsidR="00C24071" w:rsidRPr="00A43B9C">
        <w:rPr>
          <w:sz w:val="28"/>
          <w:szCs w:val="28"/>
          <w:lang w:val="en-US"/>
        </w:rPr>
        <w:t>FDG</w:t>
      </w:r>
      <w:r w:rsidR="00C24071" w:rsidRPr="00A43B9C">
        <w:rPr>
          <w:sz w:val="28"/>
          <w:szCs w:val="28"/>
        </w:rPr>
        <w:t xml:space="preserve"> ПЭТ/КТ обследовании в зависимости от гистологического типа опухоли в качестве прогностического фактора</w:t>
      </w:r>
      <w:r w:rsidR="004721E9" w:rsidRPr="00A43B9C">
        <w:rPr>
          <w:sz w:val="28"/>
          <w:szCs w:val="28"/>
        </w:rPr>
        <w:t xml:space="preserve"> </w:t>
      </w:r>
      <w:r w:rsidR="004721E9" w:rsidRPr="00A43B9C">
        <w:rPr>
          <w:sz w:val="28"/>
          <w:szCs w:val="28"/>
        </w:rPr>
        <w:fldChar w:fldCharType="begin"/>
      </w:r>
      <w:r w:rsidR="00F6152F">
        <w:rPr>
          <w:sz w:val="28"/>
          <w:szCs w:val="28"/>
        </w:rPr>
        <w:instrText xml:space="preserve"> ADDIN ZOTERO_ITEM CSL_CITATION {"citationID":"adin7prj96","properties":{"formattedCitation":"[198]","plainCitation":"[198]","noteIndex":0},"citationItems":[{"id":140,"uris":["http://zotero.org/users/8787459/items/ZQBV6ATK"],"itemData":{"id":140,"type":"article-journal","abstract":"BACKGROUND: Fluorodeoxyglucose positron emission tomography/computed tomography (FDG-PET/CT) is useful for diagnosing malignant tumors. Intracellular FDG uptake is measured as the standardized uptake value (SUV), which differs depending on tumor characteristics. This study investigated differences in maximum SUV (SUVmax) according to histologic type in ovarian epithelial cancer and the relationship of SUVmax with prognosis.\nMETHODS: This study included 80 patients with ovarian epithelial cancer based on histopathologic findings at surgery and who had undergone PET/CT before treatment. Maximum SUV on PET/CT of primary lesions and histopathology were compared based on histologic type, and the prognosis associated with different SUVmax was evaluated.\nRESULTS: Clinical tumor stage was I in 35 patients, II in 8, III in 25, and IV in 12. Histologic type was serous adenocarcinoma (AC) in 33 patients, clear cell AC in 27, endometrioid AC in 15, and mucinous AC in 5. Median SUVmax was lower in mucinous AC (2.76) and clear cell AC (4.9) than in serous AC (11.4) or endometrioid AC (11.4). Overall, median SUVmax was lower in clinical stage I (5.37) than in clinical stage ≥II (10.3). However, in both clear cell AC and endometrioid AC, when histologic evaluation was possible, no difference was seen between stage I and stage ≥II. Moreover, in clear cell AC, the 5-year survival rate was significantly higher in the low-SUVmax group (100%) than in the high-SUVmax group (43.0%, P = 0.009).\nCONCLUSIONS: Maximum SUV on preoperative FDG-PET/CT in ovarian epithelial cancer differs according to histologic type. In clear cell AC, SUVmax may represent a prognostic factor.","container-title":"International Journal of Gynecological Cancer: Official Journal of the International Gynecological Cancer Society","DOI":"10.1097/IGC.0000000000000180","ISSN":"1525-1438","issue":"7","journalAbbreviation":"Int J Gynecol Cancer","language":"eng","note":"PMID: 24987918","page":"1190-1194","source":"PubMed","title":"Maximum standardized uptake value of fluorodeoxyglucose positron emission tomography/computed tomography is a prognostic factor in ovarian clear cell adenocarcinoma","volume":"24","author":[{"family":"Konishi","given":"Haruhisa"},{"family":"Takehara","given":"Kazuhiro"},{"family":"Kojima","given":"Atsumi"},{"family":"Okame","given":"Shinichi"},{"family":"Yamamoto","given":"Yasuko"},{"family":"Shiroyama","given":"Yuko"},{"family":"Yokoyama","given":"Takashi"},{"family":"Nogawa","given":"Takayoshi"},{"family":"Sugawara","given":"Yoshifumi"}],"issued":{"date-parts":[["2014",9]]}}}],"schema":"https://github.com/citation-style-language/schema/raw/master/csl-citation.json"} </w:instrText>
      </w:r>
      <w:r w:rsidR="004721E9" w:rsidRPr="00A43B9C">
        <w:rPr>
          <w:sz w:val="28"/>
          <w:szCs w:val="28"/>
        </w:rPr>
        <w:fldChar w:fldCharType="separate"/>
      </w:r>
      <w:r w:rsidR="00F6152F" w:rsidRPr="00F6152F">
        <w:rPr>
          <w:sz w:val="28"/>
        </w:rPr>
        <w:t>[198]</w:t>
      </w:r>
      <w:r w:rsidR="004721E9" w:rsidRPr="00A43B9C">
        <w:rPr>
          <w:sz w:val="28"/>
          <w:szCs w:val="28"/>
        </w:rPr>
        <w:fldChar w:fldCharType="end"/>
      </w:r>
      <w:r w:rsidR="00C24071" w:rsidRPr="00A43B9C">
        <w:rPr>
          <w:sz w:val="28"/>
          <w:szCs w:val="28"/>
        </w:rPr>
        <w:t>.</w:t>
      </w:r>
    </w:p>
    <w:p w14:paraId="39180AF0" w14:textId="68B4EA3C" w:rsidR="00B87CF9" w:rsidRPr="00BF1BDB" w:rsidRDefault="009C1D29" w:rsidP="00882C9C">
      <w:pPr>
        <w:pStyle w:val="contributor"/>
        <w:shd w:val="clear" w:color="auto" w:fill="FFFFFF"/>
        <w:spacing w:before="0" w:beforeAutospacing="0" w:after="0" w:afterAutospacing="0"/>
        <w:ind w:firstLine="709"/>
        <w:jc w:val="both"/>
        <w:rPr>
          <w:sz w:val="28"/>
          <w:szCs w:val="28"/>
        </w:rPr>
      </w:pPr>
      <w:bookmarkStart w:id="109" w:name="_Hlk117893601"/>
      <w:bookmarkEnd w:id="106"/>
      <w:r>
        <w:rPr>
          <w:sz w:val="28"/>
          <w:szCs w:val="28"/>
        </w:rPr>
        <w:t xml:space="preserve">Следует отметить, что </w:t>
      </w:r>
      <w:r w:rsidR="00786926">
        <w:rPr>
          <w:sz w:val="28"/>
          <w:szCs w:val="28"/>
        </w:rPr>
        <w:t xml:space="preserve">наше исследование </w:t>
      </w:r>
      <w:r>
        <w:rPr>
          <w:sz w:val="28"/>
          <w:szCs w:val="28"/>
        </w:rPr>
        <w:t>по дизайн</w:t>
      </w:r>
      <w:r w:rsidR="00786926">
        <w:rPr>
          <w:sz w:val="28"/>
          <w:szCs w:val="28"/>
        </w:rPr>
        <w:t>у</w:t>
      </w:r>
      <w:r>
        <w:rPr>
          <w:sz w:val="28"/>
          <w:szCs w:val="28"/>
        </w:rPr>
        <w:t xml:space="preserve"> является </w:t>
      </w:r>
      <w:r w:rsidRPr="00A43B9C">
        <w:rPr>
          <w:sz w:val="28"/>
          <w:szCs w:val="28"/>
        </w:rPr>
        <w:t>проспективн</w:t>
      </w:r>
      <w:r>
        <w:rPr>
          <w:sz w:val="28"/>
          <w:szCs w:val="28"/>
        </w:rPr>
        <w:t>ым</w:t>
      </w:r>
      <w:r w:rsidRPr="00A43B9C">
        <w:rPr>
          <w:sz w:val="28"/>
          <w:szCs w:val="28"/>
        </w:rPr>
        <w:t xml:space="preserve"> когортн</w:t>
      </w:r>
      <w:r>
        <w:rPr>
          <w:sz w:val="28"/>
          <w:szCs w:val="28"/>
        </w:rPr>
        <w:t>ым</w:t>
      </w:r>
      <w:r w:rsidRPr="00A43B9C">
        <w:rPr>
          <w:sz w:val="28"/>
          <w:szCs w:val="28"/>
        </w:rPr>
        <w:t xml:space="preserve"> наблюдательн</w:t>
      </w:r>
      <w:r>
        <w:rPr>
          <w:sz w:val="28"/>
          <w:szCs w:val="28"/>
        </w:rPr>
        <w:t xml:space="preserve">ым, в котором определяли прогностическую ценность уровня накопления </w:t>
      </w:r>
      <w:r w:rsidRPr="00882C9C">
        <w:rPr>
          <w:sz w:val="28"/>
          <w:szCs w:val="28"/>
          <w:vertAlign w:val="superscript"/>
        </w:rPr>
        <w:t>18</w:t>
      </w:r>
      <w:r>
        <w:rPr>
          <w:sz w:val="28"/>
          <w:szCs w:val="28"/>
          <w:lang w:val="en-US"/>
        </w:rPr>
        <w:t>F</w:t>
      </w:r>
      <w:r w:rsidRPr="00882C9C">
        <w:rPr>
          <w:sz w:val="28"/>
          <w:szCs w:val="28"/>
        </w:rPr>
        <w:t>-</w:t>
      </w:r>
      <w:r>
        <w:rPr>
          <w:sz w:val="28"/>
          <w:szCs w:val="28"/>
          <w:lang w:val="en-US"/>
        </w:rPr>
        <w:t>FDG</w:t>
      </w:r>
      <w:r w:rsidRPr="00882C9C">
        <w:rPr>
          <w:sz w:val="28"/>
          <w:szCs w:val="28"/>
        </w:rPr>
        <w:t xml:space="preserve"> </w:t>
      </w:r>
      <w:r>
        <w:rPr>
          <w:sz w:val="28"/>
          <w:szCs w:val="28"/>
        </w:rPr>
        <w:t xml:space="preserve">с определением пороговых значений уровня накопления </w:t>
      </w:r>
      <w:r>
        <w:rPr>
          <w:sz w:val="28"/>
          <w:szCs w:val="28"/>
          <w:lang w:val="en-US"/>
        </w:rPr>
        <w:t>SUV</w:t>
      </w:r>
      <w:r w:rsidRPr="00882C9C">
        <w:rPr>
          <w:sz w:val="28"/>
          <w:szCs w:val="28"/>
          <w:vertAlign w:val="subscript"/>
          <w:lang w:val="en-US"/>
        </w:rPr>
        <w:t>max</w:t>
      </w:r>
      <w:r w:rsidRPr="00882C9C">
        <w:rPr>
          <w:sz w:val="28"/>
          <w:szCs w:val="28"/>
        </w:rPr>
        <w:t xml:space="preserve"> </w:t>
      </w:r>
      <w:r>
        <w:rPr>
          <w:sz w:val="28"/>
          <w:szCs w:val="28"/>
        </w:rPr>
        <w:t xml:space="preserve">в </w:t>
      </w:r>
      <w:r w:rsidR="00A10B52">
        <w:rPr>
          <w:sz w:val="28"/>
          <w:szCs w:val="28"/>
        </w:rPr>
        <w:t xml:space="preserve">висцеральном жире </w:t>
      </w:r>
      <w:r>
        <w:rPr>
          <w:sz w:val="28"/>
          <w:szCs w:val="28"/>
        </w:rPr>
        <w:t>при ПЭТ/КТ исследовании.</w:t>
      </w:r>
      <w:r w:rsidR="00B87CF9">
        <w:rPr>
          <w:sz w:val="28"/>
          <w:szCs w:val="28"/>
        </w:rPr>
        <w:t xml:space="preserve"> Определение прогностической ценности проводилось по всем локализациям, достоверность которой подтвердила только локализация </w:t>
      </w:r>
      <w:r w:rsidR="00B87CF9">
        <w:rPr>
          <w:sz w:val="28"/>
          <w:szCs w:val="28"/>
          <w:lang w:val="en-US"/>
        </w:rPr>
        <w:t>RE</w:t>
      </w:r>
      <w:r w:rsidR="00B87CF9" w:rsidRPr="00882C9C">
        <w:rPr>
          <w:sz w:val="28"/>
          <w:szCs w:val="28"/>
        </w:rPr>
        <w:t xml:space="preserve"> </w:t>
      </w:r>
      <w:r w:rsidR="00B87CF9">
        <w:rPr>
          <w:sz w:val="28"/>
          <w:szCs w:val="28"/>
        </w:rPr>
        <w:t xml:space="preserve">при </w:t>
      </w:r>
      <w:r w:rsidR="00B87CF9">
        <w:rPr>
          <w:sz w:val="28"/>
          <w:szCs w:val="28"/>
          <w:lang w:val="en-US"/>
        </w:rPr>
        <w:t>SUV</w:t>
      </w:r>
      <w:r w:rsidR="00B87CF9" w:rsidRPr="00270099">
        <w:rPr>
          <w:sz w:val="28"/>
          <w:szCs w:val="28"/>
          <w:vertAlign w:val="subscript"/>
          <w:lang w:val="en-US"/>
        </w:rPr>
        <w:t>max</w:t>
      </w:r>
      <w:r w:rsidR="00B87CF9" w:rsidRPr="00270099">
        <w:rPr>
          <w:sz w:val="28"/>
          <w:szCs w:val="28"/>
        </w:rPr>
        <w:t xml:space="preserve"> </w:t>
      </w:r>
      <w:r w:rsidR="00B87CF9">
        <w:rPr>
          <w:sz w:val="28"/>
          <w:szCs w:val="28"/>
        </w:rPr>
        <w:t xml:space="preserve">равном 1,18, </w:t>
      </w:r>
      <w:r w:rsidR="00B87CF9">
        <w:rPr>
          <w:sz w:val="28"/>
          <w:szCs w:val="28"/>
          <w:lang w:val="en-US"/>
        </w:rPr>
        <w:t>AUC</w:t>
      </w:r>
      <w:r w:rsidR="00B87CF9" w:rsidRPr="00882C9C">
        <w:rPr>
          <w:sz w:val="28"/>
          <w:szCs w:val="28"/>
        </w:rPr>
        <w:t xml:space="preserve"> </w:t>
      </w:r>
      <w:r w:rsidR="00B87CF9" w:rsidRPr="00BF1BDB">
        <w:rPr>
          <w:sz w:val="28"/>
          <w:szCs w:val="28"/>
        </w:rPr>
        <w:t xml:space="preserve">0,669, </w:t>
      </w:r>
      <w:r w:rsidR="00B87CF9" w:rsidRPr="00882C9C">
        <w:rPr>
          <w:sz w:val="28"/>
          <w:szCs w:val="28"/>
          <w:lang w:val="en-US"/>
        </w:rPr>
        <w:t>p</w:t>
      </w:r>
      <w:r w:rsidR="00B87CF9" w:rsidRPr="00BF1BDB">
        <w:rPr>
          <w:sz w:val="28"/>
          <w:szCs w:val="28"/>
        </w:rPr>
        <w:t xml:space="preserve"> = 0,035.</w:t>
      </w:r>
      <w:r w:rsidR="00BF1BDB" w:rsidRPr="00882C9C">
        <w:rPr>
          <w:sz w:val="28"/>
          <w:szCs w:val="28"/>
        </w:rPr>
        <w:t xml:space="preserve"> </w:t>
      </w:r>
      <w:r w:rsidR="00BF1BDB">
        <w:rPr>
          <w:sz w:val="28"/>
          <w:szCs w:val="28"/>
        </w:rPr>
        <w:t xml:space="preserve">При сравнении результатов опубликованных исследований с </w:t>
      </w:r>
      <w:r w:rsidR="008A77D8">
        <w:rPr>
          <w:sz w:val="28"/>
          <w:szCs w:val="28"/>
        </w:rPr>
        <w:t>данным исследованием</w:t>
      </w:r>
      <w:r w:rsidR="00BF1BDB">
        <w:rPr>
          <w:sz w:val="28"/>
          <w:szCs w:val="28"/>
        </w:rPr>
        <w:t xml:space="preserve"> видно, что в </w:t>
      </w:r>
      <w:r w:rsidR="008A77D8">
        <w:rPr>
          <w:sz w:val="28"/>
          <w:szCs w:val="28"/>
        </w:rPr>
        <w:t>предшествующих работах</w:t>
      </w:r>
      <w:r w:rsidR="00BF1BDB">
        <w:rPr>
          <w:sz w:val="28"/>
          <w:szCs w:val="28"/>
        </w:rPr>
        <w:t xml:space="preserve"> не определен уровень накопления </w:t>
      </w:r>
      <w:r w:rsidR="00BF1BDB">
        <w:rPr>
          <w:sz w:val="28"/>
          <w:szCs w:val="28"/>
          <w:lang w:val="en-US"/>
        </w:rPr>
        <w:t>SUV</w:t>
      </w:r>
      <w:r w:rsidR="00BF1BDB" w:rsidRPr="00270099">
        <w:rPr>
          <w:sz w:val="28"/>
          <w:szCs w:val="28"/>
          <w:vertAlign w:val="subscript"/>
          <w:lang w:val="en-US"/>
        </w:rPr>
        <w:t>max</w:t>
      </w:r>
      <w:r w:rsidR="00BF1BDB">
        <w:rPr>
          <w:sz w:val="28"/>
          <w:szCs w:val="28"/>
        </w:rPr>
        <w:t>, не конкретизирована локализация</w:t>
      </w:r>
      <w:r w:rsidR="008A77D8">
        <w:rPr>
          <w:sz w:val="28"/>
          <w:szCs w:val="28"/>
        </w:rPr>
        <w:t xml:space="preserve"> и</w:t>
      </w:r>
      <w:r w:rsidR="00BF1BDB">
        <w:rPr>
          <w:sz w:val="28"/>
          <w:szCs w:val="28"/>
        </w:rPr>
        <w:t xml:space="preserve"> не измерена активность накопления в </w:t>
      </w:r>
      <w:r w:rsidR="00A10B52">
        <w:rPr>
          <w:sz w:val="28"/>
          <w:szCs w:val="28"/>
        </w:rPr>
        <w:t>висцеральном жире</w:t>
      </w:r>
      <w:r w:rsidR="00BF1BDB">
        <w:rPr>
          <w:sz w:val="28"/>
          <w:szCs w:val="28"/>
        </w:rPr>
        <w:t xml:space="preserve">. </w:t>
      </w:r>
      <w:r w:rsidR="008A77D8">
        <w:rPr>
          <w:sz w:val="28"/>
          <w:szCs w:val="28"/>
        </w:rPr>
        <w:t>Р</w:t>
      </w:r>
      <w:r w:rsidR="00BF1BDB">
        <w:rPr>
          <w:sz w:val="28"/>
          <w:szCs w:val="28"/>
        </w:rPr>
        <w:t xml:space="preserve">езультаты </w:t>
      </w:r>
      <w:r w:rsidR="008A77D8">
        <w:rPr>
          <w:sz w:val="28"/>
          <w:szCs w:val="28"/>
        </w:rPr>
        <w:t xml:space="preserve">же </w:t>
      </w:r>
      <w:r w:rsidR="00BF1BDB">
        <w:rPr>
          <w:sz w:val="28"/>
          <w:szCs w:val="28"/>
        </w:rPr>
        <w:t>нашего исследования</w:t>
      </w:r>
      <w:r w:rsidR="00CD3C0B">
        <w:rPr>
          <w:sz w:val="28"/>
          <w:szCs w:val="28"/>
        </w:rPr>
        <w:t xml:space="preserve"> </w:t>
      </w:r>
      <w:r w:rsidR="00882C9C">
        <w:rPr>
          <w:sz w:val="28"/>
          <w:szCs w:val="28"/>
        </w:rPr>
        <w:t xml:space="preserve">прогностической ценности </w:t>
      </w:r>
      <w:r w:rsidR="00CD3C0B">
        <w:rPr>
          <w:sz w:val="28"/>
          <w:szCs w:val="28"/>
        </w:rPr>
        <w:t xml:space="preserve">показывают средние статистические достоверные значения, которые можно использовать в клинической </w:t>
      </w:r>
      <w:r w:rsidR="00882C9C">
        <w:rPr>
          <w:sz w:val="28"/>
          <w:szCs w:val="28"/>
        </w:rPr>
        <w:t>онкологии</w:t>
      </w:r>
      <w:r w:rsidR="00CD3C0B">
        <w:rPr>
          <w:sz w:val="28"/>
          <w:szCs w:val="28"/>
        </w:rPr>
        <w:t xml:space="preserve">, как при диагностике </w:t>
      </w:r>
      <w:r w:rsidR="00A10B52">
        <w:rPr>
          <w:sz w:val="28"/>
          <w:szCs w:val="28"/>
        </w:rPr>
        <w:t xml:space="preserve">эпителиального рака яичников </w:t>
      </w:r>
      <w:r w:rsidR="00CD3C0B">
        <w:rPr>
          <w:sz w:val="28"/>
          <w:szCs w:val="28"/>
        </w:rPr>
        <w:t xml:space="preserve">с учетом порогового значения уровня накопления </w:t>
      </w:r>
      <w:r w:rsidR="00CD3C0B">
        <w:rPr>
          <w:sz w:val="28"/>
          <w:szCs w:val="28"/>
          <w:lang w:val="en-US"/>
        </w:rPr>
        <w:t>SUV</w:t>
      </w:r>
      <w:r w:rsidR="00CD3C0B" w:rsidRPr="00882C9C">
        <w:rPr>
          <w:sz w:val="28"/>
          <w:szCs w:val="28"/>
          <w:vertAlign w:val="subscript"/>
          <w:lang w:val="en-US"/>
        </w:rPr>
        <w:t>max</w:t>
      </w:r>
      <w:r w:rsidR="00CD3C0B">
        <w:rPr>
          <w:sz w:val="28"/>
          <w:szCs w:val="28"/>
        </w:rPr>
        <w:t>, так и при лечении пациентов.</w:t>
      </w:r>
    </w:p>
    <w:p w14:paraId="57DACC29" w14:textId="7B048DFE" w:rsidR="00A86AD2" w:rsidRDefault="00114795" w:rsidP="004721E9">
      <w:pPr>
        <w:pStyle w:val="contributor"/>
        <w:shd w:val="clear" w:color="auto" w:fill="FFFFFF"/>
        <w:spacing w:before="0" w:beforeAutospacing="0" w:after="0" w:afterAutospacing="0"/>
        <w:ind w:firstLine="709"/>
        <w:jc w:val="both"/>
        <w:rPr>
          <w:sz w:val="28"/>
          <w:szCs w:val="28"/>
        </w:rPr>
      </w:pPr>
      <w:r w:rsidRPr="00671D3B">
        <w:rPr>
          <w:sz w:val="28"/>
          <w:szCs w:val="28"/>
        </w:rPr>
        <w:t xml:space="preserve">Более того, </w:t>
      </w:r>
      <w:hyperlink r:id="rId346" w:tooltip="Correspondence information about the author Choon-Young Kim" w:history="1">
        <w:r w:rsidR="00C24071" w:rsidRPr="00671D3B">
          <w:rPr>
            <w:sz w:val="28"/>
            <w:szCs w:val="28"/>
            <w:lang w:val="en-US"/>
          </w:rPr>
          <w:t>Kim</w:t>
        </w:r>
      </w:hyperlink>
      <w:r w:rsidR="00C24071" w:rsidRPr="00671D3B">
        <w:rPr>
          <w:sz w:val="28"/>
          <w:szCs w:val="28"/>
        </w:rPr>
        <w:t xml:space="preserve"> </w:t>
      </w:r>
      <w:r w:rsidR="00C24071" w:rsidRPr="00671D3B">
        <w:rPr>
          <w:sz w:val="28"/>
          <w:szCs w:val="28"/>
          <w:lang w:val="en-US"/>
        </w:rPr>
        <w:t>et</w:t>
      </w:r>
      <w:r w:rsidR="00C24071" w:rsidRPr="00671D3B">
        <w:rPr>
          <w:sz w:val="28"/>
          <w:szCs w:val="28"/>
        </w:rPr>
        <w:t xml:space="preserve"> </w:t>
      </w:r>
      <w:r w:rsidR="00C24071" w:rsidRPr="00671D3B">
        <w:rPr>
          <w:sz w:val="28"/>
          <w:szCs w:val="28"/>
          <w:lang w:val="en-US"/>
        </w:rPr>
        <w:t>al</w:t>
      </w:r>
      <w:r w:rsidR="00C24071" w:rsidRPr="00671D3B">
        <w:rPr>
          <w:sz w:val="28"/>
          <w:szCs w:val="28"/>
        </w:rPr>
        <w:t>. в ретроспективном исследовании оценили прогностическую ценность метаболических параметров (</w:t>
      </w:r>
      <w:r w:rsidR="00C24071" w:rsidRPr="00671D3B">
        <w:rPr>
          <w:sz w:val="28"/>
          <w:szCs w:val="28"/>
          <w:lang w:val="en-US"/>
        </w:rPr>
        <w:t>SUV</w:t>
      </w:r>
      <w:r w:rsidR="00C24071" w:rsidRPr="00671D3B">
        <w:rPr>
          <w:sz w:val="28"/>
          <w:szCs w:val="28"/>
          <w:vertAlign w:val="subscript"/>
          <w:lang w:val="en-US"/>
        </w:rPr>
        <w:t>max</w:t>
      </w:r>
      <w:r w:rsidR="00C24071" w:rsidRPr="00671D3B">
        <w:rPr>
          <w:sz w:val="28"/>
          <w:szCs w:val="28"/>
        </w:rPr>
        <w:t xml:space="preserve">, </w:t>
      </w:r>
      <w:r w:rsidR="00544224" w:rsidRPr="00671D3B">
        <w:rPr>
          <w:sz w:val="28"/>
          <w:szCs w:val="28"/>
          <w:lang w:val="en-US"/>
        </w:rPr>
        <w:t>MTV</w:t>
      </w:r>
      <w:r w:rsidR="00C24071" w:rsidRPr="00671D3B">
        <w:rPr>
          <w:sz w:val="28"/>
          <w:szCs w:val="28"/>
        </w:rPr>
        <w:t xml:space="preserve"> и </w:t>
      </w:r>
      <w:r w:rsidR="00544224" w:rsidRPr="00671D3B">
        <w:rPr>
          <w:sz w:val="28"/>
          <w:szCs w:val="28"/>
          <w:lang w:val="en-US"/>
        </w:rPr>
        <w:t>TLG</w:t>
      </w:r>
      <w:r w:rsidR="00C24071" w:rsidRPr="00671D3B">
        <w:rPr>
          <w:sz w:val="28"/>
          <w:szCs w:val="28"/>
        </w:rPr>
        <w:t xml:space="preserve">) у 56 пациентов с рецидивирующим </w:t>
      </w:r>
      <w:r w:rsidR="00A10B52">
        <w:rPr>
          <w:sz w:val="28"/>
          <w:szCs w:val="28"/>
        </w:rPr>
        <w:t>эпителиальным раком яичников</w:t>
      </w:r>
      <w:r w:rsidR="00C24071" w:rsidRPr="00671D3B">
        <w:rPr>
          <w:sz w:val="28"/>
          <w:szCs w:val="28"/>
        </w:rPr>
        <w:t xml:space="preserve">, измеренная с помощью </w:t>
      </w:r>
      <w:r w:rsidR="00C24071" w:rsidRPr="00671D3B">
        <w:rPr>
          <w:sz w:val="28"/>
          <w:szCs w:val="28"/>
          <w:vertAlign w:val="superscript"/>
        </w:rPr>
        <w:t>18</w:t>
      </w:r>
      <w:r w:rsidR="00C24071" w:rsidRPr="00671D3B">
        <w:rPr>
          <w:sz w:val="28"/>
          <w:szCs w:val="28"/>
          <w:lang w:val="en-US"/>
        </w:rPr>
        <w:t>F</w:t>
      </w:r>
      <w:r w:rsidR="00C24071" w:rsidRPr="00671D3B">
        <w:rPr>
          <w:sz w:val="28"/>
          <w:szCs w:val="28"/>
        </w:rPr>
        <w:t>-</w:t>
      </w:r>
      <w:r w:rsidR="00C24071" w:rsidRPr="00671D3B">
        <w:rPr>
          <w:sz w:val="28"/>
          <w:szCs w:val="28"/>
          <w:lang w:val="en-US"/>
        </w:rPr>
        <w:t>FDG</w:t>
      </w:r>
      <w:r w:rsidR="00C24071" w:rsidRPr="00671D3B">
        <w:rPr>
          <w:sz w:val="28"/>
          <w:szCs w:val="28"/>
        </w:rPr>
        <w:t xml:space="preserve"> ПЭТ/КТ во время первичного рецидива. Результаты показали, что количественные метаболические параметры во время первого рецидива имеют значительную прогностическую ценность</w:t>
      </w:r>
      <w:r w:rsidR="004721E9" w:rsidRPr="00671D3B">
        <w:rPr>
          <w:sz w:val="28"/>
          <w:szCs w:val="28"/>
        </w:rPr>
        <w:t xml:space="preserve"> </w:t>
      </w:r>
      <w:r w:rsidR="004721E9" w:rsidRPr="00671D3B">
        <w:rPr>
          <w:sz w:val="28"/>
          <w:szCs w:val="28"/>
        </w:rPr>
        <w:fldChar w:fldCharType="begin"/>
      </w:r>
      <w:r w:rsidR="00F6152F">
        <w:rPr>
          <w:sz w:val="28"/>
          <w:szCs w:val="28"/>
        </w:rPr>
        <w:instrText xml:space="preserve"> ADDIN ZOTERO_ITEM CSL_CITATION {"citationID":"asdrgbldek","properties":{"formattedCitation":"[199]","plainCitation":"[199]","noteIndex":0},"citationItems":[{"id":134,"uris":["http://zotero.org/users/8787459/items/Y8J3AFIK"],"itemData":{"id":134,"type":"article-journal","abstract":"OBJECTIVE: This study aimed to evaluate the prognostic value of quantitative metabolic parameters measured on F-18 FDG PET/CT (FDG PET/CT) at the time of the first relapse in patients with relapsed epithelial ovarian cancer (EOC).\nMETHODS: Fifty-six relapsed EOC patients were retrospectively included. Quantitative metabolic parameters including maximum standardized uptake value (SUVmax), whole-body metabolic tumor volume (WBMTV), and whole-body total lesion glycolysis (WBTLG) were measured on FDG PET/CT at the time of the first relapse. Post-relapse survival (PRS) was calculated from the date of diagnosis of relapsed disease to the date of death or last follow-up. Univariate and multivariate analyses for PRS were performed using clinical and quantitative metabolic parameters.\nRESULTS: Thirty-two patients died from the disease during the follow-up period (median: 46.2 months). On univariate and multivariate analyses, the platinum-free interval, type of second-line treatment, WBMTV, and WBTLG were all significant prognostic factors for PRS. The subgroup of patients who were platinum-sensitive with low WBMTV and low WBTLG showed better prognosis, when compared with other subgroups (log-rank test, p&lt;0.001). Patients treated with secondary cytoreductive surgery (SCS) followed by second-line chemotherapy showed significantly longer duration of PRS than patients treated with second-line chemotherapy only (mean PRS=61 vs. 36 months, χ(2)=8.68, p=0.032).\nCONCLUSION: Our results suggest that quantitative metabolic parameters measured on FDG PET/CT at the time of the first relapse have significant predictive values for PRS. Incorporating quantitative metabolic parameters and conventional clinical parameters has a superior prognostic discrimination compared with conventional clinical parameters alone.","container-title":"Gynecologic Oncology","DOI":"10.1016/j.ygyno.2014.12.032","ISSN":"1095-6859","issue":"3","journalAbbreviation":"Gynecol Oncol","language":"eng","note":"PMID: 25557270","page":"498-504","source":"PubMed","title":"Quantitative metabolic parameters measured on F-18 FDG PET/CT predict survival after relapse in patients with relapsed epithelial ovarian cancer","volume":"136","author":[{"family":"Kim","given":"Choon-Young"},{"family":"Jeong","given":"Shin Young"},{"family":"Chong","given":"Gun Oh"},{"family":"Son","given":"Seung Hyun"},{"family":"Jung","given":"Ji-hoon"},{"family":"Kim","given":"Do-Hoon"},{"family":"Lee","given":"Sang-Woo"},{"family":"Ahn","given":"Byeong-Cheol"},{"family":"Lee","given":"Jaetae"}],"issued":{"date-parts":[["2015",3]]}}}],"schema":"https://github.com/citation-style-language/schema/raw/master/csl-citation.json"} </w:instrText>
      </w:r>
      <w:r w:rsidR="004721E9" w:rsidRPr="00671D3B">
        <w:rPr>
          <w:sz w:val="28"/>
          <w:szCs w:val="28"/>
        </w:rPr>
        <w:fldChar w:fldCharType="separate"/>
      </w:r>
      <w:r w:rsidR="00F6152F" w:rsidRPr="00F6152F">
        <w:rPr>
          <w:sz w:val="28"/>
        </w:rPr>
        <w:t>[199]</w:t>
      </w:r>
      <w:r w:rsidR="004721E9" w:rsidRPr="00671D3B">
        <w:rPr>
          <w:sz w:val="28"/>
          <w:szCs w:val="28"/>
        </w:rPr>
        <w:fldChar w:fldCharType="end"/>
      </w:r>
      <w:r w:rsidR="00C24071" w:rsidRPr="00671D3B">
        <w:rPr>
          <w:sz w:val="28"/>
          <w:szCs w:val="28"/>
        </w:rPr>
        <w:t>.</w:t>
      </w:r>
      <w:bookmarkStart w:id="110" w:name="baut0005"/>
      <w:r w:rsidR="007D6E7A" w:rsidRPr="00671D3B">
        <w:rPr>
          <w:sz w:val="28"/>
          <w:szCs w:val="28"/>
        </w:rPr>
        <w:t xml:space="preserve"> </w:t>
      </w:r>
      <w:hyperlink r:id="rId347" w:anchor="!" w:history="1">
        <w:r w:rsidR="00C24071" w:rsidRPr="00671D3B">
          <w:rPr>
            <w:rStyle w:val="text"/>
            <w:rFonts w:eastAsiaTheme="majorEastAsia"/>
            <w:sz w:val="28"/>
            <w:szCs w:val="28"/>
            <w:lang w:val="en-US"/>
          </w:rPr>
          <w:t>Mayoral</w:t>
        </w:r>
      </w:hyperlink>
      <w:bookmarkStart w:id="111" w:name="baut0010"/>
      <w:bookmarkEnd w:id="110"/>
      <w:r w:rsidR="00C24071" w:rsidRPr="00671D3B">
        <w:rPr>
          <w:sz w:val="28"/>
          <w:szCs w:val="28"/>
        </w:rPr>
        <w:t xml:space="preserve"> </w:t>
      </w:r>
      <w:r w:rsidR="00C24071" w:rsidRPr="00671D3B">
        <w:rPr>
          <w:sz w:val="28"/>
          <w:szCs w:val="28"/>
          <w:lang w:val="en-US"/>
        </w:rPr>
        <w:t>et</w:t>
      </w:r>
      <w:r w:rsidR="00C24071" w:rsidRPr="00671D3B">
        <w:rPr>
          <w:sz w:val="28"/>
          <w:szCs w:val="28"/>
        </w:rPr>
        <w:t xml:space="preserve"> </w:t>
      </w:r>
      <w:r w:rsidR="00C24071" w:rsidRPr="00671D3B">
        <w:rPr>
          <w:sz w:val="28"/>
          <w:szCs w:val="28"/>
          <w:lang w:val="en-US"/>
        </w:rPr>
        <w:t>al</w:t>
      </w:r>
      <w:r w:rsidR="00C24071" w:rsidRPr="00671D3B">
        <w:rPr>
          <w:sz w:val="28"/>
          <w:szCs w:val="28"/>
        </w:rPr>
        <w:t xml:space="preserve">. </w:t>
      </w:r>
      <w:bookmarkEnd w:id="111"/>
      <w:r w:rsidR="00C24071" w:rsidRPr="00671D3B">
        <w:rPr>
          <w:sz w:val="28"/>
          <w:szCs w:val="28"/>
        </w:rPr>
        <w:t>в ретроспективном исследовании оценили</w:t>
      </w:r>
      <w:r w:rsidR="00C24071" w:rsidRPr="00A43B9C">
        <w:rPr>
          <w:sz w:val="28"/>
          <w:szCs w:val="28"/>
        </w:rPr>
        <w:t xml:space="preserve"> полезность измерений метаболических параметров (</w:t>
      </w:r>
      <w:r w:rsidR="00C24071" w:rsidRPr="00A43B9C">
        <w:rPr>
          <w:sz w:val="28"/>
          <w:szCs w:val="28"/>
          <w:lang w:val="en-US"/>
        </w:rPr>
        <w:t>SUV</w:t>
      </w:r>
      <w:r w:rsidR="00C24071" w:rsidRPr="00A43B9C">
        <w:rPr>
          <w:sz w:val="28"/>
          <w:szCs w:val="28"/>
          <w:vertAlign w:val="subscript"/>
          <w:lang w:val="en-US"/>
        </w:rPr>
        <w:t>max</w:t>
      </w:r>
      <w:r w:rsidR="00C24071" w:rsidRPr="00A43B9C">
        <w:rPr>
          <w:sz w:val="28"/>
          <w:szCs w:val="28"/>
        </w:rPr>
        <w:t xml:space="preserve">, </w:t>
      </w:r>
      <w:r w:rsidR="00544224" w:rsidRPr="00A43B9C">
        <w:rPr>
          <w:sz w:val="28"/>
          <w:szCs w:val="28"/>
          <w:lang w:val="en-US"/>
        </w:rPr>
        <w:t>MTV</w:t>
      </w:r>
      <w:r w:rsidR="00544224" w:rsidRPr="00A43B9C">
        <w:rPr>
          <w:sz w:val="28"/>
          <w:szCs w:val="28"/>
        </w:rPr>
        <w:t xml:space="preserve"> и </w:t>
      </w:r>
      <w:r w:rsidR="00544224" w:rsidRPr="00A43B9C">
        <w:rPr>
          <w:sz w:val="28"/>
          <w:szCs w:val="28"/>
          <w:lang w:val="en-US"/>
        </w:rPr>
        <w:t>TLG</w:t>
      </w:r>
      <w:r w:rsidR="00C24071" w:rsidRPr="00A43B9C">
        <w:rPr>
          <w:sz w:val="28"/>
          <w:szCs w:val="28"/>
        </w:rPr>
        <w:t xml:space="preserve">) у 26 пациентов с </w:t>
      </w:r>
      <w:r w:rsidR="00A10B52">
        <w:rPr>
          <w:sz w:val="28"/>
          <w:szCs w:val="28"/>
        </w:rPr>
        <w:t>эпителиальным раком яичников</w:t>
      </w:r>
      <w:r w:rsidR="00C24071" w:rsidRPr="00A43B9C">
        <w:rPr>
          <w:sz w:val="28"/>
          <w:szCs w:val="28"/>
        </w:rPr>
        <w:t xml:space="preserve">, измеренная с помощью </w:t>
      </w:r>
      <w:r w:rsidR="00C24071" w:rsidRPr="00A43B9C">
        <w:rPr>
          <w:sz w:val="28"/>
          <w:szCs w:val="28"/>
          <w:vertAlign w:val="superscript"/>
        </w:rPr>
        <w:t>18</w:t>
      </w:r>
      <w:r w:rsidR="00C24071" w:rsidRPr="00A43B9C">
        <w:rPr>
          <w:sz w:val="28"/>
          <w:szCs w:val="28"/>
          <w:lang w:val="en-US"/>
        </w:rPr>
        <w:t>F</w:t>
      </w:r>
      <w:r w:rsidR="00C24071" w:rsidRPr="00A43B9C">
        <w:rPr>
          <w:sz w:val="28"/>
          <w:szCs w:val="28"/>
        </w:rPr>
        <w:t>-</w:t>
      </w:r>
      <w:r w:rsidR="00C24071" w:rsidRPr="00A43B9C">
        <w:rPr>
          <w:sz w:val="28"/>
          <w:szCs w:val="28"/>
          <w:lang w:val="en-US"/>
        </w:rPr>
        <w:t>FDG</w:t>
      </w:r>
      <w:r w:rsidR="00C24071" w:rsidRPr="00A43B9C">
        <w:rPr>
          <w:sz w:val="28"/>
          <w:szCs w:val="28"/>
        </w:rPr>
        <w:t xml:space="preserve"> ПЭТ/КТ до и после оперативного вмешательства, в том числе рецидив</w:t>
      </w:r>
      <w:r w:rsidRPr="00A43B9C">
        <w:rPr>
          <w:sz w:val="28"/>
          <w:szCs w:val="28"/>
        </w:rPr>
        <w:t>а</w:t>
      </w:r>
      <w:r w:rsidR="00C24071" w:rsidRPr="00A43B9C">
        <w:rPr>
          <w:sz w:val="28"/>
          <w:szCs w:val="28"/>
        </w:rPr>
        <w:t xml:space="preserve">. </w:t>
      </w:r>
      <w:r w:rsidRPr="00A43B9C">
        <w:rPr>
          <w:sz w:val="28"/>
          <w:szCs w:val="28"/>
        </w:rPr>
        <w:t>К</w:t>
      </w:r>
      <w:r w:rsidR="00C24071" w:rsidRPr="00A43B9C">
        <w:rPr>
          <w:sz w:val="28"/>
          <w:szCs w:val="28"/>
        </w:rPr>
        <w:t xml:space="preserve">оличественные </w:t>
      </w:r>
      <w:r w:rsidR="00C24071" w:rsidRPr="00A43B9C">
        <w:rPr>
          <w:sz w:val="28"/>
          <w:szCs w:val="28"/>
        </w:rPr>
        <w:lastRenderedPageBreak/>
        <w:t xml:space="preserve">метаболические параметры </w:t>
      </w:r>
      <w:r w:rsidRPr="00A43B9C">
        <w:rPr>
          <w:sz w:val="28"/>
          <w:szCs w:val="28"/>
        </w:rPr>
        <w:t>в этом исследовании</w:t>
      </w:r>
      <w:r w:rsidR="00A86AD2" w:rsidRPr="00A43B9C">
        <w:rPr>
          <w:sz w:val="28"/>
          <w:szCs w:val="28"/>
        </w:rPr>
        <w:t xml:space="preserve"> </w:t>
      </w:r>
      <w:r w:rsidR="00C24071" w:rsidRPr="00A43B9C">
        <w:rPr>
          <w:sz w:val="28"/>
          <w:szCs w:val="28"/>
        </w:rPr>
        <w:t>представля</w:t>
      </w:r>
      <w:r w:rsidRPr="00A43B9C">
        <w:rPr>
          <w:sz w:val="28"/>
          <w:szCs w:val="28"/>
        </w:rPr>
        <w:t>ли</w:t>
      </w:r>
      <w:r w:rsidR="00C24071" w:rsidRPr="00A43B9C">
        <w:rPr>
          <w:sz w:val="28"/>
          <w:szCs w:val="28"/>
        </w:rPr>
        <w:t xml:space="preserve"> ценную информацию в стратегии лечения пациентов с рецидивирующим </w:t>
      </w:r>
      <w:r w:rsidR="00A10B52">
        <w:rPr>
          <w:sz w:val="28"/>
          <w:szCs w:val="28"/>
        </w:rPr>
        <w:t>эпителиальным раком яичников</w:t>
      </w:r>
      <w:r w:rsidR="00C24071" w:rsidRPr="00A43B9C">
        <w:rPr>
          <w:sz w:val="28"/>
          <w:szCs w:val="28"/>
        </w:rPr>
        <w:t>.</w:t>
      </w:r>
      <w:r w:rsidR="007D6E7A" w:rsidRPr="00A43B9C">
        <w:rPr>
          <w:sz w:val="28"/>
          <w:szCs w:val="28"/>
        </w:rPr>
        <w:t xml:space="preserve"> </w:t>
      </w:r>
      <w:hyperlink r:id="rId348" w:anchor="auth-Federico-Caobelli" w:history="1">
        <w:r w:rsidR="00C24071" w:rsidRPr="00A43B9C">
          <w:rPr>
            <w:rStyle w:val="a9"/>
            <w:color w:val="auto"/>
            <w:sz w:val="28"/>
            <w:szCs w:val="28"/>
            <w:u w:val="none"/>
            <w:lang w:val="en-US"/>
          </w:rPr>
          <w:t>Caobelli</w:t>
        </w:r>
      </w:hyperlink>
      <w:r w:rsidR="00C24071" w:rsidRPr="00A43B9C">
        <w:rPr>
          <w:sz w:val="28"/>
          <w:szCs w:val="28"/>
        </w:rPr>
        <w:t xml:space="preserve"> </w:t>
      </w:r>
      <w:r w:rsidR="00C24071" w:rsidRPr="00A43B9C">
        <w:rPr>
          <w:sz w:val="28"/>
          <w:szCs w:val="28"/>
          <w:lang w:val="en-US"/>
        </w:rPr>
        <w:t>et</w:t>
      </w:r>
      <w:r w:rsidR="00C24071" w:rsidRPr="00A43B9C">
        <w:rPr>
          <w:sz w:val="28"/>
          <w:szCs w:val="28"/>
        </w:rPr>
        <w:t xml:space="preserve"> </w:t>
      </w:r>
      <w:r w:rsidR="00C24071" w:rsidRPr="00A43B9C">
        <w:rPr>
          <w:sz w:val="28"/>
          <w:szCs w:val="28"/>
          <w:lang w:val="en-US"/>
        </w:rPr>
        <w:t>al</w:t>
      </w:r>
      <w:r w:rsidR="00C24071" w:rsidRPr="00A43B9C">
        <w:rPr>
          <w:sz w:val="28"/>
          <w:szCs w:val="28"/>
        </w:rPr>
        <w:t xml:space="preserve">. в многоцентровом исследовании показали прогностическую ценность </w:t>
      </w:r>
      <w:r w:rsidR="00C24071" w:rsidRPr="00A43B9C">
        <w:rPr>
          <w:sz w:val="28"/>
          <w:szCs w:val="28"/>
          <w:vertAlign w:val="superscript"/>
        </w:rPr>
        <w:t>18</w:t>
      </w:r>
      <w:r w:rsidR="00C24071" w:rsidRPr="00A43B9C">
        <w:rPr>
          <w:sz w:val="28"/>
          <w:szCs w:val="28"/>
          <w:lang w:val="en-US"/>
        </w:rPr>
        <w:t>F</w:t>
      </w:r>
      <w:r w:rsidR="00C24071" w:rsidRPr="00A43B9C">
        <w:rPr>
          <w:sz w:val="28"/>
          <w:szCs w:val="28"/>
        </w:rPr>
        <w:t>-</w:t>
      </w:r>
      <w:r w:rsidR="00C24071" w:rsidRPr="00A43B9C">
        <w:rPr>
          <w:sz w:val="28"/>
          <w:szCs w:val="28"/>
          <w:lang w:val="en-US"/>
        </w:rPr>
        <w:t>FDG</w:t>
      </w:r>
      <w:r w:rsidR="00C24071" w:rsidRPr="00A43B9C">
        <w:rPr>
          <w:sz w:val="28"/>
          <w:szCs w:val="28"/>
        </w:rPr>
        <w:t xml:space="preserve"> ПЭТ/КТ у 168 пациентов с </w:t>
      </w:r>
      <w:r w:rsidR="00A10B52">
        <w:rPr>
          <w:sz w:val="28"/>
          <w:szCs w:val="28"/>
        </w:rPr>
        <w:t xml:space="preserve">раком </w:t>
      </w:r>
      <w:r w:rsidR="00C24071" w:rsidRPr="00A43B9C">
        <w:rPr>
          <w:sz w:val="28"/>
          <w:szCs w:val="28"/>
        </w:rPr>
        <w:t xml:space="preserve">с оценкой </w:t>
      </w:r>
      <w:r w:rsidR="00153531" w:rsidRPr="00A43B9C">
        <w:rPr>
          <w:sz w:val="28"/>
          <w:szCs w:val="28"/>
        </w:rPr>
        <w:t xml:space="preserve">локального </w:t>
      </w:r>
      <w:r w:rsidR="00C24071" w:rsidRPr="00A43B9C">
        <w:rPr>
          <w:sz w:val="28"/>
          <w:szCs w:val="28"/>
        </w:rPr>
        <w:t xml:space="preserve">метастазирования, поражения </w:t>
      </w:r>
      <w:r w:rsidR="00A10B52">
        <w:rPr>
          <w:sz w:val="28"/>
          <w:szCs w:val="28"/>
        </w:rPr>
        <w:t>лимфоузлов</w:t>
      </w:r>
      <w:r w:rsidR="00C24071" w:rsidRPr="00A43B9C">
        <w:rPr>
          <w:sz w:val="28"/>
          <w:szCs w:val="28"/>
        </w:rPr>
        <w:t xml:space="preserve"> и отдаленных метастазов, а также размеры поражения, данные </w:t>
      </w:r>
      <w:r w:rsidR="00C24071" w:rsidRPr="00671D3B">
        <w:rPr>
          <w:sz w:val="28"/>
          <w:szCs w:val="28"/>
          <w:lang w:val="en-US"/>
        </w:rPr>
        <w:t>SUV</w:t>
      </w:r>
      <w:r w:rsidR="00C24071" w:rsidRPr="00671D3B">
        <w:rPr>
          <w:sz w:val="28"/>
          <w:szCs w:val="28"/>
          <w:vertAlign w:val="subscript"/>
          <w:lang w:val="en-US"/>
        </w:rPr>
        <w:t>max</w:t>
      </w:r>
      <w:r w:rsidR="00C24071" w:rsidRPr="00671D3B">
        <w:rPr>
          <w:sz w:val="28"/>
          <w:szCs w:val="28"/>
        </w:rPr>
        <w:t xml:space="preserve"> и </w:t>
      </w:r>
      <w:r w:rsidR="00C24071" w:rsidRPr="00671D3B">
        <w:rPr>
          <w:sz w:val="28"/>
          <w:szCs w:val="28"/>
          <w:lang w:val="en-US"/>
        </w:rPr>
        <w:t>SUV</w:t>
      </w:r>
      <w:r w:rsidR="00C24071" w:rsidRPr="00671D3B">
        <w:rPr>
          <w:sz w:val="28"/>
          <w:szCs w:val="28"/>
          <w:vertAlign w:val="subscript"/>
          <w:lang w:val="en-US"/>
        </w:rPr>
        <w:t>mean</w:t>
      </w:r>
      <w:r w:rsidR="00C24071" w:rsidRPr="00671D3B">
        <w:rPr>
          <w:sz w:val="28"/>
          <w:szCs w:val="28"/>
        </w:rPr>
        <w:t xml:space="preserve"> с анализом выживаемости. Результаты</w:t>
      </w:r>
      <w:r w:rsidR="00C24071" w:rsidRPr="00A43B9C">
        <w:rPr>
          <w:sz w:val="28"/>
          <w:szCs w:val="28"/>
        </w:rPr>
        <w:t xml:space="preserve"> показали, что </w:t>
      </w:r>
      <w:r w:rsidR="00C24071" w:rsidRPr="00A43B9C">
        <w:rPr>
          <w:sz w:val="28"/>
          <w:szCs w:val="28"/>
          <w:vertAlign w:val="superscript"/>
        </w:rPr>
        <w:t>18</w:t>
      </w:r>
      <w:r w:rsidR="00C24071" w:rsidRPr="00A43B9C">
        <w:rPr>
          <w:sz w:val="28"/>
          <w:szCs w:val="28"/>
          <w:lang w:val="en-US"/>
        </w:rPr>
        <w:t>F</w:t>
      </w:r>
      <w:r w:rsidR="00C24071" w:rsidRPr="00A43B9C">
        <w:rPr>
          <w:sz w:val="28"/>
          <w:szCs w:val="28"/>
        </w:rPr>
        <w:t>-</w:t>
      </w:r>
      <w:r w:rsidR="00C24071" w:rsidRPr="00A43B9C">
        <w:rPr>
          <w:sz w:val="28"/>
          <w:szCs w:val="28"/>
          <w:lang w:val="en-US"/>
        </w:rPr>
        <w:t>FDG</w:t>
      </w:r>
      <w:r w:rsidR="00C24071" w:rsidRPr="00A43B9C">
        <w:rPr>
          <w:sz w:val="28"/>
          <w:szCs w:val="28"/>
        </w:rPr>
        <w:t xml:space="preserve"> ПЭТ/КТ имеют важное прогностическое значение при оценке риска прогрессирования заболевания и смертности.</w:t>
      </w:r>
    </w:p>
    <w:p w14:paraId="0E652276" w14:textId="325DD285" w:rsidR="00693395" w:rsidRDefault="00693395" w:rsidP="004721E9">
      <w:pPr>
        <w:pStyle w:val="contributor"/>
        <w:shd w:val="clear" w:color="auto" w:fill="FFFFFF"/>
        <w:spacing w:before="0" w:beforeAutospacing="0" w:after="0" w:afterAutospacing="0"/>
        <w:ind w:firstLine="709"/>
        <w:jc w:val="both"/>
        <w:rPr>
          <w:sz w:val="28"/>
          <w:szCs w:val="28"/>
        </w:rPr>
      </w:pPr>
      <w:bookmarkStart w:id="112" w:name="_Hlk117893614"/>
      <w:bookmarkEnd w:id="109"/>
      <w:r>
        <w:rPr>
          <w:sz w:val="28"/>
          <w:szCs w:val="28"/>
        </w:rPr>
        <w:t xml:space="preserve">В результатах нашего исследования мы использовали только метаболический маркер </w:t>
      </w:r>
      <w:r w:rsidRPr="00A43B9C">
        <w:rPr>
          <w:sz w:val="28"/>
          <w:szCs w:val="28"/>
        </w:rPr>
        <w:t>SUV</w:t>
      </w:r>
      <w:r w:rsidRPr="00A43B9C">
        <w:rPr>
          <w:sz w:val="28"/>
          <w:szCs w:val="28"/>
          <w:vertAlign w:val="subscript"/>
          <w:lang w:val="en-US"/>
        </w:rPr>
        <w:t>max</w:t>
      </w:r>
      <w:r w:rsidRPr="00A43B9C">
        <w:rPr>
          <w:sz w:val="28"/>
          <w:szCs w:val="28"/>
        </w:rPr>
        <w:t xml:space="preserve"> </w:t>
      </w:r>
      <w:r>
        <w:rPr>
          <w:sz w:val="28"/>
          <w:szCs w:val="28"/>
        </w:rPr>
        <w:t xml:space="preserve">для определения уровня накопления </w:t>
      </w:r>
      <w:r w:rsidRPr="00A43B9C">
        <w:rPr>
          <w:sz w:val="28"/>
          <w:szCs w:val="28"/>
        </w:rPr>
        <w:t xml:space="preserve">в </w:t>
      </w:r>
      <w:r w:rsidR="00A10B52">
        <w:rPr>
          <w:sz w:val="28"/>
          <w:szCs w:val="28"/>
        </w:rPr>
        <w:t>висцеральном жире</w:t>
      </w:r>
      <w:r>
        <w:rPr>
          <w:sz w:val="28"/>
          <w:szCs w:val="28"/>
        </w:rPr>
        <w:t xml:space="preserve">. </w:t>
      </w:r>
      <w:r w:rsidR="00DF11D0">
        <w:rPr>
          <w:sz w:val="28"/>
          <w:szCs w:val="28"/>
        </w:rPr>
        <w:t xml:space="preserve">На практике в основном измеряется метаболический маркер </w:t>
      </w:r>
      <w:r w:rsidR="00DF11D0" w:rsidRPr="00A43B9C">
        <w:rPr>
          <w:sz w:val="28"/>
          <w:szCs w:val="28"/>
        </w:rPr>
        <w:t>SUV</w:t>
      </w:r>
      <w:r w:rsidR="00DF11D0" w:rsidRPr="00A43B9C">
        <w:rPr>
          <w:sz w:val="28"/>
          <w:szCs w:val="28"/>
          <w:vertAlign w:val="subscript"/>
          <w:lang w:val="en-US"/>
        </w:rPr>
        <w:t>max</w:t>
      </w:r>
      <w:r w:rsidR="00DF11D0">
        <w:rPr>
          <w:sz w:val="28"/>
          <w:szCs w:val="28"/>
        </w:rPr>
        <w:t xml:space="preserve">, который имеет диагностическое значение для интерпретации результатов изображений ПЭТ/КТ исследований. </w:t>
      </w:r>
      <w:r>
        <w:rPr>
          <w:sz w:val="28"/>
          <w:szCs w:val="28"/>
        </w:rPr>
        <w:t xml:space="preserve">В наше исследование не были включены метаболические маркеры </w:t>
      </w:r>
      <w:r w:rsidRPr="002C2CCA">
        <w:rPr>
          <w:sz w:val="28"/>
          <w:szCs w:val="28"/>
          <w:lang w:val="en-US"/>
        </w:rPr>
        <w:t>MTV</w:t>
      </w:r>
      <w:r w:rsidRPr="002C2CCA">
        <w:rPr>
          <w:sz w:val="28"/>
          <w:szCs w:val="28"/>
        </w:rPr>
        <w:t xml:space="preserve"> и </w:t>
      </w:r>
      <w:r w:rsidRPr="002C2CCA">
        <w:rPr>
          <w:sz w:val="28"/>
          <w:szCs w:val="28"/>
          <w:lang w:val="en-US"/>
        </w:rPr>
        <w:t>TLG</w:t>
      </w:r>
      <w:r>
        <w:rPr>
          <w:sz w:val="28"/>
          <w:szCs w:val="28"/>
        </w:rPr>
        <w:t xml:space="preserve">, т.к. данные параметры больше используются для определения активности </w:t>
      </w:r>
      <w:r w:rsidR="00786926">
        <w:rPr>
          <w:sz w:val="28"/>
          <w:szCs w:val="28"/>
        </w:rPr>
        <w:t xml:space="preserve">накопления в </w:t>
      </w:r>
      <w:r>
        <w:rPr>
          <w:sz w:val="28"/>
          <w:szCs w:val="28"/>
        </w:rPr>
        <w:t>первичной опухоли. Для нашего исследования определение этих параметров не применим</w:t>
      </w:r>
      <w:r w:rsidR="008A77D8">
        <w:rPr>
          <w:sz w:val="28"/>
          <w:szCs w:val="28"/>
        </w:rPr>
        <w:t>о</w:t>
      </w:r>
      <w:r>
        <w:rPr>
          <w:sz w:val="28"/>
          <w:szCs w:val="28"/>
        </w:rPr>
        <w:t xml:space="preserve">, т.к. обследование пациентов происходило после хирургического удаления первичной опухоли и курсов схем химиотерапевтического курса лечений, соответственно, уровень накопления первичной опухоли, также как и </w:t>
      </w:r>
      <w:r w:rsidR="00786926">
        <w:rPr>
          <w:sz w:val="28"/>
          <w:szCs w:val="28"/>
        </w:rPr>
        <w:t xml:space="preserve">уровень общего </w:t>
      </w:r>
      <w:r>
        <w:rPr>
          <w:sz w:val="28"/>
          <w:szCs w:val="28"/>
        </w:rPr>
        <w:t>гликолиз</w:t>
      </w:r>
      <w:r w:rsidR="00786926">
        <w:rPr>
          <w:sz w:val="28"/>
          <w:szCs w:val="28"/>
        </w:rPr>
        <w:t>а</w:t>
      </w:r>
      <w:r>
        <w:rPr>
          <w:sz w:val="28"/>
          <w:szCs w:val="28"/>
        </w:rPr>
        <w:t xml:space="preserve">, нами не определялись. Для оценки прогностической ценности с построением прогностической модели для нашего исследования мы </w:t>
      </w:r>
      <w:r w:rsidRPr="00A43B9C">
        <w:rPr>
          <w:sz w:val="28"/>
          <w:szCs w:val="28"/>
        </w:rPr>
        <w:t xml:space="preserve">использовали </w:t>
      </w:r>
      <w:r w:rsidRPr="00A43B9C">
        <w:rPr>
          <w:sz w:val="28"/>
          <w:szCs w:val="28"/>
          <w:lang w:val="en-US"/>
        </w:rPr>
        <w:t>ROC</w:t>
      </w:r>
      <w:r w:rsidRPr="00A43B9C">
        <w:rPr>
          <w:sz w:val="28"/>
          <w:szCs w:val="28"/>
        </w:rPr>
        <w:t>-анализ</w:t>
      </w:r>
      <w:r>
        <w:rPr>
          <w:sz w:val="28"/>
          <w:szCs w:val="28"/>
        </w:rPr>
        <w:t>, результат которо</w:t>
      </w:r>
      <w:r w:rsidR="008A77D8">
        <w:rPr>
          <w:sz w:val="28"/>
          <w:szCs w:val="28"/>
        </w:rPr>
        <w:t>го</w:t>
      </w:r>
      <w:r>
        <w:rPr>
          <w:sz w:val="28"/>
          <w:szCs w:val="28"/>
        </w:rPr>
        <w:t xml:space="preserve">, по сравнению с приведенными исследованиями, показал статистическую значимость модели </w:t>
      </w:r>
      <w:r w:rsidR="007B1791">
        <w:rPr>
          <w:sz w:val="28"/>
          <w:szCs w:val="28"/>
        </w:rPr>
        <w:t>с</w:t>
      </w:r>
      <w:r w:rsidR="008A77D8">
        <w:rPr>
          <w:sz w:val="28"/>
          <w:szCs w:val="28"/>
        </w:rPr>
        <w:t xml:space="preserve"> показанной возможностью</w:t>
      </w:r>
      <w:r>
        <w:rPr>
          <w:sz w:val="28"/>
          <w:szCs w:val="28"/>
        </w:rPr>
        <w:t xml:space="preserve"> клинического применения.</w:t>
      </w:r>
    </w:p>
    <w:p w14:paraId="39AF4360" w14:textId="4B9081E8" w:rsidR="00DF11D0" w:rsidRDefault="00C24071" w:rsidP="004721E9">
      <w:pPr>
        <w:pStyle w:val="contributor"/>
        <w:shd w:val="clear" w:color="auto" w:fill="FFFFFF"/>
        <w:spacing w:before="0" w:beforeAutospacing="0" w:after="0" w:afterAutospacing="0"/>
        <w:ind w:firstLine="709"/>
        <w:jc w:val="both"/>
        <w:rPr>
          <w:sz w:val="28"/>
          <w:szCs w:val="28"/>
        </w:rPr>
      </w:pPr>
      <w:r w:rsidRPr="00A43B9C">
        <w:rPr>
          <w:sz w:val="28"/>
          <w:szCs w:val="28"/>
        </w:rPr>
        <w:t xml:space="preserve">Целью ретроспективного исследования </w:t>
      </w:r>
      <w:r w:rsidRPr="00A43B9C">
        <w:rPr>
          <w:sz w:val="28"/>
          <w:szCs w:val="28"/>
          <w:lang w:val="en-US"/>
        </w:rPr>
        <w:t>Chong</w:t>
      </w:r>
      <w:r w:rsidRPr="00A43B9C">
        <w:rPr>
          <w:sz w:val="28"/>
          <w:szCs w:val="28"/>
        </w:rPr>
        <w:t xml:space="preserve"> </w:t>
      </w:r>
      <w:r w:rsidRPr="00A43B9C">
        <w:rPr>
          <w:sz w:val="28"/>
          <w:szCs w:val="28"/>
          <w:lang w:val="en-US"/>
        </w:rPr>
        <w:t>et</w:t>
      </w:r>
      <w:r w:rsidRPr="00A43B9C">
        <w:rPr>
          <w:sz w:val="28"/>
          <w:szCs w:val="28"/>
        </w:rPr>
        <w:t xml:space="preserve"> </w:t>
      </w:r>
      <w:r w:rsidRPr="00A43B9C">
        <w:rPr>
          <w:sz w:val="28"/>
          <w:szCs w:val="28"/>
          <w:lang w:val="en-US"/>
        </w:rPr>
        <w:t>al</w:t>
      </w:r>
      <w:r w:rsidRPr="00A43B9C">
        <w:rPr>
          <w:sz w:val="28"/>
          <w:szCs w:val="28"/>
        </w:rPr>
        <w:t xml:space="preserve">. было оценить способность параметров </w:t>
      </w:r>
      <w:r w:rsidRPr="00A43B9C">
        <w:rPr>
          <w:sz w:val="28"/>
          <w:szCs w:val="28"/>
          <w:vertAlign w:val="superscript"/>
        </w:rPr>
        <w:t>18</w:t>
      </w:r>
      <w:r w:rsidRPr="00A43B9C">
        <w:rPr>
          <w:sz w:val="28"/>
          <w:szCs w:val="28"/>
          <w:lang w:val="en-US"/>
        </w:rPr>
        <w:t>F</w:t>
      </w:r>
      <w:r w:rsidRPr="00A43B9C">
        <w:rPr>
          <w:sz w:val="28"/>
          <w:szCs w:val="28"/>
        </w:rPr>
        <w:t>-</w:t>
      </w:r>
      <w:r w:rsidRPr="00A43B9C">
        <w:rPr>
          <w:sz w:val="28"/>
          <w:szCs w:val="28"/>
          <w:lang w:val="en-US"/>
        </w:rPr>
        <w:t>FDG</w:t>
      </w:r>
      <w:r w:rsidRPr="00A43B9C">
        <w:rPr>
          <w:sz w:val="28"/>
          <w:szCs w:val="28"/>
        </w:rPr>
        <w:t xml:space="preserve"> ПЭТ/КТ спрогнозировать субоптимальную циторедукцию </w:t>
      </w:r>
      <w:r w:rsidRPr="00671D3B">
        <w:rPr>
          <w:sz w:val="28"/>
          <w:szCs w:val="28"/>
        </w:rPr>
        <w:t>и создать модель риска для прогнозирования распространенности у 51 пациентов с</w:t>
      </w:r>
      <w:r w:rsidR="00E91A58" w:rsidRPr="00671D3B">
        <w:rPr>
          <w:sz w:val="28"/>
          <w:szCs w:val="28"/>
        </w:rPr>
        <w:t xml:space="preserve"> </w:t>
      </w:r>
      <w:r w:rsidR="00A10B52">
        <w:rPr>
          <w:sz w:val="28"/>
          <w:szCs w:val="28"/>
        </w:rPr>
        <w:t>раком яичников</w:t>
      </w:r>
      <w:r w:rsidR="00E91A58" w:rsidRPr="00671D3B">
        <w:rPr>
          <w:sz w:val="28"/>
          <w:szCs w:val="28"/>
        </w:rPr>
        <w:t xml:space="preserve">. В </w:t>
      </w:r>
      <w:r w:rsidRPr="00671D3B">
        <w:rPr>
          <w:sz w:val="28"/>
          <w:szCs w:val="28"/>
        </w:rPr>
        <w:t xml:space="preserve">исследовании было показано </w:t>
      </w:r>
      <w:r w:rsidR="00153531" w:rsidRPr="00671D3B">
        <w:rPr>
          <w:sz w:val="28"/>
          <w:szCs w:val="28"/>
        </w:rPr>
        <w:t xml:space="preserve">наличие </w:t>
      </w:r>
      <w:r w:rsidRPr="00671D3B">
        <w:rPr>
          <w:sz w:val="28"/>
          <w:szCs w:val="28"/>
        </w:rPr>
        <w:t xml:space="preserve">гиперметаболических поражений в центральной, правой верхней и левой верхней областях с </w:t>
      </w:r>
      <w:r w:rsidR="00153531" w:rsidRPr="00671D3B">
        <w:rPr>
          <w:sz w:val="28"/>
          <w:szCs w:val="28"/>
        </w:rPr>
        <w:t xml:space="preserve">прогностической </w:t>
      </w:r>
      <w:r w:rsidRPr="00671D3B">
        <w:rPr>
          <w:sz w:val="28"/>
          <w:szCs w:val="28"/>
        </w:rPr>
        <w:t>ценностью субоптимальной циторедукции</w:t>
      </w:r>
      <w:r w:rsidR="004721E9" w:rsidRPr="00671D3B">
        <w:rPr>
          <w:sz w:val="28"/>
          <w:szCs w:val="28"/>
        </w:rPr>
        <w:t xml:space="preserve"> </w:t>
      </w:r>
      <w:r w:rsidR="004721E9" w:rsidRPr="00671D3B">
        <w:rPr>
          <w:sz w:val="28"/>
          <w:szCs w:val="28"/>
        </w:rPr>
        <w:fldChar w:fldCharType="begin"/>
      </w:r>
      <w:r w:rsidR="00F6152F">
        <w:rPr>
          <w:sz w:val="28"/>
          <w:szCs w:val="28"/>
        </w:rPr>
        <w:instrText xml:space="preserve"> ADDIN ZOTERO_ITEM CSL_CITATION {"citationID":"a2ca66c3o4c","properties":{"formattedCitation":"[200]","plainCitation":"[200]","noteIndex":0},"citationItems":[{"id":170,"uris":["http://zotero.org/users/8787459/items/TD5J4AWN"],"itemData":{"id":170,"type":"article-journal","abstract":"Background\nThe aim of this study was to (1) evaluate the ability of F-18 fluorodeoxyglucose positron emission tomography/computed tomography (FDG PET/CT) parameters to predict suboptimal cytoreduction and (2) to create a risk model for predicting suboptimal cytoreduction in advanced ovarian cancer. From 2011 to 2015, 51 patients underwent primary cytoreductive surgery for advanced ovarian cancer were enrolled. A residual disease with maximal diameter &gt;  1 cm was considered a suboptimal surgical result. The SUVmax values for nine abdominal regions, the sum of 9 regional SUVmax (WB1SUVmax) and WB2SUVmax (WB1SUVmax plus SUVmax of lymph nodes) were used for PET parameter. Multiple logistic regression analysis was used to determine the predictive value of PET and clinical parameters for risk model. In addition, assessments of disease-free survival (DFS) and overall survival (OS) were performed.\n\nResults\nSeventeen of the 51 patients (33.3%) underwent suboptimal cytoreduction. The ECOG status (OR, 4.091), SUVmax of central (OR, 5.250), right upper (OR, 4.148), left upper (OR, 5.921) and WB2SUVmax (OR, 4.148) were associated with suboptimal cytoreduction. The risk model can divide the risk groups of suboptimal cytoreduction (area under the curve (AUC), 0.775; p = 0.0001). The DFS and OS in the high-risk group were significantly worse than those in the low-risk group (p = 0.0379 for DFS; p = 0.0211 for OS).\n\nConclusions\nThe presence of hypermetabolic lesions in the central, right upper, and left upper regions showed predictive value for suboptimal cytoreduction. Our risk model may be helpful for selecting patients who may show suboptimal cytoreduction.","container-title":"Journal of Ovarian Research","DOI":"10.1186/s13048-019-0488-2","ISSN":"1757-2215","journalAbbreviation":"J Ovarian Res","note":"PMID: 30717813\nPMCID: PMC6360666","page":"12","source":"PubMed Central","title":"The ability of whole-body SUVmax in F-18 FDG PET/CT to predict suboptimal cytoreduction during primary debulking surgery for advanced ovarian cancer","volume":"12","author":[{"family":"Chong","given":"Gun Oh."},{"family":"Jeong","given":"Shin Young"},{"family":"Lee","given":"Yoon Hee"},{"family":"Lee","given":"Hyun Jung"},{"family":"Lee","given":"Sang-Woo"},{"family":"Han","given":"Hyung Soo"},{"family":"Hong","given":"Dae Gy"},{"family":"Lee","given":"Yoon Soon"}],"issued":{"date-parts":[["2019",2,4]]}}}],"schema":"https://github.com/citation-style-language/schema/raw/master/csl-citation.json"} </w:instrText>
      </w:r>
      <w:r w:rsidR="004721E9" w:rsidRPr="00671D3B">
        <w:rPr>
          <w:sz w:val="28"/>
          <w:szCs w:val="28"/>
        </w:rPr>
        <w:fldChar w:fldCharType="separate"/>
      </w:r>
      <w:r w:rsidR="00F6152F" w:rsidRPr="00F6152F">
        <w:rPr>
          <w:sz w:val="28"/>
        </w:rPr>
        <w:t>[200]</w:t>
      </w:r>
      <w:r w:rsidR="004721E9" w:rsidRPr="00671D3B">
        <w:rPr>
          <w:sz w:val="28"/>
          <w:szCs w:val="28"/>
        </w:rPr>
        <w:fldChar w:fldCharType="end"/>
      </w:r>
      <w:r w:rsidRPr="00671D3B">
        <w:rPr>
          <w:sz w:val="28"/>
          <w:szCs w:val="28"/>
        </w:rPr>
        <w:t>.</w:t>
      </w:r>
    </w:p>
    <w:p w14:paraId="5BA4D34F" w14:textId="7E901A85" w:rsidR="00465BDF" w:rsidRDefault="00465BDF" w:rsidP="00465BDF">
      <w:pPr>
        <w:pStyle w:val="contributor"/>
        <w:shd w:val="clear" w:color="auto" w:fill="FFFFFF"/>
        <w:spacing w:before="0" w:beforeAutospacing="0" w:after="0" w:afterAutospacing="0"/>
        <w:ind w:firstLine="709"/>
        <w:jc w:val="both"/>
        <w:rPr>
          <w:sz w:val="28"/>
          <w:szCs w:val="28"/>
        </w:rPr>
      </w:pPr>
      <w:bookmarkStart w:id="113" w:name="_Hlk117893625"/>
      <w:bookmarkEnd w:id="112"/>
      <w:r>
        <w:rPr>
          <w:sz w:val="28"/>
          <w:szCs w:val="28"/>
        </w:rPr>
        <w:t xml:space="preserve">В нашем же исследовании мы провели анализ 53 пациентов с диагнозом </w:t>
      </w:r>
      <w:r w:rsidR="00A10B52">
        <w:rPr>
          <w:sz w:val="28"/>
          <w:szCs w:val="28"/>
        </w:rPr>
        <w:t>эпителиального рака яичников</w:t>
      </w:r>
      <w:r>
        <w:rPr>
          <w:sz w:val="28"/>
          <w:szCs w:val="28"/>
        </w:rPr>
        <w:t xml:space="preserve">, </w:t>
      </w:r>
      <w:r>
        <w:rPr>
          <w:sz w:val="28"/>
          <w:szCs w:val="28"/>
          <w:lang w:val="en-US"/>
        </w:rPr>
        <w:t>pLM</w:t>
      </w:r>
      <w:r w:rsidRPr="00671D3B">
        <w:rPr>
          <w:sz w:val="28"/>
          <w:szCs w:val="28"/>
        </w:rPr>
        <w:t xml:space="preserve"> </w:t>
      </w:r>
      <w:r>
        <w:rPr>
          <w:sz w:val="28"/>
          <w:szCs w:val="28"/>
        </w:rPr>
        <w:t xml:space="preserve">которой показали 53% пациентов, при интерпретации результатов изображений которых показали высокую метаболическую активность накопления. При этом гиперметаболический фокус с высокой вероятностью метастазирования </w:t>
      </w:r>
      <w:r w:rsidR="00786926">
        <w:rPr>
          <w:sz w:val="28"/>
          <w:szCs w:val="28"/>
        </w:rPr>
        <w:t xml:space="preserve">в </w:t>
      </w:r>
      <w:r w:rsidR="00A10B52">
        <w:rPr>
          <w:sz w:val="28"/>
          <w:szCs w:val="28"/>
        </w:rPr>
        <w:t xml:space="preserve">узлы </w:t>
      </w:r>
      <w:r>
        <w:rPr>
          <w:sz w:val="28"/>
          <w:szCs w:val="28"/>
        </w:rPr>
        <w:t xml:space="preserve">определялся в </w:t>
      </w:r>
      <w:r w:rsidRPr="00A43B9C">
        <w:rPr>
          <w:sz w:val="28"/>
          <w:szCs w:val="28"/>
        </w:rPr>
        <w:t>области шеи, средостения, органов грудной клетки, брюшной полости, забрюшинного пространства</w:t>
      </w:r>
      <w:r>
        <w:rPr>
          <w:sz w:val="28"/>
          <w:szCs w:val="28"/>
        </w:rPr>
        <w:t xml:space="preserve"> </w:t>
      </w:r>
      <w:r w:rsidRPr="00A43B9C">
        <w:rPr>
          <w:sz w:val="28"/>
          <w:szCs w:val="28"/>
        </w:rPr>
        <w:t>и малого таза.</w:t>
      </w:r>
    </w:p>
    <w:p w14:paraId="0EDD9F37" w14:textId="4DB23178" w:rsidR="00C53B4E" w:rsidRDefault="00C24071" w:rsidP="004721E9">
      <w:pPr>
        <w:pStyle w:val="contributor"/>
        <w:shd w:val="clear" w:color="auto" w:fill="FFFFFF"/>
        <w:spacing w:before="0" w:beforeAutospacing="0" w:after="0" w:afterAutospacing="0"/>
        <w:ind w:firstLine="709"/>
        <w:jc w:val="both"/>
        <w:rPr>
          <w:sz w:val="28"/>
          <w:szCs w:val="28"/>
        </w:rPr>
      </w:pPr>
      <w:r w:rsidRPr="00B169C3">
        <w:rPr>
          <w:sz w:val="28"/>
          <w:szCs w:val="28"/>
        </w:rPr>
        <w:t xml:space="preserve">Целью исследования </w:t>
      </w:r>
      <w:r w:rsidRPr="00B169C3">
        <w:rPr>
          <w:sz w:val="28"/>
          <w:szCs w:val="28"/>
          <w:lang w:val="en-US"/>
        </w:rPr>
        <w:t>Perrone</w:t>
      </w:r>
      <w:r w:rsidRPr="00B169C3">
        <w:rPr>
          <w:sz w:val="28"/>
          <w:szCs w:val="28"/>
        </w:rPr>
        <w:t xml:space="preserve"> </w:t>
      </w:r>
      <w:r w:rsidRPr="00B169C3">
        <w:rPr>
          <w:sz w:val="28"/>
          <w:szCs w:val="28"/>
          <w:lang w:val="en-US"/>
        </w:rPr>
        <w:t>et</w:t>
      </w:r>
      <w:r w:rsidRPr="00B169C3">
        <w:rPr>
          <w:sz w:val="28"/>
          <w:szCs w:val="28"/>
        </w:rPr>
        <w:t xml:space="preserve"> </w:t>
      </w:r>
      <w:r w:rsidRPr="00B169C3">
        <w:rPr>
          <w:sz w:val="28"/>
          <w:szCs w:val="28"/>
          <w:lang w:val="en-US"/>
        </w:rPr>
        <w:t>al</w:t>
      </w:r>
      <w:r w:rsidRPr="00B169C3">
        <w:rPr>
          <w:sz w:val="28"/>
          <w:szCs w:val="28"/>
        </w:rPr>
        <w:t>. было оценить метаболические параметры (</w:t>
      </w:r>
      <w:r w:rsidR="00544224" w:rsidRPr="00B169C3">
        <w:rPr>
          <w:sz w:val="28"/>
          <w:szCs w:val="28"/>
          <w:lang w:val="en-US"/>
        </w:rPr>
        <w:t>SUV</w:t>
      </w:r>
      <w:r w:rsidR="00544224" w:rsidRPr="00B169C3">
        <w:rPr>
          <w:sz w:val="28"/>
          <w:szCs w:val="28"/>
          <w:vertAlign w:val="subscript"/>
          <w:lang w:val="en-US"/>
        </w:rPr>
        <w:t>max</w:t>
      </w:r>
      <w:r w:rsidR="00544224" w:rsidRPr="00B169C3">
        <w:rPr>
          <w:sz w:val="28"/>
          <w:szCs w:val="28"/>
        </w:rPr>
        <w:t xml:space="preserve">, </w:t>
      </w:r>
      <w:r w:rsidR="00544224" w:rsidRPr="00B169C3">
        <w:rPr>
          <w:sz w:val="28"/>
          <w:szCs w:val="28"/>
          <w:lang w:val="en-US"/>
        </w:rPr>
        <w:t>MTV</w:t>
      </w:r>
      <w:r w:rsidR="00544224" w:rsidRPr="00B169C3">
        <w:rPr>
          <w:sz w:val="28"/>
          <w:szCs w:val="28"/>
        </w:rPr>
        <w:t xml:space="preserve"> и </w:t>
      </w:r>
      <w:r w:rsidR="00544224" w:rsidRPr="00B169C3">
        <w:rPr>
          <w:sz w:val="28"/>
          <w:szCs w:val="28"/>
          <w:lang w:val="en-US"/>
        </w:rPr>
        <w:t>TLG</w:t>
      </w:r>
      <w:r w:rsidRPr="00B169C3">
        <w:rPr>
          <w:sz w:val="28"/>
          <w:szCs w:val="28"/>
        </w:rPr>
        <w:t>) с пострецидивной выживаемостью и общей выживаемостью</w:t>
      </w:r>
      <w:r w:rsidR="00544224" w:rsidRPr="00B169C3">
        <w:rPr>
          <w:sz w:val="28"/>
          <w:szCs w:val="28"/>
        </w:rPr>
        <w:t xml:space="preserve"> </w:t>
      </w:r>
      <w:r w:rsidRPr="00B169C3">
        <w:rPr>
          <w:sz w:val="28"/>
          <w:szCs w:val="28"/>
        </w:rPr>
        <w:t xml:space="preserve">при рецидиве у 50 пациентов с </w:t>
      </w:r>
      <w:r w:rsidR="00A10B52">
        <w:rPr>
          <w:sz w:val="28"/>
          <w:szCs w:val="28"/>
        </w:rPr>
        <w:t>эпителиальным раком яичников</w:t>
      </w:r>
      <w:r w:rsidRPr="00B169C3">
        <w:rPr>
          <w:sz w:val="28"/>
          <w:szCs w:val="28"/>
        </w:rPr>
        <w:t xml:space="preserve">, которым было проведен предоперационное </w:t>
      </w:r>
      <w:r w:rsidRPr="00B169C3">
        <w:rPr>
          <w:sz w:val="28"/>
          <w:szCs w:val="28"/>
          <w:vertAlign w:val="superscript"/>
        </w:rPr>
        <w:t>18</w:t>
      </w:r>
      <w:r w:rsidRPr="00B169C3">
        <w:rPr>
          <w:sz w:val="28"/>
          <w:szCs w:val="28"/>
          <w:lang w:val="en-US"/>
        </w:rPr>
        <w:t>F</w:t>
      </w:r>
      <w:r w:rsidRPr="00B169C3">
        <w:rPr>
          <w:sz w:val="28"/>
          <w:szCs w:val="28"/>
        </w:rPr>
        <w:t>-</w:t>
      </w:r>
      <w:r w:rsidRPr="00B169C3">
        <w:rPr>
          <w:sz w:val="28"/>
          <w:szCs w:val="28"/>
          <w:lang w:val="en-US"/>
        </w:rPr>
        <w:t>FDG</w:t>
      </w:r>
      <w:r w:rsidRPr="00B169C3">
        <w:rPr>
          <w:sz w:val="28"/>
          <w:szCs w:val="28"/>
        </w:rPr>
        <w:t xml:space="preserve"> ПЭТ/КТ обследование. В результате было показано пороговое значение SUV</w:t>
      </w:r>
      <w:r w:rsidRPr="00B169C3">
        <w:rPr>
          <w:sz w:val="28"/>
          <w:szCs w:val="28"/>
          <w:vertAlign w:val="subscript"/>
        </w:rPr>
        <w:t>max</w:t>
      </w:r>
      <w:r w:rsidRPr="00B169C3">
        <w:rPr>
          <w:sz w:val="28"/>
          <w:szCs w:val="28"/>
        </w:rPr>
        <w:t xml:space="preserve"> в первичной опухоли, равное 13, которое определяло степень выживаемости (р </w:t>
      </w:r>
      <w:r w:rsidRPr="00B169C3">
        <w:rPr>
          <w:sz w:val="28"/>
          <w:szCs w:val="28"/>
        </w:rPr>
        <w:lastRenderedPageBreak/>
        <w:t>= 0,003).</w:t>
      </w:r>
      <w:r w:rsidR="004721E9" w:rsidRPr="00B169C3">
        <w:rPr>
          <w:sz w:val="28"/>
          <w:szCs w:val="28"/>
        </w:rPr>
        <w:t xml:space="preserve"> </w:t>
      </w:r>
      <w:r w:rsidRPr="00B169C3">
        <w:rPr>
          <w:sz w:val="28"/>
          <w:szCs w:val="28"/>
        </w:rPr>
        <w:t xml:space="preserve">При первом </w:t>
      </w:r>
      <w:r w:rsidR="00A10B52">
        <w:rPr>
          <w:sz w:val="28"/>
          <w:szCs w:val="28"/>
        </w:rPr>
        <w:t xml:space="preserve">эпителиальном </w:t>
      </w:r>
      <w:r w:rsidRPr="00B169C3">
        <w:rPr>
          <w:sz w:val="28"/>
          <w:szCs w:val="28"/>
        </w:rPr>
        <w:t xml:space="preserve">рецидиве </w:t>
      </w:r>
      <w:r w:rsidR="00A10B52">
        <w:rPr>
          <w:sz w:val="28"/>
          <w:szCs w:val="28"/>
        </w:rPr>
        <w:t xml:space="preserve">рака яичников </w:t>
      </w:r>
      <w:r w:rsidRPr="00B169C3">
        <w:rPr>
          <w:sz w:val="28"/>
          <w:szCs w:val="28"/>
        </w:rPr>
        <w:t>SUV</w:t>
      </w:r>
      <w:r w:rsidRPr="00B169C3">
        <w:rPr>
          <w:sz w:val="28"/>
          <w:szCs w:val="28"/>
          <w:vertAlign w:val="subscript"/>
        </w:rPr>
        <w:t>max</w:t>
      </w:r>
      <w:r w:rsidRPr="00B169C3">
        <w:rPr>
          <w:sz w:val="28"/>
          <w:szCs w:val="28"/>
        </w:rPr>
        <w:t xml:space="preserve"> коррелир</w:t>
      </w:r>
      <w:r w:rsidR="00A86AD2" w:rsidRPr="00B169C3">
        <w:rPr>
          <w:sz w:val="28"/>
          <w:szCs w:val="28"/>
        </w:rPr>
        <w:t>овало</w:t>
      </w:r>
      <w:r w:rsidRPr="00B169C3">
        <w:rPr>
          <w:sz w:val="28"/>
          <w:szCs w:val="28"/>
        </w:rPr>
        <w:t xml:space="preserve"> с пострецидивной и общей выживаемостью, </w:t>
      </w:r>
      <w:r w:rsidR="00A86AD2" w:rsidRPr="00B169C3">
        <w:rPr>
          <w:sz w:val="28"/>
          <w:szCs w:val="28"/>
        </w:rPr>
        <w:t xml:space="preserve">а </w:t>
      </w:r>
      <w:r w:rsidRPr="00B169C3">
        <w:rPr>
          <w:sz w:val="28"/>
          <w:szCs w:val="28"/>
        </w:rPr>
        <w:t>при превышении порогового значения SUV</w:t>
      </w:r>
      <w:r w:rsidRPr="00B169C3">
        <w:rPr>
          <w:sz w:val="28"/>
          <w:szCs w:val="28"/>
          <w:vertAlign w:val="subscript"/>
        </w:rPr>
        <w:t>max</w:t>
      </w:r>
      <w:r w:rsidRPr="00B169C3">
        <w:rPr>
          <w:sz w:val="28"/>
          <w:szCs w:val="28"/>
        </w:rPr>
        <w:t xml:space="preserve"> выше 13 </w:t>
      </w:r>
      <w:r w:rsidR="00A86AD2" w:rsidRPr="00B169C3">
        <w:rPr>
          <w:sz w:val="28"/>
          <w:szCs w:val="28"/>
        </w:rPr>
        <w:t xml:space="preserve">оно становилось </w:t>
      </w:r>
      <w:r w:rsidRPr="00B169C3">
        <w:rPr>
          <w:sz w:val="28"/>
          <w:szCs w:val="28"/>
        </w:rPr>
        <w:t>неблагоприятным прогностическим фактором.</w:t>
      </w:r>
      <w:r w:rsidR="007D6E7A" w:rsidRPr="00B169C3">
        <w:rPr>
          <w:sz w:val="28"/>
          <w:szCs w:val="28"/>
        </w:rPr>
        <w:t xml:space="preserve"> </w:t>
      </w:r>
      <w:r w:rsidR="00A86AD2" w:rsidRPr="00B169C3">
        <w:rPr>
          <w:sz w:val="28"/>
          <w:szCs w:val="28"/>
        </w:rPr>
        <w:t>С другой стороны, ц</w:t>
      </w:r>
      <w:r w:rsidRPr="00B169C3">
        <w:rPr>
          <w:sz w:val="28"/>
          <w:szCs w:val="28"/>
        </w:rPr>
        <w:t xml:space="preserve">елью исследования </w:t>
      </w:r>
      <w:r w:rsidRPr="00B169C3">
        <w:rPr>
          <w:sz w:val="28"/>
          <w:szCs w:val="28"/>
          <w:lang w:val="en-US"/>
        </w:rPr>
        <w:t>Jiang</w:t>
      </w:r>
      <w:r w:rsidRPr="00B169C3">
        <w:rPr>
          <w:sz w:val="28"/>
          <w:szCs w:val="28"/>
        </w:rPr>
        <w:t xml:space="preserve"> </w:t>
      </w:r>
      <w:r w:rsidRPr="00B169C3">
        <w:rPr>
          <w:sz w:val="28"/>
          <w:szCs w:val="28"/>
          <w:lang w:val="en-US"/>
        </w:rPr>
        <w:t>et</w:t>
      </w:r>
      <w:r w:rsidRPr="00B169C3">
        <w:rPr>
          <w:sz w:val="28"/>
          <w:szCs w:val="28"/>
        </w:rPr>
        <w:t xml:space="preserve"> </w:t>
      </w:r>
      <w:r w:rsidRPr="00B169C3">
        <w:rPr>
          <w:sz w:val="28"/>
          <w:szCs w:val="28"/>
          <w:lang w:val="en-US"/>
        </w:rPr>
        <w:t>al</w:t>
      </w:r>
      <w:r w:rsidRPr="00B169C3">
        <w:rPr>
          <w:sz w:val="28"/>
          <w:szCs w:val="28"/>
        </w:rPr>
        <w:t>. было ретроспективно оценить влияние SUV</w:t>
      </w:r>
      <w:r w:rsidRPr="00B169C3">
        <w:rPr>
          <w:sz w:val="28"/>
          <w:szCs w:val="28"/>
          <w:vertAlign w:val="subscript"/>
        </w:rPr>
        <w:t>max</w:t>
      </w:r>
      <w:r w:rsidRPr="00B169C3">
        <w:rPr>
          <w:sz w:val="28"/>
          <w:szCs w:val="28"/>
        </w:rPr>
        <w:t xml:space="preserve"> и канцероматоза брюшины, измеренная с помощью </w:t>
      </w:r>
      <w:r w:rsidRPr="00B169C3">
        <w:rPr>
          <w:sz w:val="28"/>
          <w:szCs w:val="28"/>
          <w:vertAlign w:val="superscript"/>
        </w:rPr>
        <w:t>18</w:t>
      </w:r>
      <w:r w:rsidRPr="00B169C3">
        <w:rPr>
          <w:sz w:val="28"/>
          <w:szCs w:val="28"/>
        </w:rPr>
        <w:t>F-</w:t>
      </w:r>
      <w:r w:rsidRPr="00B169C3">
        <w:rPr>
          <w:sz w:val="28"/>
          <w:szCs w:val="28"/>
          <w:lang w:val="en-US"/>
        </w:rPr>
        <w:t>FDG</w:t>
      </w:r>
      <w:r w:rsidRPr="00B169C3">
        <w:rPr>
          <w:sz w:val="28"/>
          <w:szCs w:val="28"/>
        </w:rPr>
        <w:t xml:space="preserve"> ПЭТ/КТ, на прогноз у 145 пациентов с подозрением на </w:t>
      </w:r>
      <w:r w:rsidR="00A10B52">
        <w:rPr>
          <w:sz w:val="28"/>
          <w:szCs w:val="28"/>
        </w:rPr>
        <w:t xml:space="preserve">овариальный </w:t>
      </w:r>
      <w:r w:rsidRPr="00B169C3">
        <w:rPr>
          <w:sz w:val="28"/>
          <w:szCs w:val="28"/>
        </w:rPr>
        <w:t>рецидив после циторедуктивной операции и химиотерапии. Из исследования исключили 29 пациентов, из 116 пациентов у 82 наблюдались признаки канцероматоза брюшины. В итоге с пороговым значением SUV</w:t>
      </w:r>
      <w:r w:rsidRPr="00B169C3">
        <w:rPr>
          <w:sz w:val="28"/>
          <w:szCs w:val="28"/>
          <w:vertAlign w:val="subscript"/>
        </w:rPr>
        <w:t>max</w:t>
      </w:r>
      <w:r w:rsidRPr="00B169C3">
        <w:rPr>
          <w:sz w:val="28"/>
          <w:szCs w:val="28"/>
        </w:rPr>
        <w:t xml:space="preserve"> равным 2,0, полученным из анализа кривой ROC, </w:t>
      </w:r>
      <w:r w:rsidRPr="00B169C3">
        <w:rPr>
          <w:sz w:val="28"/>
          <w:szCs w:val="28"/>
          <w:lang w:val="en-US"/>
        </w:rPr>
        <w:t>Se</w:t>
      </w:r>
      <w:r w:rsidRPr="00B169C3">
        <w:rPr>
          <w:sz w:val="28"/>
          <w:szCs w:val="28"/>
        </w:rPr>
        <w:t xml:space="preserve">, </w:t>
      </w:r>
      <w:r w:rsidRPr="00B169C3">
        <w:rPr>
          <w:sz w:val="28"/>
          <w:szCs w:val="28"/>
          <w:lang w:val="en-US"/>
        </w:rPr>
        <w:t>Sp</w:t>
      </w:r>
      <w:r w:rsidRPr="00B169C3">
        <w:rPr>
          <w:sz w:val="28"/>
          <w:szCs w:val="28"/>
        </w:rPr>
        <w:t xml:space="preserve">, точность, </w:t>
      </w:r>
      <w:r w:rsidRPr="00B169C3">
        <w:rPr>
          <w:sz w:val="28"/>
          <w:szCs w:val="28"/>
          <w:lang w:val="en-US"/>
        </w:rPr>
        <w:t>PPV</w:t>
      </w:r>
      <w:r w:rsidRPr="00B169C3">
        <w:rPr>
          <w:sz w:val="28"/>
          <w:szCs w:val="28"/>
        </w:rPr>
        <w:t xml:space="preserve"> и </w:t>
      </w:r>
      <w:r w:rsidRPr="00B169C3">
        <w:rPr>
          <w:sz w:val="28"/>
          <w:szCs w:val="28"/>
          <w:lang w:val="en-US"/>
        </w:rPr>
        <w:t>NPV</w:t>
      </w:r>
      <w:r w:rsidRPr="00B169C3">
        <w:rPr>
          <w:sz w:val="28"/>
          <w:szCs w:val="28"/>
        </w:rPr>
        <w:t xml:space="preserve"> данные SUV</w:t>
      </w:r>
      <w:r w:rsidRPr="00B169C3">
        <w:rPr>
          <w:sz w:val="28"/>
          <w:szCs w:val="28"/>
          <w:vertAlign w:val="subscript"/>
        </w:rPr>
        <w:t>max</w:t>
      </w:r>
      <w:r w:rsidRPr="00B169C3">
        <w:rPr>
          <w:sz w:val="28"/>
          <w:szCs w:val="28"/>
        </w:rPr>
        <w:t xml:space="preserve"> канцероматоза брюшины для прогнозирования рецидива составили 77,6%, 87,5%, 65,1%, 97,4%, и 38,9% соответственно, </w:t>
      </w:r>
      <w:r w:rsidRPr="00B169C3">
        <w:rPr>
          <w:sz w:val="28"/>
          <w:szCs w:val="28"/>
          <w:lang w:val="en-US"/>
        </w:rPr>
        <w:t>AUC</w:t>
      </w:r>
      <w:r w:rsidRPr="00B169C3">
        <w:rPr>
          <w:sz w:val="28"/>
          <w:szCs w:val="28"/>
        </w:rPr>
        <w:t xml:space="preserve"> составила 0,85. Авторы резюмировали, что индекс SUV</w:t>
      </w:r>
      <w:r w:rsidRPr="00B169C3">
        <w:rPr>
          <w:sz w:val="28"/>
          <w:szCs w:val="28"/>
          <w:vertAlign w:val="subscript"/>
        </w:rPr>
        <w:t>max</w:t>
      </w:r>
      <w:r w:rsidRPr="00B169C3">
        <w:rPr>
          <w:sz w:val="28"/>
          <w:szCs w:val="28"/>
        </w:rPr>
        <w:t xml:space="preserve"> канцероматоза брюшины имеет важное прогностическое значение при </w:t>
      </w:r>
      <w:r w:rsidR="00410A3D">
        <w:rPr>
          <w:sz w:val="28"/>
          <w:szCs w:val="28"/>
        </w:rPr>
        <w:t xml:space="preserve">овариальном </w:t>
      </w:r>
      <w:r w:rsidRPr="00B169C3">
        <w:rPr>
          <w:sz w:val="28"/>
          <w:szCs w:val="28"/>
        </w:rPr>
        <w:t>рецидиве и могут быть использованы в качестве независимых прогностических факторов.</w:t>
      </w:r>
    </w:p>
    <w:p w14:paraId="6D918C75" w14:textId="2E04C91B" w:rsidR="001F616E" w:rsidRPr="00BF1BDB" w:rsidRDefault="008A77D8" w:rsidP="001F616E">
      <w:pPr>
        <w:pStyle w:val="contributor"/>
        <w:shd w:val="clear" w:color="auto" w:fill="FFFFFF"/>
        <w:spacing w:before="0" w:beforeAutospacing="0" w:after="0" w:afterAutospacing="0"/>
        <w:ind w:firstLine="709"/>
        <w:jc w:val="both"/>
        <w:rPr>
          <w:sz w:val="28"/>
          <w:szCs w:val="28"/>
        </w:rPr>
      </w:pPr>
      <w:bookmarkStart w:id="114" w:name="_Hlk117893635"/>
      <w:bookmarkEnd w:id="113"/>
      <w:r>
        <w:rPr>
          <w:sz w:val="28"/>
          <w:szCs w:val="28"/>
        </w:rPr>
        <w:t>Из приведённых исследований видно</w:t>
      </w:r>
      <w:r w:rsidR="001F616E">
        <w:rPr>
          <w:sz w:val="28"/>
          <w:szCs w:val="28"/>
        </w:rPr>
        <w:t>, что</w:t>
      </w:r>
      <w:r>
        <w:rPr>
          <w:sz w:val="28"/>
          <w:szCs w:val="28"/>
        </w:rPr>
        <w:t xml:space="preserve"> в них</w:t>
      </w:r>
      <w:r w:rsidR="001F616E">
        <w:rPr>
          <w:sz w:val="28"/>
          <w:szCs w:val="28"/>
        </w:rPr>
        <w:t xml:space="preserve"> также были оценены </w:t>
      </w:r>
      <w:r w:rsidR="001F616E" w:rsidRPr="00B169C3">
        <w:rPr>
          <w:sz w:val="28"/>
          <w:szCs w:val="28"/>
        </w:rPr>
        <w:t xml:space="preserve">метаболические параметры </w:t>
      </w:r>
      <w:r w:rsidR="001F616E" w:rsidRPr="00B169C3">
        <w:rPr>
          <w:sz w:val="28"/>
          <w:szCs w:val="28"/>
          <w:lang w:val="en-US"/>
        </w:rPr>
        <w:t>MTV</w:t>
      </w:r>
      <w:r w:rsidR="001F616E" w:rsidRPr="00B169C3">
        <w:rPr>
          <w:sz w:val="28"/>
          <w:szCs w:val="28"/>
        </w:rPr>
        <w:t xml:space="preserve"> и </w:t>
      </w:r>
      <w:r w:rsidR="001F616E" w:rsidRPr="00B169C3">
        <w:rPr>
          <w:sz w:val="28"/>
          <w:szCs w:val="28"/>
          <w:lang w:val="en-US"/>
        </w:rPr>
        <w:t>TLG</w:t>
      </w:r>
      <w:r w:rsidR="003C445E" w:rsidRPr="00B169C3">
        <w:rPr>
          <w:sz w:val="28"/>
          <w:szCs w:val="28"/>
        </w:rPr>
        <w:t>,</w:t>
      </w:r>
      <w:r w:rsidR="001F616E" w:rsidRPr="00B169C3">
        <w:rPr>
          <w:sz w:val="28"/>
          <w:szCs w:val="28"/>
        </w:rPr>
        <w:t xml:space="preserve"> </w:t>
      </w:r>
      <w:r w:rsidR="003C445E" w:rsidRPr="00B169C3">
        <w:rPr>
          <w:sz w:val="28"/>
          <w:szCs w:val="28"/>
        </w:rPr>
        <w:t>оцен</w:t>
      </w:r>
      <w:r>
        <w:rPr>
          <w:sz w:val="28"/>
          <w:szCs w:val="28"/>
        </w:rPr>
        <w:t>ена</w:t>
      </w:r>
      <w:r w:rsidR="003C445E" w:rsidRPr="00B169C3">
        <w:rPr>
          <w:sz w:val="28"/>
          <w:szCs w:val="28"/>
        </w:rPr>
        <w:t xml:space="preserve"> </w:t>
      </w:r>
      <w:r w:rsidR="001F616E" w:rsidRPr="00B169C3">
        <w:rPr>
          <w:sz w:val="28"/>
          <w:szCs w:val="28"/>
        </w:rPr>
        <w:t>выживаемост</w:t>
      </w:r>
      <w:r>
        <w:rPr>
          <w:sz w:val="28"/>
          <w:szCs w:val="28"/>
        </w:rPr>
        <w:t>ь</w:t>
      </w:r>
      <w:r w:rsidR="001F616E">
        <w:rPr>
          <w:sz w:val="28"/>
          <w:szCs w:val="28"/>
        </w:rPr>
        <w:t xml:space="preserve"> с предоперационным </w:t>
      </w:r>
      <w:r w:rsidR="001F616E" w:rsidRPr="00A43B9C">
        <w:rPr>
          <w:sz w:val="28"/>
          <w:szCs w:val="28"/>
        </w:rPr>
        <w:t>ПЭТ/КТ обследование</w:t>
      </w:r>
      <w:r w:rsidR="001F616E">
        <w:rPr>
          <w:sz w:val="28"/>
          <w:szCs w:val="28"/>
        </w:rPr>
        <w:t xml:space="preserve">м, оценено пороговое значение первичной опухоли, приведено пороговое значение канцероматоза брюшины. При сравнении с нашим исследованием, </w:t>
      </w:r>
      <w:r>
        <w:rPr>
          <w:sz w:val="28"/>
          <w:szCs w:val="28"/>
        </w:rPr>
        <w:t>становится понятно</w:t>
      </w:r>
      <w:r w:rsidR="001F616E">
        <w:rPr>
          <w:sz w:val="28"/>
          <w:szCs w:val="28"/>
        </w:rPr>
        <w:t xml:space="preserve">, что наши результаты не оценивают метаболические параметры первичной опухоли, т.к. наши пациенты с </w:t>
      </w:r>
      <w:r w:rsidR="00410A3D">
        <w:rPr>
          <w:sz w:val="28"/>
          <w:szCs w:val="28"/>
        </w:rPr>
        <w:t xml:space="preserve">эпителиальной формой рака яичников </w:t>
      </w:r>
      <w:r w:rsidR="001F616E">
        <w:rPr>
          <w:sz w:val="28"/>
          <w:szCs w:val="28"/>
        </w:rPr>
        <w:t xml:space="preserve">были после оперативного вмешательства, пороговое значение уровня накопления нашего исследования приведено для </w:t>
      </w:r>
      <w:r w:rsidR="00410A3D">
        <w:rPr>
          <w:sz w:val="28"/>
          <w:szCs w:val="28"/>
        </w:rPr>
        <w:t>висцерального жира</w:t>
      </w:r>
      <w:r w:rsidR="001F616E">
        <w:rPr>
          <w:sz w:val="28"/>
          <w:szCs w:val="28"/>
        </w:rPr>
        <w:t xml:space="preserve">, статистические данные нашего исследования при </w:t>
      </w:r>
      <w:r w:rsidR="00410A3D">
        <w:rPr>
          <w:sz w:val="28"/>
          <w:szCs w:val="28"/>
        </w:rPr>
        <w:t xml:space="preserve">эпителиальном раке яичников </w:t>
      </w:r>
      <w:r w:rsidR="001F616E">
        <w:rPr>
          <w:sz w:val="28"/>
          <w:szCs w:val="28"/>
        </w:rPr>
        <w:t xml:space="preserve">достоверны только для одной локализация, </w:t>
      </w:r>
      <w:r w:rsidR="001F616E">
        <w:rPr>
          <w:sz w:val="28"/>
          <w:szCs w:val="28"/>
          <w:lang w:val="en-US"/>
        </w:rPr>
        <w:t>SUV</w:t>
      </w:r>
      <w:r w:rsidR="001F616E" w:rsidRPr="00270099">
        <w:rPr>
          <w:sz w:val="28"/>
          <w:szCs w:val="28"/>
          <w:vertAlign w:val="subscript"/>
          <w:lang w:val="en-US"/>
        </w:rPr>
        <w:t>max</w:t>
      </w:r>
      <w:r w:rsidR="001F616E" w:rsidRPr="00270099">
        <w:rPr>
          <w:sz w:val="28"/>
          <w:szCs w:val="28"/>
        </w:rPr>
        <w:t xml:space="preserve"> </w:t>
      </w:r>
      <w:r w:rsidR="001F616E">
        <w:rPr>
          <w:sz w:val="28"/>
          <w:szCs w:val="28"/>
        </w:rPr>
        <w:t xml:space="preserve">определен для </w:t>
      </w:r>
      <w:r w:rsidR="00410A3D">
        <w:rPr>
          <w:sz w:val="28"/>
          <w:szCs w:val="28"/>
        </w:rPr>
        <w:t>висцеральной жировой ткани</w:t>
      </w:r>
      <w:r w:rsidR="001F616E">
        <w:rPr>
          <w:sz w:val="28"/>
          <w:szCs w:val="28"/>
        </w:rPr>
        <w:t xml:space="preserve"> при значении ниже, чем в опубликованных исследованиях, равно</w:t>
      </w:r>
      <w:r w:rsidR="003C445E">
        <w:rPr>
          <w:sz w:val="28"/>
          <w:szCs w:val="28"/>
        </w:rPr>
        <w:t xml:space="preserve"> как значения для </w:t>
      </w:r>
      <w:r w:rsidR="001F616E">
        <w:rPr>
          <w:sz w:val="28"/>
          <w:szCs w:val="28"/>
          <w:lang w:val="en-US"/>
        </w:rPr>
        <w:t>AUC</w:t>
      </w:r>
      <w:r w:rsidR="003C445E">
        <w:rPr>
          <w:sz w:val="28"/>
          <w:szCs w:val="28"/>
        </w:rPr>
        <w:t xml:space="preserve">, </w:t>
      </w:r>
      <w:r w:rsidR="001F616E">
        <w:rPr>
          <w:sz w:val="28"/>
          <w:szCs w:val="28"/>
          <w:lang w:val="en-US"/>
        </w:rPr>
        <w:t>Se</w:t>
      </w:r>
      <w:r w:rsidR="003C445E">
        <w:rPr>
          <w:sz w:val="28"/>
          <w:szCs w:val="28"/>
        </w:rPr>
        <w:t xml:space="preserve">, </w:t>
      </w:r>
      <w:r w:rsidR="001F616E">
        <w:rPr>
          <w:sz w:val="28"/>
          <w:szCs w:val="28"/>
          <w:lang w:val="en-US"/>
        </w:rPr>
        <w:t>Sp</w:t>
      </w:r>
      <w:r w:rsidR="003C445E">
        <w:rPr>
          <w:sz w:val="28"/>
          <w:szCs w:val="28"/>
        </w:rPr>
        <w:t xml:space="preserve">, </w:t>
      </w:r>
      <w:r w:rsidR="001F616E" w:rsidRPr="00A43B9C">
        <w:rPr>
          <w:sz w:val="28"/>
          <w:szCs w:val="28"/>
          <w:lang w:val="en-US"/>
        </w:rPr>
        <w:t>PPV</w:t>
      </w:r>
      <w:r w:rsidR="001F616E" w:rsidRPr="00BF1BDB">
        <w:rPr>
          <w:sz w:val="28"/>
          <w:szCs w:val="28"/>
        </w:rPr>
        <w:t xml:space="preserve"> </w:t>
      </w:r>
      <w:r w:rsidR="003C445E">
        <w:rPr>
          <w:sz w:val="28"/>
          <w:szCs w:val="28"/>
        </w:rPr>
        <w:t xml:space="preserve">и </w:t>
      </w:r>
      <w:r w:rsidR="001F616E" w:rsidRPr="00A43B9C">
        <w:rPr>
          <w:sz w:val="28"/>
          <w:szCs w:val="28"/>
          <w:lang w:val="en-US"/>
        </w:rPr>
        <w:t>NPV</w:t>
      </w:r>
      <w:r w:rsidR="003C445E">
        <w:rPr>
          <w:sz w:val="28"/>
          <w:szCs w:val="28"/>
        </w:rPr>
        <w:t xml:space="preserve"> с построением прогностической модели </w:t>
      </w:r>
      <w:r w:rsidR="003C445E">
        <w:rPr>
          <w:sz w:val="28"/>
          <w:szCs w:val="28"/>
          <w:lang w:val="en-US"/>
        </w:rPr>
        <w:t>ROC</w:t>
      </w:r>
      <w:r w:rsidR="003C445E" w:rsidRPr="00B169C3">
        <w:rPr>
          <w:sz w:val="28"/>
          <w:szCs w:val="28"/>
        </w:rPr>
        <w:t>-</w:t>
      </w:r>
      <w:r w:rsidR="003C445E">
        <w:rPr>
          <w:sz w:val="28"/>
          <w:szCs w:val="28"/>
        </w:rPr>
        <w:t>кривой</w:t>
      </w:r>
      <w:r w:rsidR="001F616E" w:rsidRPr="00BF1BDB">
        <w:rPr>
          <w:sz w:val="28"/>
          <w:szCs w:val="28"/>
        </w:rPr>
        <w:t>.</w:t>
      </w:r>
      <w:r w:rsidR="001F616E" w:rsidRPr="00882C9C">
        <w:rPr>
          <w:sz w:val="28"/>
          <w:szCs w:val="28"/>
        </w:rPr>
        <w:t xml:space="preserve"> </w:t>
      </w:r>
      <w:r w:rsidR="003C445E">
        <w:rPr>
          <w:sz w:val="28"/>
          <w:szCs w:val="28"/>
        </w:rPr>
        <w:t>Полученные на</w:t>
      </w:r>
      <w:r>
        <w:rPr>
          <w:sz w:val="28"/>
          <w:szCs w:val="28"/>
        </w:rPr>
        <w:t>м</w:t>
      </w:r>
      <w:r w:rsidR="003C445E">
        <w:rPr>
          <w:sz w:val="28"/>
          <w:szCs w:val="28"/>
        </w:rPr>
        <w:t xml:space="preserve">и данные при </w:t>
      </w:r>
      <w:r w:rsidR="00410A3D">
        <w:rPr>
          <w:sz w:val="28"/>
          <w:szCs w:val="28"/>
        </w:rPr>
        <w:t xml:space="preserve">эпителиальном раке яичников </w:t>
      </w:r>
      <w:r w:rsidR="003C445E">
        <w:rPr>
          <w:sz w:val="28"/>
          <w:szCs w:val="28"/>
        </w:rPr>
        <w:t xml:space="preserve">могут быть </w:t>
      </w:r>
      <w:r w:rsidR="001F616E">
        <w:rPr>
          <w:sz w:val="28"/>
          <w:szCs w:val="28"/>
        </w:rPr>
        <w:t>использова</w:t>
      </w:r>
      <w:r w:rsidR="003C445E">
        <w:rPr>
          <w:sz w:val="28"/>
          <w:szCs w:val="28"/>
        </w:rPr>
        <w:t>ны на практике</w:t>
      </w:r>
      <w:r>
        <w:rPr>
          <w:sz w:val="28"/>
          <w:szCs w:val="28"/>
        </w:rPr>
        <w:t>, что является существенным преимущественном нашей работы.</w:t>
      </w:r>
    </w:p>
    <w:p w14:paraId="715CDCB2" w14:textId="1ED4C4CA" w:rsidR="007D6E7A" w:rsidRDefault="007D6E7A" w:rsidP="00A04E05">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Как видно из </w:t>
      </w:r>
      <w:r w:rsidR="00E0794E" w:rsidRPr="00A43B9C">
        <w:rPr>
          <w:rFonts w:ascii="Times New Roman" w:hAnsi="Times New Roman" w:cs="Times New Roman"/>
          <w:sz w:val="28"/>
          <w:szCs w:val="28"/>
        </w:rPr>
        <w:t>приведенных исследований по определению прогностической ценности уровня накоплени</w:t>
      </w:r>
      <w:r w:rsidR="00A120D6" w:rsidRPr="00A43B9C">
        <w:rPr>
          <w:rFonts w:ascii="Times New Roman" w:hAnsi="Times New Roman" w:cs="Times New Roman"/>
          <w:sz w:val="28"/>
          <w:szCs w:val="28"/>
        </w:rPr>
        <w:t>я</w:t>
      </w:r>
      <w:r w:rsidR="00E0794E" w:rsidRPr="00A43B9C">
        <w:rPr>
          <w:rFonts w:ascii="Times New Roman" w:hAnsi="Times New Roman" w:cs="Times New Roman"/>
          <w:sz w:val="28"/>
          <w:szCs w:val="28"/>
        </w:rPr>
        <w:t xml:space="preserve"> метаболических параметров для </w:t>
      </w:r>
      <w:r w:rsidR="00410A3D">
        <w:rPr>
          <w:rFonts w:ascii="Times New Roman" w:hAnsi="Times New Roman" w:cs="Times New Roman"/>
          <w:sz w:val="28"/>
          <w:szCs w:val="28"/>
        </w:rPr>
        <w:t xml:space="preserve">эпителиального рака яичников </w:t>
      </w:r>
      <w:r w:rsidRPr="00A43B9C">
        <w:rPr>
          <w:rFonts w:ascii="Times New Roman" w:hAnsi="Times New Roman" w:cs="Times New Roman"/>
          <w:sz w:val="28"/>
          <w:szCs w:val="28"/>
        </w:rPr>
        <w:t>пороговые значения SUV</w:t>
      </w:r>
      <w:r w:rsidRPr="00A43B9C">
        <w:rPr>
          <w:rFonts w:ascii="Times New Roman" w:hAnsi="Times New Roman" w:cs="Times New Roman"/>
          <w:sz w:val="28"/>
          <w:szCs w:val="28"/>
          <w:vertAlign w:val="subscript"/>
        </w:rPr>
        <w:t>max</w:t>
      </w:r>
      <w:r w:rsidRPr="00A43B9C">
        <w:rPr>
          <w:rFonts w:ascii="Times New Roman" w:hAnsi="Times New Roman" w:cs="Times New Roman"/>
          <w:sz w:val="28"/>
          <w:szCs w:val="28"/>
        </w:rPr>
        <w:t xml:space="preserve"> уровня накоплени</w:t>
      </w:r>
      <w:r w:rsidR="00A120D6" w:rsidRP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FDG</w:t>
      </w:r>
      <w:r w:rsidRPr="00A43B9C">
        <w:rPr>
          <w:rFonts w:ascii="Times New Roman" w:hAnsi="Times New Roman" w:cs="Times New Roman"/>
          <w:sz w:val="28"/>
          <w:szCs w:val="28"/>
        </w:rPr>
        <w:t xml:space="preserve"> сильно варьир</w:t>
      </w:r>
      <w:r w:rsidR="00A86AD2" w:rsidRPr="00A43B9C">
        <w:rPr>
          <w:rFonts w:ascii="Times New Roman" w:hAnsi="Times New Roman" w:cs="Times New Roman"/>
          <w:sz w:val="28"/>
          <w:szCs w:val="28"/>
        </w:rPr>
        <w:t>овали</w:t>
      </w:r>
      <w:r w:rsidRPr="00A43B9C">
        <w:rPr>
          <w:rFonts w:ascii="Times New Roman" w:hAnsi="Times New Roman" w:cs="Times New Roman"/>
          <w:sz w:val="28"/>
          <w:szCs w:val="28"/>
        </w:rPr>
        <w:t xml:space="preserve"> в зависимости от локализаци</w:t>
      </w:r>
      <w:r w:rsidR="00A86AD2" w:rsidRPr="00A43B9C">
        <w:rPr>
          <w:rFonts w:ascii="Times New Roman" w:hAnsi="Times New Roman" w:cs="Times New Roman"/>
          <w:sz w:val="28"/>
          <w:szCs w:val="28"/>
        </w:rPr>
        <w:t>и</w:t>
      </w:r>
      <w:r w:rsidRPr="00A43B9C">
        <w:rPr>
          <w:rFonts w:ascii="Times New Roman" w:hAnsi="Times New Roman" w:cs="Times New Roman"/>
          <w:sz w:val="28"/>
          <w:szCs w:val="28"/>
        </w:rPr>
        <w:t xml:space="preserve">, </w:t>
      </w:r>
      <w:r w:rsidR="00A86AD2" w:rsidRPr="00A43B9C">
        <w:rPr>
          <w:rFonts w:ascii="Times New Roman" w:hAnsi="Times New Roman" w:cs="Times New Roman"/>
          <w:sz w:val="28"/>
          <w:szCs w:val="28"/>
        </w:rPr>
        <w:t>признак</w:t>
      </w:r>
      <w:r w:rsidR="00A120D6" w:rsidRPr="00A43B9C">
        <w:rPr>
          <w:rFonts w:ascii="Times New Roman" w:hAnsi="Times New Roman" w:cs="Times New Roman"/>
          <w:sz w:val="28"/>
          <w:szCs w:val="28"/>
        </w:rPr>
        <w:t>и</w:t>
      </w:r>
      <w:r w:rsidR="00A86AD2" w:rsidRPr="00A43B9C">
        <w:rPr>
          <w:rFonts w:ascii="Times New Roman" w:hAnsi="Times New Roman" w:cs="Times New Roman"/>
          <w:sz w:val="28"/>
          <w:szCs w:val="28"/>
        </w:rPr>
        <w:t xml:space="preserve"> метастазирования в </w:t>
      </w:r>
      <w:r w:rsidR="0016610B">
        <w:rPr>
          <w:rFonts w:ascii="Times New Roman" w:hAnsi="Times New Roman" w:cs="Times New Roman"/>
          <w:sz w:val="28"/>
          <w:szCs w:val="28"/>
        </w:rPr>
        <w:t>брюшину</w:t>
      </w:r>
      <w:r w:rsidR="00A86AD2" w:rsidRPr="00A43B9C">
        <w:rPr>
          <w:rFonts w:ascii="Times New Roman" w:hAnsi="Times New Roman" w:cs="Times New Roman"/>
          <w:sz w:val="28"/>
          <w:szCs w:val="28"/>
        </w:rPr>
        <w:t xml:space="preserve"> </w:t>
      </w:r>
      <w:r w:rsidR="0016610B">
        <w:rPr>
          <w:rFonts w:ascii="Times New Roman" w:hAnsi="Times New Roman" w:cs="Times New Roman"/>
          <w:sz w:val="28"/>
          <w:szCs w:val="28"/>
        </w:rPr>
        <w:t xml:space="preserve">не </w:t>
      </w:r>
      <w:r w:rsidR="00A86AD2" w:rsidRPr="00A43B9C">
        <w:rPr>
          <w:rFonts w:ascii="Times New Roman" w:hAnsi="Times New Roman" w:cs="Times New Roman"/>
          <w:sz w:val="28"/>
          <w:szCs w:val="28"/>
        </w:rPr>
        <w:t>рассматривались</w:t>
      </w:r>
      <w:r w:rsidRPr="00A43B9C">
        <w:rPr>
          <w:rFonts w:ascii="Times New Roman" w:hAnsi="Times New Roman" w:cs="Times New Roman"/>
          <w:sz w:val="28"/>
          <w:szCs w:val="28"/>
        </w:rPr>
        <w:t xml:space="preserve">, </w:t>
      </w:r>
      <w:r w:rsidR="00E0794E" w:rsidRPr="00A43B9C">
        <w:rPr>
          <w:rFonts w:ascii="Times New Roman" w:hAnsi="Times New Roman" w:cs="Times New Roman"/>
          <w:sz w:val="28"/>
          <w:szCs w:val="28"/>
        </w:rPr>
        <w:t xml:space="preserve">также </w:t>
      </w:r>
      <w:r w:rsidRPr="00A43B9C">
        <w:rPr>
          <w:rFonts w:ascii="Times New Roman" w:hAnsi="Times New Roman" w:cs="Times New Roman"/>
          <w:sz w:val="28"/>
          <w:szCs w:val="28"/>
        </w:rPr>
        <w:t>не измерялись уровни накопления SUV</w:t>
      </w:r>
      <w:r w:rsidRPr="00A43B9C">
        <w:rPr>
          <w:rFonts w:ascii="Times New Roman" w:hAnsi="Times New Roman" w:cs="Times New Roman"/>
          <w:sz w:val="28"/>
          <w:szCs w:val="28"/>
          <w:vertAlign w:val="subscript"/>
        </w:rPr>
        <w:t>max</w:t>
      </w:r>
      <w:r w:rsidRPr="00A43B9C">
        <w:rPr>
          <w:rFonts w:ascii="Times New Roman" w:hAnsi="Times New Roman" w:cs="Times New Roman"/>
          <w:sz w:val="28"/>
          <w:szCs w:val="28"/>
        </w:rPr>
        <w:t xml:space="preserve"> ни в одной из локализаций в брюшной полости и полости малого таза, </w:t>
      </w:r>
      <w:r w:rsidR="002E3655" w:rsidRPr="00A43B9C">
        <w:rPr>
          <w:rFonts w:ascii="Times New Roman" w:hAnsi="Times New Roman" w:cs="Times New Roman"/>
          <w:sz w:val="28"/>
          <w:szCs w:val="28"/>
        </w:rPr>
        <w:t xml:space="preserve">не измерялось накопление в </w:t>
      </w:r>
      <w:r w:rsidR="00410A3D">
        <w:rPr>
          <w:rFonts w:ascii="Times New Roman" w:hAnsi="Times New Roman" w:cs="Times New Roman"/>
          <w:sz w:val="28"/>
          <w:szCs w:val="28"/>
        </w:rPr>
        <w:t>висцеральном жире</w:t>
      </w:r>
      <w:r w:rsidR="002E3655"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однако в сравнительном отношении показаны статистически значимые результаты между метаболическими параметрами, такими как </w:t>
      </w:r>
      <w:r w:rsidR="00F170E7" w:rsidRPr="00A43B9C">
        <w:rPr>
          <w:rFonts w:ascii="Times New Roman" w:hAnsi="Times New Roman" w:cs="Times New Roman"/>
          <w:sz w:val="28"/>
          <w:szCs w:val="28"/>
          <w:lang w:val="en-US"/>
        </w:rPr>
        <w:t>MTV</w:t>
      </w:r>
      <w:r w:rsidR="00F170E7" w:rsidRPr="00A43B9C">
        <w:rPr>
          <w:rFonts w:ascii="Times New Roman" w:hAnsi="Times New Roman" w:cs="Times New Roman"/>
          <w:sz w:val="28"/>
          <w:szCs w:val="28"/>
        </w:rPr>
        <w:t xml:space="preserve"> и </w:t>
      </w:r>
      <w:r w:rsidR="00F170E7" w:rsidRPr="00A43B9C">
        <w:rPr>
          <w:rFonts w:ascii="Times New Roman" w:hAnsi="Times New Roman" w:cs="Times New Roman"/>
          <w:sz w:val="28"/>
          <w:szCs w:val="28"/>
          <w:lang w:val="en-US"/>
        </w:rPr>
        <w:t>TLG</w:t>
      </w:r>
      <w:r w:rsidRPr="00A43B9C">
        <w:rPr>
          <w:rFonts w:ascii="Times New Roman" w:hAnsi="Times New Roman" w:cs="Times New Roman"/>
          <w:sz w:val="28"/>
          <w:szCs w:val="28"/>
        </w:rPr>
        <w:t xml:space="preserve">, </w:t>
      </w:r>
      <w:r w:rsidR="00A86AD2" w:rsidRPr="00A43B9C">
        <w:rPr>
          <w:rFonts w:ascii="Times New Roman" w:hAnsi="Times New Roman" w:cs="Times New Roman"/>
          <w:sz w:val="28"/>
          <w:szCs w:val="28"/>
        </w:rPr>
        <w:t xml:space="preserve">а также </w:t>
      </w:r>
      <w:r w:rsidRPr="00A43B9C">
        <w:rPr>
          <w:rFonts w:ascii="Times New Roman" w:hAnsi="Times New Roman" w:cs="Times New Roman"/>
          <w:sz w:val="28"/>
          <w:szCs w:val="28"/>
        </w:rPr>
        <w:t>отражен</w:t>
      </w:r>
      <w:r w:rsidR="00A86AD2" w:rsidRPr="00A43B9C">
        <w:rPr>
          <w:rFonts w:ascii="Times New Roman" w:hAnsi="Times New Roman" w:cs="Times New Roman"/>
          <w:sz w:val="28"/>
          <w:szCs w:val="28"/>
        </w:rPr>
        <w:t>а</w:t>
      </w:r>
      <w:r w:rsidRPr="00A43B9C">
        <w:rPr>
          <w:rFonts w:ascii="Times New Roman" w:hAnsi="Times New Roman" w:cs="Times New Roman"/>
          <w:sz w:val="28"/>
          <w:szCs w:val="28"/>
        </w:rPr>
        <w:t xml:space="preserve"> </w:t>
      </w:r>
      <w:r w:rsidR="009B2EAD" w:rsidRPr="00A43B9C">
        <w:rPr>
          <w:rFonts w:ascii="Times New Roman" w:hAnsi="Times New Roman" w:cs="Times New Roman"/>
          <w:sz w:val="28"/>
          <w:szCs w:val="28"/>
        </w:rPr>
        <w:t>прогностическая ценность метода ПЭТ/КТ исследования.</w:t>
      </w:r>
    </w:p>
    <w:p w14:paraId="2A272024" w14:textId="61AF5597" w:rsidR="00B169C3" w:rsidRDefault="00B169C3" w:rsidP="00A04E0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Что касается нашего исследования, то можно говорить о том, что нами были проведены исследования для достаточного количества респондентов, учтены все локализации брюшной полости и малого таза, проведены дважды </w:t>
      </w:r>
      <w:r w:rsidRPr="00667B3B">
        <w:rPr>
          <w:rFonts w:ascii="Times New Roman" w:hAnsi="Times New Roman" w:cs="Times New Roman"/>
          <w:sz w:val="28"/>
          <w:szCs w:val="28"/>
          <w:vertAlign w:val="superscript"/>
        </w:rPr>
        <w:lastRenderedPageBreak/>
        <w:t>18</w:t>
      </w:r>
      <w:r>
        <w:rPr>
          <w:rFonts w:ascii="Times New Roman" w:hAnsi="Times New Roman" w:cs="Times New Roman"/>
          <w:sz w:val="28"/>
          <w:szCs w:val="28"/>
          <w:lang w:val="en-US"/>
        </w:rPr>
        <w:t>F</w:t>
      </w:r>
      <w:r w:rsidRPr="00667B3B">
        <w:rPr>
          <w:rFonts w:ascii="Times New Roman" w:hAnsi="Times New Roman" w:cs="Times New Roman"/>
          <w:sz w:val="28"/>
          <w:szCs w:val="28"/>
        </w:rPr>
        <w:t>-</w:t>
      </w:r>
      <w:r>
        <w:rPr>
          <w:rFonts w:ascii="Times New Roman" w:hAnsi="Times New Roman" w:cs="Times New Roman"/>
          <w:sz w:val="28"/>
          <w:szCs w:val="28"/>
          <w:lang w:val="en-US"/>
        </w:rPr>
        <w:t>FDG</w:t>
      </w:r>
      <w:r w:rsidRPr="00667B3B">
        <w:rPr>
          <w:rFonts w:ascii="Times New Roman" w:hAnsi="Times New Roman" w:cs="Times New Roman"/>
          <w:sz w:val="28"/>
          <w:szCs w:val="28"/>
        </w:rPr>
        <w:t xml:space="preserve"> </w:t>
      </w:r>
      <w:r>
        <w:rPr>
          <w:rFonts w:ascii="Times New Roman" w:hAnsi="Times New Roman" w:cs="Times New Roman"/>
          <w:sz w:val="28"/>
          <w:szCs w:val="28"/>
        </w:rPr>
        <w:t>ПЭТ/КТ исследования не менее чем через шесть месяцев, при всех локализациях в области интереса измерен метаболический маркер, которая при этом доказала свою статистическую значимую прогностическую модель</w:t>
      </w:r>
      <w:r w:rsidR="00667B3B">
        <w:rPr>
          <w:rFonts w:ascii="Times New Roman" w:hAnsi="Times New Roman" w:cs="Times New Roman"/>
          <w:sz w:val="28"/>
          <w:szCs w:val="28"/>
        </w:rPr>
        <w:t xml:space="preserve"> при активности </w:t>
      </w:r>
      <w:r w:rsidR="00410A3D">
        <w:rPr>
          <w:rFonts w:ascii="Times New Roman" w:hAnsi="Times New Roman" w:cs="Times New Roman"/>
          <w:sz w:val="28"/>
          <w:szCs w:val="28"/>
        </w:rPr>
        <w:t>висцерального жира</w:t>
      </w:r>
      <w:r>
        <w:rPr>
          <w:rFonts w:ascii="Times New Roman" w:hAnsi="Times New Roman" w:cs="Times New Roman"/>
          <w:sz w:val="28"/>
          <w:szCs w:val="28"/>
        </w:rPr>
        <w:t xml:space="preserve">. </w:t>
      </w:r>
      <w:r w:rsidR="008A77D8">
        <w:rPr>
          <w:rFonts w:ascii="Times New Roman" w:hAnsi="Times New Roman" w:cs="Times New Roman"/>
          <w:sz w:val="28"/>
          <w:szCs w:val="28"/>
        </w:rPr>
        <w:t>М</w:t>
      </w:r>
      <w:r>
        <w:rPr>
          <w:rFonts w:ascii="Times New Roman" w:hAnsi="Times New Roman" w:cs="Times New Roman"/>
          <w:sz w:val="28"/>
          <w:szCs w:val="28"/>
        </w:rPr>
        <w:t xml:space="preserve">ожно сделать вывод о том, что измерение активности накопления, корреляционной зависимости, определения прогностической ценности модели </w:t>
      </w:r>
      <w:r w:rsidR="00667B3B">
        <w:rPr>
          <w:rFonts w:ascii="Times New Roman" w:hAnsi="Times New Roman" w:cs="Times New Roman"/>
          <w:sz w:val="28"/>
          <w:szCs w:val="28"/>
        </w:rPr>
        <w:t xml:space="preserve">при </w:t>
      </w:r>
      <w:r w:rsidR="00867268">
        <w:rPr>
          <w:rFonts w:ascii="Times New Roman" w:hAnsi="Times New Roman" w:cs="Times New Roman"/>
          <w:sz w:val="28"/>
          <w:szCs w:val="28"/>
        </w:rPr>
        <w:t xml:space="preserve">канцероматозе </w:t>
      </w:r>
      <w:r>
        <w:rPr>
          <w:rFonts w:ascii="Times New Roman" w:hAnsi="Times New Roman" w:cs="Times New Roman"/>
          <w:sz w:val="28"/>
          <w:szCs w:val="28"/>
        </w:rPr>
        <w:t xml:space="preserve">брюшины и </w:t>
      </w:r>
      <w:r w:rsidRPr="00A43B9C">
        <w:rPr>
          <w:rFonts w:ascii="Times New Roman" w:hAnsi="Times New Roman"/>
          <w:sz w:val="28"/>
          <w:szCs w:val="28"/>
        </w:rPr>
        <w:t>метастатическо</w:t>
      </w:r>
      <w:r w:rsidR="00667B3B">
        <w:rPr>
          <w:rFonts w:ascii="Times New Roman" w:hAnsi="Times New Roman"/>
          <w:sz w:val="28"/>
          <w:szCs w:val="28"/>
        </w:rPr>
        <w:t>м</w:t>
      </w:r>
      <w:r w:rsidRPr="00A43B9C">
        <w:rPr>
          <w:rFonts w:ascii="Times New Roman" w:hAnsi="Times New Roman"/>
          <w:sz w:val="28"/>
          <w:szCs w:val="28"/>
        </w:rPr>
        <w:t xml:space="preserve"> поражени</w:t>
      </w:r>
      <w:r w:rsidR="00667B3B">
        <w:rPr>
          <w:rFonts w:ascii="Times New Roman" w:hAnsi="Times New Roman"/>
          <w:sz w:val="28"/>
          <w:szCs w:val="28"/>
        </w:rPr>
        <w:t>и</w:t>
      </w:r>
      <w:r w:rsidRPr="00A43B9C">
        <w:rPr>
          <w:rFonts w:ascii="Times New Roman" w:hAnsi="Times New Roman"/>
          <w:sz w:val="28"/>
          <w:szCs w:val="28"/>
        </w:rPr>
        <w:t xml:space="preserve"> </w:t>
      </w:r>
      <w:r w:rsidR="00410A3D">
        <w:rPr>
          <w:rFonts w:ascii="Times New Roman" w:hAnsi="Times New Roman"/>
          <w:sz w:val="28"/>
          <w:szCs w:val="28"/>
        </w:rPr>
        <w:t>узлов</w:t>
      </w:r>
      <w:r w:rsidRPr="00A43B9C">
        <w:rPr>
          <w:rFonts w:ascii="Times New Roman" w:hAnsi="Times New Roman"/>
          <w:sz w:val="28"/>
          <w:szCs w:val="28"/>
        </w:rPr>
        <w:t xml:space="preserve"> у пациентов с </w:t>
      </w:r>
      <w:r w:rsidR="00410A3D">
        <w:rPr>
          <w:rFonts w:ascii="Times New Roman" w:hAnsi="Times New Roman"/>
          <w:sz w:val="28"/>
          <w:szCs w:val="28"/>
        </w:rPr>
        <w:t xml:space="preserve">эпителиальным раком яичников </w:t>
      </w:r>
      <w:r>
        <w:rPr>
          <w:rFonts w:ascii="Times New Roman" w:hAnsi="Times New Roman"/>
          <w:sz w:val="28"/>
          <w:szCs w:val="28"/>
        </w:rPr>
        <w:t xml:space="preserve">является </w:t>
      </w:r>
      <w:r w:rsidR="00667B3B">
        <w:rPr>
          <w:rFonts w:ascii="Times New Roman" w:hAnsi="Times New Roman"/>
          <w:sz w:val="28"/>
          <w:szCs w:val="28"/>
        </w:rPr>
        <w:t>статистически</w:t>
      </w:r>
      <w:r>
        <w:rPr>
          <w:rFonts w:ascii="Times New Roman" w:hAnsi="Times New Roman"/>
          <w:sz w:val="28"/>
          <w:szCs w:val="28"/>
        </w:rPr>
        <w:t xml:space="preserve"> достоверным и применим</w:t>
      </w:r>
      <w:r w:rsidR="008A77D8">
        <w:rPr>
          <w:rFonts w:ascii="Times New Roman" w:hAnsi="Times New Roman"/>
          <w:sz w:val="28"/>
          <w:szCs w:val="28"/>
        </w:rPr>
        <w:t>о</w:t>
      </w:r>
      <w:r>
        <w:rPr>
          <w:rFonts w:ascii="Times New Roman" w:hAnsi="Times New Roman"/>
          <w:sz w:val="28"/>
          <w:szCs w:val="28"/>
        </w:rPr>
        <w:t xml:space="preserve"> для использования в клинической онко</w:t>
      </w:r>
      <w:r w:rsidR="00667B3B">
        <w:rPr>
          <w:rFonts w:ascii="Times New Roman" w:hAnsi="Times New Roman"/>
          <w:sz w:val="28"/>
          <w:szCs w:val="28"/>
        </w:rPr>
        <w:t>гинекологии при диагностике с помощью методов ядерной медицины.</w:t>
      </w:r>
    </w:p>
    <w:p w14:paraId="43AF481D" w14:textId="3D155F2D" w:rsidR="00A86AD2" w:rsidRDefault="003A68B6" w:rsidP="00D85264">
      <w:pPr>
        <w:spacing w:after="0" w:line="240" w:lineRule="auto"/>
        <w:ind w:firstLine="709"/>
        <w:jc w:val="both"/>
        <w:rPr>
          <w:rFonts w:ascii="Times New Roman" w:hAnsi="Times New Roman" w:cs="Times New Roman"/>
          <w:sz w:val="28"/>
          <w:szCs w:val="28"/>
        </w:rPr>
      </w:pPr>
      <w:bookmarkStart w:id="115" w:name="_Hlk117893648"/>
      <w:bookmarkEnd w:id="114"/>
      <w:r w:rsidRPr="00A43B9C">
        <w:rPr>
          <w:rFonts w:ascii="Times New Roman" w:hAnsi="Times New Roman" w:cs="Times New Roman"/>
          <w:b/>
          <w:bCs/>
          <w:sz w:val="28"/>
          <w:szCs w:val="28"/>
        </w:rPr>
        <w:t>Колоректальный рак</w:t>
      </w:r>
      <w:r w:rsidR="00D85264" w:rsidRPr="00A43B9C">
        <w:rPr>
          <w:rFonts w:ascii="Times New Roman" w:hAnsi="Times New Roman" w:cs="Times New Roman"/>
          <w:b/>
          <w:bCs/>
          <w:sz w:val="28"/>
          <w:szCs w:val="28"/>
        </w:rPr>
        <w:t xml:space="preserve">. </w:t>
      </w:r>
      <w:r w:rsidR="00A86AD2" w:rsidRPr="00A43B9C">
        <w:rPr>
          <w:rFonts w:ascii="Times New Roman" w:hAnsi="Times New Roman" w:cs="Times New Roman"/>
          <w:bCs/>
          <w:sz w:val="28"/>
          <w:szCs w:val="28"/>
        </w:rPr>
        <w:t xml:space="preserve">Кратко результаты предыдущих исследований данной </w:t>
      </w:r>
      <w:r w:rsidR="00372E4F">
        <w:rPr>
          <w:rFonts w:ascii="Times New Roman" w:hAnsi="Times New Roman" w:cs="Times New Roman"/>
          <w:bCs/>
          <w:sz w:val="28"/>
          <w:szCs w:val="28"/>
        </w:rPr>
        <w:t>онкологии</w:t>
      </w:r>
      <w:r w:rsidR="00A86AD2" w:rsidRPr="00A43B9C">
        <w:rPr>
          <w:rFonts w:ascii="Times New Roman" w:hAnsi="Times New Roman" w:cs="Times New Roman"/>
          <w:bCs/>
          <w:sz w:val="28"/>
          <w:szCs w:val="28"/>
        </w:rPr>
        <w:t xml:space="preserve"> сводились к следующему. </w:t>
      </w:r>
      <w:r w:rsidRPr="00A43B9C">
        <w:rPr>
          <w:rFonts w:ascii="Times New Roman" w:hAnsi="Times New Roman" w:cs="Times New Roman"/>
          <w:sz w:val="28"/>
          <w:szCs w:val="28"/>
        </w:rPr>
        <w:t xml:space="preserve">Целью </w:t>
      </w:r>
      <w:r w:rsidRPr="00BA6A18">
        <w:rPr>
          <w:rFonts w:ascii="Times New Roman" w:hAnsi="Times New Roman" w:cs="Times New Roman"/>
          <w:sz w:val="28"/>
          <w:szCs w:val="28"/>
        </w:rPr>
        <w:t>проспект</w:t>
      </w:r>
      <w:r w:rsidRPr="0073620A">
        <w:rPr>
          <w:rFonts w:ascii="Times New Roman" w:hAnsi="Times New Roman" w:cs="Times New Roman"/>
          <w:sz w:val="28"/>
          <w:szCs w:val="28"/>
        </w:rPr>
        <w:t xml:space="preserve">ивного исследования </w:t>
      </w:r>
      <w:r w:rsidRPr="0073620A">
        <w:rPr>
          <w:rFonts w:ascii="Times New Roman" w:hAnsi="Times New Roman" w:cs="Times New Roman"/>
          <w:sz w:val="28"/>
          <w:szCs w:val="28"/>
          <w:lang w:val="en-US"/>
        </w:rPr>
        <w:t>Ozis</w:t>
      </w:r>
      <w:r w:rsidRPr="0073620A">
        <w:rPr>
          <w:rFonts w:ascii="Times New Roman" w:hAnsi="Times New Roman" w:cs="Times New Roman"/>
          <w:sz w:val="28"/>
          <w:szCs w:val="28"/>
        </w:rPr>
        <w:t xml:space="preserve"> </w:t>
      </w:r>
      <w:r w:rsidRPr="0073620A">
        <w:rPr>
          <w:rFonts w:ascii="Times New Roman" w:hAnsi="Times New Roman" w:cs="Times New Roman"/>
          <w:sz w:val="28"/>
          <w:szCs w:val="28"/>
          <w:lang w:val="en-US"/>
        </w:rPr>
        <w:t>et</w:t>
      </w:r>
      <w:r w:rsidRPr="0073620A">
        <w:rPr>
          <w:rFonts w:ascii="Times New Roman" w:hAnsi="Times New Roman" w:cs="Times New Roman"/>
          <w:sz w:val="28"/>
          <w:szCs w:val="28"/>
        </w:rPr>
        <w:t xml:space="preserve"> </w:t>
      </w:r>
      <w:r w:rsidRPr="0073620A">
        <w:rPr>
          <w:rFonts w:ascii="Times New Roman" w:hAnsi="Times New Roman" w:cs="Times New Roman"/>
          <w:sz w:val="28"/>
          <w:szCs w:val="28"/>
          <w:lang w:val="en-US"/>
        </w:rPr>
        <w:t>al</w:t>
      </w:r>
      <w:r w:rsidRPr="0073620A">
        <w:rPr>
          <w:rFonts w:ascii="Times New Roman" w:hAnsi="Times New Roman" w:cs="Times New Roman"/>
          <w:sz w:val="28"/>
          <w:szCs w:val="28"/>
        </w:rPr>
        <w:t xml:space="preserve">. было определить необходимость </w:t>
      </w:r>
      <w:r w:rsidRPr="0073620A">
        <w:rPr>
          <w:rFonts w:ascii="Times New Roman" w:hAnsi="Times New Roman" w:cs="Times New Roman"/>
          <w:sz w:val="28"/>
          <w:szCs w:val="28"/>
          <w:vertAlign w:val="superscript"/>
        </w:rPr>
        <w:t>18</w:t>
      </w:r>
      <w:r w:rsidRPr="0073620A">
        <w:rPr>
          <w:rFonts w:ascii="Times New Roman" w:hAnsi="Times New Roman" w:cs="Times New Roman"/>
          <w:sz w:val="28"/>
          <w:szCs w:val="28"/>
        </w:rPr>
        <w:t>F-</w:t>
      </w:r>
      <w:r w:rsidRPr="0073620A">
        <w:rPr>
          <w:rFonts w:ascii="Times New Roman" w:hAnsi="Times New Roman" w:cs="Times New Roman"/>
          <w:sz w:val="28"/>
          <w:szCs w:val="28"/>
          <w:lang w:val="en-US"/>
        </w:rPr>
        <w:t>FDG</w:t>
      </w:r>
      <w:r w:rsidRPr="0073620A">
        <w:rPr>
          <w:rFonts w:ascii="Times New Roman" w:hAnsi="Times New Roman" w:cs="Times New Roman"/>
          <w:sz w:val="28"/>
          <w:szCs w:val="28"/>
        </w:rPr>
        <w:t xml:space="preserve"> ПЭТ/КТ в предоперационной стадии рака прямой кишки в зависимости от уровня и локализации первичной опухоли у 97 пациентов с диагнозом аденокарциномой прямой кишки. Среднее пороговое значение </w:t>
      </w:r>
      <w:r w:rsidRPr="0073620A">
        <w:rPr>
          <w:rFonts w:ascii="Times New Roman" w:hAnsi="Times New Roman" w:cs="Times New Roman"/>
          <w:sz w:val="28"/>
          <w:szCs w:val="28"/>
          <w:lang w:val="en-US"/>
        </w:rPr>
        <w:t>SUV</w:t>
      </w:r>
      <w:r w:rsidRPr="0073620A">
        <w:rPr>
          <w:rFonts w:ascii="Times New Roman" w:hAnsi="Times New Roman" w:cs="Times New Roman"/>
          <w:sz w:val="28"/>
          <w:szCs w:val="28"/>
          <w:vertAlign w:val="subscript"/>
          <w:lang w:val="en-US"/>
        </w:rPr>
        <w:t>max</w:t>
      </w:r>
      <w:r w:rsidRPr="0073620A">
        <w:rPr>
          <w:rFonts w:ascii="Times New Roman" w:hAnsi="Times New Roman" w:cs="Times New Roman"/>
          <w:sz w:val="28"/>
          <w:szCs w:val="28"/>
        </w:rPr>
        <w:t xml:space="preserve"> </w:t>
      </w:r>
      <w:r w:rsidRPr="0073620A">
        <w:rPr>
          <w:rFonts w:ascii="Times New Roman" w:hAnsi="Times New Roman" w:cs="Times New Roman"/>
          <w:sz w:val="28"/>
          <w:szCs w:val="28"/>
          <w:lang w:val="en-US"/>
        </w:rPr>
        <w:t>FDG</w:t>
      </w:r>
      <w:r w:rsidRPr="0073620A">
        <w:rPr>
          <w:rFonts w:ascii="Times New Roman" w:hAnsi="Times New Roman" w:cs="Times New Roman"/>
          <w:sz w:val="28"/>
          <w:szCs w:val="28"/>
        </w:rPr>
        <w:t xml:space="preserve">-позитивных опухолей прямой кишки было рассчитано как 17,31 ± 9,37. Кроме того, поглощение </w:t>
      </w:r>
      <w:r w:rsidRPr="0073620A">
        <w:rPr>
          <w:rFonts w:ascii="Times New Roman" w:hAnsi="Times New Roman" w:cs="Times New Roman"/>
          <w:sz w:val="28"/>
          <w:szCs w:val="28"/>
          <w:vertAlign w:val="superscript"/>
        </w:rPr>
        <w:t>18</w:t>
      </w:r>
      <w:r w:rsidRPr="0073620A">
        <w:rPr>
          <w:rFonts w:ascii="Times New Roman" w:hAnsi="Times New Roman" w:cs="Times New Roman"/>
          <w:sz w:val="28"/>
          <w:szCs w:val="28"/>
          <w:lang w:val="en-US"/>
        </w:rPr>
        <w:t>F</w:t>
      </w:r>
      <w:r w:rsidRPr="0073620A">
        <w:rPr>
          <w:rFonts w:ascii="Times New Roman" w:hAnsi="Times New Roman" w:cs="Times New Roman"/>
          <w:sz w:val="28"/>
          <w:szCs w:val="28"/>
        </w:rPr>
        <w:t>-</w:t>
      </w:r>
      <w:r w:rsidRPr="0073620A">
        <w:rPr>
          <w:rFonts w:ascii="Times New Roman" w:hAnsi="Times New Roman" w:cs="Times New Roman"/>
          <w:sz w:val="28"/>
          <w:szCs w:val="28"/>
          <w:lang w:val="en-US"/>
        </w:rPr>
        <w:t>FDG</w:t>
      </w:r>
      <w:r w:rsidRPr="0073620A">
        <w:rPr>
          <w:rFonts w:ascii="Times New Roman" w:hAnsi="Times New Roman" w:cs="Times New Roman"/>
          <w:sz w:val="28"/>
          <w:szCs w:val="28"/>
        </w:rPr>
        <w:t xml:space="preserve"> наблюдались в тазовых </w:t>
      </w:r>
      <w:r w:rsidR="00D83043">
        <w:rPr>
          <w:rFonts w:ascii="Times New Roman" w:hAnsi="Times New Roman" w:cs="Times New Roman"/>
          <w:sz w:val="28"/>
          <w:szCs w:val="28"/>
        </w:rPr>
        <w:t>лимфатических узлах</w:t>
      </w:r>
      <w:r w:rsidRPr="0073620A">
        <w:rPr>
          <w:rFonts w:ascii="Times New Roman" w:hAnsi="Times New Roman" w:cs="Times New Roman"/>
          <w:sz w:val="28"/>
          <w:szCs w:val="28"/>
        </w:rPr>
        <w:t xml:space="preserve"> и в отдаленных органах (печень, легкие, кости, отдаленные </w:t>
      </w:r>
      <w:r w:rsidR="008A22FE">
        <w:rPr>
          <w:rFonts w:ascii="Times New Roman" w:hAnsi="Times New Roman" w:cs="Times New Roman"/>
          <w:sz w:val="28"/>
          <w:szCs w:val="28"/>
        </w:rPr>
        <w:t>лимфоузлы</w:t>
      </w:r>
      <w:r w:rsidRPr="0073620A">
        <w:rPr>
          <w:rFonts w:ascii="Times New Roman" w:hAnsi="Times New Roman" w:cs="Times New Roman"/>
          <w:sz w:val="28"/>
          <w:szCs w:val="28"/>
        </w:rPr>
        <w:t xml:space="preserve">, матка и сигмовидная кишка). </w:t>
      </w:r>
      <w:r w:rsidR="00A86AD2" w:rsidRPr="0073620A">
        <w:rPr>
          <w:rFonts w:ascii="Times New Roman" w:hAnsi="Times New Roman" w:cs="Times New Roman"/>
          <w:sz w:val="28"/>
          <w:szCs w:val="28"/>
        </w:rPr>
        <w:t>А</w:t>
      </w:r>
      <w:r w:rsidRPr="0073620A">
        <w:rPr>
          <w:rFonts w:ascii="Times New Roman" w:hAnsi="Times New Roman" w:cs="Times New Roman"/>
          <w:sz w:val="28"/>
          <w:szCs w:val="28"/>
        </w:rPr>
        <w:t>вторы</w:t>
      </w:r>
      <w:r w:rsidRPr="00A43B9C">
        <w:rPr>
          <w:rFonts w:ascii="Times New Roman" w:hAnsi="Times New Roman" w:cs="Times New Roman"/>
          <w:sz w:val="28"/>
          <w:szCs w:val="28"/>
        </w:rPr>
        <w:t xml:space="preserve"> резюмировали, что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rPr>
        <w:t>F-</w:t>
      </w:r>
      <w:r w:rsidRPr="00A43B9C">
        <w:rPr>
          <w:rFonts w:ascii="Times New Roman" w:hAnsi="Times New Roman" w:cs="Times New Roman"/>
          <w:sz w:val="28"/>
          <w:szCs w:val="28"/>
          <w:lang w:val="en-US"/>
        </w:rPr>
        <w:t>FDG</w:t>
      </w:r>
      <w:r w:rsidRPr="00A43B9C">
        <w:rPr>
          <w:rFonts w:ascii="Times New Roman" w:hAnsi="Times New Roman" w:cs="Times New Roman"/>
          <w:sz w:val="28"/>
          <w:szCs w:val="28"/>
        </w:rPr>
        <w:t xml:space="preserve"> ПЭТ/КТ позвол</w:t>
      </w:r>
      <w:r w:rsidR="00A86AD2" w:rsidRPr="00A43B9C">
        <w:rPr>
          <w:rFonts w:ascii="Times New Roman" w:hAnsi="Times New Roman" w:cs="Times New Roman"/>
          <w:sz w:val="28"/>
          <w:szCs w:val="28"/>
        </w:rPr>
        <w:t>ило</w:t>
      </w:r>
      <w:r w:rsidRPr="00A43B9C">
        <w:rPr>
          <w:rFonts w:ascii="Times New Roman" w:hAnsi="Times New Roman" w:cs="Times New Roman"/>
          <w:sz w:val="28"/>
          <w:szCs w:val="28"/>
        </w:rPr>
        <w:t xml:space="preserve"> получить новые результаты в дополнение к традиционным методам определения стадии первичного рака прямой кишки, что в перспективе </w:t>
      </w:r>
      <w:r w:rsidR="00A86AD2" w:rsidRPr="00A43B9C">
        <w:rPr>
          <w:rFonts w:ascii="Times New Roman" w:hAnsi="Times New Roman" w:cs="Times New Roman"/>
          <w:sz w:val="28"/>
          <w:szCs w:val="28"/>
        </w:rPr>
        <w:t>поможет</w:t>
      </w:r>
      <w:r w:rsidRPr="00A43B9C">
        <w:rPr>
          <w:rFonts w:ascii="Times New Roman" w:hAnsi="Times New Roman" w:cs="Times New Roman"/>
          <w:sz w:val="28"/>
          <w:szCs w:val="28"/>
        </w:rPr>
        <w:t xml:space="preserve"> изменить стратегии лечения пациентов</w:t>
      </w:r>
      <w:r w:rsidR="00DF4B02" w:rsidRPr="00A43B9C">
        <w:rPr>
          <w:rFonts w:ascii="Times New Roman" w:hAnsi="Times New Roman" w:cs="Times New Roman"/>
          <w:sz w:val="28"/>
          <w:szCs w:val="28"/>
        </w:rPr>
        <w:t xml:space="preserve"> </w:t>
      </w:r>
      <w:r w:rsidR="00DF4B02" w:rsidRPr="00A43B9C">
        <w:rPr>
          <w:rFonts w:ascii="Times New Roman" w:hAnsi="Times New Roman" w:cs="Times New Roman"/>
          <w:sz w:val="28"/>
          <w:szCs w:val="28"/>
        </w:rPr>
        <w:fldChar w:fldCharType="begin"/>
      </w:r>
      <w:r w:rsidR="00F6152F">
        <w:rPr>
          <w:rFonts w:ascii="Times New Roman" w:hAnsi="Times New Roman" w:cs="Times New Roman"/>
          <w:sz w:val="28"/>
          <w:szCs w:val="28"/>
        </w:rPr>
        <w:instrText xml:space="preserve"> ADDIN ZOTERO_ITEM CSL_CITATION {"citationID":"a8igkpt55p","properties":{"formattedCitation":"[201]","plainCitation":"[201]","noteIndex":0},"citationItems":[{"id":30,"uris":["http://zotero.org/users/8787459/items/5TG7DU3L"],"itemData":{"id":30,"type":"article-journal","abstract":"In this study we aimed to determine the need for 18F-flourodeoxyglucose (FDG) positron emission tomography/computed tomography (PET/CT) in the preoperative staging of rectal carcinoma in our large patient group according to level and location of tumor.","container-title":"World Journal of Surgical Oncology","DOI":"10.1186/1477-7819-12-26","ISSN":"1477-7819","issue":"1","journalAbbreviation":"World Journal of Surgical Oncology","page":"26","source":"BioMed Central","title":"The role of 18F-fluorodeoxyglucose positron emission tomography/computed tomography in the primary staging of rectal cancer","volume":"12","author":[{"family":"Ozis","given":"Salih Erpulat"},{"family":"Soydal","given":"Cigdem"},{"family":"Akyol","given":"Cihangir"},{"family":"Can","given":"Nalan"},{"family":"Kucuk","given":"Ozlem Nuriye"},{"family":"Yagcı","given":"Cemil"},{"family":"Erkek","given":"Ayhan Bulent"},{"family":"Kuzu","given":"Mehmet Ayhan"}],"issued":{"date-parts":[["2014",2,1]]}}}],"schema":"https://github.com/citation-style-language/schema/raw/master/csl-citation.json"} </w:instrText>
      </w:r>
      <w:r w:rsidR="00DF4B02" w:rsidRPr="00A43B9C">
        <w:rPr>
          <w:rFonts w:ascii="Times New Roman" w:hAnsi="Times New Roman" w:cs="Times New Roman"/>
          <w:sz w:val="28"/>
          <w:szCs w:val="28"/>
        </w:rPr>
        <w:fldChar w:fldCharType="separate"/>
      </w:r>
      <w:r w:rsidR="00F6152F" w:rsidRPr="00F6152F">
        <w:rPr>
          <w:rFonts w:ascii="Times New Roman" w:hAnsi="Times New Roman" w:cs="Times New Roman"/>
          <w:sz w:val="28"/>
        </w:rPr>
        <w:t>[201]</w:t>
      </w:r>
      <w:r w:rsidR="00DF4B02" w:rsidRPr="00A43B9C">
        <w:rPr>
          <w:rFonts w:ascii="Times New Roman" w:hAnsi="Times New Roman" w:cs="Times New Roman"/>
          <w:sz w:val="28"/>
          <w:szCs w:val="28"/>
        </w:rPr>
        <w:fldChar w:fldCharType="end"/>
      </w:r>
      <w:r w:rsidRPr="00A43B9C">
        <w:rPr>
          <w:rFonts w:ascii="Times New Roman" w:hAnsi="Times New Roman" w:cs="Times New Roman"/>
          <w:sz w:val="28"/>
          <w:szCs w:val="28"/>
        </w:rPr>
        <w:t>.</w:t>
      </w:r>
    </w:p>
    <w:p w14:paraId="7AD34D54" w14:textId="493AD4A7" w:rsidR="00372E4F" w:rsidRPr="00372E4F" w:rsidRDefault="00BA6A18" w:rsidP="00D8526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w:t>
      </w:r>
      <w:r w:rsidR="00372E4F">
        <w:rPr>
          <w:rFonts w:ascii="Times New Roman" w:hAnsi="Times New Roman" w:cs="Times New Roman"/>
          <w:sz w:val="28"/>
          <w:szCs w:val="28"/>
        </w:rPr>
        <w:t>равнени</w:t>
      </w:r>
      <w:r>
        <w:rPr>
          <w:rFonts w:ascii="Times New Roman" w:hAnsi="Times New Roman" w:cs="Times New Roman"/>
          <w:sz w:val="28"/>
          <w:szCs w:val="28"/>
        </w:rPr>
        <w:t>е</w:t>
      </w:r>
      <w:r w:rsidR="00372E4F">
        <w:rPr>
          <w:rFonts w:ascii="Times New Roman" w:hAnsi="Times New Roman" w:cs="Times New Roman"/>
          <w:sz w:val="28"/>
          <w:szCs w:val="28"/>
        </w:rPr>
        <w:t xml:space="preserve"> данного исследования с нашим</w:t>
      </w:r>
      <w:r w:rsidR="008A77D8">
        <w:rPr>
          <w:rFonts w:ascii="Times New Roman" w:hAnsi="Times New Roman" w:cs="Times New Roman"/>
          <w:sz w:val="28"/>
          <w:szCs w:val="28"/>
        </w:rPr>
        <w:t>и результатами</w:t>
      </w:r>
      <w:r>
        <w:rPr>
          <w:rFonts w:ascii="Times New Roman" w:hAnsi="Times New Roman" w:cs="Times New Roman"/>
          <w:sz w:val="28"/>
          <w:szCs w:val="28"/>
        </w:rPr>
        <w:t xml:space="preserve"> показало </w:t>
      </w:r>
      <w:r w:rsidR="00372E4F">
        <w:rPr>
          <w:rFonts w:ascii="Times New Roman" w:hAnsi="Times New Roman" w:cs="Times New Roman"/>
          <w:sz w:val="28"/>
          <w:szCs w:val="28"/>
        </w:rPr>
        <w:t xml:space="preserve">следующее. Наше исследование, так </w:t>
      </w:r>
      <w:r w:rsidR="00E25388">
        <w:rPr>
          <w:rFonts w:ascii="Times New Roman" w:hAnsi="Times New Roman" w:cs="Times New Roman"/>
          <w:sz w:val="28"/>
          <w:szCs w:val="28"/>
        </w:rPr>
        <w:t>же,</w:t>
      </w:r>
      <w:r w:rsidR="00372E4F">
        <w:rPr>
          <w:rFonts w:ascii="Times New Roman" w:hAnsi="Times New Roman" w:cs="Times New Roman"/>
          <w:sz w:val="28"/>
          <w:szCs w:val="28"/>
        </w:rPr>
        <w:t xml:space="preserve"> как и приведенные результаты явля</w:t>
      </w:r>
      <w:r w:rsidR="008A77D8">
        <w:rPr>
          <w:rFonts w:ascii="Times New Roman" w:hAnsi="Times New Roman" w:cs="Times New Roman"/>
          <w:sz w:val="28"/>
          <w:szCs w:val="28"/>
        </w:rPr>
        <w:t>е</w:t>
      </w:r>
      <w:r w:rsidR="00372E4F">
        <w:rPr>
          <w:rFonts w:ascii="Times New Roman" w:hAnsi="Times New Roman" w:cs="Times New Roman"/>
          <w:sz w:val="28"/>
          <w:szCs w:val="28"/>
        </w:rPr>
        <w:t xml:space="preserve">тся проспективным и определило необходимость проведения предоперационного накопления </w:t>
      </w:r>
      <w:r w:rsidR="00372E4F" w:rsidRPr="00A43B9C">
        <w:rPr>
          <w:rFonts w:ascii="Times New Roman" w:hAnsi="Times New Roman" w:cs="Times New Roman"/>
          <w:sz w:val="28"/>
          <w:szCs w:val="28"/>
          <w:vertAlign w:val="superscript"/>
        </w:rPr>
        <w:t>18</w:t>
      </w:r>
      <w:r w:rsidR="00372E4F" w:rsidRPr="00A43B9C">
        <w:rPr>
          <w:rFonts w:ascii="Times New Roman" w:hAnsi="Times New Roman" w:cs="Times New Roman"/>
          <w:sz w:val="28"/>
          <w:szCs w:val="28"/>
        </w:rPr>
        <w:t>F-</w:t>
      </w:r>
      <w:r w:rsidR="00372E4F" w:rsidRPr="00A43B9C">
        <w:rPr>
          <w:rFonts w:ascii="Times New Roman" w:hAnsi="Times New Roman" w:cs="Times New Roman"/>
          <w:sz w:val="28"/>
          <w:szCs w:val="28"/>
          <w:lang w:val="en-US"/>
        </w:rPr>
        <w:t>FDG</w:t>
      </w:r>
      <w:r w:rsidR="00372E4F" w:rsidRPr="00A43B9C">
        <w:rPr>
          <w:rFonts w:ascii="Times New Roman" w:hAnsi="Times New Roman" w:cs="Times New Roman"/>
          <w:sz w:val="28"/>
          <w:szCs w:val="28"/>
        </w:rPr>
        <w:t xml:space="preserve"> ПЭТ/КТ</w:t>
      </w:r>
      <w:r w:rsidR="00372E4F">
        <w:rPr>
          <w:rFonts w:ascii="Times New Roman" w:hAnsi="Times New Roman" w:cs="Times New Roman"/>
          <w:sz w:val="28"/>
          <w:szCs w:val="28"/>
        </w:rPr>
        <w:t xml:space="preserve"> только для рака прямой кишки, тогда как в наше исследование были включены данные аденокарцином при рак</w:t>
      </w:r>
      <w:r>
        <w:rPr>
          <w:rFonts w:ascii="Times New Roman" w:hAnsi="Times New Roman" w:cs="Times New Roman"/>
          <w:sz w:val="28"/>
          <w:szCs w:val="28"/>
        </w:rPr>
        <w:t>ах</w:t>
      </w:r>
      <w:r w:rsidR="00372E4F">
        <w:rPr>
          <w:rFonts w:ascii="Times New Roman" w:hAnsi="Times New Roman" w:cs="Times New Roman"/>
          <w:sz w:val="28"/>
          <w:szCs w:val="28"/>
        </w:rPr>
        <w:t xml:space="preserve"> ободочной, прямой и сигмовидной кишок у 60 пациентов. При этом нами были определены пороговые значения уровня </w:t>
      </w:r>
      <w:r w:rsidR="00372E4F" w:rsidRPr="00372E4F">
        <w:rPr>
          <w:rFonts w:ascii="Times New Roman" w:hAnsi="Times New Roman" w:cs="Times New Roman"/>
          <w:sz w:val="28"/>
          <w:szCs w:val="28"/>
        </w:rPr>
        <w:t xml:space="preserve">накопления </w:t>
      </w:r>
      <w:r w:rsidR="00372E4F" w:rsidRPr="007E2D2F">
        <w:rPr>
          <w:rFonts w:ascii="Times New Roman" w:hAnsi="Times New Roman" w:cs="Times New Roman"/>
          <w:sz w:val="28"/>
          <w:szCs w:val="28"/>
          <w:lang w:val="en-US"/>
        </w:rPr>
        <w:t>SUV</w:t>
      </w:r>
      <w:r w:rsidR="00372E4F" w:rsidRPr="007E2D2F">
        <w:rPr>
          <w:rFonts w:ascii="Times New Roman" w:hAnsi="Times New Roman" w:cs="Times New Roman"/>
          <w:sz w:val="28"/>
          <w:szCs w:val="28"/>
          <w:vertAlign w:val="subscript"/>
          <w:lang w:val="en-US"/>
        </w:rPr>
        <w:t>max</w:t>
      </w:r>
      <w:r w:rsidR="00372E4F" w:rsidRPr="00372E4F">
        <w:rPr>
          <w:rFonts w:ascii="Times New Roman" w:hAnsi="Times New Roman" w:cs="Times New Roman"/>
          <w:sz w:val="28"/>
          <w:szCs w:val="28"/>
        </w:rPr>
        <w:t xml:space="preserve"> позитивных</w:t>
      </w:r>
      <w:r w:rsidR="00372E4F">
        <w:rPr>
          <w:rFonts w:ascii="Times New Roman" w:hAnsi="Times New Roman" w:cs="Times New Roman"/>
          <w:sz w:val="28"/>
          <w:szCs w:val="28"/>
        </w:rPr>
        <w:t xml:space="preserve"> опухолей в </w:t>
      </w:r>
      <w:r w:rsidR="008A22FE">
        <w:rPr>
          <w:rFonts w:ascii="Times New Roman" w:hAnsi="Times New Roman" w:cs="Times New Roman"/>
          <w:sz w:val="28"/>
          <w:szCs w:val="28"/>
        </w:rPr>
        <w:t>мезентериальном жире</w:t>
      </w:r>
      <w:r w:rsidR="00372E4F">
        <w:rPr>
          <w:rFonts w:ascii="Times New Roman" w:hAnsi="Times New Roman" w:cs="Times New Roman"/>
          <w:sz w:val="28"/>
          <w:szCs w:val="28"/>
        </w:rPr>
        <w:t xml:space="preserve">, а не в первичной опухоли, т.к. наши пациенты подверглись обследованиям только после оперативного вмешательства и курсов химиолучевой терапии. Также наши данные по метастазированию </w:t>
      </w:r>
      <w:r w:rsidR="0016610B">
        <w:rPr>
          <w:rFonts w:ascii="Times New Roman" w:hAnsi="Times New Roman" w:cs="Times New Roman"/>
          <w:sz w:val="28"/>
          <w:szCs w:val="28"/>
        </w:rPr>
        <w:t>брюшины</w:t>
      </w:r>
      <w:r w:rsidR="00372E4F">
        <w:rPr>
          <w:rFonts w:ascii="Times New Roman" w:hAnsi="Times New Roman" w:cs="Times New Roman"/>
          <w:sz w:val="28"/>
          <w:szCs w:val="28"/>
        </w:rPr>
        <w:t xml:space="preserve"> являлись практически аналогичными и показали свою значимую достоверность.</w:t>
      </w:r>
    </w:p>
    <w:p w14:paraId="238F41E3" w14:textId="3BA408A2" w:rsidR="00A86AD2" w:rsidRDefault="003A68B6" w:rsidP="00D85264">
      <w:pPr>
        <w:spacing w:after="0" w:line="240" w:lineRule="auto"/>
        <w:ind w:firstLine="709"/>
        <w:jc w:val="both"/>
        <w:rPr>
          <w:rFonts w:ascii="Times New Roman" w:hAnsi="Times New Roman" w:cs="Times New Roman"/>
          <w:sz w:val="28"/>
          <w:szCs w:val="28"/>
        </w:rPr>
      </w:pPr>
      <w:bookmarkStart w:id="116" w:name="_Hlk117893656"/>
      <w:bookmarkEnd w:id="115"/>
      <w:r w:rsidRPr="006F3353">
        <w:rPr>
          <w:rFonts w:ascii="Times New Roman" w:hAnsi="Times New Roman" w:cs="Times New Roman"/>
          <w:sz w:val="28"/>
          <w:szCs w:val="28"/>
        </w:rPr>
        <w:t xml:space="preserve">Целью исследования </w:t>
      </w:r>
      <w:r w:rsidRPr="006F3353">
        <w:rPr>
          <w:rFonts w:ascii="Times New Roman" w:hAnsi="Times New Roman" w:cs="Times New Roman"/>
          <w:sz w:val="28"/>
          <w:szCs w:val="28"/>
          <w:lang w:val="en-US"/>
        </w:rPr>
        <w:t>Ogawa</w:t>
      </w:r>
      <w:r w:rsidRPr="006F3353">
        <w:rPr>
          <w:rFonts w:ascii="Times New Roman" w:hAnsi="Times New Roman" w:cs="Times New Roman"/>
          <w:sz w:val="28"/>
          <w:szCs w:val="28"/>
        </w:rPr>
        <w:t xml:space="preserve"> </w:t>
      </w:r>
      <w:r w:rsidRPr="006F3353">
        <w:rPr>
          <w:rFonts w:ascii="Times New Roman" w:hAnsi="Times New Roman" w:cs="Times New Roman"/>
          <w:sz w:val="28"/>
          <w:szCs w:val="28"/>
          <w:lang w:val="en-US"/>
        </w:rPr>
        <w:t>et</w:t>
      </w:r>
      <w:r w:rsidRPr="006F3353">
        <w:rPr>
          <w:rFonts w:ascii="Times New Roman" w:hAnsi="Times New Roman" w:cs="Times New Roman"/>
          <w:sz w:val="28"/>
          <w:szCs w:val="28"/>
        </w:rPr>
        <w:t xml:space="preserve"> </w:t>
      </w:r>
      <w:r w:rsidRPr="006F3353">
        <w:rPr>
          <w:rFonts w:ascii="Times New Roman" w:hAnsi="Times New Roman" w:cs="Times New Roman"/>
          <w:sz w:val="28"/>
          <w:szCs w:val="28"/>
          <w:lang w:val="en-US"/>
        </w:rPr>
        <w:t>al</w:t>
      </w:r>
      <w:r w:rsidRPr="006F3353">
        <w:rPr>
          <w:rFonts w:ascii="Times New Roman" w:hAnsi="Times New Roman" w:cs="Times New Roman"/>
          <w:sz w:val="28"/>
          <w:szCs w:val="28"/>
        </w:rPr>
        <w:t xml:space="preserve">. была оценка </w:t>
      </w:r>
      <w:r w:rsidR="00A86AD2" w:rsidRPr="006F3353">
        <w:rPr>
          <w:rFonts w:ascii="Times New Roman" w:hAnsi="Times New Roman" w:cs="Times New Roman"/>
          <w:sz w:val="28"/>
          <w:szCs w:val="28"/>
        </w:rPr>
        <w:t xml:space="preserve">прогнозирования исходов после резекции у 325 пациентов с </w:t>
      </w:r>
      <w:r w:rsidR="008A22FE">
        <w:rPr>
          <w:rFonts w:ascii="Times New Roman" w:hAnsi="Times New Roman" w:cs="Times New Roman"/>
          <w:sz w:val="28"/>
          <w:szCs w:val="28"/>
        </w:rPr>
        <w:t>колоректальным раком</w:t>
      </w:r>
      <w:r w:rsidRPr="006F3353">
        <w:rPr>
          <w:rFonts w:ascii="Times New Roman" w:hAnsi="Times New Roman" w:cs="Times New Roman"/>
          <w:sz w:val="28"/>
          <w:szCs w:val="28"/>
        </w:rPr>
        <w:t>. Результаты показателей пятилетней выживаемости в группах с низким и высоким SUV</w:t>
      </w:r>
      <w:r w:rsidRPr="006F3353">
        <w:rPr>
          <w:rFonts w:ascii="Times New Roman" w:hAnsi="Times New Roman" w:cs="Times New Roman"/>
          <w:sz w:val="28"/>
          <w:szCs w:val="28"/>
          <w:vertAlign w:val="subscript"/>
        </w:rPr>
        <w:t>max</w:t>
      </w:r>
      <w:r w:rsidRPr="006F3353">
        <w:rPr>
          <w:rFonts w:ascii="Times New Roman" w:hAnsi="Times New Roman" w:cs="Times New Roman"/>
          <w:sz w:val="28"/>
          <w:szCs w:val="28"/>
        </w:rPr>
        <w:t>, SUV</w:t>
      </w:r>
      <w:r w:rsidRPr="006F3353">
        <w:rPr>
          <w:rFonts w:ascii="Times New Roman" w:hAnsi="Times New Roman" w:cs="Times New Roman"/>
          <w:sz w:val="28"/>
          <w:szCs w:val="28"/>
          <w:vertAlign w:val="subscript"/>
        </w:rPr>
        <w:t>mean</w:t>
      </w:r>
      <w:r w:rsidRPr="006F3353">
        <w:rPr>
          <w:rFonts w:ascii="Times New Roman" w:hAnsi="Times New Roman" w:cs="Times New Roman"/>
          <w:sz w:val="28"/>
          <w:szCs w:val="28"/>
        </w:rPr>
        <w:t>, M</w:t>
      </w:r>
      <w:r w:rsidR="003E7246" w:rsidRPr="006F3353">
        <w:rPr>
          <w:rFonts w:ascii="Times New Roman" w:hAnsi="Times New Roman" w:cs="Times New Roman"/>
          <w:sz w:val="28"/>
          <w:szCs w:val="28"/>
          <w:lang w:val="en-US"/>
        </w:rPr>
        <w:t>T</w:t>
      </w:r>
      <w:r w:rsidRPr="006F3353">
        <w:rPr>
          <w:rFonts w:ascii="Times New Roman" w:hAnsi="Times New Roman" w:cs="Times New Roman"/>
          <w:sz w:val="28"/>
          <w:szCs w:val="28"/>
        </w:rPr>
        <w:t xml:space="preserve">V и TLG составили 91,4% и 87,0% (p=0,238), 90,8% и 88,2% (p=0,453), 91,7% и 83,8% (p=0,006) и 92,1% и 70,1% соответственно. В многофакторном анализе высокий уровень TLG, возраст ≥65 лет, локализация опухоли прямой кишки были независимыми факторами, предсказывающими негативный прогноз. </w:t>
      </w:r>
      <w:r w:rsidR="00A86AD2" w:rsidRPr="006F3353">
        <w:rPr>
          <w:rFonts w:ascii="Times New Roman" w:hAnsi="Times New Roman" w:cs="Times New Roman"/>
          <w:sz w:val="28"/>
          <w:szCs w:val="28"/>
        </w:rPr>
        <w:t>А</w:t>
      </w:r>
      <w:r w:rsidRPr="006F3353">
        <w:rPr>
          <w:rFonts w:ascii="Times New Roman" w:hAnsi="Times New Roman" w:cs="Times New Roman"/>
          <w:sz w:val="28"/>
          <w:szCs w:val="28"/>
        </w:rPr>
        <w:t xml:space="preserve">вторы </w:t>
      </w:r>
      <w:r w:rsidR="00A86AD2" w:rsidRPr="006F3353">
        <w:rPr>
          <w:rFonts w:ascii="Times New Roman" w:hAnsi="Times New Roman" w:cs="Times New Roman"/>
          <w:sz w:val="28"/>
          <w:szCs w:val="28"/>
        </w:rPr>
        <w:t>пришли к выводу</w:t>
      </w:r>
      <w:r w:rsidRPr="006F3353">
        <w:rPr>
          <w:rFonts w:ascii="Times New Roman" w:hAnsi="Times New Roman" w:cs="Times New Roman"/>
          <w:sz w:val="28"/>
          <w:szCs w:val="28"/>
        </w:rPr>
        <w:t xml:space="preserve">, что TLG в </w:t>
      </w:r>
      <w:r w:rsidRPr="006F3353">
        <w:rPr>
          <w:rFonts w:ascii="Times New Roman" w:hAnsi="Times New Roman" w:cs="Times New Roman"/>
          <w:sz w:val="28"/>
          <w:szCs w:val="28"/>
          <w:vertAlign w:val="superscript"/>
        </w:rPr>
        <w:t>18</w:t>
      </w:r>
      <w:r w:rsidRPr="006F3353">
        <w:rPr>
          <w:rFonts w:ascii="Times New Roman" w:hAnsi="Times New Roman" w:cs="Times New Roman"/>
          <w:sz w:val="28"/>
          <w:szCs w:val="28"/>
        </w:rPr>
        <w:t xml:space="preserve">F-FDG ПЭТ/КТ исследованиях является прогностическим параметром для </w:t>
      </w:r>
      <w:r w:rsidR="008A22FE">
        <w:rPr>
          <w:rFonts w:ascii="Times New Roman" w:hAnsi="Times New Roman" w:cs="Times New Roman"/>
          <w:sz w:val="28"/>
          <w:szCs w:val="28"/>
        </w:rPr>
        <w:t xml:space="preserve">колоректального рака </w:t>
      </w:r>
      <w:r w:rsidRPr="006F3353">
        <w:rPr>
          <w:rFonts w:ascii="Times New Roman" w:hAnsi="Times New Roman" w:cs="Times New Roman"/>
          <w:sz w:val="28"/>
          <w:szCs w:val="28"/>
        </w:rPr>
        <w:t>после резекции</w:t>
      </w:r>
      <w:r w:rsidR="00DF4B02" w:rsidRPr="006F3353">
        <w:rPr>
          <w:rFonts w:ascii="Times New Roman" w:hAnsi="Times New Roman" w:cs="Times New Roman"/>
          <w:sz w:val="28"/>
          <w:szCs w:val="28"/>
        </w:rPr>
        <w:t xml:space="preserve"> </w:t>
      </w:r>
      <w:r w:rsidR="00DF4B02" w:rsidRPr="006F3353">
        <w:rPr>
          <w:rFonts w:ascii="Times New Roman" w:hAnsi="Times New Roman" w:cs="Times New Roman"/>
          <w:sz w:val="28"/>
          <w:szCs w:val="28"/>
        </w:rPr>
        <w:fldChar w:fldCharType="begin"/>
      </w:r>
      <w:r w:rsidR="00F6152F">
        <w:rPr>
          <w:rFonts w:ascii="Times New Roman" w:hAnsi="Times New Roman" w:cs="Times New Roman"/>
          <w:sz w:val="28"/>
          <w:szCs w:val="28"/>
        </w:rPr>
        <w:instrText xml:space="preserve"> ADDIN ZOTERO_ITEM CSL_CITATION {"citationID":"a2p1fh6jnbk","properties":{"formattedCitation":"[202]","plainCitation":"[202]","noteIndex":0},"citationItems":[{"id":48,"uris":["http://zotero.org/users/8787459/items/3RAPYLEA"],"itemData":{"id":48,"type":"article-journal","abstract":"AIM: [(18)F]Fluorodeoxyglucose positron-emission tomography with computed tomography ((18)F-FDG-PET/CT) was assessed regarding its utility in prediction of outcomes after curative resection of colorectal cancer.\nPATIENTS AND METHODS: Preoperative (18)F-FDG-PET/CT was performed in 325 patients with colorectal cancer. Maximum standardized uptake value (SUVmax), mean SUV (SUVmean), metabolic volume (MV), and total lesion glycolysis (TLG) were measured. Patients were divided into groups using cut-offs for overall survival (OS). (18)F-FDG-PET/CT parameters and other clinicopathological factors were investigated as prognostic factors.\nRESULTS: The 5-year OS rates in the low and high SUVmax, SUVmean, MV, and TLG groups were 91.4% and 87.0% (p=0.238), 90.8% and 88.2% (p=0.453), 91.7% and 83.8% (p=0.006), and 92.1% and 70.1% (p=0.001), respectively, indicating poorer outcomes in patients with high MV and TLG. In multivariate analysis, high TLG, age ≥65 years, rectal tumor location, and pN(+) were independent factors predicting a poor prognosis.\nCONCLUSION: TLG in (18)F-FDG-PET/CT is a prognostic parameter for colorectal cancer after curative resection.","container-title":"Anticancer Research","ISSN":"1791-7530","issue":"6","journalAbbreviation":"Anticancer Res","language":"eng","note":"PMID: 26026116","page":"3495-3500","source":"PubMed","title":"Prognostic Value of Total Lesion Glycolysis Measured by 18F-FDG-PET/CT in Patients with Colorectal Cancer","volume":"35","author":[{"family":"Ogawa","given":"Shimpei"},{"family":"Itabashi","given":"Michio"},{"family":"Kondo","given":"Chisato"},{"family":"Momose","given":"Mitsuru"},{"family":"Sakai","given":"Shuji"},{"family":"Kameoka","given":"Shingo"}],"issued":{"date-parts":[["2015",6]]}}}],"schema":"https://github.com/citation-style-language/schema/raw/master/csl-citation.json"} </w:instrText>
      </w:r>
      <w:r w:rsidR="00DF4B02" w:rsidRPr="006F3353">
        <w:rPr>
          <w:rFonts w:ascii="Times New Roman" w:hAnsi="Times New Roman" w:cs="Times New Roman"/>
          <w:sz w:val="28"/>
          <w:szCs w:val="28"/>
        </w:rPr>
        <w:fldChar w:fldCharType="separate"/>
      </w:r>
      <w:r w:rsidR="00F6152F" w:rsidRPr="00F6152F">
        <w:rPr>
          <w:rFonts w:ascii="Times New Roman" w:hAnsi="Times New Roman" w:cs="Times New Roman"/>
          <w:sz w:val="28"/>
        </w:rPr>
        <w:t>[202]</w:t>
      </w:r>
      <w:r w:rsidR="00DF4B02" w:rsidRPr="006F3353">
        <w:rPr>
          <w:rFonts w:ascii="Times New Roman" w:hAnsi="Times New Roman" w:cs="Times New Roman"/>
          <w:sz w:val="28"/>
          <w:szCs w:val="28"/>
        </w:rPr>
        <w:fldChar w:fldCharType="end"/>
      </w:r>
      <w:r w:rsidRPr="006F3353">
        <w:rPr>
          <w:rFonts w:ascii="Times New Roman" w:hAnsi="Times New Roman" w:cs="Times New Roman"/>
          <w:sz w:val="28"/>
          <w:szCs w:val="28"/>
        </w:rPr>
        <w:t>.</w:t>
      </w:r>
    </w:p>
    <w:p w14:paraId="2E76BDCF" w14:textId="134E2A8D" w:rsidR="0073620A" w:rsidRPr="00E20CD1" w:rsidRDefault="0073620A" w:rsidP="00D8526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Анализируя результаты данного исследования </w:t>
      </w:r>
      <w:r w:rsidR="008A77D8">
        <w:rPr>
          <w:rFonts w:ascii="Times New Roman" w:hAnsi="Times New Roman" w:cs="Times New Roman"/>
          <w:sz w:val="28"/>
          <w:szCs w:val="28"/>
        </w:rPr>
        <w:t xml:space="preserve">в сравнительном аспекте </w:t>
      </w:r>
      <w:r w:rsidR="00E20CD1">
        <w:rPr>
          <w:rFonts w:ascii="Times New Roman" w:hAnsi="Times New Roman" w:cs="Times New Roman"/>
          <w:sz w:val="28"/>
          <w:szCs w:val="28"/>
        </w:rPr>
        <w:t>с наш</w:t>
      </w:r>
      <w:r w:rsidR="008A77D8">
        <w:rPr>
          <w:rFonts w:ascii="Times New Roman" w:hAnsi="Times New Roman" w:cs="Times New Roman"/>
          <w:sz w:val="28"/>
          <w:szCs w:val="28"/>
        </w:rPr>
        <w:t>ей работой</w:t>
      </w:r>
      <w:r w:rsidR="00E20CD1">
        <w:rPr>
          <w:rFonts w:ascii="Times New Roman" w:hAnsi="Times New Roman" w:cs="Times New Roman"/>
          <w:sz w:val="28"/>
          <w:szCs w:val="28"/>
        </w:rPr>
        <w:t xml:space="preserve"> видно, что основная часть исследования </w:t>
      </w:r>
      <w:r w:rsidR="008A77D8">
        <w:rPr>
          <w:rFonts w:ascii="Times New Roman" w:hAnsi="Times New Roman" w:cs="Times New Roman"/>
          <w:sz w:val="28"/>
          <w:szCs w:val="28"/>
        </w:rPr>
        <w:t>обеих работ довольно схожа</w:t>
      </w:r>
      <w:r w:rsidR="00E20CD1">
        <w:rPr>
          <w:rFonts w:ascii="Times New Roman" w:hAnsi="Times New Roman" w:cs="Times New Roman"/>
          <w:sz w:val="28"/>
          <w:szCs w:val="28"/>
        </w:rPr>
        <w:t xml:space="preserve">. Например, пациенты также были подвергнуты обследованиям после резекции первичной опухоли, </w:t>
      </w:r>
      <w:r w:rsidR="008A77D8">
        <w:rPr>
          <w:rFonts w:ascii="Times New Roman" w:hAnsi="Times New Roman" w:cs="Times New Roman"/>
          <w:sz w:val="28"/>
          <w:szCs w:val="28"/>
        </w:rPr>
        <w:t xml:space="preserve">а </w:t>
      </w:r>
      <w:r w:rsidR="00E20CD1">
        <w:rPr>
          <w:rFonts w:ascii="Times New Roman" w:hAnsi="Times New Roman" w:cs="Times New Roman"/>
          <w:sz w:val="28"/>
          <w:szCs w:val="28"/>
        </w:rPr>
        <w:t xml:space="preserve">возраст </w:t>
      </w:r>
      <w:r w:rsidR="006F3353">
        <w:rPr>
          <w:rFonts w:ascii="Times New Roman" w:hAnsi="Times New Roman" w:cs="Times New Roman"/>
          <w:sz w:val="28"/>
          <w:szCs w:val="28"/>
        </w:rPr>
        <w:t>обследованных</w:t>
      </w:r>
      <w:r w:rsidR="00E20CD1">
        <w:rPr>
          <w:rFonts w:ascii="Times New Roman" w:hAnsi="Times New Roman" w:cs="Times New Roman"/>
          <w:sz w:val="28"/>
          <w:szCs w:val="28"/>
        </w:rPr>
        <w:t xml:space="preserve"> пациентов</w:t>
      </w:r>
      <w:r w:rsidR="008A77D8">
        <w:rPr>
          <w:rFonts w:ascii="Times New Roman" w:hAnsi="Times New Roman" w:cs="Times New Roman"/>
          <w:sz w:val="28"/>
          <w:szCs w:val="28"/>
        </w:rPr>
        <w:t xml:space="preserve"> сопоставим</w:t>
      </w:r>
      <w:r w:rsidR="00E20CD1">
        <w:rPr>
          <w:rFonts w:ascii="Times New Roman" w:hAnsi="Times New Roman" w:cs="Times New Roman"/>
          <w:sz w:val="28"/>
          <w:szCs w:val="28"/>
        </w:rPr>
        <w:t>. Однако различия имеют</w:t>
      </w:r>
      <w:r w:rsidR="008A77D8">
        <w:rPr>
          <w:rFonts w:ascii="Times New Roman" w:hAnsi="Times New Roman" w:cs="Times New Roman"/>
          <w:sz w:val="28"/>
          <w:szCs w:val="28"/>
        </w:rPr>
        <w:t>ся</w:t>
      </w:r>
      <w:r w:rsidR="00E20CD1">
        <w:rPr>
          <w:rFonts w:ascii="Times New Roman" w:hAnsi="Times New Roman" w:cs="Times New Roman"/>
          <w:sz w:val="28"/>
          <w:szCs w:val="28"/>
        </w:rPr>
        <w:t xml:space="preserve"> в анализе, количестве пациентов, значений результатов и локализации первичной опухоли. Наше исследование имеет меньшее количество пациентов, целью которого являлось определение прогностической ценности уровня накопления </w:t>
      </w:r>
      <w:r w:rsidR="00E20CD1">
        <w:rPr>
          <w:rFonts w:ascii="Times New Roman" w:hAnsi="Times New Roman" w:cs="Times New Roman"/>
          <w:sz w:val="28"/>
          <w:szCs w:val="28"/>
          <w:lang w:val="en-US"/>
        </w:rPr>
        <w:t>SUV</w:t>
      </w:r>
      <w:r w:rsidR="00E20CD1" w:rsidRPr="007E2D2F">
        <w:rPr>
          <w:rFonts w:ascii="Times New Roman" w:hAnsi="Times New Roman" w:cs="Times New Roman"/>
          <w:sz w:val="28"/>
          <w:szCs w:val="28"/>
          <w:vertAlign w:val="subscript"/>
          <w:lang w:val="en-US"/>
        </w:rPr>
        <w:t>max</w:t>
      </w:r>
      <w:r w:rsidR="00E20CD1" w:rsidRPr="007E2D2F">
        <w:rPr>
          <w:rFonts w:ascii="Times New Roman" w:hAnsi="Times New Roman" w:cs="Times New Roman"/>
          <w:sz w:val="28"/>
          <w:szCs w:val="28"/>
        </w:rPr>
        <w:t xml:space="preserve"> </w:t>
      </w:r>
      <w:r w:rsidR="00E20CD1">
        <w:rPr>
          <w:rFonts w:ascii="Times New Roman" w:hAnsi="Times New Roman" w:cs="Times New Roman"/>
          <w:sz w:val="28"/>
          <w:szCs w:val="28"/>
        </w:rPr>
        <w:t>в</w:t>
      </w:r>
      <w:r w:rsidR="00E20CD1" w:rsidRPr="007E2D2F">
        <w:rPr>
          <w:rFonts w:ascii="Times New Roman" w:hAnsi="Times New Roman" w:cs="Times New Roman"/>
          <w:sz w:val="28"/>
          <w:szCs w:val="28"/>
        </w:rPr>
        <w:t xml:space="preserve"> </w:t>
      </w:r>
      <w:r w:rsidR="00E20CD1">
        <w:rPr>
          <w:rFonts w:ascii="Times New Roman" w:hAnsi="Times New Roman" w:cs="Times New Roman"/>
          <w:sz w:val="28"/>
          <w:szCs w:val="28"/>
          <w:lang w:val="en-US"/>
        </w:rPr>
        <w:t>VAT</w:t>
      </w:r>
      <w:r w:rsidR="00E20CD1">
        <w:rPr>
          <w:rFonts w:ascii="Times New Roman" w:hAnsi="Times New Roman" w:cs="Times New Roman"/>
          <w:sz w:val="28"/>
          <w:szCs w:val="28"/>
        </w:rPr>
        <w:t xml:space="preserve">. При этом результаты нашего исследования показывают статистическую достоверность для </w:t>
      </w:r>
      <w:r w:rsidR="00FB52B2">
        <w:rPr>
          <w:rFonts w:ascii="Times New Roman" w:hAnsi="Times New Roman" w:cs="Times New Roman"/>
          <w:sz w:val="28"/>
          <w:szCs w:val="28"/>
        </w:rPr>
        <w:t>четырех</w:t>
      </w:r>
      <w:r w:rsidR="00E20CD1">
        <w:rPr>
          <w:rFonts w:ascii="Times New Roman" w:hAnsi="Times New Roman" w:cs="Times New Roman"/>
          <w:sz w:val="28"/>
          <w:szCs w:val="28"/>
        </w:rPr>
        <w:t xml:space="preserve"> наиболее значимых локализаций брюшной </w:t>
      </w:r>
      <w:r w:rsidR="007E2D2F">
        <w:rPr>
          <w:rFonts w:ascii="Times New Roman" w:hAnsi="Times New Roman" w:cs="Times New Roman"/>
          <w:sz w:val="28"/>
          <w:szCs w:val="28"/>
        </w:rPr>
        <w:t>полости,</w:t>
      </w:r>
      <w:r w:rsidR="00E20CD1">
        <w:rPr>
          <w:rFonts w:ascii="Times New Roman" w:hAnsi="Times New Roman" w:cs="Times New Roman"/>
          <w:sz w:val="28"/>
          <w:szCs w:val="28"/>
        </w:rPr>
        <w:t xml:space="preserve"> где показа</w:t>
      </w:r>
      <w:r w:rsidR="008A77D8">
        <w:rPr>
          <w:rFonts w:ascii="Times New Roman" w:hAnsi="Times New Roman" w:cs="Times New Roman"/>
          <w:sz w:val="28"/>
          <w:szCs w:val="28"/>
        </w:rPr>
        <w:t>н</w:t>
      </w:r>
      <w:r w:rsidR="00E20CD1">
        <w:rPr>
          <w:rFonts w:ascii="Times New Roman" w:hAnsi="Times New Roman" w:cs="Times New Roman"/>
          <w:sz w:val="28"/>
          <w:szCs w:val="28"/>
        </w:rPr>
        <w:t>о накопление не только при определении одной локализации опухоли, что позволяет применить ее результаты в клинической онкологии.</w:t>
      </w:r>
    </w:p>
    <w:p w14:paraId="3A5DDF10" w14:textId="5F5132FC" w:rsidR="006F3353" w:rsidRPr="00A43B9C" w:rsidRDefault="000F7CD4" w:rsidP="00D85264">
      <w:pPr>
        <w:spacing w:after="0" w:line="240" w:lineRule="auto"/>
        <w:ind w:firstLine="709"/>
        <w:jc w:val="both"/>
        <w:rPr>
          <w:rFonts w:ascii="Times New Roman" w:hAnsi="Times New Roman" w:cs="Times New Roman"/>
          <w:sz w:val="28"/>
          <w:szCs w:val="28"/>
        </w:rPr>
      </w:pPr>
      <w:bookmarkStart w:id="117" w:name="_Hlk117893669"/>
      <w:bookmarkEnd w:id="116"/>
      <w:r w:rsidRPr="00A43B9C">
        <w:rPr>
          <w:rFonts w:ascii="Times New Roman" w:hAnsi="Times New Roman" w:cs="Times New Roman"/>
          <w:sz w:val="28"/>
          <w:szCs w:val="28"/>
        </w:rPr>
        <w:t xml:space="preserve">Целью ретроспективного исследования </w:t>
      </w:r>
      <w:r w:rsidRPr="00A43B9C">
        <w:rPr>
          <w:rFonts w:ascii="Times New Roman" w:hAnsi="Times New Roman" w:cs="Times New Roman"/>
          <w:sz w:val="28"/>
          <w:szCs w:val="28"/>
          <w:lang w:val="en-US"/>
        </w:rPr>
        <w:t>Kim</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et</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al</w:t>
      </w:r>
      <w:r w:rsidRPr="00A43B9C">
        <w:rPr>
          <w:rFonts w:ascii="Times New Roman" w:hAnsi="Times New Roman" w:cs="Times New Roman"/>
          <w:sz w:val="28"/>
          <w:szCs w:val="28"/>
        </w:rPr>
        <w:t xml:space="preserve">. была оценка комбинированной модели </w:t>
      </w:r>
      <w:r w:rsidRPr="00A43B9C">
        <w:rPr>
          <w:rFonts w:ascii="Times New Roman" w:hAnsi="Times New Roman" w:cs="Times New Roman"/>
          <w:sz w:val="28"/>
          <w:szCs w:val="28"/>
          <w:lang w:val="en-US"/>
        </w:rPr>
        <w:t>MTV</w:t>
      </w:r>
      <w:r w:rsidRPr="00A43B9C">
        <w:rPr>
          <w:rFonts w:ascii="Times New Roman" w:hAnsi="Times New Roman" w:cs="Times New Roman"/>
          <w:sz w:val="28"/>
          <w:szCs w:val="28"/>
        </w:rPr>
        <w:t xml:space="preserve"> и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w:t>
      </w:r>
      <w:r w:rsidR="000E2A12">
        <w:rPr>
          <w:rFonts w:ascii="Times New Roman" w:hAnsi="Times New Roman" w:cs="Times New Roman"/>
          <w:sz w:val="28"/>
          <w:szCs w:val="28"/>
        </w:rPr>
        <w:t>лимфоузлов</w:t>
      </w:r>
      <w:r w:rsidRPr="00A43B9C">
        <w:rPr>
          <w:rFonts w:ascii="Times New Roman" w:hAnsi="Times New Roman" w:cs="Times New Roman"/>
          <w:sz w:val="28"/>
          <w:szCs w:val="28"/>
        </w:rPr>
        <w:t xml:space="preserve"> при предварительном обследовании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FDG</w:t>
      </w:r>
      <w:r w:rsidRPr="00A43B9C">
        <w:rPr>
          <w:rFonts w:ascii="Times New Roman" w:hAnsi="Times New Roman" w:cs="Times New Roman"/>
          <w:sz w:val="28"/>
          <w:szCs w:val="28"/>
        </w:rPr>
        <w:t xml:space="preserve"> ПЭТ/КТ и хирургическом вмешательстве без неоадъювантной терапии у 166 пациентов при раке прямой кишке </w:t>
      </w:r>
      <w:r w:rsidRPr="00A43B9C">
        <w:rPr>
          <w:rFonts w:ascii="Times New Roman" w:hAnsi="Times New Roman" w:cs="Times New Roman"/>
          <w:sz w:val="28"/>
          <w:szCs w:val="28"/>
        </w:rPr>
        <w:fldChar w:fldCharType="begin"/>
      </w:r>
      <w:r w:rsidR="00F6152F">
        <w:rPr>
          <w:rFonts w:ascii="Times New Roman" w:hAnsi="Times New Roman" w:cs="Times New Roman"/>
          <w:sz w:val="28"/>
          <w:szCs w:val="28"/>
        </w:rPr>
        <w:instrText xml:space="preserve"> ADDIN ZOTERO_ITEM CSL_CITATION {"citationID":"a262m3rpl6c","properties":{"formattedCitation":"[203]","plainCitation":"[203]","noteIndex":0},"citationItems":[{"id":1,"uris":["http://zotero.org/users/8787459/items/6YFAS2JC"],"itemData":{"id":1,"type":"article-journal","abstract":"[18F]Fluorodeoxyglucose ([18F]FDG) Positron emission tomography/computed tomography (PET/CT) is commonly used for rectal cancer staging, but improved diagnostic methods for nodal metastases are needed. We aimed to evaluate whether the combination model of the metabolic tumor volume of primary tumor (T_MTV) and maximum standardized uptake value of lymph node (N_SUVmax) on pretreatment [18F]FDG PET/CT could improve nodal metastases prediction in rectal cancer. We enrolled a total of 166 rectal cancer patients who underwent pretreatment [18F]FDG PET/CT and surgical resection without neoadjuvant treatment between January 2009 and August 2016. Visual and semiquantitative PET/CT parameters were obtained. Associations between clinicopathological, PET/CT-derived variables and nodal metastases were evaluated by logistic regression analysis. Nodal metastases were confirmed histologically in 68 of the 166 patients (41%). Uni- and multivariate analyses demonstrated T_MTV and N_SUVmax were independent predictive factors for nodal metastases. The c-statistics of the combination model was 0.806 (Standard Error, 0.034; 95% Confidence Interval, 0.737–0.863), which showed significant improvement compared to T_MTV (0.698, P = 0.0002) or N_SUVmax (0.720, P = 0.0008) alone. T_MTV and N_SUVmax are independently correlated with nodal metastases. Furthermore, the combination model showed improved performance for risk prediction; thus, [18F]FDG PET/CT might have a role in rectal cancer staging and treatment planning.","container-title":"Scientific Reports","DOI":"10.1038/s41598-019-41422-8","ISSN":"2045-2322","journalAbbreviation":"Sci Rep","note":"PMID: 30899056\nPMCID: PMC6428820","page":"4979","source":"PubMed Central","title":"Predictive Value of [18F]FDG PET/CT for Lymph Node Metastasis in Rectal Cancer","volume":"9","author":[{"family":"Kim","given":"Sung Hoon"},{"family":"Song","given":"Bong-Il"},{"family":"Kim","given":"Beong Woo"},{"family":"Kim","given":"Hae Won"},{"family":"Won","given":"Kyoung Sook"},{"family":"Bae","given":"Sung Uk"},{"family":"Jeong","given":"Woon Kyung"},{"family":"Baek","given":"Seong Kyu"}],"issued":{"date-parts":[["2019",3,21]]}}}],"schema":"https://github.com/citation-style-language/schema/raw/master/csl-citation.json"} </w:instrText>
      </w:r>
      <w:r w:rsidRPr="00A43B9C">
        <w:rPr>
          <w:rFonts w:ascii="Times New Roman" w:hAnsi="Times New Roman" w:cs="Times New Roman"/>
          <w:sz w:val="28"/>
          <w:szCs w:val="28"/>
        </w:rPr>
        <w:fldChar w:fldCharType="separate"/>
      </w:r>
      <w:r w:rsidR="00F6152F" w:rsidRPr="00F6152F">
        <w:rPr>
          <w:rFonts w:ascii="Times New Roman" w:hAnsi="Times New Roman" w:cs="Times New Roman"/>
          <w:sz w:val="28"/>
        </w:rPr>
        <w:t>[203]</w:t>
      </w:r>
      <w:r w:rsidRPr="00A43B9C">
        <w:rPr>
          <w:rFonts w:ascii="Times New Roman" w:hAnsi="Times New Roman" w:cs="Times New Roman"/>
          <w:sz w:val="28"/>
          <w:szCs w:val="28"/>
        </w:rPr>
        <w:fldChar w:fldCharType="end"/>
      </w:r>
      <w:r w:rsidRPr="00A43B9C">
        <w:rPr>
          <w:rFonts w:ascii="Times New Roman" w:hAnsi="Times New Roman" w:cs="Times New Roman"/>
          <w:sz w:val="28"/>
          <w:szCs w:val="28"/>
        </w:rPr>
        <w:t>.</w:t>
      </w:r>
      <w:r>
        <w:rPr>
          <w:rFonts w:ascii="Times New Roman" w:hAnsi="Times New Roman" w:cs="Times New Roman"/>
          <w:sz w:val="28"/>
          <w:szCs w:val="28"/>
        </w:rPr>
        <w:t xml:space="preserve"> </w:t>
      </w:r>
      <w:r w:rsidR="003A68B6" w:rsidRPr="006F3353">
        <w:rPr>
          <w:rFonts w:ascii="Times New Roman" w:hAnsi="Times New Roman" w:cs="Times New Roman"/>
          <w:sz w:val="28"/>
          <w:szCs w:val="28"/>
        </w:rPr>
        <w:t xml:space="preserve">Целью проспективного исследования </w:t>
      </w:r>
      <w:r w:rsidR="003A68B6" w:rsidRPr="006F3353">
        <w:rPr>
          <w:rFonts w:ascii="Times New Roman" w:hAnsi="Times New Roman" w:cs="Times New Roman"/>
          <w:sz w:val="28"/>
          <w:szCs w:val="28"/>
          <w:lang w:val="en-US"/>
        </w:rPr>
        <w:t>Shi</w:t>
      </w:r>
      <w:r w:rsidR="003A68B6" w:rsidRPr="006F3353">
        <w:rPr>
          <w:rFonts w:ascii="Times New Roman" w:hAnsi="Times New Roman" w:cs="Times New Roman"/>
          <w:sz w:val="28"/>
          <w:szCs w:val="28"/>
        </w:rPr>
        <w:t xml:space="preserve"> </w:t>
      </w:r>
      <w:r w:rsidR="003A68B6" w:rsidRPr="006F3353">
        <w:rPr>
          <w:rFonts w:ascii="Times New Roman" w:hAnsi="Times New Roman" w:cs="Times New Roman"/>
          <w:sz w:val="28"/>
          <w:szCs w:val="28"/>
          <w:lang w:val="en-US"/>
        </w:rPr>
        <w:t>et</w:t>
      </w:r>
      <w:r w:rsidR="003A68B6" w:rsidRPr="006F3353">
        <w:rPr>
          <w:rFonts w:ascii="Times New Roman" w:hAnsi="Times New Roman" w:cs="Times New Roman"/>
          <w:sz w:val="28"/>
          <w:szCs w:val="28"/>
        </w:rPr>
        <w:t xml:space="preserve"> </w:t>
      </w:r>
      <w:r w:rsidR="003A68B6" w:rsidRPr="006F3353">
        <w:rPr>
          <w:rFonts w:ascii="Times New Roman" w:hAnsi="Times New Roman" w:cs="Times New Roman"/>
          <w:sz w:val="28"/>
          <w:szCs w:val="28"/>
          <w:lang w:val="en-US"/>
        </w:rPr>
        <w:t>al</w:t>
      </w:r>
      <w:r w:rsidR="003A68B6" w:rsidRPr="006F3353">
        <w:rPr>
          <w:rFonts w:ascii="Times New Roman" w:hAnsi="Times New Roman" w:cs="Times New Roman"/>
          <w:sz w:val="28"/>
          <w:szCs w:val="28"/>
        </w:rPr>
        <w:t xml:space="preserve">. была оценка выживаемости у 107 пациентов с </w:t>
      </w:r>
      <w:r w:rsidR="000E2A12">
        <w:rPr>
          <w:rFonts w:ascii="Times New Roman" w:hAnsi="Times New Roman" w:cs="Times New Roman"/>
          <w:sz w:val="28"/>
          <w:szCs w:val="28"/>
        </w:rPr>
        <w:t>колоректальным раком</w:t>
      </w:r>
      <w:r w:rsidR="003A68B6" w:rsidRPr="006F3353">
        <w:rPr>
          <w:rFonts w:ascii="Times New Roman" w:hAnsi="Times New Roman" w:cs="Times New Roman"/>
          <w:sz w:val="28"/>
          <w:szCs w:val="28"/>
        </w:rPr>
        <w:t xml:space="preserve">. </w:t>
      </w:r>
      <w:r w:rsidR="00A86AD2" w:rsidRPr="006F3353">
        <w:rPr>
          <w:rFonts w:ascii="Times New Roman" w:hAnsi="Times New Roman" w:cs="Times New Roman"/>
          <w:sz w:val="28"/>
          <w:szCs w:val="28"/>
        </w:rPr>
        <w:t>А</w:t>
      </w:r>
      <w:r w:rsidR="003A68B6" w:rsidRPr="006F3353">
        <w:rPr>
          <w:rFonts w:ascii="Times New Roman" w:hAnsi="Times New Roman" w:cs="Times New Roman"/>
          <w:sz w:val="28"/>
          <w:szCs w:val="28"/>
        </w:rPr>
        <w:t xml:space="preserve">нализ ROC-кривой </w:t>
      </w:r>
      <w:r w:rsidR="00A86AD2" w:rsidRPr="006F3353">
        <w:rPr>
          <w:rFonts w:ascii="Times New Roman" w:hAnsi="Times New Roman" w:cs="Times New Roman"/>
          <w:sz w:val="28"/>
          <w:szCs w:val="28"/>
        </w:rPr>
        <w:t>показал</w:t>
      </w:r>
      <w:r w:rsidR="003A68B6" w:rsidRPr="006F3353">
        <w:rPr>
          <w:rFonts w:ascii="Times New Roman" w:hAnsi="Times New Roman" w:cs="Times New Roman"/>
          <w:sz w:val="28"/>
          <w:szCs w:val="28"/>
        </w:rPr>
        <w:t>, что оптимальное значение SUV</w:t>
      </w:r>
      <w:r w:rsidR="003A68B6" w:rsidRPr="006F3353">
        <w:rPr>
          <w:rFonts w:ascii="Times New Roman" w:hAnsi="Times New Roman" w:cs="Times New Roman"/>
          <w:sz w:val="28"/>
          <w:szCs w:val="28"/>
          <w:vertAlign w:val="subscript"/>
        </w:rPr>
        <w:t>max</w:t>
      </w:r>
      <w:r w:rsidR="003A68B6" w:rsidRPr="006F3353">
        <w:rPr>
          <w:rFonts w:ascii="Times New Roman" w:hAnsi="Times New Roman" w:cs="Times New Roman"/>
          <w:sz w:val="28"/>
          <w:szCs w:val="28"/>
        </w:rPr>
        <w:t xml:space="preserve"> для прогнозирования выживаемости составля</w:t>
      </w:r>
      <w:r w:rsidR="00A86AD2" w:rsidRPr="006F3353">
        <w:rPr>
          <w:rFonts w:ascii="Times New Roman" w:hAnsi="Times New Roman" w:cs="Times New Roman"/>
          <w:sz w:val="28"/>
          <w:szCs w:val="28"/>
        </w:rPr>
        <w:t>ло</w:t>
      </w:r>
      <w:r w:rsidR="003A68B6" w:rsidRPr="006F3353">
        <w:rPr>
          <w:rFonts w:ascii="Times New Roman" w:hAnsi="Times New Roman" w:cs="Times New Roman"/>
          <w:sz w:val="28"/>
          <w:szCs w:val="28"/>
        </w:rPr>
        <w:t xml:space="preserve"> 11,85 (</w:t>
      </w:r>
      <w:r w:rsidR="003A68B6" w:rsidRPr="006F3353">
        <w:rPr>
          <w:rFonts w:ascii="Times New Roman" w:hAnsi="Times New Roman" w:cs="Times New Roman"/>
          <w:sz w:val="28"/>
          <w:szCs w:val="28"/>
          <w:lang w:val="en-US"/>
        </w:rPr>
        <w:t>Se</w:t>
      </w:r>
      <w:r w:rsidR="003A68B6" w:rsidRPr="006F3353">
        <w:rPr>
          <w:rFonts w:ascii="Times New Roman" w:hAnsi="Times New Roman" w:cs="Times New Roman"/>
          <w:sz w:val="28"/>
          <w:szCs w:val="28"/>
        </w:rPr>
        <w:t xml:space="preserve"> 73,3 %; </w:t>
      </w:r>
      <w:r w:rsidR="003A68B6" w:rsidRPr="006F3353">
        <w:rPr>
          <w:rFonts w:ascii="Times New Roman" w:hAnsi="Times New Roman" w:cs="Times New Roman"/>
          <w:sz w:val="28"/>
          <w:szCs w:val="28"/>
          <w:lang w:val="en-US"/>
        </w:rPr>
        <w:t>Sp</w:t>
      </w:r>
      <w:r w:rsidR="003A68B6" w:rsidRPr="006F3353">
        <w:rPr>
          <w:rFonts w:ascii="Times New Roman" w:hAnsi="Times New Roman" w:cs="Times New Roman"/>
          <w:sz w:val="28"/>
          <w:szCs w:val="28"/>
        </w:rPr>
        <w:t xml:space="preserve"> 75,3 %). Выживаемость была значительно выше у пациентов с предоперационным SUV</w:t>
      </w:r>
      <w:r w:rsidR="003A68B6" w:rsidRPr="006F3353">
        <w:rPr>
          <w:rFonts w:ascii="Times New Roman" w:hAnsi="Times New Roman" w:cs="Times New Roman"/>
          <w:sz w:val="28"/>
          <w:szCs w:val="28"/>
          <w:vertAlign w:val="subscript"/>
        </w:rPr>
        <w:t>max</w:t>
      </w:r>
      <w:r w:rsidR="003A68B6" w:rsidRPr="006F3353">
        <w:rPr>
          <w:rFonts w:ascii="Times New Roman" w:hAnsi="Times New Roman" w:cs="Times New Roman"/>
          <w:sz w:val="28"/>
          <w:szCs w:val="28"/>
        </w:rPr>
        <w:t xml:space="preserve"> ≤11,85. В итоге авторы резюмировали, что SUV</w:t>
      </w:r>
      <w:r w:rsidR="003A68B6" w:rsidRPr="006F3353">
        <w:rPr>
          <w:rFonts w:ascii="Times New Roman" w:hAnsi="Times New Roman" w:cs="Times New Roman"/>
          <w:sz w:val="28"/>
          <w:szCs w:val="28"/>
          <w:vertAlign w:val="subscript"/>
        </w:rPr>
        <w:t>max</w:t>
      </w:r>
      <w:r w:rsidR="003A68B6" w:rsidRPr="006F3353">
        <w:rPr>
          <w:rFonts w:ascii="Times New Roman" w:hAnsi="Times New Roman" w:cs="Times New Roman"/>
          <w:sz w:val="28"/>
          <w:szCs w:val="28"/>
        </w:rPr>
        <w:t>, измеренн</w:t>
      </w:r>
      <w:r w:rsidR="00A86AD2" w:rsidRPr="006F3353">
        <w:rPr>
          <w:rFonts w:ascii="Times New Roman" w:hAnsi="Times New Roman" w:cs="Times New Roman"/>
          <w:sz w:val="28"/>
          <w:szCs w:val="28"/>
        </w:rPr>
        <w:t>ое</w:t>
      </w:r>
      <w:r w:rsidR="003A68B6" w:rsidRPr="006F3353">
        <w:rPr>
          <w:rFonts w:ascii="Times New Roman" w:hAnsi="Times New Roman" w:cs="Times New Roman"/>
          <w:sz w:val="28"/>
          <w:szCs w:val="28"/>
        </w:rPr>
        <w:t xml:space="preserve"> с помощью </w:t>
      </w:r>
      <w:r w:rsidR="003A68B6" w:rsidRPr="006F3353">
        <w:rPr>
          <w:rFonts w:ascii="Times New Roman" w:hAnsi="Times New Roman" w:cs="Times New Roman"/>
          <w:sz w:val="28"/>
          <w:szCs w:val="28"/>
          <w:vertAlign w:val="superscript"/>
        </w:rPr>
        <w:t>18</w:t>
      </w:r>
      <w:r w:rsidR="003A68B6" w:rsidRPr="006F3353">
        <w:rPr>
          <w:rFonts w:ascii="Times New Roman" w:hAnsi="Times New Roman" w:cs="Times New Roman"/>
          <w:sz w:val="28"/>
          <w:szCs w:val="28"/>
        </w:rPr>
        <w:t>F-</w:t>
      </w:r>
      <w:r w:rsidR="003A68B6" w:rsidRPr="00A43B9C">
        <w:rPr>
          <w:rFonts w:ascii="Times New Roman" w:hAnsi="Times New Roman" w:cs="Times New Roman"/>
          <w:sz w:val="28"/>
          <w:szCs w:val="28"/>
          <w:lang w:val="en-US"/>
        </w:rPr>
        <w:t>FDG</w:t>
      </w:r>
      <w:r w:rsidR="003A68B6" w:rsidRPr="00A43B9C">
        <w:rPr>
          <w:rFonts w:ascii="Times New Roman" w:hAnsi="Times New Roman" w:cs="Times New Roman"/>
          <w:sz w:val="28"/>
          <w:szCs w:val="28"/>
        </w:rPr>
        <w:t xml:space="preserve"> ПЭТ/КТ, обеспечива</w:t>
      </w:r>
      <w:r w:rsidR="00A86AD2" w:rsidRPr="00A43B9C">
        <w:rPr>
          <w:rFonts w:ascii="Times New Roman" w:hAnsi="Times New Roman" w:cs="Times New Roman"/>
          <w:sz w:val="28"/>
          <w:szCs w:val="28"/>
        </w:rPr>
        <w:t>ло</w:t>
      </w:r>
      <w:r w:rsidR="003A68B6" w:rsidRPr="00A43B9C">
        <w:rPr>
          <w:rFonts w:ascii="Times New Roman" w:hAnsi="Times New Roman" w:cs="Times New Roman"/>
          <w:sz w:val="28"/>
          <w:szCs w:val="28"/>
        </w:rPr>
        <w:t xml:space="preserve"> полезный предоперационный прогностический фактор для пациентов с </w:t>
      </w:r>
      <w:r w:rsidR="000E2A12">
        <w:rPr>
          <w:rFonts w:ascii="Times New Roman" w:hAnsi="Times New Roman" w:cs="Times New Roman"/>
          <w:sz w:val="28"/>
          <w:szCs w:val="28"/>
        </w:rPr>
        <w:t>колоректальным раком</w:t>
      </w:r>
      <w:r w:rsidR="00DF4B02" w:rsidRPr="00A43B9C">
        <w:rPr>
          <w:rFonts w:ascii="Times New Roman" w:hAnsi="Times New Roman" w:cs="Times New Roman"/>
          <w:sz w:val="28"/>
          <w:szCs w:val="28"/>
        </w:rPr>
        <w:t xml:space="preserve"> </w:t>
      </w:r>
      <w:r w:rsidR="00DF4B02" w:rsidRPr="00A43B9C">
        <w:rPr>
          <w:rFonts w:ascii="Times New Roman" w:hAnsi="Times New Roman" w:cs="Times New Roman"/>
          <w:sz w:val="28"/>
          <w:szCs w:val="28"/>
        </w:rPr>
        <w:fldChar w:fldCharType="begin"/>
      </w:r>
      <w:r w:rsidR="00F6152F">
        <w:rPr>
          <w:rFonts w:ascii="Times New Roman" w:hAnsi="Times New Roman" w:cs="Times New Roman"/>
          <w:sz w:val="28"/>
          <w:szCs w:val="28"/>
        </w:rPr>
        <w:instrText xml:space="preserve"> ADDIN ZOTERO_ITEM CSL_CITATION {"citationID":"a1i1upk02u9","properties":{"formattedCitation":"[204]","plainCitation":"[204]","noteIndex":0},"citationItems":[{"id":50,"uris":["http://zotero.org/users/8787459/items/7MYF6TV2"],"itemData":{"id":50,"type":"article-journal","abstract":"The study was to investigate whether 18F-fluorodeoxyglucose (18F-FDG) uptake, analyzed by positron emission tomography (PET), can be used preoperatively to predict survival in Chinese patients with colorectal carcinoma.","container-title":"BMC Cancer","DOI":"10.1186/s12885-015-1991-5","ISSN":"1471-2407","issue":"1","journalAbbreviation":"BMC Cancer","page":"991","source":"BioMed Central","title":"The preoperative SUVmax for 18F-FDG uptake predicts survival in patients with colorectal cancer","volume":"15","author":[{"family":"Shi","given":"Debing"},{"family":"Cai","given":"Guoxiang"},{"family":"Peng","given":"Junjie"},{"family":"Li","given":"Dawei"},{"family":"Li","given":"Xinxiang"},{"family":"Xu","given":"Ye"},{"family":"Cai","given":"Sanjun"}],"issued":{"date-parts":[["2015",12,21]]}}}],"schema":"https://github.com/citation-style-language/schema/raw/master/csl-citation.json"} </w:instrText>
      </w:r>
      <w:r w:rsidR="00DF4B02" w:rsidRPr="00A43B9C">
        <w:rPr>
          <w:rFonts w:ascii="Times New Roman" w:hAnsi="Times New Roman" w:cs="Times New Roman"/>
          <w:sz w:val="28"/>
          <w:szCs w:val="28"/>
        </w:rPr>
        <w:fldChar w:fldCharType="separate"/>
      </w:r>
      <w:r w:rsidR="00F6152F" w:rsidRPr="00F6152F">
        <w:rPr>
          <w:rFonts w:ascii="Times New Roman" w:hAnsi="Times New Roman" w:cs="Times New Roman"/>
          <w:sz w:val="28"/>
        </w:rPr>
        <w:t>[204]</w:t>
      </w:r>
      <w:r w:rsidR="00DF4B02" w:rsidRPr="00A43B9C">
        <w:rPr>
          <w:rFonts w:ascii="Times New Roman" w:hAnsi="Times New Roman" w:cs="Times New Roman"/>
          <w:sz w:val="28"/>
          <w:szCs w:val="28"/>
        </w:rPr>
        <w:fldChar w:fldCharType="end"/>
      </w:r>
      <w:r w:rsidR="003A68B6" w:rsidRPr="00A43B9C">
        <w:rPr>
          <w:rFonts w:ascii="Times New Roman" w:hAnsi="Times New Roman" w:cs="Times New Roman"/>
          <w:sz w:val="28"/>
          <w:szCs w:val="28"/>
        </w:rPr>
        <w:t>.</w:t>
      </w:r>
      <w:r w:rsidR="006F3353">
        <w:rPr>
          <w:rFonts w:ascii="Times New Roman" w:hAnsi="Times New Roman" w:cs="Times New Roman"/>
          <w:sz w:val="28"/>
          <w:szCs w:val="28"/>
        </w:rPr>
        <w:t xml:space="preserve"> В результате нашего исследования мы оценили прогностическую ценность и показали, что предоперационное </w:t>
      </w:r>
      <w:r w:rsidR="006F3353" w:rsidRPr="007E2D2F">
        <w:rPr>
          <w:rFonts w:ascii="Times New Roman" w:hAnsi="Times New Roman" w:cs="Times New Roman"/>
          <w:sz w:val="28"/>
          <w:szCs w:val="28"/>
          <w:vertAlign w:val="superscript"/>
        </w:rPr>
        <w:t>18</w:t>
      </w:r>
      <w:r w:rsidR="006F3353">
        <w:rPr>
          <w:rFonts w:ascii="Times New Roman" w:hAnsi="Times New Roman" w:cs="Times New Roman"/>
          <w:sz w:val="28"/>
          <w:szCs w:val="28"/>
          <w:lang w:val="en-US"/>
        </w:rPr>
        <w:t>F</w:t>
      </w:r>
      <w:r w:rsidR="006F3353" w:rsidRPr="007E2D2F">
        <w:rPr>
          <w:rFonts w:ascii="Times New Roman" w:hAnsi="Times New Roman" w:cs="Times New Roman"/>
          <w:sz w:val="28"/>
          <w:szCs w:val="28"/>
        </w:rPr>
        <w:t>-</w:t>
      </w:r>
      <w:r w:rsidR="006F3353">
        <w:rPr>
          <w:rFonts w:ascii="Times New Roman" w:hAnsi="Times New Roman" w:cs="Times New Roman"/>
          <w:sz w:val="28"/>
          <w:szCs w:val="28"/>
          <w:lang w:val="en-US"/>
        </w:rPr>
        <w:t>FDG</w:t>
      </w:r>
      <w:r w:rsidR="006F3353" w:rsidRPr="007E2D2F">
        <w:rPr>
          <w:rFonts w:ascii="Times New Roman" w:hAnsi="Times New Roman" w:cs="Times New Roman"/>
          <w:sz w:val="28"/>
          <w:szCs w:val="28"/>
        </w:rPr>
        <w:t xml:space="preserve"> </w:t>
      </w:r>
      <w:r w:rsidR="006F3353">
        <w:rPr>
          <w:rFonts w:ascii="Times New Roman" w:hAnsi="Times New Roman" w:cs="Times New Roman"/>
          <w:sz w:val="28"/>
          <w:szCs w:val="28"/>
        </w:rPr>
        <w:t xml:space="preserve">исследование уровня накопления </w:t>
      </w:r>
      <w:r w:rsidR="006F3353">
        <w:rPr>
          <w:rFonts w:ascii="Times New Roman" w:hAnsi="Times New Roman" w:cs="Times New Roman"/>
          <w:sz w:val="28"/>
          <w:szCs w:val="28"/>
          <w:lang w:val="en-US"/>
        </w:rPr>
        <w:t>SUV</w:t>
      </w:r>
      <w:r w:rsidR="006F3353" w:rsidRPr="007E2D2F">
        <w:rPr>
          <w:rFonts w:ascii="Times New Roman" w:hAnsi="Times New Roman" w:cs="Times New Roman"/>
          <w:sz w:val="28"/>
          <w:szCs w:val="28"/>
          <w:vertAlign w:val="subscript"/>
          <w:lang w:val="en-US"/>
        </w:rPr>
        <w:t>max</w:t>
      </w:r>
      <w:r w:rsidR="006F3353" w:rsidRPr="007E2D2F">
        <w:rPr>
          <w:rFonts w:ascii="Times New Roman" w:hAnsi="Times New Roman" w:cs="Times New Roman"/>
          <w:sz w:val="28"/>
          <w:szCs w:val="28"/>
        </w:rPr>
        <w:t xml:space="preserve"> </w:t>
      </w:r>
      <w:r w:rsidR="006F3353">
        <w:rPr>
          <w:rFonts w:ascii="Times New Roman" w:hAnsi="Times New Roman" w:cs="Times New Roman"/>
          <w:sz w:val="28"/>
          <w:szCs w:val="28"/>
        </w:rPr>
        <w:t xml:space="preserve">в </w:t>
      </w:r>
      <w:r w:rsidR="000E2A12">
        <w:rPr>
          <w:rFonts w:ascii="Times New Roman" w:hAnsi="Times New Roman" w:cs="Times New Roman"/>
          <w:sz w:val="28"/>
          <w:szCs w:val="28"/>
        </w:rPr>
        <w:t xml:space="preserve">висцеральном жире </w:t>
      </w:r>
      <w:r w:rsidR="006F3353">
        <w:rPr>
          <w:rFonts w:ascii="Times New Roman" w:hAnsi="Times New Roman" w:cs="Times New Roman"/>
          <w:sz w:val="28"/>
          <w:szCs w:val="28"/>
          <w:lang w:val="kk-KZ"/>
        </w:rPr>
        <w:t xml:space="preserve">для определенных локализаций </w:t>
      </w:r>
      <w:r w:rsidR="006F3353">
        <w:rPr>
          <w:rFonts w:ascii="Times New Roman" w:hAnsi="Times New Roman" w:cs="Times New Roman"/>
          <w:sz w:val="28"/>
          <w:szCs w:val="28"/>
        </w:rPr>
        <w:t xml:space="preserve">в брюшной полости </w:t>
      </w:r>
      <w:r w:rsidR="006F3353">
        <w:rPr>
          <w:rFonts w:ascii="Times New Roman" w:hAnsi="Times New Roman" w:cs="Times New Roman"/>
          <w:sz w:val="28"/>
          <w:szCs w:val="28"/>
          <w:lang w:val="kk-KZ"/>
        </w:rPr>
        <w:t xml:space="preserve">имеют диагностически значимый потенциал при выявлении пациентов с </w:t>
      </w:r>
      <w:r w:rsidR="000E2A12">
        <w:rPr>
          <w:rFonts w:ascii="Times New Roman" w:hAnsi="Times New Roman" w:cs="Times New Roman"/>
          <w:sz w:val="28"/>
          <w:szCs w:val="28"/>
          <w:lang w:val="kk-KZ"/>
        </w:rPr>
        <w:t>колоректальным раком</w:t>
      </w:r>
      <w:r w:rsidR="006F3353">
        <w:rPr>
          <w:rFonts w:ascii="Times New Roman" w:hAnsi="Times New Roman" w:cs="Times New Roman"/>
          <w:sz w:val="28"/>
          <w:szCs w:val="28"/>
          <w:lang w:val="kk-KZ"/>
        </w:rPr>
        <w:t>.</w:t>
      </w:r>
    </w:p>
    <w:p w14:paraId="1412EDA3" w14:textId="5CA480AE" w:rsidR="009D71BC" w:rsidRPr="00A43B9C" w:rsidRDefault="009D71BC" w:rsidP="00D85264">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В другом исследовании (</w:t>
      </w:r>
      <w:r w:rsidR="003A68B6" w:rsidRPr="00A43B9C">
        <w:rPr>
          <w:rFonts w:ascii="Times New Roman" w:eastAsia="MinionPro-Regular" w:hAnsi="Times New Roman" w:cs="Times New Roman"/>
          <w:sz w:val="28"/>
          <w:szCs w:val="28"/>
          <w:lang w:val="en-US"/>
        </w:rPr>
        <w:t>Sokolovi</w:t>
      </w:r>
      <w:r w:rsidR="003A68B6" w:rsidRPr="00A43B9C">
        <w:rPr>
          <w:rFonts w:ascii="Times New Roman" w:eastAsia="MinionPro-Regular" w:hAnsi="Times New Roman" w:cs="Times New Roman"/>
          <w:sz w:val="28"/>
          <w:szCs w:val="28"/>
        </w:rPr>
        <w:t>ć</w:t>
      </w:r>
      <w:r w:rsidR="003A68B6" w:rsidRPr="00A43B9C">
        <w:rPr>
          <w:rFonts w:ascii="Times New Roman" w:hAnsi="Times New Roman" w:cs="Times New Roman"/>
          <w:sz w:val="28"/>
          <w:szCs w:val="28"/>
        </w:rPr>
        <w:t xml:space="preserve"> </w:t>
      </w:r>
      <w:r w:rsidR="003A68B6" w:rsidRPr="00A43B9C">
        <w:rPr>
          <w:rFonts w:ascii="Times New Roman" w:hAnsi="Times New Roman" w:cs="Times New Roman"/>
          <w:sz w:val="28"/>
          <w:szCs w:val="28"/>
          <w:lang w:val="en-US"/>
        </w:rPr>
        <w:t>et</w:t>
      </w:r>
      <w:r w:rsidR="003A68B6" w:rsidRPr="00A43B9C">
        <w:rPr>
          <w:rFonts w:ascii="Times New Roman" w:hAnsi="Times New Roman" w:cs="Times New Roman"/>
          <w:sz w:val="28"/>
          <w:szCs w:val="28"/>
        </w:rPr>
        <w:t xml:space="preserve"> </w:t>
      </w:r>
      <w:r w:rsidR="003A68B6" w:rsidRPr="00A43B9C">
        <w:rPr>
          <w:rFonts w:ascii="Times New Roman" w:hAnsi="Times New Roman" w:cs="Times New Roman"/>
          <w:sz w:val="28"/>
          <w:szCs w:val="28"/>
          <w:lang w:val="en-US"/>
        </w:rPr>
        <w:t>al</w:t>
      </w:r>
      <w:r w:rsidR="003A68B6" w:rsidRPr="00A43B9C">
        <w:rPr>
          <w:rFonts w:ascii="Times New Roman" w:hAnsi="Times New Roman" w:cs="Times New Roman"/>
          <w:sz w:val="28"/>
          <w:szCs w:val="28"/>
        </w:rPr>
        <w:t>.</w:t>
      </w:r>
      <w:r w:rsidRPr="00A43B9C">
        <w:rPr>
          <w:rFonts w:ascii="Times New Roman" w:hAnsi="Times New Roman" w:cs="Times New Roman"/>
          <w:sz w:val="28"/>
          <w:szCs w:val="28"/>
        </w:rPr>
        <w:t>)</w:t>
      </w:r>
      <w:r w:rsidR="003A68B6" w:rsidRPr="00A43B9C">
        <w:rPr>
          <w:rFonts w:ascii="Times New Roman" w:hAnsi="Times New Roman" w:cs="Times New Roman"/>
          <w:sz w:val="28"/>
          <w:szCs w:val="28"/>
        </w:rPr>
        <w:t xml:space="preserve"> </w:t>
      </w:r>
      <w:r w:rsidRPr="00A43B9C">
        <w:rPr>
          <w:rFonts w:ascii="Times New Roman" w:hAnsi="Times New Roman" w:cs="Times New Roman"/>
          <w:sz w:val="28"/>
          <w:szCs w:val="28"/>
        </w:rPr>
        <w:t>оценивали</w:t>
      </w:r>
      <w:r w:rsidR="003A68B6" w:rsidRPr="00A43B9C">
        <w:rPr>
          <w:rFonts w:ascii="Times New Roman" w:hAnsi="Times New Roman" w:cs="Times New Roman"/>
          <w:sz w:val="28"/>
          <w:szCs w:val="28"/>
        </w:rPr>
        <w:t xml:space="preserve"> прогностическое значение SUV</w:t>
      </w:r>
      <w:r w:rsidR="003A68B6" w:rsidRPr="00A43B9C">
        <w:rPr>
          <w:rFonts w:ascii="Times New Roman" w:hAnsi="Times New Roman" w:cs="Times New Roman"/>
          <w:sz w:val="28"/>
          <w:szCs w:val="28"/>
          <w:vertAlign w:val="subscript"/>
        </w:rPr>
        <w:t>max</w:t>
      </w:r>
      <w:r w:rsidR="003A68B6" w:rsidRPr="00A43B9C">
        <w:rPr>
          <w:rFonts w:ascii="Times New Roman" w:hAnsi="Times New Roman" w:cs="Times New Roman"/>
          <w:sz w:val="28"/>
          <w:szCs w:val="28"/>
        </w:rPr>
        <w:t xml:space="preserve"> </w:t>
      </w:r>
      <w:r w:rsidR="003A68B6" w:rsidRPr="00A43B9C">
        <w:rPr>
          <w:rFonts w:ascii="Times New Roman" w:hAnsi="Times New Roman" w:cs="Times New Roman"/>
          <w:sz w:val="28"/>
          <w:szCs w:val="28"/>
          <w:vertAlign w:val="superscript"/>
        </w:rPr>
        <w:t>18</w:t>
      </w:r>
      <w:r w:rsidR="003A68B6" w:rsidRPr="00A43B9C">
        <w:rPr>
          <w:rFonts w:ascii="Times New Roman" w:hAnsi="Times New Roman" w:cs="Times New Roman"/>
          <w:sz w:val="28"/>
          <w:szCs w:val="28"/>
        </w:rPr>
        <w:t>F-</w:t>
      </w:r>
      <w:r w:rsidR="003A68B6" w:rsidRPr="00A43B9C">
        <w:rPr>
          <w:rFonts w:ascii="Times New Roman" w:hAnsi="Times New Roman" w:cs="Times New Roman"/>
          <w:sz w:val="28"/>
          <w:szCs w:val="28"/>
          <w:lang w:val="en-US"/>
        </w:rPr>
        <w:t>FDG</w:t>
      </w:r>
      <w:r w:rsidR="003A68B6" w:rsidRPr="00A43B9C">
        <w:rPr>
          <w:rFonts w:ascii="Times New Roman" w:hAnsi="Times New Roman" w:cs="Times New Roman"/>
          <w:sz w:val="28"/>
          <w:szCs w:val="28"/>
        </w:rPr>
        <w:t xml:space="preserve"> ПЭТ/КТ у 70 пациентов с метастатическим </w:t>
      </w:r>
      <w:r w:rsidR="000E2A12">
        <w:rPr>
          <w:rFonts w:ascii="Times New Roman" w:hAnsi="Times New Roman" w:cs="Times New Roman"/>
          <w:sz w:val="28"/>
          <w:szCs w:val="28"/>
        </w:rPr>
        <w:t>колоректальным раком</w:t>
      </w:r>
      <w:r w:rsidR="003A68B6" w:rsidRPr="00A43B9C">
        <w:rPr>
          <w:rFonts w:ascii="Times New Roman" w:hAnsi="Times New Roman" w:cs="Times New Roman"/>
          <w:sz w:val="28"/>
          <w:szCs w:val="28"/>
        </w:rPr>
        <w:t xml:space="preserve"> и сравни</w:t>
      </w:r>
      <w:r w:rsidRPr="00A43B9C">
        <w:rPr>
          <w:rFonts w:ascii="Times New Roman" w:hAnsi="Times New Roman" w:cs="Times New Roman"/>
          <w:sz w:val="28"/>
          <w:szCs w:val="28"/>
        </w:rPr>
        <w:t>ли</w:t>
      </w:r>
      <w:r w:rsidR="003A68B6" w:rsidRPr="00A43B9C">
        <w:rPr>
          <w:rFonts w:ascii="Times New Roman" w:hAnsi="Times New Roman" w:cs="Times New Roman"/>
          <w:sz w:val="28"/>
          <w:szCs w:val="28"/>
        </w:rPr>
        <w:t xml:space="preserve"> его с классическими прогностическими маркерами, показав тем самым, что уровень накопления SUV</w:t>
      </w:r>
      <w:r w:rsidR="003A68B6" w:rsidRPr="00A43B9C">
        <w:rPr>
          <w:rFonts w:ascii="Times New Roman" w:hAnsi="Times New Roman" w:cs="Times New Roman"/>
          <w:sz w:val="28"/>
          <w:szCs w:val="28"/>
          <w:vertAlign w:val="subscript"/>
        </w:rPr>
        <w:t>max</w:t>
      </w:r>
      <w:r w:rsidR="003A68B6" w:rsidRPr="00A43B9C">
        <w:rPr>
          <w:rFonts w:ascii="Times New Roman" w:hAnsi="Times New Roman" w:cs="Times New Roman"/>
          <w:sz w:val="28"/>
          <w:szCs w:val="28"/>
        </w:rPr>
        <w:t xml:space="preserve"> может быть использован в качестве нового прогностического предиктора прогрессирования заболевания среди пациентов с метастатическим </w:t>
      </w:r>
      <w:r w:rsidR="000E2A12">
        <w:rPr>
          <w:rFonts w:ascii="Times New Roman" w:hAnsi="Times New Roman" w:cs="Times New Roman"/>
          <w:sz w:val="28"/>
          <w:szCs w:val="28"/>
        </w:rPr>
        <w:t>раком</w:t>
      </w:r>
      <w:r w:rsidR="003A68B6" w:rsidRPr="00A43B9C">
        <w:rPr>
          <w:rFonts w:ascii="Times New Roman" w:hAnsi="Times New Roman" w:cs="Times New Roman"/>
          <w:sz w:val="28"/>
          <w:szCs w:val="28"/>
        </w:rPr>
        <w:t>. Средняя выживаемость без прогрессирования у пациентов с уровнем накопления SUV</w:t>
      </w:r>
      <w:r w:rsidR="003A68B6" w:rsidRPr="00A43B9C">
        <w:rPr>
          <w:rFonts w:ascii="Times New Roman" w:hAnsi="Times New Roman" w:cs="Times New Roman"/>
          <w:sz w:val="28"/>
          <w:szCs w:val="28"/>
          <w:vertAlign w:val="subscript"/>
        </w:rPr>
        <w:t>max</w:t>
      </w:r>
      <w:r w:rsidR="003A68B6" w:rsidRPr="00A43B9C">
        <w:rPr>
          <w:rFonts w:ascii="Times New Roman" w:hAnsi="Times New Roman" w:cs="Times New Roman"/>
          <w:sz w:val="28"/>
          <w:szCs w:val="28"/>
        </w:rPr>
        <w:t xml:space="preserve"> выше 4,1 составила 11,3±9,37 месяца, а у пациентов с уровнем накопления SUV</w:t>
      </w:r>
      <w:r w:rsidR="003A68B6" w:rsidRPr="00A43B9C">
        <w:rPr>
          <w:rFonts w:ascii="Times New Roman" w:hAnsi="Times New Roman" w:cs="Times New Roman"/>
          <w:sz w:val="28"/>
          <w:szCs w:val="28"/>
          <w:vertAlign w:val="subscript"/>
        </w:rPr>
        <w:t>max</w:t>
      </w:r>
      <w:r w:rsidR="003A68B6" w:rsidRPr="00A43B9C">
        <w:rPr>
          <w:rFonts w:ascii="Times New Roman" w:hAnsi="Times New Roman" w:cs="Times New Roman"/>
          <w:sz w:val="28"/>
          <w:szCs w:val="28"/>
        </w:rPr>
        <w:t xml:space="preserve"> ниже 4,1 - 19,6±12,05 месяца (р=0,001)</w:t>
      </w:r>
      <w:r w:rsidR="00DF4B02" w:rsidRPr="00A43B9C">
        <w:rPr>
          <w:rFonts w:ascii="Times New Roman" w:hAnsi="Times New Roman" w:cs="Times New Roman"/>
          <w:sz w:val="28"/>
          <w:szCs w:val="28"/>
        </w:rPr>
        <w:t xml:space="preserve"> </w:t>
      </w:r>
      <w:r w:rsidR="00DF4B02" w:rsidRPr="00A43B9C">
        <w:rPr>
          <w:rFonts w:ascii="Times New Roman" w:hAnsi="Times New Roman" w:cs="Times New Roman"/>
          <w:sz w:val="28"/>
          <w:szCs w:val="28"/>
        </w:rPr>
        <w:fldChar w:fldCharType="begin"/>
      </w:r>
      <w:r w:rsidR="00F6152F">
        <w:rPr>
          <w:rFonts w:ascii="Times New Roman" w:hAnsi="Times New Roman" w:cs="Times New Roman"/>
          <w:sz w:val="28"/>
          <w:szCs w:val="28"/>
        </w:rPr>
        <w:instrText xml:space="preserve"> ADDIN ZOTERO_ITEM CSL_CITATION {"citationID":"a1t9v00kr7d","properties":{"formattedCitation":"[205]","plainCitation":"[205]","noteIndex":0},"citationItems":[{"id":112,"uris":["http://zotero.org/users/8787459/items/8U7HASA9"],"itemData":{"id":112,"type":"article-journal","abstract":"OBJECTIVE: The aim of the study was to evaluate the prognostic value of the maximum standardized uptake value (SUVmax) of 18F-Fluorodeoxyglucose (18F-FDG) PET/CT in patients with metastatic colorectal cancer, and to compare it with classical prognostic markers.\nMATERIALS AND METHODS: The study included 70 patients with metastatic colorectal cancer who had not been treated for the metastatic disease. The patients underwent 18F-FDG PET/CT as part of their routine diagnostic reevaluation. During the analysis, the value of the largest tumor diameter and SUVmax was determined for the lesion with the highest SUVmax observed. The values of CEA and CA 19-9 were recorded 7 days before the PET/CT analysis.\nRESULTS: SUVmax and Carbohydrate antigen (CA)19-9 were found to be independent prognostic markers of disease progression within 12 months. Based on the Receiver Operating Characteristics (ROC) curve analysis, the patients could be divided into two groups: SUVmax≤4.1 vs. SUVmax&gt;4.1. Patients with SUVmax values of 4.1 or less had significantly better progression-free survival within 12 months with an HR (95% CI) of 2.97 (1.4-6.3), relative to patients with SUVmax values above 4.1.\nCONCLUSION: SUVmax may be used as a novel prognostic marker of disease progression among patients with metastatic colorectal cancer. Values of SUVmax can be used to select patients with a more aggressive type of disease and higher risk for progression within 12 months of PET/CT analysis.","container-title":"Acta Medica Academica","DOI":"10.5644/ama2006-124.278","ISSN":"1840-2879","issue":"1","journalAbbreviation":"Acta Med Acad","language":"eng","note":"PMID: 32738112","page":"1-8","source":"PubMed","title":"The Prognostic Value of SUVmax of 18F-FDG PET/CT in Patients with Metastatic Colorectal Cancer","volume":"49","author":[{"family":"Sokolović","given":"Emir"},{"family":"Cerić","given":"Timur"},{"family":"Cerić","given":"Šejla"},{"family":"Bešlija","given":"Semir"},{"family":"Vegar-Zubović","given":"Sandra"},{"family":"Bešlić","given":"Nermina"},{"family":"Sefić-Pašić","given":"Irmina"},{"family":"Pašić","given":"Anes"}],"issued":{"date-parts":[["2020",4]]}}}],"schema":"https://github.com/citation-style-language/schema/raw/master/csl-citation.json"} </w:instrText>
      </w:r>
      <w:r w:rsidR="00DF4B02" w:rsidRPr="00A43B9C">
        <w:rPr>
          <w:rFonts w:ascii="Times New Roman" w:hAnsi="Times New Roman" w:cs="Times New Roman"/>
          <w:sz w:val="28"/>
          <w:szCs w:val="28"/>
        </w:rPr>
        <w:fldChar w:fldCharType="separate"/>
      </w:r>
      <w:r w:rsidR="00F6152F" w:rsidRPr="00F6152F">
        <w:rPr>
          <w:rFonts w:ascii="Times New Roman" w:hAnsi="Times New Roman" w:cs="Times New Roman"/>
          <w:sz w:val="28"/>
        </w:rPr>
        <w:t>[205]</w:t>
      </w:r>
      <w:r w:rsidR="00DF4B02" w:rsidRPr="00A43B9C">
        <w:rPr>
          <w:rFonts w:ascii="Times New Roman" w:hAnsi="Times New Roman" w:cs="Times New Roman"/>
          <w:sz w:val="28"/>
          <w:szCs w:val="28"/>
        </w:rPr>
        <w:fldChar w:fldCharType="end"/>
      </w:r>
      <w:r w:rsidR="003A68B6" w:rsidRPr="00A43B9C">
        <w:rPr>
          <w:rFonts w:ascii="Times New Roman" w:hAnsi="Times New Roman" w:cs="Times New Roman"/>
          <w:sz w:val="28"/>
          <w:szCs w:val="28"/>
        </w:rPr>
        <w:t>.</w:t>
      </w:r>
    </w:p>
    <w:p w14:paraId="205C1537" w14:textId="050F7212" w:rsidR="003A68B6" w:rsidRPr="00A43B9C" w:rsidRDefault="003A68B6" w:rsidP="00D85264">
      <w:pPr>
        <w:spacing w:after="0" w:line="240" w:lineRule="auto"/>
        <w:ind w:firstLine="709"/>
        <w:jc w:val="both"/>
        <w:rPr>
          <w:rFonts w:ascii="Times New Roman" w:hAnsi="Times New Roman" w:cs="Times New Roman"/>
          <w:sz w:val="28"/>
          <w:szCs w:val="28"/>
        </w:rPr>
      </w:pPr>
      <w:bookmarkStart w:id="118" w:name="_Hlk117893692"/>
      <w:bookmarkEnd w:id="117"/>
      <w:r w:rsidRPr="00A43B9C">
        <w:rPr>
          <w:rFonts w:ascii="Times New Roman" w:hAnsi="Times New Roman" w:cs="Times New Roman"/>
          <w:sz w:val="28"/>
          <w:szCs w:val="28"/>
        </w:rPr>
        <w:t xml:space="preserve">Целью ретроспективного исследования </w:t>
      </w:r>
      <w:r w:rsidRPr="00A43B9C">
        <w:rPr>
          <w:rFonts w:ascii="Times New Roman" w:hAnsi="Times New Roman" w:cs="Times New Roman"/>
          <w:sz w:val="28"/>
          <w:szCs w:val="28"/>
          <w:lang w:val="en-US"/>
        </w:rPr>
        <w:t>Arslan</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et</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al</w:t>
      </w:r>
      <w:r w:rsidRPr="00A43B9C">
        <w:rPr>
          <w:rFonts w:ascii="Times New Roman" w:hAnsi="Times New Roman" w:cs="Times New Roman"/>
          <w:sz w:val="28"/>
          <w:szCs w:val="28"/>
        </w:rPr>
        <w:t>. был</w:t>
      </w:r>
      <w:r w:rsidR="009D71BC" w:rsidRPr="00A43B9C">
        <w:rPr>
          <w:rFonts w:ascii="Times New Roman" w:hAnsi="Times New Roman" w:cs="Times New Roman"/>
          <w:sz w:val="28"/>
          <w:szCs w:val="28"/>
        </w:rPr>
        <w:t>а</w:t>
      </w:r>
      <w:r w:rsidRPr="00A43B9C">
        <w:rPr>
          <w:rFonts w:ascii="Times New Roman" w:hAnsi="Times New Roman" w:cs="Times New Roman"/>
          <w:sz w:val="28"/>
          <w:szCs w:val="28"/>
        </w:rPr>
        <w:t xml:space="preserve"> оцен</w:t>
      </w:r>
      <w:r w:rsidR="009D71BC" w:rsidRPr="00A43B9C">
        <w:rPr>
          <w:rFonts w:ascii="Times New Roman" w:hAnsi="Times New Roman" w:cs="Times New Roman"/>
          <w:sz w:val="28"/>
          <w:szCs w:val="28"/>
        </w:rPr>
        <w:t>ка</w:t>
      </w:r>
      <w:r w:rsidRPr="00A43B9C">
        <w:rPr>
          <w:rFonts w:ascii="Times New Roman" w:hAnsi="Times New Roman" w:cs="Times New Roman"/>
          <w:sz w:val="28"/>
          <w:szCs w:val="28"/>
        </w:rPr>
        <w:t xml:space="preserve"> связ</w:t>
      </w:r>
      <w:r w:rsidR="009D71BC" w:rsidRPr="00A43B9C">
        <w:rPr>
          <w:rFonts w:ascii="Times New Roman" w:hAnsi="Times New Roman" w:cs="Times New Roman"/>
          <w:sz w:val="28"/>
          <w:szCs w:val="28"/>
        </w:rPr>
        <w:t>и</w:t>
      </w:r>
      <w:r w:rsidRPr="00A43B9C">
        <w:rPr>
          <w:rFonts w:ascii="Times New Roman" w:hAnsi="Times New Roman" w:cs="Times New Roman"/>
          <w:sz w:val="28"/>
          <w:szCs w:val="28"/>
        </w:rPr>
        <w:t xml:space="preserve"> между поглощение</w:t>
      </w:r>
      <w:r w:rsidRPr="00A43B9C">
        <w:rPr>
          <w:rFonts w:ascii="Times New Roman" w:hAnsi="Times New Roman" w:cs="Times New Roman"/>
          <w:sz w:val="28"/>
          <w:szCs w:val="28"/>
          <w:lang w:val="kk-KZ"/>
        </w:rPr>
        <w:t xml:space="preserve">м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FDG</w:t>
      </w:r>
      <w:r w:rsidRPr="00A43B9C">
        <w:rPr>
          <w:rFonts w:ascii="Times New Roman" w:hAnsi="Times New Roman" w:cs="Times New Roman"/>
          <w:sz w:val="28"/>
          <w:szCs w:val="28"/>
        </w:rPr>
        <w:t xml:space="preserve"> ПЭТ/КТ, мутацией гена KRAS и локализацией опухоли у пациентов с диагнозом рак толстой кишки и оценили влияние этих трех факторов на прогноз и выживание у 83 пациентов с </w:t>
      </w:r>
      <w:r w:rsidR="000E2A12">
        <w:rPr>
          <w:rFonts w:ascii="Times New Roman" w:hAnsi="Times New Roman" w:cs="Times New Roman"/>
          <w:sz w:val="28"/>
          <w:szCs w:val="28"/>
        </w:rPr>
        <w:t>колоректальным раком</w:t>
      </w:r>
      <w:r w:rsidRPr="00A43B9C">
        <w:rPr>
          <w:rFonts w:ascii="Times New Roman" w:hAnsi="Times New Roman" w:cs="Times New Roman"/>
          <w:sz w:val="28"/>
          <w:szCs w:val="28"/>
        </w:rPr>
        <w:t xml:space="preserve">. </w:t>
      </w:r>
      <w:r w:rsidR="009D71BC" w:rsidRPr="00A43B9C">
        <w:rPr>
          <w:rFonts w:ascii="Times New Roman" w:hAnsi="Times New Roman" w:cs="Times New Roman"/>
          <w:sz w:val="28"/>
          <w:szCs w:val="28"/>
        </w:rPr>
        <w:t>С</w:t>
      </w:r>
      <w:r w:rsidRPr="00A43B9C">
        <w:rPr>
          <w:rFonts w:ascii="Times New Roman" w:eastAsia="MinionPro-Regular" w:hAnsi="Times New Roman" w:cs="Times New Roman"/>
          <w:sz w:val="28"/>
          <w:szCs w:val="28"/>
        </w:rPr>
        <w:t>реднее значение уровня накоплени</w:t>
      </w:r>
      <w:r w:rsidR="00794E06" w:rsidRPr="00A43B9C">
        <w:rPr>
          <w:rFonts w:ascii="Times New Roman" w:eastAsia="MinionPro-Regular" w:hAnsi="Times New Roman" w:cs="Times New Roman"/>
          <w:sz w:val="28"/>
          <w:szCs w:val="28"/>
        </w:rPr>
        <w:t>я</w:t>
      </w:r>
      <w:r w:rsidRPr="00A43B9C">
        <w:rPr>
          <w:rFonts w:ascii="Times New Roman" w:eastAsia="MinionPro-Regular" w:hAnsi="Times New Roman" w:cs="Times New Roman"/>
          <w:sz w:val="28"/>
          <w:szCs w:val="28"/>
        </w:rPr>
        <w:t xml:space="preserve"> SUV</w:t>
      </w:r>
      <w:r w:rsidRPr="00A43B9C">
        <w:rPr>
          <w:rFonts w:ascii="Times New Roman" w:eastAsia="MinionPro-Regular" w:hAnsi="Times New Roman" w:cs="Times New Roman"/>
          <w:sz w:val="28"/>
          <w:szCs w:val="28"/>
          <w:vertAlign w:val="subscript"/>
        </w:rPr>
        <w:t>max</w:t>
      </w:r>
      <w:r w:rsidRPr="00A43B9C">
        <w:rPr>
          <w:rFonts w:ascii="Times New Roman" w:eastAsia="MinionPro-Regular" w:hAnsi="Times New Roman" w:cs="Times New Roman"/>
          <w:sz w:val="28"/>
          <w:szCs w:val="28"/>
        </w:rPr>
        <w:t xml:space="preserve"> у пациентов с первичной опухолью оценивалось в 21,1±9,1 (диапазон 6,0-47,5), а среднее значение уровня накоплени</w:t>
      </w:r>
      <w:r w:rsidR="00794E06" w:rsidRPr="00A43B9C">
        <w:rPr>
          <w:rFonts w:ascii="Times New Roman" w:eastAsia="MinionPro-Regular" w:hAnsi="Times New Roman" w:cs="Times New Roman"/>
          <w:sz w:val="28"/>
          <w:szCs w:val="28"/>
        </w:rPr>
        <w:t>я</w:t>
      </w:r>
      <w:r w:rsidRPr="00A43B9C">
        <w:rPr>
          <w:rFonts w:ascii="Times New Roman" w:eastAsia="MinionPro-Regular" w:hAnsi="Times New Roman" w:cs="Times New Roman"/>
          <w:sz w:val="28"/>
          <w:szCs w:val="28"/>
        </w:rPr>
        <w:t xml:space="preserve"> SUV</w:t>
      </w:r>
      <w:r w:rsidRPr="00A43B9C">
        <w:rPr>
          <w:rFonts w:ascii="Times New Roman" w:eastAsia="MinionPro-Regular" w:hAnsi="Times New Roman" w:cs="Times New Roman"/>
          <w:sz w:val="28"/>
          <w:szCs w:val="28"/>
          <w:vertAlign w:val="subscript"/>
        </w:rPr>
        <w:t>max</w:t>
      </w:r>
      <w:r w:rsidRPr="00A43B9C">
        <w:rPr>
          <w:rFonts w:ascii="Times New Roman" w:eastAsia="MinionPro-Regular" w:hAnsi="Times New Roman" w:cs="Times New Roman"/>
          <w:sz w:val="28"/>
          <w:szCs w:val="28"/>
        </w:rPr>
        <w:t xml:space="preserve"> опухоли у пациентов с мутацией гена KRAS </w:t>
      </w:r>
      <w:r w:rsidRPr="00A43B9C">
        <w:rPr>
          <w:rFonts w:ascii="Times New Roman" w:eastAsia="MinionPro-Regular" w:hAnsi="Times New Roman" w:cs="Times New Roman"/>
          <w:sz w:val="28"/>
          <w:szCs w:val="28"/>
        </w:rPr>
        <w:lastRenderedPageBreak/>
        <w:t xml:space="preserve">(24,0±9,0) оказалось значительно выше, чем у пациентов без мутации гена KRAS (17,7±8,2) (р=0,001) тем самым показав, что </w:t>
      </w:r>
      <w:r w:rsidRPr="00A43B9C">
        <w:rPr>
          <w:rFonts w:ascii="Times New Roman" w:hAnsi="Times New Roman" w:cs="Times New Roman"/>
          <w:sz w:val="28"/>
          <w:szCs w:val="28"/>
        </w:rPr>
        <w:t>локализация опухоли не оказывает существенного влияния на прогноз у пациентов с раком толстой кишки</w:t>
      </w:r>
      <w:r w:rsidR="00DF4B02" w:rsidRPr="00A43B9C">
        <w:rPr>
          <w:rFonts w:ascii="Times New Roman" w:hAnsi="Times New Roman" w:cs="Times New Roman"/>
          <w:sz w:val="28"/>
          <w:szCs w:val="28"/>
        </w:rPr>
        <w:t xml:space="preserve"> </w:t>
      </w:r>
      <w:r w:rsidR="00DF4B02" w:rsidRPr="00A43B9C">
        <w:rPr>
          <w:rFonts w:ascii="Times New Roman" w:hAnsi="Times New Roman" w:cs="Times New Roman"/>
          <w:sz w:val="28"/>
          <w:szCs w:val="28"/>
        </w:rPr>
        <w:fldChar w:fldCharType="begin"/>
      </w:r>
      <w:r w:rsidR="00F6152F">
        <w:rPr>
          <w:rFonts w:ascii="Times New Roman" w:hAnsi="Times New Roman" w:cs="Times New Roman"/>
          <w:sz w:val="28"/>
          <w:szCs w:val="28"/>
        </w:rPr>
        <w:instrText xml:space="preserve"> ADDIN ZOTERO_ITEM CSL_CITATION {"citationID":"a17168kamne","properties":{"formattedCitation":"[206]","plainCitation":"[206]","noteIndex":0},"citationItems":[{"id":109,"uris":["http://zotero.org/users/8787459/items/GJ4DHXF4"],"itemData":{"id":109,"type":"article-journal","abstract":"Objective:\nPrognostic effect of KRAS mutation and side of tumor in colorectal cancer is a highly controversial subject. Therefore, we evaluated the association between FDG uptake pattern in 18F-fluoro-2-deoxy-glucose positron emission tomography/computed tomography (18F-FDG PET/CT) imaging and KRAS mutation and tumor localization in patients with a diagnosis of colon cancer and assessed the effects of these three factors on prognosis and survival.\n\nMethods:\nEighty-three patients with colorectal cancer were retrospectively included in this study. 18F-FDG PET/CT study was performed for pretreatment staging. The maximum standardized uptake value (SUVmax) of the primary tumor and survival data of patients were compared between groups. KRAS mutations were detected with the help of real-time Polymerase Chain Reaction technique through genomic DNA extracted from paraffin-embedded tumor tissue blocks. Tumor lesions with potential KRAS mutations were classified as mutant KRAS and wild type.\n\nResults:\nTwenty five patients were female while 58 were male. The mean age of the patients was 59.8±11.3 years. Mean follow-up was 35.5±18.9 months. Primary tumor was localized in the left colon in 83.1% of patients and in the right colon in 16.9%. KRAS mutation was detected in 54.2% (n=45) of patients. Mean SUVmax of patients with primary tumor was estimated to be 21.1±9.1 (range= 6.0-47.5). Mean tumor SUVmax of patients with a KRAS mutation (24.0±9.0) was found to be significantly higher than those without KRAS mutation (17.7±8.2) (p=0.001). Mean survival was significantly shorter in patients with locoregional nodal metastasis than in patients without locoregional nodal metastasis as well as in patients with distant nodal metastasis than in patients without distant nodal metastasis and in patients with organ metastasis in initial PET/CT than in patients without organ metastasis. Also, mean survival was nearly statistically-significantly shorter in patients with tumors located in left colon (34.2±19.4) than in right colon (43.2±14.6) (p=0.059). However, we found no significant impact of KRAS mutation on survival.\n\nConclusion:\nIn our study, we found that tumor localization had no significant effect on prognosis in patients with colon cancer. On the other hand, FDG uptake was observed to be higher in the presence of KRAS mutation and it was concluded that coexistence of KRAS mutation with higher SUVmax is a negative prognostic factor.","container-title":"Molecular Imaging and Radionuclide Therapy","DOI":"10.4274/mirt.galenos.2019.33866","ISSN":"2146-1414","issue":"1","journalAbbreviation":"Mol Imaging Radionucl Ther","note":"PMID: 32079384\nPMCID: PMC7057728","page":"17-24","source":"PubMed Central","title":"The Prognostic Value of 18F-FDG PET/CT and KRAS Mutation in Colorectal Cancers","volume":"29","author":[{"family":"Arslan","given":"Esra"},{"family":"Aksoy","given":"Tamer"},{"family":"Gürsu","given":"Rıza Umar"},{"family":"Dursun","given":"Nevra"},{"family":"Çakar","given":"Ekrem"},{"family":"Çermik","given":"Tevfik Fikret"}],"issued":{"date-parts":[["2020",2]]}}}],"schema":"https://github.com/citation-style-language/schema/raw/master/csl-citation.json"} </w:instrText>
      </w:r>
      <w:r w:rsidR="00DF4B02" w:rsidRPr="00A43B9C">
        <w:rPr>
          <w:rFonts w:ascii="Times New Roman" w:hAnsi="Times New Roman" w:cs="Times New Roman"/>
          <w:sz w:val="28"/>
          <w:szCs w:val="28"/>
        </w:rPr>
        <w:fldChar w:fldCharType="separate"/>
      </w:r>
      <w:r w:rsidR="00F6152F" w:rsidRPr="00F6152F">
        <w:rPr>
          <w:rFonts w:ascii="Times New Roman" w:hAnsi="Times New Roman" w:cs="Times New Roman"/>
          <w:sz w:val="28"/>
        </w:rPr>
        <w:t>[206]</w:t>
      </w:r>
      <w:r w:rsidR="00DF4B02" w:rsidRPr="00A43B9C">
        <w:rPr>
          <w:rFonts w:ascii="Times New Roman" w:hAnsi="Times New Roman" w:cs="Times New Roman"/>
          <w:sz w:val="28"/>
          <w:szCs w:val="28"/>
        </w:rPr>
        <w:fldChar w:fldCharType="end"/>
      </w:r>
      <w:r w:rsidRPr="00A43B9C">
        <w:rPr>
          <w:rFonts w:ascii="Times New Roman" w:hAnsi="Times New Roman" w:cs="Times New Roman"/>
          <w:sz w:val="28"/>
          <w:szCs w:val="28"/>
        </w:rPr>
        <w:t>.</w:t>
      </w:r>
    </w:p>
    <w:p w14:paraId="18266613" w14:textId="29E9ECA2" w:rsidR="000F7CD4" w:rsidRDefault="000F7CD4" w:rsidP="00261705">
      <w:pPr>
        <w:spacing w:after="0" w:line="240" w:lineRule="auto"/>
        <w:ind w:firstLine="709"/>
        <w:jc w:val="both"/>
        <w:rPr>
          <w:rFonts w:ascii="Times New Roman" w:hAnsi="Times New Roman" w:cs="Times New Roman"/>
          <w:sz w:val="28"/>
          <w:szCs w:val="28"/>
        </w:rPr>
      </w:pPr>
      <w:r w:rsidRPr="007E2D2F">
        <w:rPr>
          <w:rFonts w:ascii="Times New Roman" w:hAnsi="Times New Roman" w:cs="Times New Roman"/>
          <w:sz w:val="28"/>
          <w:szCs w:val="28"/>
        </w:rPr>
        <w:t xml:space="preserve">Целью ретроспективного исследования Pahk </w:t>
      </w:r>
      <w:r w:rsidRPr="007E2D2F">
        <w:rPr>
          <w:rFonts w:ascii="Times New Roman" w:hAnsi="Times New Roman" w:cs="Times New Roman"/>
          <w:sz w:val="28"/>
          <w:szCs w:val="28"/>
          <w:lang w:val="en-US"/>
        </w:rPr>
        <w:t>et</w:t>
      </w:r>
      <w:r w:rsidRPr="007E2D2F">
        <w:rPr>
          <w:rFonts w:ascii="Times New Roman" w:hAnsi="Times New Roman" w:cs="Times New Roman"/>
          <w:sz w:val="28"/>
          <w:szCs w:val="28"/>
        </w:rPr>
        <w:t xml:space="preserve"> </w:t>
      </w:r>
      <w:r w:rsidRPr="007E2D2F">
        <w:rPr>
          <w:rFonts w:ascii="Times New Roman" w:hAnsi="Times New Roman" w:cs="Times New Roman"/>
          <w:sz w:val="28"/>
          <w:szCs w:val="28"/>
          <w:lang w:val="en-US"/>
        </w:rPr>
        <w:t>al</w:t>
      </w:r>
      <w:r w:rsidRPr="007E2D2F">
        <w:rPr>
          <w:rFonts w:ascii="Times New Roman" w:hAnsi="Times New Roman" w:cs="Times New Roman"/>
          <w:sz w:val="28"/>
          <w:szCs w:val="28"/>
        </w:rPr>
        <w:t xml:space="preserve">. было изучение роли функциональной активности висцерального жира, оцененной с помощью предоперационной </w:t>
      </w:r>
      <w:r w:rsidRPr="007E2D2F">
        <w:rPr>
          <w:rFonts w:ascii="Times New Roman" w:hAnsi="Times New Roman" w:cs="Times New Roman"/>
          <w:sz w:val="28"/>
          <w:szCs w:val="28"/>
          <w:vertAlign w:val="superscript"/>
        </w:rPr>
        <w:t>18</w:t>
      </w:r>
      <w:r w:rsidRPr="007E2D2F">
        <w:rPr>
          <w:rFonts w:ascii="Times New Roman" w:hAnsi="Times New Roman" w:cs="Times New Roman"/>
          <w:sz w:val="28"/>
          <w:szCs w:val="28"/>
          <w:lang w:val="en-US"/>
        </w:rPr>
        <w:t>F</w:t>
      </w:r>
      <w:r w:rsidRPr="007E2D2F">
        <w:rPr>
          <w:rFonts w:ascii="Times New Roman" w:hAnsi="Times New Roman" w:cs="Times New Roman"/>
          <w:sz w:val="28"/>
          <w:szCs w:val="28"/>
        </w:rPr>
        <w:t>-</w:t>
      </w:r>
      <w:r w:rsidRPr="007E2D2F">
        <w:rPr>
          <w:rFonts w:ascii="Times New Roman" w:hAnsi="Times New Roman" w:cs="Times New Roman"/>
          <w:sz w:val="28"/>
          <w:szCs w:val="28"/>
          <w:lang w:val="en-US"/>
        </w:rPr>
        <w:t>FDG</w:t>
      </w:r>
      <w:r w:rsidRPr="007E2D2F">
        <w:rPr>
          <w:rFonts w:ascii="Times New Roman" w:hAnsi="Times New Roman" w:cs="Times New Roman"/>
          <w:sz w:val="28"/>
          <w:szCs w:val="28"/>
        </w:rPr>
        <w:t xml:space="preserve"> ПЭТ/КТ исследования у 131 пациентов с </w:t>
      </w:r>
      <w:r w:rsidR="000E2A12">
        <w:rPr>
          <w:rFonts w:ascii="Times New Roman" w:hAnsi="Times New Roman" w:cs="Times New Roman"/>
          <w:sz w:val="28"/>
          <w:szCs w:val="28"/>
        </w:rPr>
        <w:t>колоректальным раком</w:t>
      </w:r>
      <w:r w:rsidRPr="007E2D2F">
        <w:rPr>
          <w:rFonts w:ascii="Times New Roman" w:hAnsi="Times New Roman" w:cs="Times New Roman"/>
          <w:sz w:val="28"/>
          <w:szCs w:val="28"/>
        </w:rPr>
        <w:t xml:space="preserve"> с целью прогнозирования регионарных и отдаленных </w:t>
      </w:r>
      <w:r w:rsidR="000E2A12">
        <w:rPr>
          <w:rFonts w:ascii="Times New Roman" w:hAnsi="Times New Roman" w:cs="Times New Roman"/>
          <w:sz w:val="28"/>
          <w:szCs w:val="28"/>
        </w:rPr>
        <w:t>лимфоузлов</w:t>
      </w:r>
      <w:r w:rsidRPr="007E2D2F">
        <w:rPr>
          <w:rFonts w:ascii="Times New Roman" w:hAnsi="Times New Roman" w:cs="Times New Roman"/>
          <w:sz w:val="28"/>
          <w:szCs w:val="28"/>
        </w:rPr>
        <w:t>. Оптимальное соотношение SUV</w:t>
      </w:r>
      <w:r w:rsidRPr="007E2D2F">
        <w:rPr>
          <w:rFonts w:ascii="Times New Roman" w:hAnsi="Times New Roman" w:cs="Times New Roman"/>
          <w:sz w:val="28"/>
          <w:szCs w:val="28"/>
          <w:vertAlign w:val="subscript"/>
        </w:rPr>
        <w:t>max</w:t>
      </w:r>
      <w:r w:rsidRPr="007E2D2F">
        <w:rPr>
          <w:rFonts w:ascii="Times New Roman" w:hAnsi="Times New Roman" w:cs="Times New Roman"/>
          <w:sz w:val="28"/>
          <w:szCs w:val="28"/>
        </w:rPr>
        <w:t xml:space="preserve"> висцерального и подкожного жира было равно 1,88 и был предложен для прогнозирования отдаленных метастазов с </w:t>
      </w:r>
      <w:r w:rsidRPr="007E2D2F">
        <w:rPr>
          <w:rFonts w:ascii="Times New Roman" w:hAnsi="Times New Roman" w:cs="Times New Roman"/>
          <w:sz w:val="28"/>
          <w:szCs w:val="28"/>
          <w:lang w:val="en-US"/>
        </w:rPr>
        <w:t>Se</w:t>
      </w:r>
      <w:r w:rsidRPr="007E2D2F">
        <w:rPr>
          <w:rFonts w:ascii="Times New Roman" w:hAnsi="Times New Roman" w:cs="Times New Roman"/>
          <w:sz w:val="28"/>
          <w:szCs w:val="28"/>
        </w:rPr>
        <w:t xml:space="preserve"> 84,6% и </w:t>
      </w:r>
      <w:r w:rsidRPr="007E2D2F">
        <w:rPr>
          <w:rFonts w:ascii="Times New Roman" w:hAnsi="Times New Roman" w:cs="Times New Roman"/>
          <w:sz w:val="28"/>
          <w:szCs w:val="28"/>
          <w:lang w:val="en-US"/>
        </w:rPr>
        <w:t>Sp</w:t>
      </w:r>
      <w:r w:rsidRPr="007E2D2F">
        <w:rPr>
          <w:rFonts w:ascii="Times New Roman" w:hAnsi="Times New Roman" w:cs="Times New Roman"/>
          <w:sz w:val="28"/>
          <w:szCs w:val="28"/>
        </w:rPr>
        <w:t xml:space="preserve"> 78,8% (</w:t>
      </w:r>
      <w:r w:rsidRPr="007E2D2F">
        <w:rPr>
          <w:rFonts w:ascii="Times New Roman" w:hAnsi="Times New Roman" w:cs="Times New Roman"/>
          <w:sz w:val="28"/>
          <w:szCs w:val="28"/>
          <w:lang w:val="en-US"/>
        </w:rPr>
        <w:t>AUC</w:t>
      </w:r>
      <w:r w:rsidRPr="007E2D2F">
        <w:rPr>
          <w:rFonts w:ascii="Times New Roman" w:hAnsi="Times New Roman" w:cs="Times New Roman"/>
          <w:sz w:val="28"/>
          <w:szCs w:val="28"/>
        </w:rPr>
        <w:t xml:space="preserve"> 0,86; р &lt;0,0001). В итоге авторы резюмировали, что функциональная активность висцерально</w:t>
      </w:r>
      <w:r w:rsidR="000E2A12">
        <w:rPr>
          <w:rFonts w:ascii="Times New Roman" w:hAnsi="Times New Roman" w:cs="Times New Roman"/>
          <w:sz w:val="28"/>
          <w:szCs w:val="28"/>
        </w:rPr>
        <w:t>й жировой ткани</w:t>
      </w:r>
      <w:r w:rsidRPr="007E2D2F">
        <w:rPr>
          <w:rFonts w:ascii="Times New Roman" w:hAnsi="Times New Roman" w:cs="Times New Roman"/>
          <w:sz w:val="28"/>
          <w:szCs w:val="28"/>
        </w:rPr>
        <w:t xml:space="preserve"> в значительной степени связана с отдаленными метастазами </w:t>
      </w:r>
      <w:r w:rsidR="000E2A12">
        <w:rPr>
          <w:rFonts w:ascii="Times New Roman" w:hAnsi="Times New Roman" w:cs="Times New Roman"/>
          <w:sz w:val="28"/>
          <w:szCs w:val="28"/>
        </w:rPr>
        <w:t xml:space="preserve">в лимфатические узлы </w:t>
      </w:r>
      <w:r w:rsidRPr="007E2D2F">
        <w:rPr>
          <w:rFonts w:ascii="Times New Roman" w:hAnsi="Times New Roman" w:cs="Times New Roman"/>
          <w:sz w:val="28"/>
          <w:szCs w:val="28"/>
        </w:rPr>
        <w:t xml:space="preserve">у пациентов с </w:t>
      </w:r>
      <w:r w:rsidR="000E2A12">
        <w:rPr>
          <w:rFonts w:ascii="Times New Roman" w:hAnsi="Times New Roman" w:cs="Times New Roman"/>
          <w:sz w:val="28"/>
          <w:szCs w:val="28"/>
        </w:rPr>
        <w:t>колоректальным раком</w:t>
      </w:r>
      <w:r w:rsidRPr="007E2D2F">
        <w:rPr>
          <w:rFonts w:ascii="Times New Roman" w:hAnsi="Times New Roman" w:cs="Times New Roman"/>
          <w:sz w:val="28"/>
          <w:szCs w:val="28"/>
        </w:rPr>
        <w:t>.</w:t>
      </w:r>
    </w:p>
    <w:p w14:paraId="2567088E" w14:textId="7D527F8D" w:rsidR="006D363C" w:rsidRPr="00AB0F39" w:rsidRDefault="006D363C" w:rsidP="006D363C">
      <w:pPr>
        <w:autoSpaceDE w:val="0"/>
        <w:autoSpaceDN w:val="0"/>
        <w:adjustRightInd w:val="0"/>
        <w:spacing w:after="0" w:line="240" w:lineRule="auto"/>
        <w:ind w:firstLine="708"/>
        <w:jc w:val="both"/>
        <w:rPr>
          <w:rFonts w:ascii="Times New Roman" w:hAnsi="Times New Roman" w:cs="Times New Roman"/>
          <w:sz w:val="28"/>
          <w:szCs w:val="28"/>
        </w:rPr>
      </w:pPr>
      <w:bookmarkStart w:id="119" w:name="_Hlk117893783"/>
      <w:bookmarkEnd w:id="118"/>
      <w:r w:rsidRPr="00A43B9C">
        <w:rPr>
          <w:rFonts w:ascii="Times New Roman" w:hAnsi="Times New Roman" w:cs="Times New Roman"/>
          <w:sz w:val="28"/>
          <w:szCs w:val="28"/>
        </w:rPr>
        <w:t xml:space="preserve">Настоящее наблюдательное когортное исследование является одним из немногих, в котором удалось определить локализации гиперметаболического накопления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FDG</w:t>
      </w:r>
      <w:r w:rsidR="00080FA2">
        <w:rPr>
          <w:rFonts w:ascii="Times New Roman" w:hAnsi="Times New Roman" w:cs="Times New Roman"/>
          <w:sz w:val="28"/>
          <w:szCs w:val="28"/>
        </w:rPr>
        <w:t xml:space="preserve"> посредством измерения уровня накопления </w:t>
      </w:r>
      <w:r w:rsidR="00080FA2">
        <w:rPr>
          <w:rFonts w:ascii="Times New Roman" w:hAnsi="Times New Roman" w:cs="Times New Roman"/>
          <w:sz w:val="28"/>
          <w:szCs w:val="28"/>
          <w:lang w:val="en-US"/>
        </w:rPr>
        <w:t>SUV</w:t>
      </w:r>
      <w:r w:rsidR="00080FA2" w:rsidRPr="00E97D9E">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повышенного за счет накопления функциональной активности </w:t>
      </w:r>
      <w:r w:rsidRPr="00A43B9C">
        <w:rPr>
          <w:rFonts w:ascii="Times New Roman" w:hAnsi="Times New Roman" w:cs="Times New Roman"/>
          <w:sz w:val="28"/>
          <w:szCs w:val="28"/>
          <w:lang w:val="en-US"/>
        </w:rPr>
        <w:t>VAT</w:t>
      </w:r>
      <w:r w:rsidRPr="00A43B9C">
        <w:rPr>
          <w:rFonts w:ascii="Times New Roman" w:hAnsi="Times New Roman" w:cs="Times New Roman"/>
          <w:sz w:val="28"/>
          <w:szCs w:val="28"/>
        </w:rPr>
        <w:t xml:space="preserve">, поскольку ранние предикторы позднего метастазирования могут влиять на метастатический статус у пациентов с </w:t>
      </w:r>
      <w:r w:rsidR="000E2A12">
        <w:rPr>
          <w:rFonts w:ascii="Times New Roman" w:hAnsi="Times New Roman" w:cs="Times New Roman"/>
          <w:sz w:val="28"/>
          <w:szCs w:val="28"/>
        </w:rPr>
        <w:t>эпителиальным раком яичников и колоректальным раком</w:t>
      </w:r>
      <w:r w:rsidRPr="00A43B9C">
        <w:rPr>
          <w:rFonts w:ascii="Times New Roman" w:hAnsi="Times New Roman" w:cs="Times New Roman"/>
          <w:sz w:val="28"/>
          <w:szCs w:val="28"/>
        </w:rPr>
        <w:t>.</w:t>
      </w:r>
      <w:r w:rsidR="009D71BC"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При </w:t>
      </w:r>
      <w:r w:rsidR="000E2A12">
        <w:rPr>
          <w:rFonts w:ascii="Times New Roman" w:hAnsi="Times New Roman" w:cs="Times New Roman"/>
          <w:sz w:val="28"/>
          <w:szCs w:val="28"/>
        </w:rPr>
        <w:t>эпителиальном раке яичников</w:t>
      </w:r>
      <w:r w:rsidRPr="00A43B9C">
        <w:rPr>
          <w:rFonts w:ascii="Times New Roman" w:hAnsi="Times New Roman" w:cs="Times New Roman"/>
          <w:sz w:val="28"/>
          <w:szCs w:val="28"/>
        </w:rPr>
        <w:t xml:space="preserve"> в когорте из 53 пациентов </w:t>
      </w:r>
      <w:r w:rsidR="00114795" w:rsidRPr="00A43B9C">
        <w:rPr>
          <w:rFonts w:ascii="Times New Roman" w:hAnsi="Times New Roman" w:cs="Times New Roman"/>
          <w:sz w:val="28"/>
          <w:szCs w:val="28"/>
        </w:rPr>
        <w:t xml:space="preserve">в </w:t>
      </w:r>
      <w:r w:rsidR="00794E06" w:rsidRPr="00A43B9C">
        <w:rPr>
          <w:rFonts w:ascii="Times New Roman" w:hAnsi="Times New Roman" w:cs="Times New Roman"/>
          <w:sz w:val="28"/>
          <w:szCs w:val="28"/>
        </w:rPr>
        <w:t>многофакторном</w:t>
      </w:r>
      <w:r w:rsidR="00114795" w:rsidRPr="00A43B9C">
        <w:rPr>
          <w:rFonts w:ascii="Times New Roman" w:hAnsi="Times New Roman" w:cs="Times New Roman"/>
          <w:sz w:val="28"/>
          <w:szCs w:val="28"/>
        </w:rPr>
        <w:t xml:space="preserve"> регрессионном анализе </w:t>
      </w:r>
      <w:r w:rsidRPr="00A43B9C">
        <w:rPr>
          <w:rFonts w:ascii="Times New Roman" w:hAnsi="Times New Roman" w:cs="Times New Roman"/>
          <w:sz w:val="28"/>
          <w:szCs w:val="28"/>
        </w:rPr>
        <w:t>и ROC-анализ</w:t>
      </w:r>
      <w:r w:rsidR="00114795" w:rsidRPr="00A43B9C">
        <w:rPr>
          <w:rFonts w:ascii="Times New Roman" w:hAnsi="Times New Roman" w:cs="Times New Roman"/>
          <w:sz w:val="28"/>
          <w:szCs w:val="28"/>
        </w:rPr>
        <w:t>е</w:t>
      </w:r>
      <w:r w:rsidRPr="00A43B9C">
        <w:rPr>
          <w:rFonts w:ascii="Times New Roman" w:hAnsi="Times New Roman" w:cs="Times New Roman"/>
          <w:sz w:val="28"/>
          <w:szCs w:val="28"/>
        </w:rPr>
        <w:t xml:space="preserve"> мы показали, что накопление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FDG</w:t>
      </w:r>
      <w:r w:rsidRPr="00A43B9C">
        <w:rPr>
          <w:rFonts w:ascii="Times New Roman" w:hAnsi="Times New Roman" w:cs="Times New Roman"/>
          <w:sz w:val="28"/>
          <w:szCs w:val="28"/>
        </w:rPr>
        <w:t xml:space="preserve"> в локализации </w:t>
      </w:r>
      <w:r w:rsidRPr="00A43B9C">
        <w:rPr>
          <w:rFonts w:ascii="Times New Roman" w:hAnsi="Times New Roman" w:cs="Times New Roman"/>
          <w:sz w:val="28"/>
          <w:szCs w:val="28"/>
          <w:lang w:val="en-US"/>
        </w:rPr>
        <w:t>RE</w:t>
      </w:r>
      <w:r w:rsidRPr="00A43B9C">
        <w:rPr>
          <w:rFonts w:ascii="Times New Roman" w:hAnsi="Times New Roman" w:cs="Times New Roman"/>
          <w:sz w:val="28"/>
          <w:szCs w:val="28"/>
        </w:rPr>
        <w:t xml:space="preserve"> было предиктором позднего метастазирования с умеренными, но статистически значимыми показателями.</w:t>
      </w:r>
      <w:r w:rsidR="00FD27B4" w:rsidRPr="00A43B9C">
        <w:rPr>
          <w:rFonts w:ascii="Times New Roman" w:hAnsi="Times New Roman" w:cs="Times New Roman"/>
          <w:sz w:val="28"/>
          <w:szCs w:val="28"/>
        </w:rPr>
        <w:t xml:space="preserve"> </w:t>
      </w:r>
      <w:r w:rsidRPr="00A43B9C">
        <w:rPr>
          <w:rFonts w:ascii="Times New Roman" w:hAnsi="Times New Roman" w:cs="Times New Roman"/>
          <w:sz w:val="28"/>
          <w:szCs w:val="28"/>
        </w:rPr>
        <w:t>П</w:t>
      </w:r>
      <w:r w:rsidR="009D71BC" w:rsidRPr="00A43B9C">
        <w:rPr>
          <w:rFonts w:ascii="Times New Roman" w:hAnsi="Times New Roman" w:cs="Times New Roman"/>
          <w:sz w:val="28"/>
          <w:szCs w:val="28"/>
        </w:rPr>
        <w:t>ри п</w:t>
      </w:r>
      <w:r w:rsidRPr="00A43B9C">
        <w:rPr>
          <w:rFonts w:ascii="Times New Roman" w:hAnsi="Times New Roman" w:cs="Times New Roman"/>
          <w:sz w:val="28"/>
          <w:szCs w:val="28"/>
        </w:rPr>
        <w:t>орогово</w:t>
      </w:r>
      <w:r w:rsidR="009D71BC" w:rsidRPr="00A43B9C">
        <w:rPr>
          <w:rFonts w:ascii="Times New Roman" w:hAnsi="Times New Roman" w:cs="Times New Roman"/>
          <w:sz w:val="28"/>
          <w:szCs w:val="28"/>
        </w:rPr>
        <w:t>м</w:t>
      </w:r>
      <w:r w:rsidRPr="00A43B9C">
        <w:rPr>
          <w:rFonts w:ascii="Times New Roman" w:hAnsi="Times New Roman" w:cs="Times New Roman"/>
          <w:sz w:val="28"/>
          <w:szCs w:val="28"/>
        </w:rPr>
        <w:t xml:space="preserve"> значени</w:t>
      </w:r>
      <w:r w:rsidR="009D71BC" w:rsidRPr="00A43B9C">
        <w:rPr>
          <w:rFonts w:ascii="Times New Roman" w:hAnsi="Times New Roman" w:cs="Times New Roman"/>
          <w:sz w:val="28"/>
          <w:szCs w:val="28"/>
        </w:rPr>
        <w:t>и</w:t>
      </w:r>
      <w:r w:rsidRPr="00A43B9C">
        <w:rPr>
          <w:rFonts w:ascii="Times New Roman" w:hAnsi="Times New Roman" w:cs="Times New Roman"/>
          <w:sz w:val="28"/>
          <w:szCs w:val="28"/>
        </w:rPr>
        <w:t xml:space="preserve"> уровня накоплени</w:t>
      </w:r>
      <w:r w:rsidR="00794E06" w:rsidRPr="00A43B9C">
        <w:rPr>
          <w:rFonts w:ascii="Times New Roman" w:hAnsi="Times New Roman" w:cs="Times New Roman"/>
          <w:sz w:val="28"/>
          <w:szCs w:val="28"/>
        </w:rPr>
        <w:t>я</w:t>
      </w:r>
      <w:r w:rsidRPr="00A43B9C">
        <w:rPr>
          <w:rFonts w:ascii="Times New Roman" w:hAnsi="Times New Roman" w:cs="Times New Roman"/>
          <w:sz w:val="28"/>
          <w:szCs w:val="28"/>
        </w:rPr>
        <w:t xml:space="preserve"> SUV</w:t>
      </w:r>
      <w:r w:rsidRPr="00A43B9C">
        <w:rPr>
          <w:rFonts w:ascii="Times New Roman" w:hAnsi="Times New Roman" w:cs="Times New Roman"/>
          <w:sz w:val="28"/>
          <w:szCs w:val="28"/>
          <w:vertAlign w:val="subscript"/>
        </w:rPr>
        <w:t>max</w:t>
      </w:r>
      <w:r w:rsidR="009D71BC" w:rsidRPr="00A43B9C">
        <w:rPr>
          <w:rFonts w:ascii="Times New Roman" w:hAnsi="Times New Roman" w:cs="Times New Roman"/>
          <w:sz w:val="28"/>
          <w:szCs w:val="28"/>
        </w:rPr>
        <w:t xml:space="preserve"> для R</w:t>
      </w:r>
      <w:r w:rsidR="009D71BC" w:rsidRPr="00A43B9C">
        <w:rPr>
          <w:rFonts w:ascii="Times New Roman" w:hAnsi="Times New Roman" w:cs="Times New Roman"/>
          <w:sz w:val="28"/>
          <w:szCs w:val="28"/>
          <w:lang w:val="en-US"/>
        </w:rPr>
        <w:t>E</w:t>
      </w:r>
      <w:r w:rsidR="009D71BC" w:rsidRPr="00A43B9C">
        <w:rPr>
          <w:rFonts w:ascii="Times New Roman" w:hAnsi="Times New Roman" w:cs="Times New Roman"/>
          <w:sz w:val="28"/>
          <w:szCs w:val="28"/>
        </w:rPr>
        <w:t>,</w:t>
      </w:r>
      <w:r w:rsidRPr="00A43B9C">
        <w:rPr>
          <w:rFonts w:ascii="Times New Roman" w:hAnsi="Times New Roman" w:cs="Times New Roman"/>
          <w:sz w:val="28"/>
          <w:szCs w:val="28"/>
        </w:rPr>
        <w:t xml:space="preserve"> </w:t>
      </w:r>
      <w:r w:rsidR="00FD27B4" w:rsidRPr="00A43B9C">
        <w:rPr>
          <w:rFonts w:ascii="Times New Roman" w:hAnsi="Times New Roman" w:cs="Times New Roman"/>
          <w:sz w:val="28"/>
          <w:szCs w:val="28"/>
        </w:rPr>
        <w:t xml:space="preserve">равном </w:t>
      </w:r>
      <w:r w:rsidRPr="00A43B9C">
        <w:rPr>
          <w:rFonts w:ascii="Times New Roman" w:hAnsi="Times New Roman" w:cs="Times New Roman"/>
          <w:sz w:val="28"/>
          <w:szCs w:val="28"/>
        </w:rPr>
        <w:t>1,18 (</w:t>
      </w:r>
      <w:r w:rsidR="00FD27B4" w:rsidRPr="00A43B9C">
        <w:rPr>
          <w:rFonts w:ascii="Times New Roman" w:hAnsi="Times New Roman" w:cs="Times New Roman"/>
          <w:sz w:val="28"/>
          <w:szCs w:val="28"/>
        </w:rPr>
        <w:t xml:space="preserve">при </w:t>
      </w:r>
      <w:r w:rsidRPr="00A43B9C">
        <w:rPr>
          <w:rFonts w:ascii="Times New Roman" w:hAnsi="Times New Roman" w:cs="Times New Roman"/>
          <w:sz w:val="28"/>
          <w:szCs w:val="28"/>
          <w:lang w:val="en-US"/>
        </w:rPr>
        <w:t>AUC</w:t>
      </w:r>
      <w:r w:rsidRPr="00A43B9C">
        <w:rPr>
          <w:rFonts w:ascii="Times New Roman" w:hAnsi="Times New Roman" w:cs="Times New Roman"/>
          <w:sz w:val="28"/>
          <w:szCs w:val="28"/>
        </w:rPr>
        <w:t xml:space="preserve"> 0,669, p = 0,035) </w:t>
      </w:r>
      <w:r w:rsidR="009D71BC" w:rsidRPr="00A43B9C">
        <w:rPr>
          <w:rFonts w:ascii="Times New Roman" w:hAnsi="Times New Roman" w:cs="Times New Roman"/>
          <w:sz w:val="28"/>
          <w:szCs w:val="28"/>
        </w:rPr>
        <w:t xml:space="preserve">показатели Se, Sp, </w:t>
      </w:r>
      <w:r w:rsidR="009D71BC" w:rsidRPr="00A43B9C">
        <w:rPr>
          <w:rFonts w:ascii="Times New Roman" w:hAnsi="Times New Roman" w:cs="Times New Roman"/>
          <w:sz w:val="28"/>
          <w:szCs w:val="28"/>
          <w:lang w:val="en-US"/>
        </w:rPr>
        <w:t>PPV</w:t>
      </w:r>
      <w:r w:rsidR="009D71BC" w:rsidRPr="00A43B9C">
        <w:rPr>
          <w:rFonts w:ascii="Times New Roman" w:hAnsi="Times New Roman" w:cs="Times New Roman"/>
          <w:sz w:val="28"/>
          <w:szCs w:val="28"/>
        </w:rPr>
        <w:t xml:space="preserve"> и </w:t>
      </w:r>
      <w:r w:rsidR="009D71BC" w:rsidRPr="00A43B9C">
        <w:rPr>
          <w:rFonts w:ascii="Times New Roman" w:hAnsi="Times New Roman" w:cs="Times New Roman"/>
          <w:sz w:val="28"/>
          <w:szCs w:val="28"/>
          <w:lang w:val="en-US"/>
        </w:rPr>
        <w:t>NPV</w:t>
      </w:r>
      <w:r w:rsidR="009D71BC" w:rsidRPr="00A43B9C">
        <w:rPr>
          <w:rFonts w:ascii="Times New Roman" w:hAnsi="Times New Roman" w:cs="Times New Roman"/>
          <w:sz w:val="28"/>
          <w:szCs w:val="28"/>
        </w:rPr>
        <w:t xml:space="preserve"> </w:t>
      </w:r>
      <w:r w:rsidRPr="00A43B9C">
        <w:rPr>
          <w:rFonts w:ascii="Times New Roman" w:hAnsi="Times New Roman" w:cs="Times New Roman"/>
          <w:sz w:val="28"/>
          <w:szCs w:val="28"/>
        </w:rPr>
        <w:t>составили 64,3%, 64,0%, 66,7% и 61,5% соответственно.</w:t>
      </w:r>
      <w:r w:rsidR="00080FA2">
        <w:rPr>
          <w:rFonts w:ascii="Times New Roman" w:hAnsi="Times New Roman" w:cs="Times New Roman"/>
          <w:sz w:val="28"/>
          <w:szCs w:val="28"/>
        </w:rPr>
        <w:t xml:space="preserve"> Вместе с тем, отмечаем, что сам уровень накопления </w:t>
      </w:r>
      <w:r w:rsidR="00080FA2">
        <w:rPr>
          <w:rFonts w:ascii="Times New Roman" w:hAnsi="Times New Roman" w:cs="Times New Roman"/>
          <w:sz w:val="28"/>
          <w:szCs w:val="28"/>
          <w:lang w:val="en-US"/>
        </w:rPr>
        <w:t>SUV</w:t>
      </w:r>
      <w:r w:rsidR="00080FA2" w:rsidRPr="00215599">
        <w:rPr>
          <w:rFonts w:ascii="Times New Roman" w:hAnsi="Times New Roman" w:cs="Times New Roman"/>
          <w:sz w:val="28"/>
          <w:szCs w:val="28"/>
          <w:vertAlign w:val="subscript"/>
          <w:lang w:val="en-US"/>
        </w:rPr>
        <w:t>max</w:t>
      </w:r>
      <w:r w:rsidR="00080FA2">
        <w:rPr>
          <w:rFonts w:ascii="Times New Roman" w:hAnsi="Times New Roman" w:cs="Times New Roman"/>
          <w:sz w:val="28"/>
          <w:szCs w:val="28"/>
        </w:rPr>
        <w:t xml:space="preserve"> показал увеличение с 0,79 </w:t>
      </w:r>
      <w:r w:rsidR="00AB0F39">
        <w:rPr>
          <w:rFonts w:ascii="Times New Roman" w:hAnsi="Times New Roman" w:cs="Times New Roman"/>
          <w:sz w:val="28"/>
          <w:szCs w:val="28"/>
        </w:rPr>
        <w:t>у</w:t>
      </w:r>
      <w:r w:rsidR="00080FA2">
        <w:rPr>
          <w:rFonts w:ascii="Times New Roman" w:hAnsi="Times New Roman" w:cs="Times New Roman"/>
          <w:sz w:val="28"/>
          <w:szCs w:val="28"/>
        </w:rPr>
        <w:t xml:space="preserve"> первичных пациентов до 1,11 </w:t>
      </w:r>
      <w:r w:rsidR="00AB0F39">
        <w:rPr>
          <w:rFonts w:ascii="Times New Roman" w:hAnsi="Times New Roman" w:cs="Times New Roman"/>
          <w:sz w:val="28"/>
          <w:szCs w:val="28"/>
        </w:rPr>
        <w:t xml:space="preserve">у </w:t>
      </w:r>
      <w:r w:rsidR="00080FA2">
        <w:rPr>
          <w:rFonts w:ascii="Times New Roman" w:hAnsi="Times New Roman" w:cs="Times New Roman"/>
          <w:sz w:val="28"/>
          <w:szCs w:val="28"/>
        </w:rPr>
        <w:t xml:space="preserve">вторичных пациентов статистически достоверный как по всем локализациям, так и по сравнению первичных пациентов со вторичными. Корреляционная зависимость показала </w:t>
      </w:r>
      <w:r w:rsidR="002D389C">
        <w:rPr>
          <w:rFonts w:ascii="Times New Roman" w:hAnsi="Times New Roman" w:cs="Times New Roman"/>
          <w:sz w:val="28"/>
          <w:szCs w:val="28"/>
        </w:rPr>
        <w:t xml:space="preserve">статистически значимую </w:t>
      </w:r>
      <w:r w:rsidR="00080FA2">
        <w:rPr>
          <w:rFonts w:ascii="Times New Roman" w:hAnsi="Times New Roman" w:cs="Times New Roman"/>
          <w:sz w:val="28"/>
          <w:szCs w:val="28"/>
        </w:rPr>
        <w:t xml:space="preserve">как слабую, так и умеренную прямую ассоциацию </w:t>
      </w:r>
      <w:r w:rsidR="00AB0F39">
        <w:rPr>
          <w:rFonts w:ascii="Times New Roman" w:hAnsi="Times New Roman" w:cs="Times New Roman"/>
          <w:sz w:val="28"/>
          <w:szCs w:val="28"/>
        </w:rPr>
        <w:t xml:space="preserve">у </w:t>
      </w:r>
      <w:r w:rsidR="00080FA2">
        <w:rPr>
          <w:rFonts w:ascii="Times New Roman" w:hAnsi="Times New Roman" w:cs="Times New Roman"/>
          <w:sz w:val="28"/>
          <w:szCs w:val="28"/>
        </w:rPr>
        <w:t>обследованных пациентов. По прогностической ценности при ЭРЯ хоть и показ</w:t>
      </w:r>
      <w:r w:rsidR="00080FA2" w:rsidRPr="003A1F16">
        <w:rPr>
          <w:rFonts w:ascii="Times New Roman" w:hAnsi="Times New Roman" w:cs="Times New Roman"/>
          <w:sz w:val="28"/>
          <w:szCs w:val="28"/>
        </w:rPr>
        <w:t>ало стати</w:t>
      </w:r>
      <w:r w:rsidR="002D389C">
        <w:rPr>
          <w:rFonts w:ascii="Times New Roman" w:hAnsi="Times New Roman" w:cs="Times New Roman"/>
          <w:sz w:val="28"/>
          <w:szCs w:val="28"/>
        </w:rPr>
        <w:t>сти</w:t>
      </w:r>
      <w:r w:rsidR="00080FA2" w:rsidRPr="003A1F16">
        <w:rPr>
          <w:rFonts w:ascii="Times New Roman" w:hAnsi="Times New Roman" w:cs="Times New Roman"/>
          <w:sz w:val="28"/>
          <w:szCs w:val="28"/>
        </w:rPr>
        <w:t>ческ</w:t>
      </w:r>
      <w:r w:rsidR="00080FA2" w:rsidRPr="00AB0F39">
        <w:rPr>
          <w:rFonts w:ascii="Times New Roman" w:hAnsi="Times New Roman" w:cs="Times New Roman"/>
          <w:sz w:val="28"/>
          <w:szCs w:val="28"/>
        </w:rPr>
        <w:t xml:space="preserve">и значимый </w:t>
      </w:r>
      <w:r w:rsidR="002D389C">
        <w:rPr>
          <w:rFonts w:ascii="Times New Roman" w:hAnsi="Times New Roman" w:cs="Times New Roman"/>
          <w:sz w:val="28"/>
          <w:szCs w:val="28"/>
        </w:rPr>
        <w:t>достоверный результат т</w:t>
      </w:r>
      <w:r w:rsidR="00080FA2" w:rsidRPr="00AB0F39">
        <w:rPr>
          <w:rFonts w:ascii="Times New Roman" w:hAnsi="Times New Roman" w:cs="Times New Roman"/>
          <w:sz w:val="28"/>
          <w:szCs w:val="28"/>
        </w:rPr>
        <w:t>олько для одной локализации (</w:t>
      </w:r>
      <w:r w:rsidR="00080FA2" w:rsidRPr="00AB0F39">
        <w:rPr>
          <w:rFonts w:ascii="Times New Roman" w:hAnsi="Times New Roman" w:cs="Times New Roman"/>
          <w:sz w:val="28"/>
          <w:szCs w:val="28"/>
          <w:lang w:val="en-US"/>
        </w:rPr>
        <w:t>RE</w:t>
      </w:r>
      <w:r w:rsidR="00080FA2" w:rsidRPr="00AB0F39">
        <w:rPr>
          <w:rFonts w:ascii="Times New Roman" w:hAnsi="Times New Roman" w:cs="Times New Roman"/>
          <w:sz w:val="28"/>
          <w:szCs w:val="28"/>
        </w:rPr>
        <w:t xml:space="preserve">), </w:t>
      </w:r>
      <w:r w:rsidR="002D389C">
        <w:rPr>
          <w:rFonts w:ascii="Times New Roman" w:hAnsi="Times New Roman" w:cs="Times New Roman"/>
          <w:sz w:val="28"/>
          <w:szCs w:val="28"/>
        </w:rPr>
        <w:t xml:space="preserve">но при этом </w:t>
      </w:r>
      <w:r w:rsidR="00080FA2" w:rsidRPr="00AB0F39">
        <w:rPr>
          <w:rFonts w:ascii="Times New Roman" w:hAnsi="Times New Roman" w:cs="Times New Roman"/>
          <w:sz w:val="28"/>
          <w:szCs w:val="28"/>
        </w:rPr>
        <w:t>нельзя отменить роль для остальных восьми локализаций</w:t>
      </w:r>
      <w:r w:rsidR="002D389C">
        <w:rPr>
          <w:rFonts w:ascii="Times New Roman" w:hAnsi="Times New Roman" w:cs="Times New Roman"/>
          <w:sz w:val="28"/>
          <w:szCs w:val="28"/>
        </w:rPr>
        <w:t xml:space="preserve">. Тем не менее мы видим более высокие уровни накопления </w:t>
      </w:r>
      <w:r w:rsidR="002D389C">
        <w:rPr>
          <w:rFonts w:ascii="Times New Roman" w:hAnsi="Times New Roman" w:cs="Times New Roman"/>
          <w:sz w:val="28"/>
          <w:szCs w:val="28"/>
          <w:lang w:val="en-US"/>
        </w:rPr>
        <w:t>SUV</w:t>
      </w:r>
      <w:r w:rsidR="002D389C" w:rsidRPr="00215599">
        <w:rPr>
          <w:rFonts w:ascii="Times New Roman" w:hAnsi="Times New Roman" w:cs="Times New Roman"/>
          <w:sz w:val="28"/>
          <w:szCs w:val="28"/>
          <w:vertAlign w:val="subscript"/>
          <w:lang w:val="en-US"/>
        </w:rPr>
        <w:t>max</w:t>
      </w:r>
      <w:r w:rsidR="002D389C">
        <w:rPr>
          <w:rFonts w:ascii="Times New Roman" w:hAnsi="Times New Roman" w:cs="Times New Roman"/>
          <w:sz w:val="28"/>
          <w:szCs w:val="28"/>
        </w:rPr>
        <w:t xml:space="preserve"> в нижних отделах брюшной полости</w:t>
      </w:r>
      <w:r w:rsidR="00080FA2" w:rsidRPr="00AB0F39">
        <w:rPr>
          <w:rFonts w:ascii="Times New Roman" w:hAnsi="Times New Roman" w:cs="Times New Roman"/>
          <w:sz w:val="28"/>
          <w:szCs w:val="28"/>
        </w:rPr>
        <w:t xml:space="preserve"> (</w:t>
      </w:r>
      <w:r w:rsidR="003A1F16" w:rsidRPr="00E97D9E">
        <w:rPr>
          <w:rFonts w:ascii="Times New Roman" w:hAnsi="Times New Roman" w:cs="Times New Roman"/>
          <w:sz w:val="28"/>
          <w:szCs w:val="28"/>
          <w:lang w:val="en-US"/>
        </w:rPr>
        <w:t>RLH</w:t>
      </w:r>
      <w:r w:rsidR="003A1F16" w:rsidRPr="00E97D9E">
        <w:rPr>
          <w:rFonts w:ascii="Times New Roman" w:hAnsi="Times New Roman" w:cs="Times New Roman"/>
          <w:sz w:val="28"/>
          <w:szCs w:val="28"/>
        </w:rPr>
        <w:t xml:space="preserve"> = 1,21 (</w:t>
      </w:r>
      <w:r w:rsidR="003A1F16" w:rsidRPr="00E97D9E">
        <w:rPr>
          <w:rFonts w:ascii="Times New Roman" w:hAnsi="Times New Roman" w:cs="Times New Roman"/>
          <w:sz w:val="28"/>
          <w:szCs w:val="28"/>
          <w:lang w:val="en-US"/>
        </w:rPr>
        <w:t>p</w:t>
      </w:r>
      <w:r w:rsidR="003A1F16" w:rsidRPr="00E97D9E">
        <w:rPr>
          <w:rFonts w:ascii="Times New Roman" w:hAnsi="Times New Roman" w:cs="Times New Roman"/>
          <w:sz w:val="28"/>
          <w:szCs w:val="28"/>
        </w:rPr>
        <w:t xml:space="preserve"> = 0,373); </w:t>
      </w:r>
      <w:r w:rsidR="003A1F16" w:rsidRPr="00E97D9E">
        <w:rPr>
          <w:rFonts w:ascii="Times New Roman" w:hAnsi="Times New Roman" w:cs="Times New Roman"/>
          <w:sz w:val="28"/>
          <w:szCs w:val="28"/>
          <w:lang w:val="en-US"/>
        </w:rPr>
        <w:t>RRL</w:t>
      </w:r>
      <w:r w:rsidR="003A1F16" w:rsidRPr="00E97D9E">
        <w:rPr>
          <w:rFonts w:ascii="Times New Roman" w:hAnsi="Times New Roman" w:cs="Times New Roman"/>
          <w:sz w:val="28"/>
          <w:szCs w:val="28"/>
        </w:rPr>
        <w:t xml:space="preserve"> = 1,48 (</w:t>
      </w:r>
      <w:r w:rsidR="003A1F16" w:rsidRPr="00E97D9E">
        <w:rPr>
          <w:rFonts w:ascii="Times New Roman" w:hAnsi="Times New Roman" w:cs="Times New Roman"/>
          <w:sz w:val="28"/>
          <w:szCs w:val="28"/>
          <w:lang w:val="en-US"/>
        </w:rPr>
        <w:t>p</w:t>
      </w:r>
      <w:r w:rsidR="003A1F16" w:rsidRPr="00E97D9E">
        <w:rPr>
          <w:rFonts w:ascii="Times New Roman" w:hAnsi="Times New Roman" w:cs="Times New Roman"/>
          <w:sz w:val="28"/>
          <w:szCs w:val="28"/>
        </w:rPr>
        <w:t xml:space="preserve"> = 0,167); </w:t>
      </w:r>
      <w:r w:rsidR="003A1F16" w:rsidRPr="00E97D9E">
        <w:rPr>
          <w:rFonts w:ascii="Times New Roman" w:hAnsi="Times New Roman" w:cs="Times New Roman"/>
          <w:sz w:val="28"/>
          <w:szCs w:val="28"/>
          <w:lang w:val="en-US"/>
        </w:rPr>
        <w:t>RU</w:t>
      </w:r>
      <w:r w:rsidR="003A1F16" w:rsidRPr="00E97D9E">
        <w:rPr>
          <w:rFonts w:ascii="Times New Roman" w:hAnsi="Times New Roman" w:cs="Times New Roman"/>
          <w:sz w:val="28"/>
          <w:szCs w:val="28"/>
        </w:rPr>
        <w:t xml:space="preserve"> = 0,87 (</w:t>
      </w:r>
      <w:r w:rsidR="003A1F16" w:rsidRPr="00E97D9E">
        <w:rPr>
          <w:rFonts w:ascii="Times New Roman" w:hAnsi="Times New Roman" w:cs="Times New Roman"/>
          <w:sz w:val="28"/>
          <w:szCs w:val="28"/>
          <w:lang w:val="en-US"/>
        </w:rPr>
        <w:t>p</w:t>
      </w:r>
      <w:r w:rsidR="003A1F16" w:rsidRPr="00E97D9E">
        <w:rPr>
          <w:rFonts w:ascii="Times New Roman" w:hAnsi="Times New Roman" w:cs="Times New Roman"/>
          <w:sz w:val="28"/>
          <w:szCs w:val="28"/>
        </w:rPr>
        <w:t xml:space="preserve"> = 0,417); </w:t>
      </w:r>
      <w:r w:rsidR="003A1F16" w:rsidRPr="00E97D9E">
        <w:rPr>
          <w:rFonts w:ascii="Times New Roman" w:hAnsi="Times New Roman" w:cs="Times New Roman"/>
          <w:sz w:val="28"/>
          <w:szCs w:val="28"/>
          <w:lang w:val="en-US"/>
        </w:rPr>
        <w:t>RLL</w:t>
      </w:r>
      <w:r w:rsidR="003A1F16" w:rsidRPr="00E97D9E">
        <w:rPr>
          <w:rFonts w:ascii="Times New Roman" w:hAnsi="Times New Roman" w:cs="Times New Roman"/>
          <w:sz w:val="28"/>
          <w:szCs w:val="28"/>
        </w:rPr>
        <w:t xml:space="preserve"> = 1,24 (</w:t>
      </w:r>
      <w:r w:rsidR="003A1F16" w:rsidRPr="00E97D9E">
        <w:rPr>
          <w:rFonts w:ascii="Times New Roman" w:hAnsi="Times New Roman" w:cs="Times New Roman"/>
          <w:sz w:val="28"/>
          <w:szCs w:val="28"/>
          <w:lang w:val="en-US"/>
        </w:rPr>
        <w:t>p</w:t>
      </w:r>
      <w:r w:rsidR="003A1F16" w:rsidRPr="00E97D9E">
        <w:rPr>
          <w:rFonts w:ascii="Times New Roman" w:hAnsi="Times New Roman" w:cs="Times New Roman"/>
          <w:sz w:val="28"/>
          <w:szCs w:val="28"/>
        </w:rPr>
        <w:t xml:space="preserve"> = 0,545); </w:t>
      </w:r>
      <w:r w:rsidR="003A1F16" w:rsidRPr="00E97D9E">
        <w:rPr>
          <w:rFonts w:ascii="Times New Roman" w:hAnsi="Times New Roman" w:cs="Times New Roman"/>
          <w:sz w:val="28"/>
          <w:szCs w:val="28"/>
          <w:lang w:val="en-US"/>
        </w:rPr>
        <w:t>RRI</w:t>
      </w:r>
      <w:r w:rsidR="003A1F16" w:rsidRPr="00E97D9E">
        <w:rPr>
          <w:rFonts w:ascii="Times New Roman" w:hAnsi="Times New Roman" w:cs="Times New Roman"/>
          <w:sz w:val="28"/>
          <w:szCs w:val="28"/>
        </w:rPr>
        <w:t xml:space="preserve"> = 0,81 (</w:t>
      </w:r>
      <w:r w:rsidR="003A1F16" w:rsidRPr="00E97D9E">
        <w:rPr>
          <w:rFonts w:ascii="Times New Roman" w:hAnsi="Times New Roman" w:cs="Times New Roman"/>
          <w:sz w:val="28"/>
          <w:szCs w:val="28"/>
          <w:lang w:val="en-US"/>
        </w:rPr>
        <w:t>p</w:t>
      </w:r>
      <w:r w:rsidR="003A1F16" w:rsidRPr="00E97D9E">
        <w:rPr>
          <w:rFonts w:ascii="Times New Roman" w:hAnsi="Times New Roman" w:cs="Times New Roman"/>
          <w:sz w:val="28"/>
          <w:szCs w:val="28"/>
        </w:rPr>
        <w:t xml:space="preserve"> = 0,212); </w:t>
      </w:r>
      <w:r w:rsidR="003A1F16" w:rsidRPr="00E97D9E">
        <w:rPr>
          <w:rFonts w:ascii="Times New Roman" w:hAnsi="Times New Roman" w:cs="Times New Roman"/>
          <w:sz w:val="28"/>
          <w:szCs w:val="28"/>
          <w:lang w:val="en-US"/>
        </w:rPr>
        <w:t>RP</w:t>
      </w:r>
      <w:r w:rsidR="003A1F16" w:rsidRPr="00E97D9E">
        <w:rPr>
          <w:rFonts w:ascii="Times New Roman" w:hAnsi="Times New Roman" w:cs="Times New Roman"/>
          <w:sz w:val="28"/>
          <w:szCs w:val="28"/>
        </w:rPr>
        <w:t xml:space="preserve"> = 1,23 (</w:t>
      </w:r>
      <w:r w:rsidR="003A1F16" w:rsidRPr="00E97D9E">
        <w:rPr>
          <w:rFonts w:ascii="Times New Roman" w:hAnsi="Times New Roman" w:cs="Times New Roman"/>
          <w:sz w:val="28"/>
          <w:szCs w:val="28"/>
          <w:lang w:val="en-US"/>
        </w:rPr>
        <w:t>p</w:t>
      </w:r>
      <w:r w:rsidR="003A1F16" w:rsidRPr="00E97D9E">
        <w:rPr>
          <w:rFonts w:ascii="Times New Roman" w:hAnsi="Times New Roman" w:cs="Times New Roman"/>
          <w:sz w:val="28"/>
          <w:szCs w:val="28"/>
        </w:rPr>
        <w:t xml:space="preserve"> = 0,593); </w:t>
      </w:r>
      <w:r w:rsidR="003A1F16" w:rsidRPr="00E97D9E">
        <w:rPr>
          <w:rFonts w:ascii="Times New Roman" w:hAnsi="Times New Roman" w:cs="Times New Roman"/>
          <w:sz w:val="28"/>
          <w:szCs w:val="28"/>
          <w:lang w:val="en-US"/>
        </w:rPr>
        <w:t>RLI</w:t>
      </w:r>
      <w:r w:rsidR="003A1F16" w:rsidRPr="00E97D9E">
        <w:rPr>
          <w:rFonts w:ascii="Times New Roman" w:hAnsi="Times New Roman" w:cs="Times New Roman"/>
          <w:sz w:val="28"/>
          <w:szCs w:val="28"/>
        </w:rPr>
        <w:t xml:space="preserve"> = 0,85 (p = 0,063); P = 1,13 (p = 0,363)</w:t>
      </w:r>
      <w:r w:rsidR="00080FA2" w:rsidRPr="00E97D9E">
        <w:rPr>
          <w:rFonts w:ascii="Times New Roman" w:hAnsi="Times New Roman" w:cs="Times New Roman"/>
          <w:sz w:val="28"/>
          <w:szCs w:val="28"/>
        </w:rPr>
        <w:t xml:space="preserve">), </w:t>
      </w:r>
      <w:r w:rsidR="00490BD2" w:rsidRPr="00E97D9E">
        <w:rPr>
          <w:rFonts w:ascii="Times New Roman" w:hAnsi="Times New Roman" w:cs="Times New Roman"/>
          <w:sz w:val="28"/>
          <w:szCs w:val="28"/>
        </w:rPr>
        <w:t xml:space="preserve">что </w:t>
      </w:r>
      <w:r w:rsidR="00490BD2">
        <w:rPr>
          <w:rFonts w:ascii="Times New Roman" w:hAnsi="Times New Roman" w:cs="Times New Roman"/>
          <w:sz w:val="28"/>
          <w:szCs w:val="28"/>
        </w:rPr>
        <w:t xml:space="preserve">вероятнее всего связано с первичным очагом основного онкологического заболевания и </w:t>
      </w:r>
      <w:r w:rsidR="002D389C">
        <w:rPr>
          <w:rFonts w:ascii="Times New Roman" w:hAnsi="Times New Roman" w:cs="Times New Roman"/>
          <w:sz w:val="28"/>
          <w:szCs w:val="28"/>
        </w:rPr>
        <w:t xml:space="preserve">клиническое </w:t>
      </w:r>
      <w:r w:rsidR="00080FA2" w:rsidRPr="00AB0F39">
        <w:rPr>
          <w:rFonts w:ascii="Times New Roman" w:hAnsi="Times New Roman" w:cs="Times New Roman"/>
          <w:sz w:val="28"/>
          <w:szCs w:val="28"/>
        </w:rPr>
        <w:t>значение которых также играют решающую роль при обследовании и дальнейшей тактики лечении пациентов</w:t>
      </w:r>
      <w:r w:rsidR="002D389C">
        <w:rPr>
          <w:rFonts w:ascii="Times New Roman" w:hAnsi="Times New Roman" w:cs="Times New Roman"/>
          <w:sz w:val="28"/>
          <w:szCs w:val="28"/>
        </w:rPr>
        <w:t xml:space="preserve"> с </w:t>
      </w:r>
      <w:r w:rsidR="000E2A12">
        <w:rPr>
          <w:rFonts w:ascii="Times New Roman" w:hAnsi="Times New Roman" w:cs="Times New Roman"/>
          <w:sz w:val="28"/>
          <w:szCs w:val="28"/>
        </w:rPr>
        <w:t>эпителиальным раком яичников</w:t>
      </w:r>
      <w:r w:rsidR="00080FA2" w:rsidRPr="00AB0F39">
        <w:rPr>
          <w:rFonts w:ascii="Times New Roman" w:hAnsi="Times New Roman" w:cs="Times New Roman"/>
          <w:sz w:val="28"/>
          <w:szCs w:val="28"/>
        </w:rPr>
        <w:t>.</w:t>
      </w:r>
    </w:p>
    <w:p w14:paraId="15EAA670" w14:textId="2B15D233" w:rsidR="00DC5AC2" w:rsidRPr="00AB0F39" w:rsidRDefault="007E2D2F" w:rsidP="00DC5AC2">
      <w:pPr>
        <w:autoSpaceDE w:val="0"/>
        <w:autoSpaceDN w:val="0"/>
        <w:adjustRightInd w:val="0"/>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 нашем исследовании п</w:t>
      </w:r>
      <w:r w:rsidR="006D363C" w:rsidRPr="00A43B9C">
        <w:rPr>
          <w:rFonts w:ascii="Times New Roman" w:hAnsi="Times New Roman" w:cs="Times New Roman"/>
          <w:sz w:val="28"/>
          <w:szCs w:val="28"/>
        </w:rPr>
        <w:t xml:space="preserve">ри </w:t>
      </w:r>
      <w:r w:rsidR="000E2A12">
        <w:rPr>
          <w:rFonts w:ascii="Times New Roman" w:hAnsi="Times New Roman" w:cs="Times New Roman"/>
          <w:sz w:val="28"/>
          <w:szCs w:val="28"/>
        </w:rPr>
        <w:t xml:space="preserve">колоректальном раке </w:t>
      </w:r>
      <w:r w:rsidR="006D363C" w:rsidRPr="00A43B9C">
        <w:rPr>
          <w:rFonts w:ascii="Times New Roman" w:hAnsi="Times New Roman" w:cs="Times New Roman"/>
          <w:sz w:val="28"/>
          <w:szCs w:val="28"/>
        </w:rPr>
        <w:t xml:space="preserve">в когорте из 60 пациентов </w:t>
      </w:r>
      <w:r w:rsidR="00114795" w:rsidRPr="00A43B9C">
        <w:rPr>
          <w:rFonts w:ascii="Times New Roman" w:hAnsi="Times New Roman" w:cs="Times New Roman"/>
          <w:sz w:val="28"/>
          <w:szCs w:val="28"/>
        </w:rPr>
        <w:t xml:space="preserve">в </w:t>
      </w:r>
      <w:r w:rsidR="000238C8" w:rsidRPr="00A43B9C">
        <w:rPr>
          <w:rFonts w:ascii="Times New Roman" w:hAnsi="Times New Roman" w:cs="Times New Roman"/>
          <w:sz w:val="28"/>
          <w:szCs w:val="28"/>
        </w:rPr>
        <w:t>многофакторном</w:t>
      </w:r>
      <w:r w:rsidR="00114795" w:rsidRPr="00A43B9C">
        <w:rPr>
          <w:rFonts w:ascii="Times New Roman" w:hAnsi="Times New Roman" w:cs="Times New Roman"/>
          <w:sz w:val="28"/>
          <w:szCs w:val="28"/>
        </w:rPr>
        <w:t xml:space="preserve"> регрессионном анализе </w:t>
      </w:r>
      <w:r w:rsidR="006D363C" w:rsidRPr="00A43B9C">
        <w:rPr>
          <w:rFonts w:ascii="Times New Roman" w:hAnsi="Times New Roman" w:cs="Times New Roman"/>
          <w:sz w:val="28"/>
          <w:szCs w:val="28"/>
        </w:rPr>
        <w:t>и ROC-анализ</w:t>
      </w:r>
      <w:r w:rsidR="00114795" w:rsidRPr="00A43B9C">
        <w:rPr>
          <w:rFonts w:ascii="Times New Roman" w:hAnsi="Times New Roman" w:cs="Times New Roman"/>
          <w:sz w:val="28"/>
          <w:szCs w:val="28"/>
        </w:rPr>
        <w:t>е</w:t>
      </w:r>
      <w:r w:rsidR="006D363C" w:rsidRPr="00A43B9C">
        <w:rPr>
          <w:rFonts w:ascii="Times New Roman" w:hAnsi="Times New Roman" w:cs="Times New Roman"/>
          <w:sz w:val="28"/>
          <w:szCs w:val="28"/>
        </w:rPr>
        <w:t xml:space="preserve"> мы </w:t>
      </w:r>
      <w:r w:rsidR="006D363C" w:rsidRPr="00A43B9C">
        <w:rPr>
          <w:rFonts w:ascii="Times New Roman" w:hAnsi="Times New Roman" w:cs="Times New Roman"/>
          <w:sz w:val="28"/>
          <w:szCs w:val="28"/>
        </w:rPr>
        <w:lastRenderedPageBreak/>
        <w:t xml:space="preserve">показали, что накопление </w:t>
      </w:r>
      <w:r w:rsidR="006D363C" w:rsidRPr="00A43B9C">
        <w:rPr>
          <w:rFonts w:ascii="Times New Roman" w:hAnsi="Times New Roman" w:cs="Times New Roman"/>
          <w:sz w:val="28"/>
          <w:szCs w:val="28"/>
          <w:vertAlign w:val="superscript"/>
        </w:rPr>
        <w:t>18</w:t>
      </w:r>
      <w:r w:rsidR="006D363C" w:rsidRPr="00A43B9C">
        <w:rPr>
          <w:rFonts w:ascii="Times New Roman" w:hAnsi="Times New Roman" w:cs="Times New Roman"/>
          <w:sz w:val="28"/>
          <w:szCs w:val="28"/>
          <w:lang w:val="en-US"/>
        </w:rPr>
        <w:t>F</w:t>
      </w:r>
      <w:r w:rsidR="006D363C" w:rsidRPr="00A43B9C">
        <w:rPr>
          <w:rFonts w:ascii="Times New Roman" w:hAnsi="Times New Roman" w:cs="Times New Roman"/>
          <w:sz w:val="28"/>
          <w:szCs w:val="28"/>
        </w:rPr>
        <w:t>-</w:t>
      </w:r>
      <w:r w:rsidR="006D363C" w:rsidRPr="00A43B9C">
        <w:rPr>
          <w:rFonts w:ascii="Times New Roman" w:hAnsi="Times New Roman" w:cs="Times New Roman"/>
          <w:sz w:val="28"/>
          <w:szCs w:val="28"/>
          <w:lang w:val="en-US"/>
        </w:rPr>
        <w:t>FDG</w:t>
      </w:r>
      <w:r w:rsidR="006D363C" w:rsidRPr="00A43B9C">
        <w:rPr>
          <w:rFonts w:ascii="Times New Roman" w:hAnsi="Times New Roman" w:cs="Times New Roman"/>
          <w:sz w:val="28"/>
          <w:szCs w:val="28"/>
        </w:rPr>
        <w:t xml:space="preserve"> в локализациях RLH, RU, RRL и RRI были предикторами позднего метастазирования с умеренными, но статистически значимыми значениями.</w:t>
      </w:r>
      <w:r w:rsidR="00FD27B4" w:rsidRPr="00A43B9C">
        <w:rPr>
          <w:rFonts w:ascii="Times New Roman" w:hAnsi="Times New Roman" w:cs="Times New Roman"/>
          <w:sz w:val="28"/>
          <w:szCs w:val="28"/>
        </w:rPr>
        <w:t xml:space="preserve"> </w:t>
      </w:r>
      <w:r w:rsidR="006D363C" w:rsidRPr="00A43B9C">
        <w:rPr>
          <w:rFonts w:ascii="Times New Roman" w:hAnsi="Times New Roman" w:cs="Times New Roman"/>
          <w:sz w:val="28"/>
          <w:szCs w:val="28"/>
        </w:rPr>
        <w:t>Пороговое значение уровня накоплени</w:t>
      </w:r>
      <w:r w:rsidR="000238C8" w:rsidRPr="00A43B9C">
        <w:rPr>
          <w:rFonts w:ascii="Times New Roman" w:hAnsi="Times New Roman" w:cs="Times New Roman"/>
          <w:sz w:val="28"/>
          <w:szCs w:val="28"/>
        </w:rPr>
        <w:t>я</w:t>
      </w:r>
      <w:r w:rsidR="006D363C" w:rsidRPr="00A43B9C">
        <w:rPr>
          <w:rFonts w:ascii="Times New Roman" w:hAnsi="Times New Roman" w:cs="Times New Roman"/>
          <w:sz w:val="28"/>
          <w:szCs w:val="28"/>
        </w:rPr>
        <w:t xml:space="preserve"> SUV</w:t>
      </w:r>
      <w:r w:rsidR="006D363C" w:rsidRPr="00A43B9C">
        <w:rPr>
          <w:rFonts w:ascii="Times New Roman" w:hAnsi="Times New Roman" w:cs="Times New Roman"/>
          <w:sz w:val="28"/>
          <w:szCs w:val="28"/>
          <w:vertAlign w:val="subscript"/>
        </w:rPr>
        <w:t>max</w:t>
      </w:r>
      <w:r w:rsidR="006D363C" w:rsidRPr="00A43B9C">
        <w:rPr>
          <w:rFonts w:ascii="Times New Roman" w:hAnsi="Times New Roman" w:cs="Times New Roman"/>
          <w:sz w:val="28"/>
          <w:szCs w:val="28"/>
        </w:rPr>
        <w:t xml:space="preserve"> </w:t>
      </w:r>
      <w:r w:rsidR="009D71BC" w:rsidRPr="00A43B9C">
        <w:rPr>
          <w:rFonts w:ascii="Times New Roman" w:hAnsi="Times New Roman" w:cs="Times New Roman"/>
          <w:sz w:val="28"/>
          <w:szCs w:val="28"/>
        </w:rPr>
        <w:t xml:space="preserve">для RLH было </w:t>
      </w:r>
      <w:r w:rsidR="00FD27B4" w:rsidRPr="00A43B9C">
        <w:rPr>
          <w:rFonts w:ascii="Times New Roman" w:hAnsi="Times New Roman" w:cs="Times New Roman"/>
          <w:sz w:val="28"/>
          <w:szCs w:val="28"/>
        </w:rPr>
        <w:t xml:space="preserve">равно </w:t>
      </w:r>
      <w:r w:rsidR="006D363C" w:rsidRPr="00A43B9C">
        <w:rPr>
          <w:rFonts w:ascii="Times New Roman" w:hAnsi="Times New Roman" w:cs="Times New Roman"/>
          <w:sz w:val="28"/>
          <w:szCs w:val="28"/>
        </w:rPr>
        <w:t>0,74 (</w:t>
      </w:r>
      <w:r w:rsidR="00FD27B4" w:rsidRPr="00A43B9C">
        <w:rPr>
          <w:rFonts w:ascii="Times New Roman" w:hAnsi="Times New Roman" w:cs="Times New Roman"/>
          <w:sz w:val="28"/>
          <w:szCs w:val="28"/>
        </w:rPr>
        <w:t xml:space="preserve">при </w:t>
      </w:r>
      <w:r w:rsidR="006D363C" w:rsidRPr="00A43B9C">
        <w:rPr>
          <w:rFonts w:ascii="Times New Roman" w:hAnsi="Times New Roman" w:cs="Times New Roman"/>
          <w:sz w:val="28"/>
          <w:szCs w:val="28"/>
          <w:lang w:val="en-US"/>
        </w:rPr>
        <w:t>AUC</w:t>
      </w:r>
      <w:r w:rsidR="006D363C" w:rsidRPr="00A43B9C">
        <w:rPr>
          <w:rFonts w:ascii="Times New Roman" w:hAnsi="Times New Roman" w:cs="Times New Roman"/>
          <w:sz w:val="28"/>
          <w:szCs w:val="28"/>
        </w:rPr>
        <w:t xml:space="preserve"> 0,668, p = 0,049)</w:t>
      </w:r>
      <w:r w:rsidR="009D71BC" w:rsidRPr="00A43B9C">
        <w:rPr>
          <w:rFonts w:ascii="Times New Roman" w:hAnsi="Times New Roman" w:cs="Times New Roman"/>
          <w:sz w:val="28"/>
          <w:szCs w:val="28"/>
        </w:rPr>
        <w:t xml:space="preserve">, а показатели Se, Sp, </w:t>
      </w:r>
      <w:r w:rsidR="009D71BC" w:rsidRPr="00A43B9C">
        <w:rPr>
          <w:rFonts w:ascii="Times New Roman" w:hAnsi="Times New Roman" w:cs="Times New Roman"/>
          <w:sz w:val="28"/>
          <w:szCs w:val="28"/>
          <w:lang w:val="en-US"/>
        </w:rPr>
        <w:t>PPV</w:t>
      </w:r>
      <w:r w:rsidR="009D71BC" w:rsidRPr="00A43B9C">
        <w:rPr>
          <w:rFonts w:ascii="Times New Roman" w:hAnsi="Times New Roman" w:cs="Times New Roman"/>
          <w:sz w:val="28"/>
          <w:szCs w:val="28"/>
        </w:rPr>
        <w:t xml:space="preserve"> и </w:t>
      </w:r>
      <w:r w:rsidR="009D71BC" w:rsidRPr="00A43B9C">
        <w:rPr>
          <w:rFonts w:ascii="Times New Roman" w:hAnsi="Times New Roman" w:cs="Times New Roman"/>
          <w:sz w:val="28"/>
          <w:szCs w:val="28"/>
          <w:lang w:val="en-US"/>
        </w:rPr>
        <w:t>NPV</w:t>
      </w:r>
      <w:r w:rsidR="006D363C" w:rsidRPr="00A43B9C">
        <w:rPr>
          <w:rFonts w:ascii="Times New Roman" w:hAnsi="Times New Roman" w:cs="Times New Roman"/>
          <w:sz w:val="28"/>
          <w:szCs w:val="28"/>
        </w:rPr>
        <w:t xml:space="preserve"> </w:t>
      </w:r>
      <w:r w:rsidR="009D71BC" w:rsidRPr="00A43B9C">
        <w:rPr>
          <w:rFonts w:ascii="Times New Roman" w:hAnsi="Times New Roman" w:cs="Times New Roman"/>
          <w:sz w:val="28"/>
          <w:szCs w:val="28"/>
        </w:rPr>
        <w:t>составили</w:t>
      </w:r>
      <w:r w:rsidR="006D363C" w:rsidRPr="00A43B9C">
        <w:rPr>
          <w:rFonts w:ascii="Times New Roman" w:hAnsi="Times New Roman" w:cs="Times New Roman"/>
          <w:sz w:val="28"/>
          <w:szCs w:val="28"/>
        </w:rPr>
        <w:t xml:space="preserve"> 75,0%, 61,4%, 41,4% и 87,1% соответственно. Пороговое значение уровня накоплени</w:t>
      </w:r>
      <w:r w:rsidR="000238C8" w:rsidRPr="00A43B9C">
        <w:rPr>
          <w:rFonts w:ascii="Times New Roman" w:hAnsi="Times New Roman" w:cs="Times New Roman"/>
          <w:sz w:val="28"/>
          <w:szCs w:val="28"/>
        </w:rPr>
        <w:t>я</w:t>
      </w:r>
      <w:r w:rsidR="006D363C" w:rsidRPr="00A43B9C">
        <w:rPr>
          <w:rFonts w:ascii="Times New Roman" w:hAnsi="Times New Roman" w:cs="Times New Roman"/>
          <w:sz w:val="28"/>
          <w:szCs w:val="28"/>
        </w:rPr>
        <w:t xml:space="preserve"> SUV</w:t>
      </w:r>
      <w:r w:rsidR="006D363C" w:rsidRPr="00A43B9C">
        <w:rPr>
          <w:rFonts w:ascii="Times New Roman" w:hAnsi="Times New Roman" w:cs="Times New Roman"/>
          <w:sz w:val="28"/>
          <w:szCs w:val="28"/>
          <w:vertAlign w:val="subscript"/>
        </w:rPr>
        <w:t>max</w:t>
      </w:r>
      <w:r w:rsidR="006D363C" w:rsidRPr="00A43B9C">
        <w:rPr>
          <w:rFonts w:ascii="Times New Roman" w:hAnsi="Times New Roman" w:cs="Times New Roman"/>
          <w:sz w:val="28"/>
          <w:szCs w:val="28"/>
        </w:rPr>
        <w:t xml:space="preserve"> </w:t>
      </w:r>
      <w:r w:rsidR="009D71BC" w:rsidRPr="00A43B9C">
        <w:rPr>
          <w:rFonts w:ascii="Times New Roman" w:hAnsi="Times New Roman" w:cs="Times New Roman"/>
          <w:sz w:val="28"/>
          <w:szCs w:val="28"/>
        </w:rPr>
        <w:t xml:space="preserve">для RRL </w:t>
      </w:r>
      <w:r w:rsidR="00FD27B4" w:rsidRPr="00A43B9C">
        <w:rPr>
          <w:rFonts w:ascii="Times New Roman" w:hAnsi="Times New Roman" w:cs="Times New Roman"/>
          <w:sz w:val="28"/>
          <w:szCs w:val="28"/>
        </w:rPr>
        <w:t>равн</w:t>
      </w:r>
      <w:r w:rsidR="009D71BC" w:rsidRPr="00A43B9C">
        <w:rPr>
          <w:rFonts w:ascii="Times New Roman" w:hAnsi="Times New Roman" w:cs="Times New Roman"/>
          <w:sz w:val="28"/>
          <w:szCs w:val="28"/>
        </w:rPr>
        <w:t>ялось</w:t>
      </w:r>
      <w:r w:rsidR="00FD27B4" w:rsidRPr="00A43B9C">
        <w:rPr>
          <w:rFonts w:ascii="Times New Roman" w:hAnsi="Times New Roman" w:cs="Times New Roman"/>
          <w:sz w:val="28"/>
          <w:szCs w:val="28"/>
        </w:rPr>
        <w:t xml:space="preserve"> </w:t>
      </w:r>
      <w:r w:rsidR="006D363C" w:rsidRPr="00A43B9C">
        <w:rPr>
          <w:rFonts w:ascii="Times New Roman" w:hAnsi="Times New Roman" w:cs="Times New Roman"/>
          <w:sz w:val="28"/>
          <w:szCs w:val="28"/>
        </w:rPr>
        <w:t>1,05 (</w:t>
      </w:r>
      <w:r w:rsidR="00FD27B4" w:rsidRPr="00A43B9C">
        <w:rPr>
          <w:rFonts w:ascii="Times New Roman" w:hAnsi="Times New Roman" w:cs="Times New Roman"/>
          <w:sz w:val="28"/>
          <w:szCs w:val="28"/>
        </w:rPr>
        <w:t xml:space="preserve">при </w:t>
      </w:r>
      <w:r w:rsidR="006D363C" w:rsidRPr="00A43B9C">
        <w:rPr>
          <w:rFonts w:ascii="Times New Roman" w:hAnsi="Times New Roman" w:cs="Times New Roman"/>
          <w:sz w:val="28"/>
          <w:szCs w:val="28"/>
          <w:lang w:val="en-US"/>
        </w:rPr>
        <w:t>AUC</w:t>
      </w:r>
      <w:r w:rsidR="006D363C" w:rsidRPr="00A43B9C">
        <w:rPr>
          <w:rFonts w:ascii="Times New Roman" w:hAnsi="Times New Roman" w:cs="Times New Roman"/>
          <w:sz w:val="28"/>
          <w:szCs w:val="28"/>
        </w:rPr>
        <w:t xml:space="preserve"> 0,682, p = 0,032)</w:t>
      </w:r>
      <w:r w:rsidR="009D71BC" w:rsidRPr="00A43B9C">
        <w:rPr>
          <w:rFonts w:ascii="Times New Roman" w:hAnsi="Times New Roman" w:cs="Times New Roman"/>
          <w:sz w:val="28"/>
          <w:szCs w:val="28"/>
        </w:rPr>
        <w:t xml:space="preserve">, а показатели Se, Sp, </w:t>
      </w:r>
      <w:r w:rsidR="009D71BC" w:rsidRPr="00A43B9C">
        <w:rPr>
          <w:rFonts w:ascii="Times New Roman" w:hAnsi="Times New Roman" w:cs="Times New Roman"/>
          <w:sz w:val="28"/>
          <w:szCs w:val="28"/>
          <w:lang w:val="en-US"/>
        </w:rPr>
        <w:t>PPV</w:t>
      </w:r>
      <w:r w:rsidR="009D71BC" w:rsidRPr="00A43B9C">
        <w:rPr>
          <w:rFonts w:ascii="Times New Roman" w:hAnsi="Times New Roman" w:cs="Times New Roman"/>
          <w:sz w:val="28"/>
          <w:szCs w:val="28"/>
        </w:rPr>
        <w:t xml:space="preserve"> и </w:t>
      </w:r>
      <w:r w:rsidR="009D71BC" w:rsidRPr="00A43B9C">
        <w:rPr>
          <w:rFonts w:ascii="Times New Roman" w:hAnsi="Times New Roman" w:cs="Times New Roman"/>
          <w:sz w:val="28"/>
          <w:szCs w:val="28"/>
          <w:lang w:val="en-US"/>
        </w:rPr>
        <w:t>NPV</w:t>
      </w:r>
      <w:r w:rsidR="006D363C" w:rsidRPr="00A43B9C">
        <w:rPr>
          <w:rFonts w:ascii="Times New Roman" w:hAnsi="Times New Roman" w:cs="Times New Roman"/>
          <w:sz w:val="28"/>
          <w:szCs w:val="28"/>
        </w:rPr>
        <w:t xml:space="preserve"> 68,8%, 77,3%, 52,4% и 87,2% соответственно.</w:t>
      </w:r>
      <w:r w:rsidR="00FD27B4" w:rsidRPr="00A43B9C">
        <w:rPr>
          <w:rFonts w:ascii="Times New Roman" w:hAnsi="Times New Roman" w:cs="Times New Roman"/>
          <w:sz w:val="28"/>
          <w:szCs w:val="28"/>
        </w:rPr>
        <w:t xml:space="preserve"> </w:t>
      </w:r>
      <w:r w:rsidR="009D71BC" w:rsidRPr="00A43B9C">
        <w:rPr>
          <w:rFonts w:ascii="Times New Roman" w:hAnsi="Times New Roman" w:cs="Times New Roman"/>
          <w:sz w:val="28"/>
          <w:szCs w:val="28"/>
        </w:rPr>
        <w:t>Кро</w:t>
      </w:r>
      <w:r w:rsidR="008518E0">
        <w:rPr>
          <w:rFonts w:ascii="Times New Roman" w:hAnsi="Times New Roman" w:cs="Times New Roman"/>
          <w:sz w:val="28"/>
          <w:szCs w:val="28"/>
        </w:rPr>
        <w:t>м</w:t>
      </w:r>
      <w:r w:rsidR="009D71BC" w:rsidRPr="00A43B9C">
        <w:rPr>
          <w:rFonts w:ascii="Times New Roman" w:hAnsi="Times New Roman" w:cs="Times New Roman"/>
          <w:sz w:val="28"/>
          <w:szCs w:val="28"/>
        </w:rPr>
        <w:t xml:space="preserve">е того, </w:t>
      </w:r>
      <w:r w:rsidR="000238C8" w:rsidRPr="00A43B9C">
        <w:rPr>
          <w:rFonts w:ascii="Times New Roman" w:hAnsi="Times New Roman" w:cs="Times New Roman"/>
          <w:sz w:val="28"/>
          <w:szCs w:val="28"/>
        </w:rPr>
        <w:t xml:space="preserve">пороговое </w:t>
      </w:r>
      <w:r w:rsidR="006D363C" w:rsidRPr="00A43B9C">
        <w:rPr>
          <w:rFonts w:ascii="Times New Roman" w:hAnsi="Times New Roman" w:cs="Times New Roman"/>
          <w:sz w:val="28"/>
          <w:szCs w:val="28"/>
        </w:rPr>
        <w:t>значение уровня накоплени</w:t>
      </w:r>
      <w:r w:rsidR="000238C8" w:rsidRPr="00A43B9C">
        <w:rPr>
          <w:rFonts w:ascii="Times New Roman" w:hAnsi="Times New Roman" w:cs="Times New Roman"/>
          <w:sz w:val="28"/>
          <w:szCs w:val="28"/>
        </w:rPr>
        <w:t>я</w:t>
      </w:r>
      <w:r w:rsidR="006D363C" w:rsidRPr="00A43B9C">
        <w:rPr>
          <w:rFonts w:ascii="Times New Roman" w:hAnsi="Times New Roman" w:cs="Times New Roman"/>
          <w:sz w:val="28"/>
          <w:szCs w:val="28"/>
        </w:rPr>
        <w:t xml:space="preserve"> SUV</w:t>
      </w:r>
      <w:r w:rsidR="006D363C" w:rsidRPr="00A43B9C">
        <w:rPr>
          <w:rFonts w:ascii="Times New Roman" w:hAnsi="Times New Roman" w:cs="Times New Roman"/>
          <w:sz w:val="28"/>
          <w:szCs w:val="28"/>
          <w:vertAlign w:val="subscript"/>
        </w:rPr>
        <w:t>max</w:t>
      </w:r>
      <w:r w:rsidR="006D363C" w:rsidRPr="00A43B9C">
        <w:rPr>
          <w:rFonts w:ascii="Times New Roman" w:hAnsi="Times New Roman" w:cs="Times New Roman"/>
          <w:sz w:val="28"/>
          <w:szCs w:val="28"/>
        </w:rPr>
        <w:t xml:space="preserve"> </w:t>
      </w:r>
      <w:r w:rsidR="009D71BC" w:rsidRPr="00A43B9C">
        <w:rPr>
          <w:rFonts w:ascii="Times New Roman" w:hAnsi="Times New Roman" w:cs="Times New Roman"/>
          <w:sz w:val="28"/>
          <w:szCs w:val="28"/>
        </w:rPr>
        <w:t>для R</w:t>
      </w:r>
      <w:r w:rsidR="009D71BC" w:rsidRPr="00A43B9C">
        <w:rPr>
          <w:rFonts w:ascii="Times New Roman" w:hAnsi="Times New Roman" w:cs="Times New Roman"/>
          <w:sz w:val="28"/>
          <w:szCs w:val="28"/>
          <w:lang w:val="en-US"/>
        </w:rPr>
        <w:t>U</w:t>
      </w:r>
      <w:r w:rsidR="009D71BC" w:rsidRPr="00A43B9C">
        <w:rPr>
          <w:rFonts w:ascii="Times New Roman" w:hAnsi="Times New Roman" w:cs="Times New Roman"/>
          <w:sz w:val="28"/>
          <w:szCs w:val="28"/>
        </w:rPr>
        <w:t xml:space="preserve"> было </w:t>
      </w:r>
      <w:r w:rsidR="00FD27B4" w:rsidRPr="00A43B9C">
        <w:rPr>
          <w:rFonts w:ascii="Times New Roman" w:hAnsi="Times New Roman" w:cs="Times New Roman"/>
          <w:sz w:val="28"/>
          <w:szCs w:val="28"/>
        </w:rPr>
        <w:t xml:space="preserve">равно </w:t>
      </w:r>
      <w:r w:rsidR="006D363C" w:rsidRPr="00A43B9C">
        <w:rPr>
          <w:rFonts w:ascii="Times New Roman" w:hAnsi="Times New Roman" w:cs="Times New Roman"/>
          <w:sz w:val="28"/>
          <w:szCs w:val="28"/>
        </w:rPr>
        <w:t>0,85 (</w:t>
      </w:r>
      <w:r w:rsidR="00FD27B4" w:rsidRPr="00A43B9C">
        <w:rPr>
          <w:rFonts w:ascii="Times New Roman" w:hAnsi="Times New Roman" w:cs="Times New Roman"/>
          <w:sz w:val="28"/>
          <w:szCs w:val="28"/>
        </w:rPr>
        <w:t xml:space="preserve">при </w:t>
      </w:r>
      <w:r w:rsidR="006D363C" w:rsidRPr="00A43B9C">
        <w:rPr>
          <w:rFonts w:ascii="Times New Roman" w:hAnsi="Times New Roman" w:cs="Times New Roman"/>
          <w:sz w:val="28"/>
          <w:szCs w:val="28"/>
          <w:lang w:val="en-US"/>
        </w:rPr>
        <w:t>AUC</w:t>
      </w:r>
      <w:r w:rsidR="006D363C" w:rsidRPr="00A43B9C">
        <w:rPr>
          <w:rFonts w:ascii="Times New Roman" w:hAnsi="Times New Roman" w:cs="Times New Roman"/>
          <w:sz w:val="28"/>
          <w:szCs w:val="28"/>
        </w:rPr>
        <w:t xml:space="preserve"> 0,672, p = 0,043)</w:t>
      </w:r>
      <w:r w:rsidR="009D71BC" w:rsidRPr="00A43B9C">
        <w:rPr>
          <w:rFonts w:ascii="Times New Roman" w:hAnsi="Times New Roman" w:cs="Times New Roman"/>
          <w:sz w:val="28"/>
          <w:szCs w:val="28"/>
        </w:rPr>
        <w:t xml:space="preserve">, а показатели Se, Sp, </w:t>
      </w:r>
      <w:r w:rsidR="009D71BC" w:rsidRPr="00A43B9C">
        <w:rPr>
          <w:rFonts w:ascii="Times New Roman" w:hAnsi="Times New Roman" w:cs="Times New Roman"/>
          <w:sz w:val="28"/>
          <w:szCs w:val="28"/>
          <w:lang w:val="en-US"/>
        </w:rPr>
        <w:t>PPV</w:t>
      </w:r>
      <w:r w:rsidR="009D71BC" w:rsidRPr="00A43B9C">
        <w:rPr>
          <w:rFonts w:ascii="Times New Roman" w:hAnsi="Times New Roman" w:cs="Times New Roman"/>
          <w:sz w:val="28"/>
          <w:szCs w:val="28"/>
        </w:rPr>
        <w:t xml:space="preserve"> и </w:t>
      </w:r>
      <w:r w:rsidR="009D71BC" w:rsidRPr="00A43B9C">
        <w:rPr>
          <w:rFonts w:ascii="Times New Roman" w:hAnsi="Times New Roman" w:cs="Times New Roman"/>
          <w:sz w:val="28"/>
          <w:szCs w:val="28"/>
          <w:lang w:val="en-US"/>
        </w:rPr>
        <w:t>NPV</w:t>
      </w:r>
      <w:r w:rsidR="000F7CD4">
        <w:rPr>
          <w:rFonts w:ascii="Times New Roman" w:hAnsi="Times New Roman" w:cs="Times New Roman"/>
          <w:sz w:val="28"/>
          <w:szCs w:val="28"/>
        </w:rPr>
        <w:t xml:space="preserve"> </w:t>
      </w:r>
      <w:r w:rsidR="006D363C" w:rsidRPr="00A43B9C">
        <w:rPr>
          <w:rFonts w:ascii="Times New Roman" w:hAnsi="Times New Roman" w:cs="Times New Roman"/>
          <w:sz w:val="28"/>
          <w:szCs w:val="28"/>
        </w:rPr>
        <w:t xml:space="preserve">62,5%, 61,4%, 37,0% и 81,8% соответственно. Пороговое </w:t>
      </w:r>
      <w:r w:rsidR="009D71BC" w:rsidRPr="00A43B9C">
        <w:rPr>
          <w:rFonts w:ascii="Times New Roman" w:hAnsi="Times New Roman" w:cs="Times New Roman"/>
          <w:sz w:val="28"/>
          <w:szCs w:val="28"/>
        </w:rPr>
        <w:t xml:space="preserve">же </w:t>
      </w:r>
      <w:r w:rsidR="006D363C" w:rsidRPr="00A43B9C">
        <w:rPr>
          <w:rFonts w:ascii="Times New Roman" w:hAnsi="Times New Roman" w:cs="Times New Roman"/>
          <w:sz w:val="28"/>
          <w:szCs w:val="28"/>
        </w:rPr>
        <w:t>значение уровня накоплени</w:t>
      </w:r>
      <w:r w:rsidR="000238C8" w:rsidRPr="00A43B9C">
        <w:rPr>
          <w:rFonts w:ascii="Times New Roman" w:hAnsi="Times New Roman" w:cs="Times New Roman"/>
          <w:sz w:val="28"/>
          <w:szCs w:val="28"/>
        </w:rPr>
        <w:t>я</w:t>
      </w:r>
      <w:r w:rsidR="006D363C" w:rsidRPr="00A43B9C">
        <w:rPr>
          <w:rFonts w:ascii="Times New Roman" w:hAnsi="Times New Roman" w:cs="Times New Roman"/>
          <w:sz w:val="28"/>
          <w:szCs w:val="28"/>
        </w:rPr>
        <w:t xml:space="preserve"> SUV</w:t>
      </w:r>
      <w:r w:rsidR="006D363C" w:rsidRPr="00A43B9C">
        <w:rPr>
          <w:rFonts w:ascii="Times New Roman" w:hAnsi="Times New Roman" w:cs="Times New Roman"/>
          <w:sz w:val="28"/>
          <w:szCs w:val="28"/>
          <w:vertAlign w:val="subscript"/>
        </w:rPr>
        <w:t>max</w:t>
      </w:r>
      <w:r w:rsidR="006D363C" w:rsidRPr="00A43B9C">
        <w:rPr>
          <w:rFonts w:ascii="Times New Roman" w:hAnsi="Times New Roman" w:cs="Times New Roman"/>
          <w:sz w:val="28"/>
          <w:szCs w:val="28"/>
        </w:rPr>
        <w:t xml:space="preserve"> </w:t>
      </w:r>
      <w:r w:rsidR="00AD2BF2" w:rsidRPr="00A43B9C">
        <w:rPr>
          <w:rFonts w:ascii="Times New Roman" w:hAnsi="Times New Roman" w:cs="Times New Roman"/>
          <w:sz w:val="28"/>
          <w:szCs w:val="28"/>
        </w:rPr>
        <w:t xml:space="preserve">для RRI было </w:t>
      </w:r>
      <w:r w:rsidR="00FD27B4" w:rsidRPr="00A43B9C">
        <w:rPr>
          <w:rFonts w:ascii="Times New Roman" w:hAnsi="Times New Roman" w:cs="Times New Roman"/>
          <w:sz w:val="28"/>
          <w:szCs w:val="28"/>
        </w:rPr>
        <w:t xml:space="preserve">равно </w:t>
      </w:r>
      <w:r w:rsidR="006D363C" w:rsidRPr="00A43B9C">
        <w:rPr>
          <w:rFonts w:ascii="Times New Roman" w:hAnsi="Times New Roman" w:cs="Times New Roman"/>
          <w:sz w:val="28"/>
          <w:szCs w:val="28"/>
        </w:rPr>
        <w:t>0,78 (</w:t>
      </w:r>
      <w:r w:rsidR="00FD27B4" w:rsidRPr="00A43B9C">
        <w:rPr>
          <w:rFonts w:ascii="Times New Roman" w:hAnsi="Times New Roman" w:cs="Times New Roman"/>
          <w:sz w:val="28"/>
          <w:szCs w:val="28"/>
        </w:rPr>
        <w:t xml:space="preserve">при </w:t>
      </w:r>
      <w:r w:rsidR="006D363C" w:rsidRPr="00A43B9C">
        <w:rPr>
          <w:rFonts w:ascii="Times New Roman" w:hAnsi="Times New Roman" w:cs="Times New Roman"/>
          <w:sz w:val="28"/>
          <w:szCs w:val="28"/>
          <w:lang w:val="en-US"/>
        </w:rPr>
        <w:t>AUC</w:t>
      </w:r>
      <w:r w:rsidR="006D363C" w:rsidRPr="00A43B9C">
        <w:rPr>
          <w:rFonts w:ascii="Times New Roman" w:hAnsi="Times New Roman" w:cs="Times New Roman"/>
          <w:sz w:val="28"/>
          <w:szCs w:val="28"/>
        </w:rPr>
        <w:t xml:space="preserve"> 0,679, p = 0,035)</w:t>
      </w:r>
      <w:r w:rsidR="00AD2BF2" w:rsidRPr="00A43B9C">
        <w:rPr>
          <w:rFonts w:ascii="Times New Roman" w:hAnsi="Times New Roman" w:cs="Times New Roman"/>
          <w:sz w:val="28"/>
          <w:szCs w:val="28"/>
        </w:rPr>
        <w:t xml:space="preserve">, в то время как показатели Se, Sp, </w:t>
      </w:r>
      <w:r w:rsidR="00AD2BF2" w:rsidRPr="00A43B9C">
        <w:rPr>
          <w:rFonts w:ascii="Times New Roman" w:hAnsi="Times New Roman" w:cs="Times New Roman"/>
          <w:sz w:val="28"/>
          <w:szCs w:val="28"/>
          <w:lang w:val="en-US"/>
        </w:rPr>
        <w:t>PPV</w:t>
      </w:r>
      <w:r w:rsidR="00AD2BF2" w:rsidRPr="00A43B9C">
        <w:rPr>
          <w:rFonts w:ascii="Times New Roman" w:hAnsi="Times New Roman" w:cs="Times New Roman"/>
          <w:sz w:val="28"/>
          <w:szCs w:val="28"/>
        </w:rPr>
        <w:t xml:space="preserve"> и </w:t>
      </w:r>
      <w:r w:rsidR="00AD2BF2" w:rsidRPr="00A43B9C">
        <w:rPr>
          <w:rFonts w:ascii="Times New Roman" w:hAnsi="Times New Roman" w:cs="Times New Roman"/>
          <w:sz w:val="28"/>
          <w:szCs w:val="28"/>
          <w:lang w:val="en-US"/>
        </w:rPr>
        <w:t>NPV</w:t>
      </w:r>
      <w:r w:rsidR="006D363C" w:rsidRPr="00A43B9C">
        <w:rPr>
          <w:rFonts w:ascii="Times New Roman" w:hAnsi="Times New Roman" w:cs="Times New Roman"/>
          <w:sz w:val="28"/>
          <w:szCs w:val="28"/>
        </w:rPr>
        <w:t xml:space="preserve"> </w:t>
      </w:r>
      <w:r w:rsidR="00AD2BF2" w:rsidRPr="00A43B9C">
        <w:rPr>
          <w:rFonts w:ascii="Times New Roman" w:hAnsi="Times New Roman" w:cs="Times New Roman"/>
          <w:sz w:val="28"/>
          <w:szCs w:val="28"/>
        </w:rPr>
        <w:t>равнялись</w:t>
      </w:r>
      <w:r w:rsidR="006D363C" w:rsidRPr="00A43B9C">
        <w:rPr>
          <w:rFonts w:ascii="Times New Roman" w:hAnsi="Times New Roman" w:cs="Times New Roman"/>
          <w:sz w:val="28"/>
          <w:szCs w:val="28"/>
        </w:rPr>
        <w:t xml:space="preserve"> 68,8%, 61,4%, 39,3% и 84,4% соответственно.</w:t>
      </w:r>
      <w:r w:rsidR="00FD27B4" w:rsidRPr="00A43B9C">
        <w:rPr>
          <w:rFonts w:ascii="Times New Roman" w:hAnsi="Times New Roman" w:cs="Times New Roman"/>
          <w:sz w:val="28"/>
          <w:szCs w:val="28"/>
        </w:rPr>
        <w:t xml:space="preserve"> </w:t>
      </w:r>
      <w:r w:rsidR="006D363C" w:rsidRPr="00A43B9C">
        <w:rPr>
          <w:rFonts w:ascii="Times New Roman" w:hAnsi="Times New Roman" w:cs="Times New Roman"/>
          <w:sz w:val="28"/>
          <w:szCs w:val="28"/>
        </w:rPr>
        <w:t xml:space="preserve">В нашем исследовании накопление </w:t>
      </w:r>
      <w:r w:rsidR="006D363C" w:rsidRPr="00A43B9C">
        <w:rPr>
          <w:rFonts w:ascii="Times New Roman" w:hAnsi="Times New Roman" w:cs="Times New Roman"/>
          <w:sz w:val="28"/>
          <w:szCs w:val="28"/>
          <w:vertAlign w:val="superscript"/>
        </w:rPr>
        <w:t>18</w:t>
      </w:r>
      <w:r w:rsidR="006D363C" w:rsidRPr="00A43B9C">
        <w:rPr>
          <w:rFonts w:ascii="Times New Roman" w:hAnsi="Times New Roman" w:cs="Times New Roman"/>
          <w:sz w:val="28"/>
          <w:szCs w:val="28"/>
          <w:lang w:val="en-US"/>
        </w:rPr>
        <w:t>F</w:t>
      </w:r>
      <w:r w:rsidR="006D363C" w:rsidRPr="00A43B9C">
        <w:rPr>
          <w:rFonts w:ascii="Times New Roman" w:hAnsi="Times New Roman" w:cs="Times New Roman"/>
          <w:sz w:val="28"/>
          <w:szCs w:val="28"/>
        </w:rPr>
        <w:t>-</w:t>
      </w:r>
      <w:r w:rsidR="006D363C" w:rsidRPr="00A43B9C">
        <w:rPr>
          <w:rFonts w:ascii="Times New Roman" w:hAnsi="Times New Roman" w:cs="Times New Roman"/>
          <w:sz w:val="28"/>
          <w:szCs w:val="28"/>
          <w:lang w:val="en-US"/>
        </w:rPr>
        <w:t>FDG</w:t>
      </w:r>
      <w:r w:rsidR="006D363C" w:rsidRPr="00A43B9C">
        <w:rPr>
          <w:rFonts w:ascii="Times New Roman" w:hAnsi="Times New Roman" w:cs="Times New Roman"/>
          <w:sz w:val="28"/>
          <w:szCs w:val="28"/>
        </w:rPr>
        <w:t xml:space="preserve"> в </w:t>
      </w:r>
      <w:r w:rsidR="000E2A12">
        <w:rPr>
          <w:rFonts w:ascii="Times New Roman" w:hAnsi="Times New Roman" w:cs="Times New Roman"/>
          <w:sz w:val="28"/>
          <w:szCs w:val="28"/>
        </w:rPr>
        <w:t>висцеральном жире</w:t>
      </w:r>
      <w:r w:rsidR="006D363C" w:rsidRPr="00A43B9C">
        <w:rPr>
          <w:rFonts w:ascii="Times New Roman" w:hAnsi="Times New Roman" w:cs="Times New Roman"/>
          <w:sz w:val="28"/>
          <w:szCs w:val="28"/>
        </w:rPr>
        <w:t xml:space="preserve"> для оставшихся </w:t>
      </w:r>
      <w:r w:rsidR="00FD27B4" w:rsidRPr="00A43B9C">
        <w:rPr>
          <w:rFonts w:ascii="Times New Roman" w:hAnsi="Times New Roman" w:cs="Times New Roman"/>
          <w:sz w:val="28"/>
          <w:szCs w:val="28"/>
        </w:rPr>
        <w:t xml:space="preserve">проанализированных </w:t>
      </w:r>
      <w:r w:rsidR="006D363C" w:rsidRPr="00A43B9C">
        <w:rPr>
          <w:rFonts w:ascii="Times New Roman" w:hAnsi="Times New Roman" w:cs="Times New Roman"/>
          <w:sz w:val="28"/>
          <w:szCs w:val="28"/>
        </w:rPr>
        <w:t xml:space="preserve">локализаций не было связано с риском позднего метастазирования </w:t>
      </w:r>
      <w:r w:rsidR="0016610B">
        <w:rPr>
          <w:rFonts w:ascii="Times New Roman" w:hAnsi="Times New Roman" w:cs="Times New Roman"/>
          <w:sz w:val="28"/>
          <w:szCs w:val="28"/>
        </w:rPr>
        <w:t>брюшины</w:t>
      </w:r>
      <w:r w:rsidR="006D363C" w:rsidRPr="00A43B9C">
        <w:rPr>
          <w:rFonts w:ascii="Times New Roman" w:hAnsi="Times New Roman" w:cs="Times New Roman"/>
          <w:sz w:val="28"/>
          <w:szCs w:val="28"/>
        </w:rPr>
        <w:t>.</w:t>
      </w:r>
      <w:r w:rsidR="00DC5AC2">
        <w:rPr>
          <w:rFonts w:ascii="Times New Roman" w:hAnsi="Times New Roman" w:cs="Times New Roman"/>
          <w:sz w:val="28"/>
          <w:szCs w:val="28"/>
        </w:rPr>
        <w:t xml:space="preserve"> У пациентов с </w:t>
      </w:r>
      <w:r w:rsidR="000E2A12">
        <w:rPr>
          <w:rFonts w:ascii="Times New Roman" w:hAnsi="Times New Roman" w:cs="Times New Roman"/>
          <w:sz w:val="28"/>
          <w:szCs w:val="28"/>
        </w:rPr>
        <w:t>колоректальным раком</w:t>
      </w:r>
      <w:r w:rsidR="00DC5AC2">
        <w:rPr>
          <w:rFonts w:ascii="Times New Roman" w:hAnsi="Times New Roman" w:cs="Times New Roman"/>
          <w:sz w:val="28"/>
          <w:szCs w:val="28"/>
        </w:rPr>
        <w:t xml:space="preserve">, отмечаем также, что уровень накопления </w:t>
      </w:r>
      <w:r w:rsidR="00DC5AC2">
        <w:rPr>
          <w:rFonts w:ascii="Times New Roman" w:hAnsi="Times New Roman" w:cs="Times New Roman"/>
          <w:sz w:val="28"/>
          <w:szCs w:val="28"/>
          <w:lang w:val="en-US"/>
        </w:rPr>
        <w:t>SUV</w:t>
      </w:r>
      <w:r w:rsidR="00DC5AC2" w:rsidRPr="00215599">
        <w:rPr>
          <w:rFonts w:ascii="Times New Roman" w:hAnsi="Times New Roman" w:cs="Times New Roman"/>
          <w:sz w:val="28"/>
          <w:szCs w:val="28"/>
          <w:vertAlign w:val="subscript"/>
          <w:lang w:val="en-US"/>
        </w:rPr>
        <w:t>max</w:t>
      </w:r>
      <w:r w:rsidR="00DC5AC2">
        <w:rPr>
          <w:rFonts w:ascii="Times New Roman" w:hAnsi="Times New Roman" w:cs="Times New Roman"/>
          <w:sz w:val="28"/>
          <w:szCs w:val="28"/>
        </w:rPr>
        <w:t xml:space="preserve"> показал увеличение с 0,80 у первичных пациентов до 0,94 у вторичных пациентов статистически достоверный при сравнении первичных пациентов со вторичными. Корреляционная зависимость показала статистически значимую как слабую, так и умеренную прямую ассоциацию у обследованных пациентов. По прогностической ценности при </w:t>
      </w:r>
      <w:r w:rsidR="000E2A12">
        <w:rPr>
          <w:rFonts w:ascii="Times New Roman" w:hAnsi="Times New Roman" w:cs="Times New Roman"/>
          <w:sz w:val="28"/>
          <w:szCs w:val="28"/>
        </w:rPr>
        <w:t xml:space="preserve">колоректальном раке </w:t>
      </w:r>
      <w:r w:rsidR="00DC5AC2">
        <w:rPr>
          <w:rFonts w:ascii="Times New Roman" w:hAnsi="Times New Roman" w:cs="Times New Roman"/>
          <w:sz w:val="28"/>
          <w:szCs w:val="28"/>
        </w:rPr>
        <w:t>хоть и показ</w:t>
      </w:r>
      <w:r w:rsidR="00DC5AC2" w:rsidRPr="003A1F16">
        <w:rPr>
          <w:rFonts w:ascii="Times New Roman" w:hAnsi="Times New Roman" w:cs="Times New Roman"/>
          <w:sz w:val="28"/>
          <w:szCs w:val="28"/>
        </w:rPr>
        <w:t>ало стати</w:t>
      </w:r>
      <w:r w:rsidR="00DC5AC2">
        <w:rPr>
          <w:rFonts w:ascii="Times New Roman" w:hAnsi="Times New Roman" w:cs="Times New Roman"/>
          <w:sz w:val="28"/>
          <w:szCs w:val="28"/>
        </w:rPr>
        <w:t>сти</w:t>
      </w:r>
      <w:r w:rsidR="00DC5AC2" w:rsidRPr="003A1F16">
        <w:rPr>
          <w:rFonts w:ascii="Times New Roman" w:hAnsi="Times New Roman" w:cs="Times New Roman"/>
          <w:sz w:val="28"/>
          <w:szCs w:val="28"/>
        </w:rPr>
        <w:t>ческ</w:t>
      </w:r>
      <w:r w:rsidR="00DC5AC2" w:rsidRPr="00AB0F39">
        <w:rPr>
          <w:rFonts w:ascii="Times New Roman" w:hAnsi="Times New Roman" w:cs="Times New Roman"/>
          <w:sz w:val="28"/>
          <w:szCs w:val="28"/>
        </w:rPr>
        <w:t xml:space="preserve">и значимый </w:t>
      </w:r>
      <w:r w:rsidR="00DC5AC2">
        <w:rPr>
          <w:rFonts w:ascii="Times New Roman" w:hAnsi="Times New Roman" w:cs="Times New Roman"/>
          <w:sz w:val="28"/>
          <w:szCs w:val="28"/>
        </w:rPr>
        <w:t>достоверный результат т</w:t>
      </w:r>
      <w:r w:rsidR="00DC5AC2" w:rsidRPr="00AB0F39">
        <w:rPr>
          <w:rFonts w:ascii="Times New Roman" w:hAnsi="Times New Roman" w:cs="Times New Roman"/>
          <w:sz w:val="28"/>
          <w:szCs w:val="28"/>
        </w:rPr>
        <w:t xml:space="preserve">олько для </w:t>
      </w:r>
      <w:r w:rsidR="00DC5AC2">
        <w:rPr>
          <w:rFonts w:ascii="Times New Roman" w:hAnsi="Times New Roman" w:cs="Times New Roman"/>
          <w:sz w:val="28"/>
          <w:szCs w:val="28"/>
        </w:rPr>
        <w:t xml:space="preserve">четырех </w:t>
      </w:r>
      <w:r w:rsidR="00DC5AC2" w:rsidRPr="00AB0F39">
        <w:rPr>
          <w:rFonts w:ascii="Times New Roman" w:hAnsi="Times New Roman" w:cs="Times New Roman"/>
          <w:sz w:val="28"/>
          <w:szCs w:val="28"/>
        </w:rPr>
        <w:t>локализаций (</w:t>
      </w:r>
      <w:r w:rsidR="00DC5AC2" w:rsidRPr="00A43B9C">
        <w:rPr>
          <w:rFonts w:ascii="Times New Roman" w:hAnsi="Times New Roman" w:cs="Times New Roman"/>
          <w:sz w:val="28"/>
          <w:szCs w:val="28"/>
        </w:rPr>
        <w:t xml:space="preserve">RLH, RU, </w:t>
      </w:r>
      <w:r w:rsidR="00DC5AC2" w:rsidRPr="00E97D9E">
        <w:rPr>
          <w:rFonts w:ascii="Times New Roman" w:hAnsi="Times New Roman" w:cs="Times New Roman"/>
          <w:sz w:val="28"/>
          <w:szCs w:val="28"/>
        </w:rPr>
        <w:t xml:space="preserve">RRL и RRI), но при этом клиническое значение остальных пяти локализаций играют важную диагностическую роль. И мы видим более высокие уровни накопления </w:t>
      </w:r>
      <w:r w:rsidR="00DC5AC2" w:rsidRPr="00E97D9E">
        <w:rPr>
          <w:rFonts w:ascii="Times New Roman" w:hAnsi="Times New Roman" w:cs="Times New Roman"/>
          <w:sz w:val="28"/>
          <w:szCs w:val="28"/>
          <w:lang w:val="en-US"/>
        </w:rPr>
        <w:t>SUV</w:t>
      </w:r>
      <w:r w:rsidR="00DC5AC2" w:rsidRPr="00E97D9E">
        <w:rPr>
          <w:rFonts w:ascii="Times New Roman" w:hAnsi="Times New Roman" w:cs="Times New Roman"/>
          <w:sz w:val="28"/>
          <w:szCs w:val="28"/>
          <w:vertAlign w:val="subscript"/>
          <w:lang w:val="en-US"/>
        </w:rPr>
        <w:t>max</w:t>
      </w:r>
      <w:r w:rsidR="00DC5AC2" w:rsidRPr="00E97D9E">
        <w:rPr>
          <w:rFonts w:ascii="Times New Roman" w:hAnsi="Times New Roman" w:cs="Times New Roman"/>
          <w:sz w:val="28"/>
          <w:szCs w:val="28"/>
        </w:rPr>
        <w:t xml:space="preserve"> в нижних отделах брюшной полости</w:t>
      </w:r>
      <w:r w:rsidR="00263562" w:rsidRPr="00E97D9E">
        <w:rPr>
          <w:rFonts w:ascii="Times New Roman" w:hAnsi="Times New Roman" w:cs="Times New Roman"/>
          <w:sz w:val="28"/>
          <w:szCs w:val="28"/>
        </w:rPr>
        <w:t xml:space="preserve"> (</w:t>
      </w:r>
      <w:r w:rsidR="00263562" w:rsidRPr="00E97D9E">
        <w:rPr>
          <w:rFonts w:ascii="Times New Roman" w:hAnsi="Times New Roman" w:cs="Times New Roman"/>
          <w:sz w:val="28"/>
          <w:szCs w:val="28"/>
          <w:lang w:val="en-US"/>
        </w:rPr>
        <w:t>RE</w:t>
      </w:r>
      <w:r w:rsidR="00263562" w:rsidRPr="00E97D9E">
        <w:rPr>
          <w:rFonts w:ascii="Times New Roman" w:hAnsi="Times New Roman" w:cs="Times New Roman"/>
          <w:sz w:val="28"/>
          <w:szCs w:val="28"/>
        </w:rPr>
        <w:t xml:space="preserve"> = 0,99 (</w:t>
      </w:r>
      <w:r w:rsidR="00263562" w:rsidRPr="00E97D9E">
        <w:rPr>
          <w:rFonts w:ascii="Times New Roman" w:hAnsi="Times New Roman" w:cs="Times New Roman"/>
          <w:sz w:val="28"/>
          <w:szCs w:val="28"/>
          <w:lang w:val="en-US"/>
        </w:rPr>
        <w:t>p</w:t>
      </w:r>
      <w:r w:rsidR="00263562" w:rsidRPr="00E97D9E">
        <w:rPr>
          <w:rFonts w:ascii="Times New Roman" w:hAnsi="Times New Roman" w:cs="Times New Roman"/>
          <w:sz w:val="28"/>
          <w:szCs w:val="28"/>
        </w:rPr>
        <w:t xml:space="preserve"> = 0,907); </w:t>
      </w:r>
      <w:r w:rsidR="00263562" w:rsidRPr="00E97D9E">
        <w:rPr>
          <w:rFonts w:ascii="Times New Roman" w:hAnsi="Times New Roman" w:cs="Times New Roman"/>
          <w:sz w:val="28"/>
          <w:szCs w:val="28"/>
          <w:lang w:val="en-US"/>
        </w:rPr>
        <w:t>RLL</w:t>
      </w:r>
      <w:r w:rsidR="00263562" w:rsidRPr="00E97D9E">
        <w:rPr>
          <w:rFonts w:ascii="Times New Roman" w:hAnsi="Times New Roman" w:cs="Times New Roman"/>
          <w:sz w:val="28"/>
          <w:szCs w:val="28"/>
        </w:rPr>
        <w:t xml:space="preserve"> = 1,06 (</w:t>
      </w:r>
      <w:r w:rsidR="00263562" w:rsidRPr="00E97D9E">
        <w:rPr>
          <w:rFonts w:ascii="Times New Roman" w:hAnsi="Times New Roman" w:cs="Times New Roman"/>
          <w:sz w:val="28"/>
          <w:szCs w:val="28"/>
          <w:lang w:val="en-US"/>
        </w:rPr>
        <w:t>p</w:t>
      </w:r>
      <w:r w:rsidR="00263562" w:rsidRPr="00E97D9E">
        <w:rPr>
          <w:rFonts w:ascii="Times New Roman" w:hAnsi="Times New Roman" w:cs="Times New Roman"/>
          <w:sz w:val="28"/>
          <w:szCs w:val="28"/>
        </w:rPr>
        <w:t xml:space="preserve"> = 0,437); </w:t>
      </w:r>
      <w:r w:rsidR="00263562" w:rsidRPr="00E97D9E">
        <w:rPr>
          <w:rFonts w:ascii="Times New Roman" w:hAnsi="Times New Roman" w:cs="Times New Roman"/>
          <w:sz w:val="28"/>
          <w:szCs w:val="28"/>
          <w:lang w:val="en-US"/>
        </w:rPr>
        <w:t>RP</w:t>
      </w:r>
      <w:r w:rsidR="00263562" w:rsidRPr="00E97D9E">
        <w:rPr>
          <w:rFonts w:ascii="Times New Roman" w:hAnsi="Times New Roman" w:cs="Times New Roman"/>
          <w:sz w:val="28"/>
          <w:szCs w:val="28"/>
        </w:rPr>
        <w:t xml:space="preserve"> = 1,13 (</w:t>
      </w:r>
      <w:r w:rsidR="00263562" w:rsidRPr="00E97D9E">
        <w:rPr>
          <w:rFonts w:ascii="Times New Roman" w:hAnsi="Times New Roman" w:cs="Times New Roman"/>
          <w:sz w:val="28"/>
          <w:szCs w:val="28"/>
          <w:lang w:val="en-US"/>
        </w:rPr>
        <w:t>p</w:t>
      </w:r>
      <w:r w:rsidR="00263562" w:rsidRPr="00E97D9E">
        <w:rPr>
          <w:rFonts w:ascii="Times New Roman" w:hAnsi="Times New Roman" w:cs="Times New Roman"/>
          <w:sz w:val="28"/>
          <w:szCs w:val="28"/>
        </w:rPr>
        <w:t xml:space="preserve"> = 0,059); </w:t>
      </w:r>
      <w:r w:rsidR="00263562" w:rsidRPr="00E97D9E">
        <w:rPr>
          <w:rFonts w:ascii="Times New Roman" w:hAnsi="Times New Roman" w:cs="Times New Roman"/>
          <w:sz w:val="28"/>
          <w:szCs w:val="28"/>
          <w:lang w:val="en-US"/>
        </w:rPr>
        <w:t>RLI</w:t>
      </w:r>
      <w:r w:rsidR="00263562" w:rsidRPr="00E97D9E">
        <w:rPr>
          <w:rFonts w:ascii="Times New Roman" w:hAnsi="Times New Roman" w:cs="Times New Roman"/>
          <w:sz w:val="28"/>
          <w:szCs w:val="28"/>
        </w:rPr>
        <w:t xml:space="preserve"> = 0,83 (</w:t>
      </w:r>
      <w:r w:rsidR="00263562" w:rsidRPr="00E97D9E">
        <w:rPr>
          <w:rFonts w:ascii="Times New Roman" w:hAnsi="Times New Roman" w:cs="Times New Roman"/>
          <w:sz w:val="28"/>
          <w:szCs w:val="28"/>
          <w:lang w:val="en-US"/>
        </w:rPr>
        <w:t>p</w:t>
      </w:r>
      <w:r w:rsidR="00263562" w:rsidRPr="00E97D9E">
        <w:rPr>
          <w:rFonts w:ascii="Times New Roman" w:hAnsi="Times New Roman" w:cs="Times New Roman"/>
          <w:sz w:val="28"/>
          <w:szCs w:val="28"/>
        </w:rPr>
        <w:t xml:space="preserve"> = 0,358); </w:t>
      </w:r>
      <w:r w:rsidR="00263562" w:rsidRPr="00E97D9E">
        <w:rPr>
          <w:rFonts w:ascii="Times New Roman" w:hAnsi="Times New Roman" w:cs="Times New Roman"/>
          <w:sz w:val="28"/>
          <w:szCs w:val="28"/>
          <w:lang w:val="en-US"/>
        </w:rPr>
        <w:t>P</w:t>
      </w:r>
      <w:r w:rsidR="00263562" w:rsidRPr="00E97D9E">
        <w:rPr>
          <w:rFonts w:ascii="Times New Roman" w:hAnsi="Times New Roman" w:cs="Times New Roman"/>
          <w:sz w:val="28"/>
          <w:szCs w:val="28"/>
        </w:rPr>
        <w:t xml:space="preserve"> = 1,00 (</w:t>
      </w:r>
      <w:r w:rsidR="00263562" w:rsidRPr="00E97D9E">
        <w:rPr>
          <w:rFonts w:ascii="Times New Roman" w:hAnsi="Times New Roman" w:cs="Times New Roman"/>
          <w:sz w:val="28"/>
          <w:szCs w:val="28"/>
          <w:lang w:val="en-US"/>
        </w:rPr>
        <w:t>p</w:t>
      </w:r>
      <w:r w:rsidR="00263562" w:rsidRPr="00E97D9E">
        <w:rPr>
          <w:rFonts w:ascii="Times New Roman" w:hAnsi="Times New Roman" w:cs="Times New Roman"/>
          <w:sz w:val="28"/>
          <w:szCs w:val="28"/>
        </w:rPr>
        <w:t xml:space="preserve"> = 0,132))</w:t>
      </w:r>
      <w:r w:rsidR="00DC5AC2" w:rsidRPr="00E97D9E">
        <w:rPr>
          <w:rFonts w:ascii="Times New Roman" w:hAnsi="Times New Roman" w:cs="Times New Roman"/>
          <w:sz w:val="28"/>
          <w:szCs w:val="28"/>
        </w:rPr>
        <w:t xml:space="preserve">, что вероятнее всего связано с первичным очагом основного онкологического заболевания и клиническое значение которых также играют решающую </w:t>
      </w:r>
      <w:r w:rsidR="00DC5AC2" w:rsidRPr="00AB0F39">
        <w:rPr>
          <w:rFonts w:ascii="Times New Roman" w:hAnsi="Times New Roman" w:cs="Times New Roman"/>
          <w:sz w:val="28"/>
          <w:szCs w:val="28"/>
        </w:rPr>
        <w:t>роль при обследовании и дальнейшей тактики лечении пациентов</w:t>
      </w:r>
      <w:r w:rsidR="00DC5AC2">
        <w:rPr>
          <w:rFonts w:ascii="Times New Roman" w:hAnsi="Times New Roman" w:cs="Times New Roman"/>
          <w:sz w:val="28"/>
          <w:szCs w:val="28"/>
        </w:rPr>
        <w:t xml:space="preserve"> с </w:t>
      </w:r>
      <w:r w:rsidR="000E2A12">
        <w:rPr>
          <w:rFonts w:ascii="Times New Roman" w:hAnsi="Times New Roman" w:cs="Times New Roman"/>
          <w:sz w:val="28"/>
          <w:szCs w:val="28"/>
        </w:rPr>
        <w:t>колоректальным раком</w:t>
      </w:r>
      <w:r w:rsidR="00DC5AC2" w:rsidRPr="00AB0F39">
        <w:rPr>
          <w:rFonts w:ascii="Times New Roman" w:hAnsi="Times New Roman" w:cs="Times New Roman"/>
          <w:sz w:val="28"/>
          <w:szCs w:val="28"/>
        </w:rPr>
        <w:t>.</w:t>
      </w:r>
    </w:p>
    <w:p w14:paraId="380C7E8A" w14:textId="5FBA70E1" w:rsidR="007E2D2F" w:rsidRPr="00A43B9C" w:rsidRDefault="007E2D2F" w:rsidP="007E2D2F">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Как видно из представленных исследований по определению прогностической ценности уровня накопления метаболических параметров для </w:t>
      </w:r>
      <w:r w:rsidR="000E2A12">
        <w:rPr>
          <w:rFonts w:ascii="Times New Roman" w:hAnsi="Times New Roman" w:cs="Times New Roman"/>
          <w:sz w:val="28"/>
          <w:szCs w:val="28"/>
        </w:rPr>
        <w:t>колоректального рака</w:t>
      </w:r>
      <w:r w:rsidRPr="00A43B9C">
        <w:rPr>
          <w:rFonts w:ascii="Times New Roman" w:hAnsi="Times New Roman" w:cs="Times New Roman"/>
          <w:sz w:val="28"/>
          <w:szCs w:val="28"/>
        </w:rPr>
        <w:t xml:space="preserve"> пороговые значения SUV</w:t>
      </w:r>
      <w:r w:rsidRPr="00A43B9C">
        <w:rPr>
          <w:rFonts w:ascii="Times New Roman" w:hAnsi="Times New Roman" w:cs="Times New Roman"/>
          <w:sz w:val="28"/>
          <w:szCs w:val="28"/>
          <w:vertAlign w:val="subscript"/>
        </w:rPr>
        <w:t>max</w:t>
      </w:r>
      <w:r w:rsidRPr="00A43B9C">
        <w:rPr>
          <w:rFonts w:ascii="Times New Roman" w:hAnsi="Times New Roman" w:cs="Times New Roman"/>
          <w:sz w:val="28"/>
          <w:szCs w:val="28"/>
        </w:rPr>
        <w:t xml:space="preserve"> уровня накопления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FDG</w:t>
      </w:r>
      <w:r w:rsidRPr="00A43B9C">
        <w:rPr>
          <w:rFonts w:ascii="Times New Roman" w:hAnsi="Times New Roman" w:cs="Times New Roman"/>
          <w:sz w:val="28"/>
          <w:szCs w:val="28"/>
        </w:rPr>
        <w:t xml:space="preserve"> также, как и при </w:t>
      </w:r>
      <w:r w:rsidR="000E2A12">
        <w:rPr>
          <w:rFonts w:ascii="Times New Roman" w:hAnsi="Times New Roman" w:cs="Times New Roman"/>
          <w:sz w:val="28"/>
          <w:szCs w:val="28"/>
        </w:rPr>
        <w:t>раке яичников</w:t>
      </w:r>
      <w:r w:rsidRPr="00A43B9C">
        <w:rPr>
          <w:rFonts w:ascii="Times New Roman" w:hAnsi="Times New Roman" w:cs="Times New Roman"/>
          <w:sz w:val="28"/>
          <w:szCs w:val="28"/>
        </w:rPr>
        <w:t xml:space="preserve">, сильно варьируют в зависимости от ее локализации, </w:t>
      </w:r>
      <w:r w:rsidR="00F07E73">
        <w:rPr>
          <w:rFonts w:ascii="Times New Roman" w:hAnsi="Times New Roman" w:cs="Times New Roman"/>
          <w:sz w:val="28"/>
          <w:szCs w:val="28"/>
        </w:rPr>
        <w:t xml:space="preserve">а </w:t>
      </w:r>
      <w:r w:rsidRPr="00A43B9C">
        <w:rPr>
          <w:rFonts w:ascii="Times New Roman" w:hAnsi="Times New Roman" w:cs="Times New Roman"/>
          <w:sz w:val="28"/>
          <w:szCs w:val="28"/>
        </w:rPr>
        <w:t xml:space="preserve">признаки метастазирования в </w:t>
      </w:r>
      <w:r w:rsidR="0016610B">
        <w:rPr>
          <w:rFonts w:ascii="Times New Roman" w:hAnsi="Times New Roman" w:cs="Times New Roman"/>
          <w:sz w:val="28"/>
          <w:szCs w:val="28"/>
        </w:rPr>
        <w:t>брюшину</w:t>
      </w:r>
      <w:r w:rsidRPr="00A43B9C">
        <w:rPr>
          <w:rFonts w:ascii="Times New Roman" w:hAnsi="Times New Roman" w:cs="Times New Roman"/>
          <w:sz w:val="28"/>
          <w:szCs w:val="28"/>
        </w:rPr>
        <w:t xml:space="preserve"> не рассматривались, также не измерялись уровни накопления SUV</w:t>
      </w:r>
      <w:r w:rsidRPr="00A43B9C">
        <w:rPr>
          <w:rFonts w:ascii="Times New Roman" w:hAnsi="Times New Roman" w:cs="Times New Roman"/>
          <w:sz w:val="28"/>
          <w:szCs w:val="28"/>
          <w:vertAlign w:val="subscript"/>
        </w:rPr>
        <w:t>max</w:t>
      </w:r>
      <w:r w:rsidRPr="00A43B9C">
        <w:rPr>
          <w:rFonts w:ascii="Times New Roman" w:hAnsi="Times New Roman" w:cs="Times New Roman"/>
          <w:sz w:val="28"/>
          <w:szCs w:val="28"/>
        </w:rPr>
        <w:t xml:space="preserve"> ни в одной из локализаций в брюшной полости и полости малого таза и не </w:t>
      </w:r>
      <w:r w:rsidR="00263562">
        <w:rPr>
          <w:rFonts w:ascii="Times New Roman" w:hAnsi="Times New Roman" w:cs="Times New Roman"/>
          <w:sz w:val="28"/>
          <w:szCs w:val="28"/>
        </w:rPr>
        <w:t xml:space="preserve">были </w:t>
      </w:r>
      <w:r w:rsidRPr="00A43B9C">
        <w:rPr>
          <w:rFonts w:ascii="Times New Roman" w:hAnsi="Times New Roman" w:cs="Times New Roman"/>
          <w:sz w:val="28"/>
          <w:szCs w:val="28"/>
        </w:rPr>
        <w:t>измер</w:t>
      </w:r>
      <w:r w:rsidR="00263562">
        <w:rPr>
          <w:rFonts w:ascii="Times New Roman" w:hAnsi="Times New Roman" w:cs="Times New Roman"/>
          <w:sz w:val="28"/>
          <w:szCs w:val="28"/>
        </w:rPr>
        <w:t xml:space="preserve">ены уровень </w:t>
      </w:r>
      <w:r w:rsidRPr="00A43B9C">
        <w:rPr>
          <w:rFonts w:ascii="Times New Roman" w:hAnsi="Times New Roman" w:cs="Times New Roman"/>
          <w:sz w:val="28"/>
          <w:szCs w:val="28"/>
        </w:rPr>
        <w:t>накоплени</w:t>
      </w:r>
      <w:r w:rsidR="00E97D9E">
        <w:rPr>
          <w:rFonts w:ascii="Times New Roman" w:hAnsi="Times New Roman" w:cs="Times New Roman"/>
          <w:sz w:val="28"/>
          <w:szCs w:val="28"/>
        </w:rPr>
        <w:t>я</w:t>
      </w:r>
      <w:r w:rsidRPr="00A43B9C">
        <w:rPr>
          <w:rFonts w:ascii="Times New Roman" w:hAnsi="Times New Roman" w:cs="Times New Roman"/>
          <w:sz w:val="28"/>
          <w:szCs w:val="28"/>
        </w:rPr>
        <w:t xml:space="preserve"> в висцеральном жире, однако в сравнительном отношении показаны статистически значимые результаты между метаболическими параметрами, такими как </w:t>
      </w:r>
      <w:r w:rsidRPr="00A43B9C">
        <w:rPr>
          <w:rFonts w:ascii="Times New Roman" w:hAnsi="Times New Roman" w:cs="Times New Roman"/>
          <w:sz w:val="28"/>
          <w:szCs w:val="28"/>
          <w:lang w:val="en-US"/>
        </w:rPr>
        <w:t>MTV</w:t>
      </w:r>
      <w:r w:rsidRPr="00A43B9C">
        <w:rPr>
          <w:rFonts w:ascii="Times New Roman" w:hAnsi="Times New Roman" w:cs="Times New Roman"/>
          <w:sz w:val="28"/>
          <w:szCs w:val="28"/>
        </w:rPr>
        <w:t xml:space="preserve"> и </w:t>
      </w:r>
      <w:r w:rsidRPr="00A43B9C">
        <w:rPr>
          <w:rFonts w:ascii="Times New Roman" w:hAnsi="Times New Roman" w:cs="Times New Roman"/>
          <w:sz w:val="28"/>
          <w:szCs w:val="28"/>
          <w:lang w:val="en-US"/>
        </w:rPr>
        <w:t>TLG</w:t>
      </w:r>
      <w:r w:rsidRPr="00A43B9C">
        <w:rPr>
          <w:rFonts w:ascii="Times New Roman" w:hAnsi="Times New Roman" w:cs="Times New Roman"/>
          <w:sz w:val="28"/>
          <w:szCs w:val="28"/>
        </w:rPr>
        <w:t>, отражены прогностическая ценность метода ПЭТ/КТ.</w:t>
      </w:r>
    </w:p>
    <w:p w14:paraId="2C9BBC2A" w14:textId="7BFB2BC5" w:rsidR="00A04E05" w:rsidRPr="00A43B9C" w:rsidRDefault="00A04E05" w:rsidP="00A04E05">
      <w:pPr>
        <w:autoSpaceDE w:val="0"/>
        <w:autoSpaceDN w:val="0"/>
        <w:adjustRightInd w:val="0"/>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В настоящем исследовании использовалась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FDG</w:t>
      </w:r>
      <w:r w:rsidRPr="00A43B9C">
        <w:rPr>
          <w:rFonts w:ascii="Times New Roman" w:hAnsi="Times New Roman" w:cs="Times New Roman"/>
          <w:sz w:val="28"/>
          <w:szCs w:val="28"/>
        </w:rPr>
        <w:t xml:space="preserve"> ПЭТ/КТ </w:t>
      </w:r>
      <w:r w:rsidR="00E97D9E">
        <w:rPr>
          <w:rFonts w:ascii="Times New Roman" w:hAnsi="Times New Roman" w:cs="Times New Roman"/>
          <w:sz w:val="28"/>
          <w:szCs w:val="28"/>
        </w:rPr>
        <w:t xml:space="preserve">путем полуколичественного измерения </w:t>
      </w:r>
      <w:r w:rsidR="00E97D9E">
        <w:rPr>
          <w:rFonts w:ascii="Times New Roman" w:eastAsia="Times New Roman" w:hAnsi="Times New Roman" w:cs="Times New Roman"/>
          <w:bCs/>
          <w:color w:val="000000"/>
          <w:sz w:val="28"/>
          <w:szCs w:val="28"/>
        </w:rPr>
        <w:t>уровня</w:t>
      </w:r>
      <w:r w:rsidR="00E97D9E" w:rsidRPr="00A43B9C">
        <w:rPr>
          <w:rFonts w:ascii="Times New Roman" w:eastAsia="Times New Roman" w:hAnsi="Times New Roman" w:cs="Times New Roman"/>
          <w:bCs/>
          <w:color w:val="000000"/>
          <w:sz w:val="28"/>
          <w:szCs w:val="28"/>
        </w:rPr>
        <w:t xml:space="preserve"> накопления </w:t>
      </w:r>
      <w:r w:rsidR="00E97D9E">
        <w:rPr>
          <w:rFonts w:ascii="Times New Roman" w:eastAsia="Times New Roman" w:hAnsi="Times New Roman" w:cs="Times New Roman"/>
          <w:bCs/>
          <w:color w:val="000000"/>
          <w:sz w:val="28"/>
          <w:szCs w:val="28"/>
          <w:lang w:val="en-US"/>
        </w:rPr>
        <w:t>SUV</w:t>
      </w:r>
      <w:r w:rsidR="00E97D9E" w:rsidRPr="002664F7">
        <w:rPr>
          <w:rFonts w:ascii="Times New Roman" w:eastAsia="Times New Roman" w:hAnsi="Times New Roman" w:cs="Times New Roman"/>
          <w:bCs/>
          <w:color w:val="000000"/>
          <w:sz w:val="28"/>
          <w:szCs w:val="28"/>
          <w:vertAlign w:val="subscript"/>
          <w:lang w:val="en-US"/>
        </w:rPr>
        <w:t>max</w:t>
      </w:r>
      <w:r w:rsidR="00E97D9E" w:rsidRPr="00E97D9E">
        <w:rPr>
          <w:rFonts w:ascii="Times New Roman" w:eastAsia="Times New Roman" w:hAnsi="Times New Roman" w:cs="Times New Roman"/>
          <w:bCs/>
          <w:color w:val="000000"/>
          <w:sz w:val="28"/>
          <w:szCs w:val="28"/>
        </w:rPr>
        <w:t xml:space="preserve"> </w:t>
      </w:r>
      <w:r w:rsidRPr="00A43B9C">
        <w:rPr>
          <w:rFonts w:ascii="Times New Roman" w:hAnsi="Times New Roman" w:cs="Times New Roman"/>
          <w:sz w:val="28"/>
          <w:szCs w:val="28"/>
        </w:rPr>
        <w:t xml:space="preserve">для демонстрации применения функциональной активности </w:t>
      </w:r>
      <w:r w:rsidR="000E2A12">
        <w:rPr>
          <w:rFonts w:ascii="Times New Roman" w:hAnsi="Times New Roman" w:cs="Times New Roman"/>
          <w:sz w:val="28"/>
          <w:szCs w:val="28"/>
        </w:rPr>
        <w:t>висцеральной жировой ткани</w:t>
      </w:r>
      <w:r w:rsidRPr="00A43B9C">
        <w:rPr>
          <w:rFonts w:ascii="Times New Roman" w:hAnsi="Times New Roman" w:cs="Times New Roman"/>
          <w:sz w:val="28"/>
          <w:szCs w:val="28"/>
        </w:rPr>
        <w:t xml:space="preserve">, которая может предоставить молекулярную информацию о </w:t>
      </w:r>
      <w:r w:rsidRPr="00A43B9C">
        <w:rPr>
          <w:rFonts w:ascii="Times New Roman" w:hAnsi="Times New Roman" w:cs="Times New Roman"/>
          <w:sz w:val="28"/>
          <w:szCs w:val="28"/>
        </w:rPr>
        <w:lastRenderedPageBreak/>
        <w:t xml:space="preserve">воспалительных процессах при метастазировании в </w:t>
      </w:r>
      <w:r w:rsidR="0016610B">
        <w:rPr>
          <w:rFonts w:ascii="Times New Roman" w:hAnsi="Times New Roman" w:cs="Times New Roman"/>
          <w:sz w:val="28"/>
          <w:szCs w:val="28"/>
        </w:rPr>
        <w:t>брюшину</w:t>
      </w:r>
      <w:r w:rsidRPr="00A43B9C">
        <w:rPr>
          <w:rFonts w:ascii="Times New Roman" w:hAnsi="Times New Roman" w:cs="Times New Roman"/>
          <w:sz w:val="28"/>
          <w:szCs w:val="28"/>
        </w:rPr>
        <w:t xml:space="preserve"> у пациентов с </w:t>
      </w:r>
      <w:r w:rsidR="000E2A12">
        <w:rPr>
          <w:rFonts w:ascii="Times New Roman" w:hAnsi="Times New Roman" w:cs="Times New Roman"/>
          <w:sz w:val="28"/>
          <w:szCs w:val="28"/>
        </w:rPr>
        <w:t xml:space="preserve">эпителиальным раком яичников </w:t>
      </w:r>
      <w:r w:rsidR="00D43B65" w:rsidRPr="00A43B9C">
        <w:rPr>
          <w:rFonts w:ascii="Times New Roman" w:hAnsi="Times New Roman" w:cs="Times New Roman"/>
          <w:sz w:val="28"/>
          <w:szCs w:val="28"/>
        </w:rPr>
        <w:t xml:space="preserve">и </w:t>
      </w:r>
      <w:r w:rsidR="000E2A12">
        <w:rPr>
          <w:rFonts w:ascii="Times New Roman" w:hAnsi="Times New Roman" w:cs="Times New Roman"/>
          <w:sz w:val="28"/>
          <w:szCs w:val="28"/>
        </w:rPr>
        <w:t>колоректальным раком</w:t>
      </w:r>
      <w:r w:rsidRPr="00A43B9C">
        <w:rPr>
          <w:rFonts w:ascii="Times New Roman" w:hAnsi="Times New Roman" w:cs="Times New Roman"/>
          <w:sz w:val="28"/>
          <w:szCs w:val="28"/>
        </w:rPr>
        <w:t>.</w:t>
      </w:r>
      <w:r w:rsidR="000F7CD4">
        <w:rPr>
          <w:rFonts w:ascii="Times New Roman" w:hAnsi="Times New Roman" w:cs="Times New Roman"/>
          <w:sz w:val="28"/>
          <w:szCs w:val="28"/>
        </w:rPr>
        <w:t xml:space="preserve"> Результаты же нашего исследования </w:t>
      </w:r>
      <w:r w:rsidR="000F7CD4">
        <w:rPr>
          <w:rFonts w:ascii="Times New Roman" w:hAnsi="Times New Roman"/>
          <w:sz w:val="28"/>
          <w:szCs w:val="28"/>
        </w:rPr>
        <w:t>являются статистически достоверным и применимы для использования в клинической онкологии при диагностике с помощью методов ядерной медицины.</w:t>
      </w:r>
    </w:p>
    <w:p w14:paraId="7330DA68" w14:textId="22F63BCE" w:rsidR="003D41FA" w:rsidRPr="00A43B9C" w:rsidRDefault="00A04E05" w:rsidP="00F4733A">
      <w:pPr>
        <w:autoSpaceDE w:val="0"/>
        <w:autoSpaceDN w:val="0"/>
        <w:adjustRightInd w:val="0"/>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4"/>
        </w:rPr>
        <w:t>На</w:t>
      </w:r>
      <w:r w:rsidR="00FD27B4" w:rsidRPr="00A43B9C">
        <w:rPr>
          <w:rFonts w:ascii="Times New Roman" w:hAnsi="Times New Roman" w:cs="Times New Roman"/>
          <w:sz w:val="28"/>
          <w:szCs w:val="24"/>
        </w:rPr>
        <w:t>ш</w:t>
      </w:r>
      <w:r w:rsidRPr="00A43B9C">
        <w:rPr>
          <w:rFonts w:ascii="Times New Roman" w:hAnsi="Times New Roman" w:cs="Times New Roman"/>
          <w:sz w:val="28"/>
          <w:szCs w:val="24"/>
        </w:rPr>
        <w:t>е исследование имеет несколько ограничений. Во-первых, несмотря на проспективный дизайн, выборка исследования была ограниченной, хотя пациенты набирались последовательно в течение нескольких лет. Во-вторых, прием пациентов осуществлял</w:t>
      </w:r>
      <w:r w:rsidR="00AD2BF2" w:rsidRPr="00A43B9C">
        <w:rPr>
          <w:rFonts w:ascii="Times New Roman" w:hAnsi="Times New Roman" w:cs="Times New Roman"/>
          <w:sz w:val="28"/>
          <w:szCs w:val="24"/>
        </w:rPr>
        <w:t>ся</w:t>
      </w:r>
      <w:r w:rsidRPr="00A43B9C">
        <w:rPr>
          <w:rFonts w:ascii="Times New Roman" w:hAnsi="Times New Roman" w:cs="Times New Roman"/>
          <w:sz w:val="28"/>
          <w:szCs w:val="24"/>
        </w:rPr>
        <w:t xml:space="preserve"> только из одного центра ядерной медицины, расположенн</w:t>
      </w:r>
      <w:r w:rsidR="00AD2BF2" w:rsidRPr="00A43B9C">
        <w:rPr>
          <w:rFonts w:ascii="Times New Roman" w:hAnsi="Times New Roman" w:cs="Times New Roman"/>
          <w:sz w:val="28"/>
          <w:szCs w:val="24"/>
        </w:rPr>
        <w:t>ого</w:t>
      </w:r>
      <w:r w:rsidRPr="00A43B9C">
        <w:rPr>
          <w:rFonts w:ascii="Times New Roman" w:hAnsi="Times New Roman" w:cs="Times New Roman"/>
          <w:sz w:val="28"/>
          <w:szCs w:val="24"/>
        </w:rPr>
        <w:t xml:space="preserve"> в столице страны. </w:t>
      </w:r>
      <w:r w:rsidR="00AD2BF2" w:rsidRPr="00A43B9C">
        <w:rPr>
          <w:rFonts w:ascii="Times New Roman" w:hAnsi="Times New Roman" w:cs="Times New Roman"/>
          <w:sz w:val="28"/>
          <w:szCs w:val="24"/>
        </w:rPr>
        <w:t xml:space="preserve">Следует отметить, </w:t>
      </w:r>
      <w:r w:rsidRPr="00A43B9C">
        <w:rPr>
          <w:rFonts w:ascii="Times New Roman" w:hAnsi="Times New Roman" w:cs="Times New Roman"/>
          <w:sz w:val="28"/>
          <w:szCs w:val="24"/>
        </w:rPr>
        <w:t>ПЭТ/КТ еще не получил широкого распространения в других частях страны</w:t>
      </w:r>
      <w:r w:rsidR="00D43B65" w:rsidRPr="00A43B9C">
        <w:rPr>
          <w:rFonts w:ascii="Times New Roman" w:hAnsi="Times New Roman" w:cs="Times New Roman"/>
          <w:sz w:val="28"/>
          <w:szCs w:val="24"/>
        </w:rPr>
        <w:t>,</w:t>
      </w:r>
      <w:r w:rsidRPr="00A43B9C">
        <w:rPr>
          <w:rFonts w:ascii="Times New Roman" w:hAnsi="Times New Roman" w:cs="Times New Roman"/>
          <w:sz w:val="28"/>
          <w:szCs w:val="24"/>
        </w:rPr>
        <w:t xml:space="preserve"> поэтому текущая выборка состо</w:t>
      </w:r>
      <w:r w:rsidR="00AD2BF2" w:rsidRPr="00A43B9C">
        <w:rPr>
          <w:rFonts w:ascii="Times New Roman" w:hAnsi="Times New Roman" w:cs="Times New Roman"/>
          <w:sz w:val="28"/>
          <w:szCs w:val="24"/>
        </w:rPr>
        <w:t>яла</w:t>
      </w:r>
      <w:r w:rsidRPr="00A43B9C">
        <w:rPr>
          <w:rFonts w:ascii="Times New Roman" w:hAnsi="Times New Roman" w:cs="Times New Roman"/>
          <w:sz w:val="28"/>
          <w:szCs w:val="24"/>
        </w:rPr>
        <w:t xml:space="preserve"> из пациентов, которые были вынуждены поехать в столицу для обследования, таким образом, представляя население почти со всей страны. В-третьих, прогностическая ценность оценивалась только для переменной SUV</w:t>
      </w:r>
      <w:r w:rsidRPr="00A43B9C">
        <w:rPr>
          <w:rFonts w:ascii="Times New Roman" w:hAnsi="Times New Roman" w:cs="Times New Roman"/>
          <w:sz w:val="28"/>
          <w:szCs w:val="24"/>
          <w:vertAlign w:val="subscript"/>
        </w:rPr>
        <w:t>max</w:t>
      </w:r>
      <w:r w:rsidRPr="00A43B9C">
        <w:rPr>
          <w:rFonts w:ascii="Times New Roman" w:hAnsi="Times New Roman" w:cs="Times New Roman"/>
          <w:sz w:val="28"/>
          <w:szCs w:val="24"/>
        </w:rPr>
        <w:t>, а другие важные факторы, такие как степень</w:t>
      </w:r>
      <w:r w:rsidR="00AD2BF2" w:rsidRPr="00A43B9C">
        <w:rPr>
          <w:rFonts w:ascii="Times New Roman" w:hAnsi="Times New Roman" w:cs="Times New Roman"/>
          <w:sz w:val="28"/>
          <w:szCs w:val="24"/>
        </w:rPr>
        <w:t xml:space="preserve"> и</w:t>
      </w:r>
      <w:r w:rsidRPr="00A43B9C">
        <w:rPr>
          <w:rFonts w:ascii="Times New Roman" w:hAnsi="Times New Roman" w:cs="Times New Roman"/>
          <w:sz w:val="28"/>
          <w:szCs w:val="24"/>
        </w:rPr>
        <w:t xml:space="preserve"> локализация первичной опухоли, не могли быть проанализированы. </w:t>
      </w:r>
      <w:r w:rsidR="00D43B65" w:rsidRPr="00A43B9C">
        <w:rPr>
          <w:rFonts w:ascii="Times New Roman" w:hAnsi="Times New Roman" w:cs="Times New Roman"/>
          <w:sz w:val="28"/>
          <w:szCs w:val="24"/>
        </w:rPr>
        <w:t xml:space="preserve">В-четвертых, </w:t>
      </w:r>
      <w:r w:rsidR="007E2D2F">
        <w:rPr>
          <w:rFonts w:ascii="Times New Roman" w:hAnsi="Times New Roman" w:cs="Times New Roman"/>
          <w:sz w:val="28"/>
          <w:szCs w:val="24"/>
        </w:rPr>
        <w:t xml:space="preserve">с целью оптимального </w:t>
      </w:r>
      <w:r w:rsidRPr="00A43B9C">
        <w:rPr>
          <w:rFonts w:ascii="Times New Roman" w:hAnsi="Times New Roman" w:cs="Times New Roman"/>
          <w:sz w:val="28"/>
          <w:szCs w:val="24"/>
        </w:rPr>
        <w:t>валидирования результатов исследования необходимы дальнейшие проспективные исследования с участием нескольких исследовательских центров и более крупных групп населения.</w:t>
      </w:r>
      <w:bookmarkEnd w:id="119"/>
      <w:r w:rsidR="003D41FA" w:rsidRPr="00A43B9C">
        <w:rPr>
          <w:rFonts w:ascii="Times New Roman" w:hAnsi="Times New Roman" w:cs="Times New Roman"/>
          <w:sz w:val="28"/>
          <w:szCs w:val="28"/>
        </w:rPr>
        <w:br w:type="page"/>
      </w:r>
    </w:p>
    <w:p w14:paraId="78432F3F" w14:textId="46F06991" w:rsidR="000F0776" w:rsidRPr="00A43B9C" w:rsidRDefault="000F0776" w:rsidP="00AE28CD">
      <w:pPr>
        <w:pStyle w:val="1"/>
        <w:spacing w:line="240" w:lineRule="auto"/>
      </w:pPr>
      <w:bookmarkStart w:id="120" w:name="_Toc101861830"/>
      <w:bookmarkStart w:id="121" w:name="_Toc102937631"/>
      <w:r w:rsidRPr="00A43B9C">
        <w:rPr>
          <w:rFonts w:eastAsia="Times New Roman"/>
          <w:lang w:eastAsia="ru-RU"/>
        </w:rPr>
        <w:lastRenderedPageBreak/>
        <w:t>ЗАКЛЮЧЕНИЕ</w:t>
      </w:r>
      <w:bookmarkEnd w:id="120"/>
      <w:bookmarkEnd w:id="121"/>
    </w:p>
    <w:p w14:paraId="1D20448C" w14:textId="77777777" w:rsidR="00AE28CD" w:rsidRPr="00A43B9C" w:rsidRDefault="00AE28CD" w:rsidP="00D85264">
      <w:pPr>
        <w:autoSpaceDE w:val="0"/>
        <w:autoSpaceDN w:val="0"/>
        <w:adjustRightInd w:val="0"/>
        <w:spacing w:after="0" w:line="240" w:lineRule="auto"/>
        <w:ind w:firstLine="709"/>
        <w:jc w:val="both"/>
        <w:rPr>
          <w:rFonts w:ascii="Times New Roman" w:hAnsi="Times New Roman" w:cs="Times New Roman"/>
          <w:sz w:val="28"/>
          <w:szCs w:val="28"/>
        </w:rPr>
      </w:pPr>
    </w:p>
    <w:p w14:paraId="2F39B76D" w14:textId="4FFCAFF1" w:rsidR="00F83616" w:rsidRPr="00A43B9C" w:rsidRDefault="00CA5B6E" w:rsidP="00D85264">
      <w:pPr>
        <w:autoSpaceDE w:val="0"/>
        <w:autoSpaceDN w:val="0"/>
        <w:adjustRightInd w:val="0"/>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Применение высокоинформативных методов диагностики для точной оценки распространенности и определении прогностической ценности при </w:t>
      </w:r>
      <w:r w:rsidR="00596C28">
        <w:rPr>
          <w:rFonts w:ascii="Times New Roman" w:hAnsi="Times New Roman" w:cs="Times New Roman"/>
          <w:sz w:val="28"/>
          <w:szCs w:val="28"/>
        </w:rPr>
        <w:t xml:space="preserve">эпителиальном раке яичников и колоректальном раке </w:t>
      </w:r>
      <w:r w:rsidRPr="00A43B9C">
        <w:rPr>
          <w:rFonts w:ascii="Times New Roman" w:hAnsi="Times New Roman" w:cs="Times New Roman"/>
          <w:sz w:val="28"/>
          <w:szCs w:val="28"/>
        </w:rPr>
        <w:t xml:space="preserve">является важным фактором в дальнейшей терапии у пациентов со злокачественными новообразованиями. </w:t>
      </w:r>
      <w:r w:rsidR="00F83616" w:rsidRPr="00A43B9C">
        <w:rPr>
          <w:rFonts w:ascii="Times New Roman" w:hAnsi="Times New Roman" w:cs="Times New Roman"/>
          <w:sz w:val="28"/>
          <w:szCs w:val="28"/>
        </w:rPr>
        <w:t xml:space="preserve">Применение </w:t>
      </w:r>
      <w:r w:rsidR="00F83616" w:rsidRPr="00A43B9C">
        <w:rPr>
          <w:rFonts w:ascii="Times New Roman" w:hAnsi="Times New Roman" w:cs="Times New Roman"/>
          <w:sz w:val="28"/>
          <w:szCs w:val="28"/>
          <w:vertAlign w:val="superscript"/>
        </w:rPr>
        <w:t>18</w:t>
      </w:r>
      <w:r w:rsidR="00F83616" w:rsidRPr="00A43B9C">
        <w:rPr>
          <w:rFonts w:ascii="Times New Roman" w:hAnsi="Times New Roman" w:cs="Times New Roman"/>
          <w:sz w:val="28"/>
          <w:szCs w:val="28"/>
          <w:lang w:val="en-US"/>
        </w:rPr>
        <w:t>F</w:t>
      </w:r>
      <w:r w:rsidR="00F83616" w:rsidRPr="00A43B9C">
        <w:rPr>
          <w:rFonts w:ascii="Times New Roman" w:hAnsi="Times New Roman" w:cs="Times New Roman"/>
          <w:sz w:val="28"/>
          <w:szCs w:val="28"/>
        </w:rPr>
        <w:t>-</w:t>
      </w:r>
      <w:r w:rsidR="00F83616" w:rsidRPr="00A43B9C">
        <w:rPr>
          <w:rFonts w:ascii="Times New Roman" w:hAnsi="Times New Roman" w:cs="Times New Roman"/>
          <w:sz w:val="28"/>
          <w:szCs w:val="28"/>
          <w:lang w:val="en-US"/>
        </w:rPr>
        <w:t>FDG</w:t>
      </w:r>
      <w:r w:rsidR="00F83616" w:rsidRPr="00A43B9C">
        <w:rPr>
          <w:rFonts w:ascii="Times New Roman" w:hAnsi="Times New Roman" w:cs="Times New Roman"/>
          <w:sz w:val="28"/>
          <w:szCs w:val="28"/>
        </w:rPr>
        <w:t xml:space="preserve"> ПЭТ/КТ у пациентов с </w:t>
      </w:r>
      <w:r w:rsidR="005D5AF3">
        <w:rPr>
          <w:rFonts w:ascii="Times New Roman" w:hAnsi="Times New Roman" w:cs="Times New Roman"/>
          <w:sz w:val="28"/>
          <w:szCs w:val="28"/>
        </w:rPr>
        <w:t>эпителиальным раком яичников и колоректальным раком</w:t>
      </w:r>
      <w:r w:rsidR="00F83616" w:rsidRPr="00A43B9C">
        <w:rPr>
          <w:rFonts w:ascii="Times New Roman" w:hAnsi="Times New Roman" w:cs="Times New Roman"/>
          <w:sz w:val="28"/>
          <w:szCs w:val="28"/>
        </w:rPr>
        <w:t xml:space="preserve"> </w:t>
      </w:r>
      <w:r w:rsidRPr="00A43B9C">
        <w:rPr>
          <w:rFonts w:ascii="Times New Roman" w:hAnsi="Times New Roman" w:cs="Times New Roman"/>
          <w:sz w:val="28"/>
          <w:szCs w:val="28"/>
        </w:rPr>
        <w:t>продемонстрировала</w:t>
      </w:r>
      <w:r w:rsidR="00F83616" w:rsidRPr="00A43B9C">
        <w:rPr>
          <w:rFonts w:ascii="Times New Roman" w:hAnsi="Times New Roman" w:cs="Times New Roman"/>
          <w:sz w:val="28"/>
          <w:szCs w:val="28"/>
        </w:rPr>
        <w:t xml:space="preserve"> статистически значимые </w:t>
      </w:r>
      <w:r w:rsidRPr="00A43B9C">
        <w:rPr>
          <w:rFonts w:ascii="Times New Roman" w:hAnsi="Times New Roman" w:cs="Times New Roman"/>
          <w:sz w:val="28"/>
          <w:szCs w:val="28"/>
        </w:rPr>
        <w:t xml:space="preserve">показатели </w:t>
      </w:r>
      <w:r w:rsidR="00834DAA">
        <w:rPr>
          <w:rFonts w:ascii="Times New Roman" w:hAnsi="Times New Roman" w:cs="Times New Roman"/>
          <w:sz w:val="28"/>
          <w:szCs w:val="28"/>
          <w:lang w:val="en-US"/>
        </w:rPr>
        <w:t>Se</w:t>
      </w:r>
      <w:r w:rsidRPr="00A43B9C">
        <w:rPr>
          <w:rFonts w:ascii="Times New Roman" w:hAnsi="Times New Roman" w:cs="Times New Roman"/>
          <w:sz w:val="28"/>
          <w:szCs w:val="28"/>
        </w:rPr>
        <w:t xml:space="preserve">, </w:t>
      </w:r>
      <w:r w:rsidR="00834DAA">
        <w:rPr>
          <w:rFonts w:ascii="Times New Roman" w:hAnsi="Times New Roman" w:cs="Times New Roman"/>
          <w:sz w:val="28"/>
          <w:szCs w:val="28"/>
          <w:lang w:val="en-US"/>
        </w:rPr>
        <w:t>Sp</w:t>
      </w:r>
      <w:r w:rsidR="00EC05FC">
        <w:rPr>
          <w:rFonts w:ascii="Times New Roman" w:hAnsi="Times New Roman" w:cs="Times New Roman"/>
          <w:sz w:val="28"/>
          <w:szCs w:val="28"/>
        </w:rPr>
        <w:t xml:space="preserve">, а также </w:t>
      </w:r>
      <w:r w:rsidR="009F439C">
        <w:rPr>
          <w:rFonts w:ascii="Times New Roman" w:hAnsi="Times New Roman" w:cs="Times New Roman"/>
          <w:sz w:val="28"/>
          <w:szCs w:val="28"/>
        </w:rPr>
        <w:t>выявила</w:t>
      </w:r>
      <w:r w:rsidR="00EC05FC">
        <w:rPr>
          <w:rFonts w:ascii="Times New Roman" w:hAnsi="Times New Roman" w:cs="Times New Roman"/>
          <w:sz w:val="28"/>
          <w:szCs w:val="28"/>
        </w:rPr>
        <w:t xml:space="preserve"> соответствующий уровень накопления </w:t>
      </w:r>
      <w:r w:rsidR="00EC05FC">
        <w:rPr>
          <w:rFonts w:ascii="Times New Roman" w:hAnsi="Times New Roman" w:cs="Times New Roman"/>
          <w:sz w:val="28"/>
          <w:szCs w:val="28"/>
          <w:lang w:val="en-US"/>
        </w:rPr>
        <w:t>SUV</w:t>
      </w:r>
      <w:r w:rsidR="00EC05FC" w:rsidRPr="00EC05FC">
        <w:rPr>
          <w:rFonts w:ascii="Times New Roman" w:hAnsi="Times New Roman" w:cs="Times New Roman"/>
          <w:sz w:val="28"/>
          <w:szCs w:val="28"/>
          <w:vertAlign w:val="subscript"/>
          <w:lang w:val="en-US"/>
        </w:rPr>
        <w:t>max</w:t>
      </w:r>
      <w:r w:rsidR="00EC05FC" w:rsidRPr="00EC05FC">
        <w:rPr>
          <w:rFonts w:ascii="Times New Roman" w:hAnsi="Times New Roman" w:cs="Times New Roman"/>
          <w:sz w:val="28"/>
          <w:szCs w:val="28"/>
        </w:rPr>
        <w:t xml:space="preserve"> </w:t>
      </w:r>
      <w:r w:rsidR="00EC05FC">
        <w:rPr>
          <w:rFonts w:ascii="Times New Roman" w:hAnsi="Times New Roman" w:cs="Times New Roman"/>
          <w:sz w:val="28"/>
          <w:szCs w:val="28"/>
        </w:rPr>
        <w:t xml:space="preserve">в </w:t>
      </w:r>
      <w:r w:rsidR="005D5AF3">
        <w:rPr>
          <w:rFonts w:ascii="Times New Roman" w:hAnsi="Times New Roman" w:cs="Times New Roman"/>
          <w:sz w:val="28"/>
          <w:szCs w:val="28"/>
        </w:rPr>
        <w:t xml:space="preserve">висцеральной жировой ткани </w:t>
      </w:r>
      <w:r w:rsidR="00EC05FC">
        <w:rPr>
          <w:rFonts w:ascii="Times New Roman" w:hAnsi="Times New Roman" w:cs="Times New Roman"/>
          <w:sz w:val="28"/>
          <w:szCs w:val="28"/>
        </w:rPr>
        <w:t xml:space="preserve">при различных локализациях </w:t>
      </w:r>
      <w:r w:rsidR="00EC05FC" w:rsidRPr="00EC05FC">
        <w:rPr>
          <w:rFonts w:ascii="Times New Roman" w:hAnsi="Times New Roman" w:cs="Times New Roman"/>
          <w:sz w:val="28"/>
          <w:szCs w:val="28"/>
        </w:rPr>
        <w:t>брюшной полости и малого таза</w:t>
      </w:r>
      <w:r w:rsidRPr="00A43B9C">
        <w:rPr>
          <w:rFonts w:ascii="Times New Roman" w:hAnsi="Times New Roman" w:cs="Times New Roman"/>
          <w:sz w:val="28"/>
          <w:szCs w:val="28"/>
        </w:rPr>
        <w:t>.</w:t>
      </w:r>
    </w:p>
    <w:p w14:paraId="5C383D8C" w14:textId="2350BFBE" w:rsidR="003E4A29" w:rsidRPr="00A43B9C" w:rsidRDefault="00CA5B6E" w:rsidP="00D85264">
      <w:pPr>
        <w:pStyle w:val="p"/>
        <w:spacing w:before="0" w:beforeAutospacing="0" w:after="0" w:afterAutospacing="0"/>
        <w:ind w:firstLine="708"/>
        <w:jc w:val="both"/>
        <w:rPr>
          <w:sz w:val="28"/>
          <w:szCs w:val="28"/>
        </w:rPr>
      </w:pPr>
      <w:r w:rsidRPr="00A43B9C">
        <w:rPr>
          <w:sz w:val="28"/>
          <w:szCs w:val="28"/>
        </w:rPr>
        <w:t>Исследовани</w:t>
      </w:r>
      <w:r w:rsidR="005D5AF3">
        <w:rPr>
          <w:sz w:val="28"/>
          <w:szCs w:val="28"/>
        </w:rPr>
        <w:t>я</w:t>
      </w:r>
      <w:r w:rsidRPr="00A43B9C">
        <w:rPr>
          <w:sz w:val="28"/>
          <w:szCs w:val="28"/>
        </w:rPr>
        <w:t xml:space="preserve"> проведен</w:t>
      </w:r>
      <w:r w:rsidR="005D5AF3">
        <w:rPr>
          <w:sz w:val="28"/>
          <w:szCs w:val="28"/>
        </w:rPr>
        <w:t>ы</w:t>
      </w:r>
      <w:r w:rsidRPr="00A43B9C">
        <w:rPr>
          <w:sz w:val="28"/>
          <w:szCs w:val="28"/>
        </w:rPr>
        <w:t xml:space="preserve"> в </w:t>
      </w:r>
      <w:r w:rsidR="00834DAA">
        <w:rPr>
          <w:rFonts w:eastAsia="TimesNewRomanPSMT"/>
          <w:sz w:val="28"/>
          <w:szCs w:val="28"/>
        </w:rPr>
        <w:t>ОЯМ ЦД</w:t>
      </w:r>
      <w:r w:rsidR="003E4A29" w:rsidRPr="00A43B9C">
        <w:rPr>
          <w:rFonts w:eastAsia="TimesNewRomanPSMT"/>
          <w:sz w:val="28"/>
          <w:szCs w:val="28"/>
        </w:rPr>
        <w:t xml:space="preserve"> БМ</w:t>
      </w:r>
      <w:r w:rsidR="00CF336A" w:rsidRPr="00A43B9C">
        <w:rPr>
          <w:rFonts w:eastAsia="TimesNewRomanPSMT"/>
          <w:sz w:val="28"/>
          <w:szCs w:val="28"/>
        </w:rPr>
        <w:t>Ц</w:t>
      </w:r>
      <w:r w:rsidR="003E4A29" w:rsidRPr="00A43B9C">
        <w:rPr>
          <w:rFonts w:eastAsia="TimesNewRomanPSMT"/>
          <w:sz w:val="28"/>
          <w:szCs w:val="28"/>
        </w:rPr>
        <w:t xml:space="preserve"> У</w:t>
      </w:r>
      <w:r w:rsidR="00CF336A" w:rsidRPr="00A43B9C">
        <w:rPr>
          <w:rFonts w:eastAsia="TimesNewRomanPSMT"/>
          <w:sz w:val="28"/>
          <w:szCs w:val="28"/>
        </w:rPr>
        <w:t xml:space="preserve">ДП </w:t>
      </w:r>
      <w:r w:rsidR="003E4A29" w:rsidRPr="00A43B9C">
        <w:rPr>
          <w:rFonts w:eastAsia="TimesNewRomanPSMT"/>
          <w:sz w:val="28"/>
          <w:szCs w:val="28"/>
        </w:rPr>
        <w:t xml:space="preserve">РК, г. </w:t>
      </w:r>
      <w:r w:rsidR="00C20F87" w:rsidRPr="00A43B9C">
        <w:rPr>
          <w:rFonts w:eastAsia="TimesNewRomanPSMT"/>
          <w:sz w:val="28"/>
          <w:szCs w:val="28"/>
        </w:rPr>
        <w:t>Астана</w:t>
      </w:r>
      <w:r w:rsidRPr="00A43B9C">
        <w:rPr>
          <w:sz w:val="28"/>
          <w:szCs w:val="28"/>
        </w:rPr>
        <w:t xml:space="preserve">, </w:t>
      </w:r>
      <w:r w:rsidR="005D4816" w:rsidRPr="00A43B9C">
        <w:rPr>
          <w:sz w:val="28"/>
          <w:szCs w:val="28"/>
        </w:rPr>
        <w:t xml:space="preserve">дважды </w:t>
      </w:r>
      <w:r w:rsidR="005D5AF3">
        <w:rPr>
          <w:sz w:val="28"/>
          <w:szCs w:val="28"/>
        </w:rPr>
        <w:t xml:space="preserve">выполнены </w:t>
      </w:r>
      <w:r w:rsidR="003E4A29" w:rsidRPr="00A43B9C">
        <w:rPr>
          <w:sz w:val="28"/>
          <w:szCs w:val="28"/>
          <w:vertAlign w:val="superscript"/>
        </w:rPr>
        <w:t>18</w:t>
      </w:r>
      <w:r w:rsidR="003E4A29" w:rsidRPr="00A43B9C">
        <w:rPr>
          <w:sz w:val="28"/>
          <w:szCs w:val="28"/>
          <w:lang w:val="en-US"/>
        </w:rPr>
        <w:t>F</w:t>
      </w:r>
      <w:r w:rsidR="003E4A29" w:rsidRPr="00A43B9C">
        <w:rPr>
          <w:sz w:val="28"/>
          <w:szCs w:val="28"/>
        </w:rPr>
        <w:t>-</w:t>
      </w:r>
      <w:r w:rsidR="003E4A29" w:rsidRPr="00A43B9C">
        <w:rPr>
          <w:sz w:val="28"/>
          <w:szCs w:val="28"/>
          <w:lang w:val="en-US"/>
        </w:rPr>
        <w:t>FDG</w:t>
      </w:r>
      <w:r w:rsidR="003E4A29" w:rsidRPr="00A43B9C">
        <w:rPr>
          <w:sz w:val="28"/>
          <w:szCs w:val="28"/>
        </w:rPr>
        <w:t xml:space="preserve"> ПЭТ/КТ </w:t>
      </w:r>
      <w:r w:rsidRPr="00A43B9C">
        <w:rPr>
          <w:sz w:val="28"/>
          <w:szCs w:val="28"/>
        </w:rPr>
        <w:t>исследовани</w:t>
      </w:r>
      <w:r w:rsidR="005D5AF3">
        <w:rPr>
          <w:sz w:val="28"/>
          <w:szCs w:val="28"/>
        </w:rPr>
        <w:t>й</w:t>
      </w:r>
      <w:r w:rsidRPr="00A43B9C">
        <w:rPr>
          <w:sz w:val="28"/>
          <w:szCs w:val="28"/>
        </w:rPr>
        <w:t xml:space="preserve"> 1</w:t>
      </w:r>
      <w:r w:rsidR="003E4A29" w:rsidRPr="00A43B9C">
        <w:rPr>
          <w:sz w:val="28"/>
          <w:szCs w:val="28"/>
        </w:rPr>
        <w:t>13</w:t>
      </w:r>
      <w:r w:rsidRPr="00A43B9C">
        <w:rPr>
          <w:sz w:val="28"/>
          <w:szCs w:val="28"/>
        </w:rPr>
        <w:t xml:space="preserve"> </w:t>
      </w:r>
      <w:r w:rsidR="003E4A29" w:rsidRPr="00A43B9C">
        <w:rPr>
          <w:sz w:val="28"/>
          <w:szCs w:val="28"/>
        </w:rPr>
        <w:t xml:space="preserve">пациентам (53 пациента с </w:t>
      </w:r>
      <w:r w:rsidR="005D5AF3">
        <w:rPr>
          <w:sz w:val="28"/>
          <w:szCs w:val="28"/>
        </w:rPr>
        <w:t xml:space="preserve">эпителиальным раком яичников </w:t>
      </w:r>
      <w:r w:rsidR="003E4A29" w:rsidRPr="00A43B9C">
        <w:rPr>
          <w:sz w:val="28"/>
          <w:szCs w:val="28"/>
        </w:rPr>
        <w:t xml:space="preserve">и 60 пациентов с </w:t>
      </w:r>
      <w:r w:rsidR="005D5AF3">
        <w:rPr>
          <w:sz w:val="28"/>
          <w:szCs w:val="28"/>
        </w:rPr>
        <w:t>колоректальным раком</w:t>
      </w:r>
      <w:r w:rsidR="003E4A29" w:rsidRPr="00A43B9C">
        <w:rPr>
          <w:sz w:val="28"/>
          <w:szCs w:val="28"/>
        </w:rPr>
        <w:t>)</w:t>
      </w:r>
      <w:r w:rsidR="005D4816" w:rsidRPr="00A43B9C">
        <w:rPr>
          <w:sz w:val="28"/>
          <w:szCs w:val="28"/>
        </w:rPr>
        <w:t xml:space="preserve"> первоначально </w:t>
      </w:r>
      <w:r w:rsidR="00AD2BF2" w:rsidRPr="00A43B9C">
        <w:rPr>
          <w:sz w:val="28"/>
          <w:szCs w:val="28"/>
        </w:rPr>
        <w:t xml:space="preserve">и </w:t>
      </w:r>
      <w:r w:rsidR="005D4816" w:rsidRPr="00A43B9C">
        <w:rPr>
          <w:sz w:val="28"/>
          <w:szCs w:val="28"/>
        </w:rPr>
        <w:t xml:space="preserve">затем </w:t>
      </w:r>
      <w:r w:rsidR="00AD2BF2" w:rsidRPr="00A43B9C">
        <w:rPr>
          <w:sz w:val="28"/>
          <w:szCs w:val="28"/>
        </w:rPr>
        <w:t xml:space="preserve">повторно </w:t>
      </w:r>
      <w:r w:rsidR="005D4816" w:rsidRPr="00A43B9C">
        <w:rPr>
          <w:sz w:val="28"/>
          <w:szCs w:val="28"/>
        </w:rPr>
        <w:t>не менее, чем через шесть месяцев</w:t>
      </w:r>
      <w:r w:rsidRPr="00A43B9C">
        <w:rPr>
          <w:sz w:val="28"/>
          <w:szCs w:val="28"/>
        </w:rPr>
        <w:t>.</w:t>
      </w:r>
    </w:p>
    <w:p w14:paraId="2376C851" w14:textId="7EFEF898" w:rsidR="004C1EE4" w:rsidRPr="00A43B9C" w:rsidRDefault="004C1EE4" w:rsidP="00D85264">
      <w:pPr>
        <w:pStyle w:val="p"/>
        <w:spacing w:before="0" w:beforeAutospacing="0" w:after="0" w:afterAutospacing="0"/>
        <w:ind w:firstLine="708"/>
        <w:jc w:val="both"/>
        <w:rPr>
          <w:sz w:val="28"/>
          <w:szCs w:val="28"/>
        </w:rPr>
      </w:pPr>
      <w:r w:rsidRPr="00A43B9C">
        <w:rPr>
          <w:sz w:val="28"/>
          <w:szCs w:val="28"/>
        </w:rPr>
        <w:t xml:space="preserve">Для достижения поставленных целей были определены следующие задачи: </w:t>
      </w:r>
      <w:r w:rsidR="0016610B">
        <w:rPr>
          <w:sz w:val="28"/>
          <w:szCs w:val="28"/>
        </w:rPr>
        <w:t>о</w:t>
      </w:r>
      <w:r w:rsidR="0016610B" w:rsidRPr="0016610B">
        <w:rPr>
          <w:sz w:val="28"/>
          <w:szCs w:val="28"/>
        </w:rPr>
        <w:t>ценить зависимость физиологического уровня накопления SUV</w:t>
      </w:r>
      <w:r w:rsidR="0016610B" w:rsidRPr="0058185A">
        <w:rPr>
          <w:sz w:val="28"/>
          <w:szCs w:val="28"/>
          <w:vertAlign w:val="subscript"/>
        </w:rPr>
        <w:t>max</w:t>
      </w:r>
      <w:r w:rsidR="0016610B" w:rsidRPr="0016610B">
        <w:rPr>
          <w:sz w:val="28"/>
          <w:szCs w:val="28"/>
        </w:rPr>
        <w:t xml:space="preserve"> при ПЭТ/КТ</w:t>
      </w:r>
      <w:r w:rsidR="00051345">
        <w:rPr>
          <w:sz w:val="28"/>
          <w:szCs w:val="28"/>
        </w:rPr>
        <w:t xml:space="preserve"> </w:t>
      </w:r>
      <w:r w:rsidR="0016610B" w:rsidRPr="0016610B">
        <w:rPr>
          <w:sz w:val="28"/>
          <w:szCs w:val="28"/>
        </w:rPr>
        <w:t xml:space="preserve">исследовании с </w:t>
      </w:r>
      <w:r w:rsidR="0016610B" w:rsidRPr="0058185A">
        <w:rPr>
          <w:sz w:val="28"/>
          <w:szCs w:val="28"/>
          <w:vertAlign w:val="superscript"/>
        </w:rPr>
        <w:t>18</w:t>
      </w:r>
      <w:r w:rsidR="0016610B" w:rsidRPr="0016610B">
        <w:rPr>
          <w:sz w:val="28"/>
          <w:szCs w:val="28"/>
        </w:rPr>
        <w:t>F-FDG в висцеральном жире у пациентов с эпителиальным раком яичников и колоректальным раком от стадии заболевания (TNM), локализации первичного процесса и гистологического типа опухоли</w:t>
      </w:r>
      <w:r w:rsidR="0002311E" w:rsidRPr="00A43B9C">
        <w:rPr>
          <w:sz w:val="28"/>
          <w:szCs w:val="28"/>
        </w:rPr>
        <w:t xml:space="preserve">; </w:t>
      </w:r>
      <w:r w:rsidR="0016610B" w:rsidRPr="0016610B">
        <w:rPr>
          <w:sz w:val="28"/>
          <w:szCs w:val="28"/>
        </w:rPr>
        <w:t xml:space="preserve">выявить корреляционную зависимость уровня накопления </w:t>
      </w:r>
      <w:r w:rsidR="0016610B" w:rsidRPr="0058185A">
        <w:rPr>
          <w:sz w:val="28"/>
          <w:szCs w:val="28"/>
          <w:vertAlign w:val="superscript"/>
        </w:rPr>
        <w:t>18</w:t>
      </w:r>
      <w:r w:rsidR="0016610B" w:rsidRPr="0016610B">
        <w:rPr>
          <w:sz w:val="28"/>
          <w:szCs w:val="28"/>
        </w:rPr>
        <w:t>F-FDG в висцеральном жире у пациентов с эпителиальным раком яичников и колоректальным раком в зависимости от измерения индекса накопления SUV</w:t>
      </w:r>
      <w:r w:rsidR="0016610B" w:rsidRPr="0058185A">
        <w:rPr>
          <w:sz w:val="28"/>
          <w:szCs w:val="28"/>
          <w:vertAlign w:val="subscript"/>
        </w:rPr>
        <w:t>max</w:t>
      </w:r>
      <w:r w:rsidR="0016610B" w:rsidRPr="0016610B">
        <w:rPr>
          <w:sz w:val="28"/>
          <w:szCs w:val="28"/>
        </w:rPr>
        <w:t xml:space="preserve"> в зонах брюшной полости и полости малого таза, как предиктора возможного метастазирования брюшины</w:t>
      </w:r>
      <w:r w:rsidR="0002311E" w:rsidRPr="00A43B9C">
        <w:rPr>
          <w:sz w:val="28"/>
          <w:szCs w:val="28"/>
        </w:rPr>
        <w:t xml:space="preserve">; </w:t>
      </w:r>
      <w:r w:rsidR="0016610B">
        <w:rPr>
          <w:sz w:val="28"/>
          <w:szCs w:val="28"/>
        </w:rPr>
        <w:t>о</w:t>
      </w:r>
      <w:r w:rsidR="0016610B" w:rsidRPr="0016610B">
        <w:rPr>
          <w:sz w:val="28"/>
          <w:szCs w:val="28"/>
        </w:rPr>
        <w:t xml:space="preserve">пределить пороговый уровень физиологического накопления </w:t>
      </w:r>
      <w:r w:rsidR="0016610B" w:rsidRPr="0058185A">
        <w:rPr>
          <w:sz w:val="28"/>
          <w:szCs w:val="28"/>
          <w:vertAlign w:val="superscript"/>
        </w:rPr>
        <w:t>18</w:t>
      </w:r>
      <w:r w:rsidR="0016610B" w:rsidRPr="0016610B">
        <w:rPr>
          <w:sz w:val="28"/>
          <w:szCs w:val="28"/>
        </w:rPr>
        <w:t>F-FDG при ПЭТ/КТ исследовании в висцеральном жире у пациентов с эпителиальным раком яичников и колоректальным раком в качестве независимого предиктора возможного метастазирования брюшины</w:t>
      </w:r>
      <w:r w:rsidRPr="00A43B9C">
        <w:rPr>
          <w:sz w:val="28"/>
          <w:szCs w:val="28"/>
        </w:rPr>
        <w:t>.</w:t>
      </w:r>
    </w:p>
    <w:p w14:paraId="04641C54" w14:textId="5F70C5FD" w:rsidR="003A60C4" w:rsidRPr="00A43B9C" w:rsidRDefault="0002311E" w:rsidP="00D85264">
      <w:pPr>
        <w:pStyle w:val="p"/>
        <w:spacing w:before="0" w:beforeAutospacing="0" w:after="0" w:afterAutospacing="0"/>
        <w:ind w:firstLine="708"/>
        <w:jc w:val="both"/>
        <w:rPr>
          <w:sz w:val="28"/>
          <w:szCs w:val="28"/>
        </w:rPr>
      </w:pPr>
      <w:r w:rsidRPr="00A43B9C">
        <w:rPr>
          <w:sz w:val="28"/>
          <w:szCs w:val="28"/>
        </w:rPr>
        <w:t xml:space="preserve">Для достижения поставленных целей по </w:t>
      </w:r>
      <w:r w:rsidR="00CA5B6E" w:rsidRPr="00A43B9C">
        <w:rPr>
          <w:sz w:val="28"/>
          <w:szCs w:val="28"/>
        </w:rPr>
        <w:t xml:space="preserve">результатам </w:t>
      </w:r>
      <w:r w:rsidR="003A60C4" w:rsidRPr="00A43B9C">
        <w:rPr>
          <w:sz w:val="28"/>
          <w:szCs w:val="28"/>
          <w:vertAlign w:val="superscript"/>
        </w:rPr>
        <w:t>18</w:t>
      </w:r>
      <w:r w:rsidR="003A60C4" w:rsidRPr="00A43B9C">
        <w:rPr>
          <w:sz w:val="28"/>
          <w:szCs w:val="28"/>
          <w:lang w:val="en-US"/>
        </w:rPr>
        <w:t>F</w:t>
      </w:r>
      <w:r w:rsidR="003A60C4" w:rsidRPr="00A43B9C">
        <w:rPr>
          <w:sz w:val="28"/>
          <w:szCs w:val="28"/>
        </w:rPr>
        <w:t>-</w:t>
      </w:r>
      <w:r w:rsidR="003A60C4" w:rsidRPr="00A43B9C">
        <w:rPr>
          <w:sz w:val="28"/>
          <w:szCs w:val="28"/>
          <w:lang w:val="en-US"/>
        </w:rPr>
        <w:t>FDG</w:t>
      </w:r>
      <w:r w:rsidR="003A60C4" w:rsidRPr="00A43B9C">
        <w:rPr>
          <w:sz w:val="28"/>
          <w:szCs w:val="28"/>
        </w:rPr>
        <w:t xml:space="preserve"> ПЭТ/КТ исследовани</w:t>
      </w:r>
      <w:r w:rsidR="00CA5B6E" w:rsidRPr="00A43B9C">
        <w:rPr>
          <w:sz w:val="28"/>
          <w:szCs w:val="28"/>
        </w:rPr>
        <w:t>я</w:t>
      </w:r>
      <w:r w:rsidR="003A60C4" w:rsidRPr="00A43B9C">
        <w:rPr>
          <w:sz w:val="28"/>
          <w:szCs w:val="28"/>
        </w:rPr>
        <w:t xml:space="preserve"> </w:t>
      </w:r>
      <w:r w:rsidR="00CA5B6E" w:rsidRPr="00A43B9C">
        <w:rPr>
          <w:sz w:val="28"/>
          <w:szCs w:val="28"/>
        </w:rPr>
        <w:t xml:space="preserve">у </w:t>
      </w:r>
      <w:r w:rsidR="00A3050F" w:rsidRPr="00A43B9C">
        <w:rPr>
          <w:sz w:val="28"/>
          <w:szCs w:val="28"/>
        </w:rPr>
        <w:t xml:space="preserve">53 пациентов с </w:t>
      </w:r>
      <w:r w:rsidR="005D5AF3">
        <w:rPr>
          <w:sz w:val="28"/>
          <w:szCs w:val="28"/>
        </w:rPr>
        <w:t>эпителиальным раком яичников</w:t>
      </w:r>
      <w:r w:rsidR="00A3050F" w:rsidRPr="00A43B9C">
        <w:rPr>
          <w:sz w:val="28"/>
          <w:szCs w:val="28"/>
        </w:rPr>
        <w:t xml:space="preserve"> у 28 (53%) были выявлены метастазы, у 60 пациентов с </w:t>
      </w:r>
      <w:r w:rsidR="005D5AF3">
        <w:rPr>
          <w:sz w:val="28"/>
          <w:szCs w:val="28"/>
        </w:rPr>
        <w:t>колоректальным раком</w:t>
      </w:r>
      <w:r w:rsidR="005D5AF3" w:rsidRPr="00A43B9C">
        <w:rPr>
          <w:sz w:val="28"/>
          <w:szCs w:val="28"/>
        </w:rPr>
        <w:t xml:space="preserve"> </w:t>
      </w:r>
      <w:r w:rsidR="00A3050F" w:rsidRPr="00A43B9C">
        <w:rPr>
          <w:sz w:val="28"/>
          <w:szCs w:val="28"/>
        </w:rPr>
        <w:t xml:space="preserve">у 16 (27%) были выявлены метастазы по результатам последующего </w:t>
      </w:r>
      <w:r w:rsidR="00A3050F" w:rsidRPr="00A43B9C">
        <w:rPr>
          <w:sz w:val="28"/>
          <w:szCs w:val="28"/>
          <w:vertAlign w:val="superscript"/>
        </w:rPr>
        <w:t>18</w:t>
      </w:r>
      <w:r w:rsidR="00A3050F" w:rsidRPr="00A43B9C">
        <w:rPr>
          <w:sz w:val="28"/>
          <w:szCs w:val="28"/>
          <w:lang w:val="en-US"/>
        </w:rPr>
        <w:t>F</w:t>
      </w:r>
      <w:r w:rsidR="00A3050F" w:rsidRPr="00A43B9C">
        <w:rPr>
          <w:sz w:val="28"/>
          <w:szCs w:val="28"/>
        </w:rPr>
        <w:t>-</w:t>
      </w:r>
      <w:r w:rsidR="00A3050F" w:rsidRPr="00A43B9C">
        <w:rPr>
          <w:sz w:val="28"/>
          <w:szCs w:val="28"/>
          <w:lang w:val="en-US"/>
        </w:rPr>
        <w:t>FDG</w:t>
      </w:r>
      <w:r w:rsidR="00A3050F" w:rsidRPr="00A43B9C">
        <w:rPr>
          <w:sz w:val="28"/>
          <w:szCs w:val="28"/>
        </w:rPr>
        <w:t xml:space="preserve"> ПЭТ/КТ исследовани</w:t>
      </w:r>
      <w:r w:rsidR="005D5AF3">
        <w:rPr>
          <w:sz w:val="28"/>
          <w:szCs w:val="28"/>
        </w:rPr>
        <w:t>й</w:t>
      </w:r>
      <w:r w:rsidR="00A3050F" w:rsidRPr="00A43B9C">
        <w:rPr>
          <w:sz w:val="28"/>
          <w:szCs w:val="28"/>
        </w:rPr>
        <w:t>.</w:t>
      </w:r>
    </w:p>
    <w:p w14:paraId="71365CC5" w14:textId="75563DB5" w:rsidR="00A3050F" w:rsidRPr="00A43B9C" w:rsidRDefault="00CA5B6E" w:rsidP="00D85264">
      <w:pPr>
        <w:pStyle w:val="p"/>
        <w:spacing w:before="0" w:beforeAutospacing="0" w:after="0" w:afterAutospacing="0"/>
        <w:ind w:firstLine="708"/>
        <w:jc w:val="both"/>
        <w:rPr>
          <w:sz w:val="28"/>
          <w:szCs w:val="28"/>
        </w:rPr>
      </w:pPr>
      <w:r w:rsidRPr="00A43B9C">
        <w:rPr>
          <w:sz w:val="28"/>
          <w:szCs w:val="28"/>
        </w:rPr>
        <w:t>Достоверность различий в двух группах для независимых выборок</w:t>
      </w:r>
      <w:r w:rsidR="005D4816" w:rsidRPr="00A43B9C">
        <w:rPr>
          <w:sz w:val="28"/>
          <w:szCs w:val="28"/>
        </w:rPr>
        <w:t xml:space="preserve"> </w:t>
      </w:r>
      <w:r w:rsidRPr="00A43B9C">
        <w:rPr>
          <w:sz w:val="28"/>
          <w:szCs w:val="28"/>
        </w:rPr>
        <w:t xml:space="preserve">проводилась с помощью </w:t>
      </w:r>
      <w:r w:rsidR="004C1EE4" w:rsidRPr="00A43B9C">
        <w:rPr>
          <w:sz w:val="28"/>
          <w:szCs w:val="28"/>
          <w:lang w:val="en-US"/>
        </w:rPr>
        <w:t>U</w:t>
      </w:r>
      <w:r w:rsidR="004C1EE4" w:rsidRPr="00A43B9C">
        <w:rPr>
          <w:sz w:val="28"/>
          <w:szCs w:val="28"/>
        </w:rPr>
        <w:t>-критерия Манна-Уитни</w:t>
      </w:r>
      <w:r w:rsidRPr="00A43B9C">
        <w:rPr>
          <w:sz w:val="28"/>
          <w:szCs w:val="28"/>
        </w:rPr>
        <w:t>,</w:t>
      </w:r>
      <w:r w:rsidR="004C1EE4" w:rsidRPr="00A43B9C">
        <w:rPr>
          <w:sz w:val="28"/>
          <w:szCs w:val="28"/>
        </w:rPr>
        <w:t xml:space="preserve"> критерия Крускала-Уоллиса (для трех или более групп), апостериорные сравнения – с помощью критерия Данна с поправкой Холма.</w:t>
      </w:r>
    </w:p>
    <w:p w14:paraId="4172F9DD" w14:textId="36FCE44A" w:rsidR="005D4816" w:rsidRPr="00A43B9C" w:rsidRDefault="004C1EE4" w:rsidP="00D85264">
      <w:pPr>
        <w:pStyle w:val="p"/>
        <w:spacing w:before="0" w:beforeAutospacing="0" w:after="0" w:afterAutospacing="0"/>
        <w:ind w:firstLine="708"/>
        <w:jc w:val="both"/>
        <w:rPr>
          <w:sz w:val="28"/>
          <w:szCs w:val="28"/>
        </w:rPr>
      </w:pPr>
      <w:r w:rsidRPr="00A43B9C">
        <w:rPr>
          <w:sz w:val="28"/>
          <w:szCs w:val="28"/>
        </w:rPr>
        <w:t xml:space="preserve">В итоге, </w:t>
      </w:r>
      <w:r w:rsidRPr="00A43B9C">
        <w:rPr>
          <w:sz w:val="28"/>
          <w:szCs w:val="28"/>
          <w:lang w:val="en-US"/>
        </w:rPr>
        <w:t>ROC</w:t>
      </w:r>
      <w:r w:rsidRPr="00A43B9C">
        <w:rPr>
          <w:sz w:val="28"/>
          <w:szCs w:val="28"/>
        </w:rPr>
        <w:t xml:space="preserve">-анализ использовался для оценки прогностической ценности количественных переменных при прогнозировании категориального результата в качестве прогностической модели. Оптимальное значение точки </w:t>
      </w:r>
      <w:r w:rsidR="00EC05FC">
        <w:rPr>
          <w:sz w:val="28"/>
          <w:szCs w:val="28"/>
        </w:rPr>
        <w:t xml:space="preserve">отсечения </w:t>
      </w:r>
      <w:r w:rsidRPr="00A43B9C">
        <w:rPr>
          <w:sz w:val="28"/>
          <w:szCs w:val="28"/>
        </w:rPr>
        <w:t xml:space="preserve">количественной переменной было оценено с использованием </w:t>
      </w:r>
      <w:r w:rsidRPr="00A43B9C">
        <w:rPr>
          <w:sz w:val="28"/>
          <w:szCs w:val="28"/>
          <w:lang w:val="en-US"/>
        </w:rPr>
        <w:t>J</w:t>
      </w:r>
      <w:r w:rsidRPr="00A43B9C">
        <w:rPr>
          <w:sz w:val="28"/>
          <w:szCs w:val="28"/>
        </w:rPr>
        <w:t xml:space="preserve">-статистики Юдена. </w:t>
      </w:r>
      <w:r w:rsidR="00CA5B6E" w:rsidRPr="00A43B9C">
        <w:rPr>
          <w:sz w:val="28"/>
          <w:szCs w:val="28"/>
        </w:rPr>
        <w:t xml:space="preserve">Статистически достоверным определялось значение </w:t>
      </w:r>
      <w:r w:rsidR="00AD295B" w:rsidRPr="00A43B9C">
        <w:rPr>
          <w:sz w:val="28"/>
          <w:szCs w:val="28"/>
        </w:rPr>
        <w:t>p &lt;</w:t>
      </w:r>
      <w:r w:rsidR="00CA5B6E" w:rsidRPr="00A43B9C">
        <w:rPr>
          <w:sz w:val="28"/>
          <w:szCs w:val="28"/>
        </w:rPr>
        <w:t>0,05.</w:t>
      </w:r>
    </w:p>
    <w:p w14:paraId="585F55A6" w14:textId="78A893A5" w:rsidR="003F63EF" w:rsidRPr="006D6032" w:rsidRDefault="0002311E" w:rsidP="002E45A2">
      <w:pPr>
        <w:pStyle w:val="p"/>
        <w:spacing w:before="0" w:beforeAutospacing="0" w:after="0" w:afterAutospacing="0"/>
        <w:ind w:firstLine="708"/>
        <w:jc w:val="both"/>
        <w:rPr>
          <w:sz w:val="28"/>
          <w:szCs w:val="28"/>
        </w:rPr>
      </w:pPr>
      <w:r w:rsidRPr="006D6032">
        <w:rPr>
          <w:sz w:val="28"/>
          <w:szCs w:val="28"/>
        </w:rPr>
        <w:lastRenderedPageBreak/>
        <w:t>В</w:t>
      </w:r>
      <w:r w:rsidR="006F2C9E" w:rsidRPr="006D6032">
        <w:rPr>
          <w:sz w:val="28"/>
          <w:szCs w:val="28"/>
        </w:rPr>
        <w:t xml:space="preserve"> ходе нашего исследования мы выявили</w:t>
      </w:r>
      <w:r w:rsidR="00C41379" w:rsidRPr="006D6032">
        <w:rPr>
          <w:sz w:val="28"/>
          <w:szCs w:val="28"/>
        </w:rPr>
        <w:t xml:space="preserve"> </w:t>
      </w:r>
      <w:r w:rsidR="006F2C9E" w:rsidRPr="006D6032">
        <w:rPr>
          <w:sz w:val="28"/>
          <w:szCs w:val="28"/>
        </w:rPr>
        <w:t>следующую картину по определению прогностической ценности уровня накоплени</w:t>
      </w:r>
      <w:r w:rsidR="000238C8" w:rsidRPr="006D6032">
        <w:rPr>
          <w:sz w:val="28"/>
          <w:szCs w:val="28"/>
        </w:rPr>
        <w:t>я</w:t>
      </w:r>
      <w:r w:rsidR="006F2C9E" w:rsidRPr="006D6032">
        <w:rPr>
          <w:sz w:val="28"/>
          <w:szCs w:val="28"/>
        </w:rPr>
        <w:t xml:space="preserve"> </w:t>
      </w:r>
      <w:r w:rsidR="006F2C9E" w:rsidRPr="006D6032">
        <w:rPr>
          <w:sz w:val="28"/>
          <w:szCs w:val="28"/>
          <w:vertAlign w:val="superscript"/>
        </w:rPr>
        <w:t>18</w:t>
      </w:r>
      <w:r w:rsidR="006F2C9E" w:rsidRPr="006D6032">
        <w:rPr>
          <w:sz w:val="28"/>
          <w:szCs w:val="28"/>
          <w:lang w:val="en-US"/>
        </w:rPr>
        <w:t>F</w:t>
      </w:r>
      <w:r w:rsidR="006F2C9E" w:rsidRPr="006D6032">
        <w:rPr>
          <w:sz w:val="28"/>
          <w:szCs w:val="28"/>
        </w:rPr>
        <w:t>-</w:t>
      </w:r>
      <w:r w:rsidR="006F2C9E" w:rsidRPr="006D6032">
        <w:rPr>
          <w:sz w:val="28"/>
          <w:szCs w:val="28"/>
          <w:lang w:val="en-US"/>
        </w:rPr>
        <w:t>FDG</w:t>
      </w:r>
      <w:r w:rsidR="006F2C9E" w:rsidRPr="006D6032">
        <w:rPr>
          <w:sz w:val="28"/>
          <w:szCs w:val="28"/>
        </w:rPr>
        <w:t xml:space="preserve"> </w:t>
      </w:r>
      <w:r w:rsidR="006F2C9E" w:rsidRPr="006D6032">
        <w:rPr>
          <w:sz w:val="28"/>
        </w:rPr>
        <w:t xml:space="preserve">в </w:t>
      </w:r>
      <w:r w:rsidR="005D5AF3">
        <w:rPr>
          <w:sz w:val="28"/>
        </w:rPr>
        <w:t>висцеральном жире</w:t>
      </w:r>
      <w:r w:rsidR="006F2C9E" w:rsidRPr="006D6032">
        <w:rPr>
          <w:sz w:val="28"/>
          <w:lang w:val="kk-KZ"/>
        </w:rPr>
        <w:t xml:space="preserve"> для </w:t>
      </w:r>
      <w:r w:rsidR="006F2C9E" w:rsidRPr="006D6032">
        <w:rPr>
          <w:sz w:val="28"/>
        </w:rPr>
        <w:t xml:space="preserve">обнаружения метастазирования </w:t>
      </w:r>
      <w:r w:rsidR="00AD25D5">
        <w:rPr>
          <w:sz w:val="28"/>
        </w:rPr>
        <w:t xml:space="preserve">брюшины при </w:t>
      </w:r>
      <w:r w:rsidR="005D5AF3">
        <w:rPr>
          <w:sz w:val="28"/>
        </w:rPr>
        <w:t>эпителиально</w:t>
      </w:r>
      <w:r w:rsidR="00AD25D5">
        <w:rPr>
          <w:sz w:val="28"/>
        </w:rPr>
        <w:t>м</w:t>
      </w:r>
      <w:r w:rsidR="005D5AF3">
        <w:rPr>
          <w:sz w:val="28"/>
        </w:rPr>
        <w:t xml:space="preserve"> рак</w:t>
      </w:r>
      <w:r w:rsidR="00AD25D5">
        <w:rPr>
          <w:sz w:val="28"/>
        </w:rPr>
        <w:t>е</w:t>
      </w:r>
      <w:r w:rsidR="005D5AF3">
        <w:rPr>
          <w:sz w:val="28"/>
        </w:rPr>
        <w:t xml:space="preserve"> яичников и колоректально</w:t>
      </w:r>
      <w:r w:rsidR="00AD25D5">
        <w:rPr>
          <w:sz w:val="28"/>
        </w:rPr>
        <w:t>м</w:t>
      </w:r>
      <w:r w:rsidR="005D5AF3">
        <w:rPr>
          <w:sz w:val="28"/>
        </w:rPr>
        <w:t xml:space="preserve"> рак</w:t>
      </w:r>
      <w:r w:rsidR="00AD25D5">
        <w:rPr>
          <w:sz w:val="28"/>
        </w:rPr>
        <w:t>е</w:t>
      </w:r>
      <w:r w:rsidR="00C41379" w:rsidRPr="006D6032">
        <w:rPr>
          <w:sz w:val="28"/>
        </w:rPr>
        <w:t>.</w:t>
      </w:r>
      <w:r w:rsidR="002E45A2" w:rsidRPr="006D6032">
        <w:rPr>
          <w:sz w:val="28"/>
        </w:rPr>
        <w:t xml:space="preserve"> </w:t>
      </w:r>
      <w:r w:rsidR="006A6503" w:rsidRPr="006D6032">
        <w:rPr>
          <w:sz w:val="28"/>
          <w:szCs w:val="28"/>
        </w:rPr>
        <w:t xml:space="preserve">При </w:t>
      </w:r>
      <w:r w:rsidR="005D5AF3">
        <w:rPr>
          <w:sz w:val="28"/>
          <w:szCs w:val="28"/>
        </w:rPr>
        <w:t>эпителиальном раке яичников</w:t>
      </w:r>
      <w:r w:rsidR="006A6503" w:rsidRPr="006D6032">
        <w:rPr>
          <w:sz w:val="28"/>
          <w:szCs w:val="28"/>
        </w:rPr>
        <w:t xml:space="preserve"> в когорте из 53 пациентов с поправкой на регрессию и ROC-анализа мы показали, что накопление </w:t>
      </w:r>
      <w:r w:rsidR="006A6503" w:rsidRPr="006D6032">
        <w:rPr>
          <w:sz w:val="28"/>
          <w:szCs w:val="28"/>
          <w:vertAlign w:val="superscript"/>
        </w:rPr>
        <w:t>18</w:t>
      </w:r>
      <w:r w:rsidR="006A6503" w:rsidRPr="006D6032">
        <w:rPr>
          <w:sz w:val="28"/>
          <w:szCs w:val="28"/>
          <w:lang w:val="en-US"/>
        </w:rPr>
        <w:t>F</w:t>
      </w:r>
      <w:r w:rsidR="006A6503" w:rsidRPr="006D6032">
        <w:rPr>
          <w:sz w:val="28"/>
          <w:szCs w:val="28"/>
        </w:rPr>
        <w:t>-</w:t>
      </w:r>
      <w:r w:rsidR="006A6503" w:rsidRPr="006D6032">
        <w:rPr>
          <w:sz w:val="28"/>
          <w:szCs w:val="28"/>
          <w:lang w:val="en-US"/>
        </w:rPr>
        <w:t>FDG</w:t>
      </w:r>
      <w:r w:rsidR="006A6503" w:rsidRPr="006D6032">
        <w:rPr>
          <w:sz w:val="28"/>
          <w:szCs w:val="28"/>
        </w:rPr>
        <w:t xml:space="preserve"> в локализации </w:t>
      </w:r>
      <w:r w:rsidR="006A6503" w:rsidRPr="006D6032">
        <w:rPr>
          <w:sz w:val="28"/>
          <w:szCs w:val="28"/>
          <w:lang w:val="en-US"/>
        </w:rPr>
        <w:t>RE</w:t>
      </w:r>
      <w:r w:rsidR="006A6503" w:rsidRPr="006D6032">
        <w:rPr>
          <w:sz w:val="28"/>
          <w:szCs w:val="28"/>
        </w:rPr>
        <w:t xml:space="preserve"> было предиктором позднего метастазирования с умеренными, но статистически значимыми показателями.</w:t>
      </w:r>
      <w:r w:rsidR="00BA0735" w:rsidRPr="006D6032">
        <w:rPr>
          <w:sz w:val="28"/>
          <w:szCs w:val="28"/>
        </w:rPr>
        <w:t xml:space="preserve"> </w:t>
      </w:r>
      <w:r w:rsidR="006A6503" w:rsidRPr="006D6032">
        <w:rPr>
          <w:sz w:val="28"/>
          <w:szCs w:val="28"/>
        </w:rPr>
        <w:t>Пороговое значение уровня накоплени</w:t>
      </w:r>
      <w:r w:rsidR="000238C8" w:rsidRPr="006D6032">
        <w:rPr>
          <w:sz w:val="28"/>
          <w:szCs w:val="28"/>
        </w:rPr>
        <w:t>я</w:t>
      </w:r>
      <w:r w:rsidR="006A6503" w:rsidRPr="006D6032">
        <w:rPr>
          <w:sz w:val="28"/>
          <w:szCs w:val="28"/>
        </w:rPr>
        <w:t xml:space="preserve"> SUV</w:t>
      </w:r>
      <w:r w:rsidR="006A6503" w:rsidRPr="006D6032">
        <w:rPr>
          <w:sz w:val="28"/>
          <w:szCs w:val="28"/>
          <w:vertAlign w:val="subscript"/>
        </w:rPr>
        <w:t>max</w:t>
      </w:r>
      <w:r w:rsidR="006A6503" w:rsidRPr="006D6032">
        <w:rPr>
          <w:sz w:val="28"/>
          <w:szCs w:val="28"/>
        </w:rPr>
        <w:t xml:space="preserve"> 1,18 (</w:t>
      </w:r>
      <w:r w:rsidR="006A6503" w:rsidRPr="006D6032">
        <w:rPr>
          <w:sz w:val="28"/>
          <w:szCs w:val="28"/>
          <w:lang w:val="en-US"/>
        </w:rPr>
        <w:t>AUC</w:t>
      </w:r>
      <w:r w:rsidR="006A6503" w:rsidRPr="006D6032">
        <w:rPr>
          <w:sz w:val="28"/>
          <w:szCs w:val="28"/>
        </w:rPr>
        <w:t xml:space="preserve"> 0,669, p = 0,035) для R</w:t>
      </w:r>
      <w:r w:rsidR="006A6503" w:rsidRPr="006D6032">
        <w:rPr>
          <w:sz w:val="28"/>
          <w:szCs w:val="28"/>
          <w:lang w:val="en-US"/>
        </w:rPr>
        <w:t>E</w:t>
      </w:r>
      <w:r w:rsidR="006A6503" w:rsidRPr="006D6032">
        <w:rPr>
          <w:sz w:val="28"/>
          <w:szCs w:val="28"/>
        </w:rPr>
        <w:t xml:space="preserve"> составили Se 64,3%, Sp 64,0% соответственно.</w:t>
      </w:r>
      <w:r w:rsidR="002E45A2" w:rsidRPr="006D6032">
        <w:rPr>
          <w:sz w:val="28"/>
          <w:szCs w:val="28"/>
        </w:rPr>
        <w:t xml:space="preserve"> </w:t>
      </w:r>
      <w:r w:rsidR="006A6503" w:rsidRPr="006D6032">
        <w:rPr>
          <w:sz w:val="28"/>
          <w:szCs w:val="28"/>
        </w:rPr>
        <w:t xml:space="preserve">При </w:t>
      </w:r>
      <w:r w:rsidR="001A7EDA">
        <w:rPr>
          <w:sz w:val="28"/>
          <w:szCs w:val="28"/>
        </w:rPr>
        <w:t xml:space="preserve">колоректальном раке </w:t>
      </w:r>
      <w:r w:rsidR="006A6503" w:rsidRPr="006D6032">
        <w:rPr>
          <w:sz w:val="28"/>
          <w:szCs w:val="28"/>
        </w:rPr>
        <w:t xml:space="preserve">в когорте из 60 пациентов с поправкой на регрессию и ROC-анализа мы показали, что накопление </w:t>
      </w:r>
      <w:r w:rsidR="006A6503" w:rsidRPr="006D6032">
        <w:rPr>
          <w:sz w:val="28"/>
          <w:szCs w:val="28"/>
          <w:vertAlign w:val="superscript"/>
        </w:rPr>
        <w:t>18</w:t>
      </w:r>
      <w:r w:rsidR="006A6503" w:rsidRPr="006D6032">
        <w:rPr>
          <w:sz w:val="28"/>
          <w:szCs w:val="28"/>
          <w:lang w:val="en-US"/>
        </w:rPr>
        <w:t>F</w:t>
      </w:r>
      <w:r w:rsidR="006A6503" w:rsidRPr="006D6032">
        <w:rPr>
          <w:sz w:val="28"/>
          <w:szCs w:val="28"/>
        </w:rPr>
        <w:t>-</w:t>
      </w:r>
      <w:r w:rsidR="006A6503" w:rsidRPr="006D6032">
        <w:rPr>
          <w:sz w:val="28"/>
          <w:szCs w:val="28"/>
          <w:lang w:val="en-US"/>
        </w:rPr>
        <w:t>FDG</w:t>
      </w:r>
      <w:r w:rsidR="006A6503" w:rsidRPr="006D6032">
        <w:rPr>
          <w:sz w:val="28"/>
          <w:szCs w:val="28"/>
        </w:rPr>
        <w:t xml:space="preserve"> в локализациях RLH, RU, RRL и RRI были предикторами позднего метастазирования с умеренными, но статистически значимыми значениями.</w:t>
      </w:r>
      <w:r w:rsidR="00311C89" w:rsidRPr="006D6032">
        <w:rPr>
          <w:sz w:val="28"/>
          <w:szCs w:val="28"/>
        </w:rPr>
        <w:t xml:space="preserve"> </w:t>
      </w:r>
      <w:r w:rsidR="006A6503" w:rsidRPr="006D6032">
        <w:rPr>
          <w:sz w:val="28"/>
          <w:szCs w:val="28"/>
        </w:rPr>
        <w:t>Пороговое значение уровня накоплени</w:t>
      </w:r>
      <w:r w:rsidR="000238C8" w:rsidRPr="006D6032">
        <w:rPr>
          <w:sz w:val="28"/>
          <w:szCs w:val="28"/>
        </w:rPr>
        <w:t>я</w:t>
      </w:r>
      <w:r w:rsidR="006A6503" w:rsidRPr="006D6032">
        <w:rPr>
          <w:sz w:val="28"/>
          <w:szCs w:val="28"/>
        </w:rPr>
        <w:t xml:space="preserve"> SUV</w:t>
      </w:r>
      <w:r w:rsidR="006A6503" w:rsidRPr="006D6032">
        <w:rPr>
          <w:sz w:val="28"/>
          <w:szCs w:val="28"/>
          <w:vertAlign w:val="subscript"/>
        </w:rPr>
        <w:t>max</w:t>
      </w:r>
      <w:r w:rsidR="006A6503" w:rsidRPr="006D6032">
        <w:rPr>
          <w:sz w:val="28"/>
          <w:szCs w:val="28"/>
        </w:rPr>
        <w:t xml:space="preserve"> 0,74 (</w:t>
      </w:r>
      <w:r w:rsidR="006A6503" w:rsidRPr="006D6032">
        <w:rPr>
          <w:sz w:val="28"/>
          <w:szCs w:val="28"/>
          <w:lang w:val="en-US"/>
        </w:rPr>
        <w:t>AUC</w:t>
      </w:r>
      <w:r w:rsidR="006A6503" w:rsidRPr="006D6032">
        <w:rPr>
          <w:sz w:val="28"/>
          <w:szCs w:val="28"/>
        </w:rPr>
        <w:t xml:space="preserve"> 0,668, p = 0,049) для RLH показало Se 75,0%, Sp 61,4% соответственно. Пороговое значение уровня накоплени</w:t>
      </w:r>
      <w:r w:rsidR="000238C8" w:rsidRPr="006D6032">
        <w:rPr>
          <w:sz w:val="28"/>
          <w:szCs w:val="28"/>
        </w:rPr>
        <w:t>я</w:t>
      </w:r>
      <w:r w:rsidR="006A6503" w:rsidRPr="006D6032">
        <w:rPr>
          <w:sz w:val="28"/>
          <w:szCs w:val="28"/>
        </w:rPr>
        <w:t xml:space="preserve"> SUV</w:t>
      </w:r>
      <w:r w:rsidR="006A6503" w:rsidRPr="006D6032">
        <w:rPr>
          <w:sz w:val="28"/>
          <w:szCs w:val="28"/>
          <w:vertAlign w:val="subscript"/>
        </w:rPr>
        <w:t>max</w:t>
      </w:r>
      <w:r w:rsidR="006A6503" w:rsidRPr="006D6032">
        <w:rPr>
          <w:sz w:val="28"/>
          <w:szCs w:val="28"/>
        </w:rPr>
        <w:t xml:space="preserve"> 1,05 (</w:t>
      </w:r>
      <w:r w:rsidR="006A6503" w:rsidRPr="006D6032">
        <w:rPr>
          <w:sz w:val="28"/>
          <w:szCs w:val="28"/>
          <w:lang w:val="en-US"/>
        </w:rPr>
        <w:t>AUC</w:t>
      </w:r>
      <w:r w:rsidR="006A6503" w:rsidRPr="006D6032">
        <w:rPr>
          <w:sz w:val="28"/>
          <w:szCs w:val="28"/>
        </w:rPr>
        <w:t xml:space="preserve"> 0,682, p = 0,032) для RRL показало Se 68,8%, Sp 77,3% соответственно.</w:t>
      </w:r>
      <w:r w:rsidR="00311C89" w:rsidRPr="006D6032">
        <w:rPr>
          <w:sz w:val="28"/>
          <w:szCs w:val="28"/>
        </w:rPr>
        <w:t xml:space="preserve"> </w:t>
      </w:r>
      <w:r w:rsidR="006A6503" w:rsidRPr="006D6032">
        <w:rPr>
          <w:sz w:val="28"/>
          <w:szCs w:val="28"/>
        </w:rPr>
        <w:t>Пороговое значение уровня накоплени</w:t>
      </w:r>
      <w:r w:rsidR="000238C8" w:rsidRPr="006D6032">
        <w:rPr>
          <w:sz w:val="28"/>
          <w:szCs w:val="28"/>
        </w:rPr>
        <w:t>я</w:t>
      </w:r>
      <w:r w:rsidR="006A6503" w:rsidRPr="006D6032">
        <w:rPr>
          <w:sz w:val="28"/>
          <w:szCs w:val="28"/>
        </w:rPr>
        <w:t xml:space="preserve"> SUV</w:t>
      </w:r>
      <w:r w:rsidR="006A6503" w:rsidRPr="006D6032">
        <w:rPr>
          <w:sz w:val="28"/>
          <w:szCs w:val="28"/>
          <w:vertAlign w:val="subscript"/>
        </w:rPr>
        <w:t>max</w:t>
      </w:r>
      <w:r w:rsidR="006A6503" w:rsidRPr="006D6032">
        <w:rPr>
          <w:sz w:val="28"/>
          <w:szCs w:val="28"/>
        </w:rPr>
        <w:t xml:space="preserve"> 0,85 (</w:t>
      </w:r>
      <w:r w:rsidR="006A6503" w:rsidRPr="006D6032">
        <w:rPr>
          <w:sz w:val="28"/>
          <w:szCs w:val="28"/>
          <w:lang w:val="en-US"/>
        </w:rPr>
        <w:t>AUC</w:t>
      </w:r>
      <w:r w:rsidR="006A6503" w:rsidRPr="006D6032">
        <w:rPr>
          <w:sz w:val="28"/>
          <w:szCs w:val="28"/>
        </w:rPr>
        <w:t xml:space="preserve"> 0,672, p = 0,043) для R</w:t>
      </w:r>
      <w:r w:rsidR="006A6503" w:rsidRPr="006D6032">
        <w:rPr>
          <w:sz w:val="28"/>
          <w:szCs w:val="28"/>
          <w:lang w:val="en-US"/>
        </w:rPr>
        <w:t>U</w:t>
      </w:r>
      <w:r w:rsidR="006A6503" w:rsidRPr="006D6032">
        <w:rPr>
          <w:sz w:val="28"/>
          <w:szCs w:val="28"/>
        </w:rPr>
        <w:t xml:space="preserve"> показало Se 62,5%, Sp 61,4% соответственно. Пороговое значение уровня накоплени</w:t>
      </w:r>
      <w:r w:rsidR="000238C8" w:rsidRPr="006D6032">
        <w:rPr>
          <w:sz w:val="28"/>
          <w:szCs w:val="28"/>
        </w:rPr>
        <w:t>я</w:t>
      </w:r>
      <w:r w:rsidR="006A6503" w:rsidRPr="006D6032">
        <w:rPr>
          <w:sz w:val="28"/>
          <w:szCs w:val="28"/>
        </w:rPr>
        <w:t xml:space="preserve"> SUV</w:t>
      </w:r>
      <w:r w:rsidR="006A6503" w:rsidRPr="006D6032">
        <w:rPr>
          <w:sz w:val="28"/>
          <w:szCs w:val="28"/>
          <w:vertAlign w:val="subscript"/>
        </w:rPr>
        <w:t>max</w:t>
      </w:r>
      <w:r w:rsidR="006A6503" w:rsidRPr="006D6032">
        <w:rPr>
          <w:sz w:val="28"/>
          <w:szCs w:val="28"/>
        </w:rPr>
        <w:t xml:space="preserve"> 0,78 (</w:t>
      </w:r>
      <w:r w:rsidR="006A6503" w:rsidRPr="006D6032">
        <w:rPr>
          <w:sz w:val="28"/>
          <w:szCs w:val="28"/>
          <w:lang w:val="en-US"/>
        </w:rPr>
        <w:t>AUC</w:t>
      </w:r>
      <w:r w:rsidR="006A6503" w:rsidRPr="006D6032">
        <w:rPr>
          <w:sz w:val="28"/>
          <w:szCs w:val="28"/>
        </w:rPr>
        <w:t xml:space="preserve"> 0,679, p = 0,035) для RRI показало Se 68,8%, Sp 61,4% соответственно.</w:t>
      </w:r>
      <w:r w:rsidR="00311C89" w:rsidRPr="006D6032">
        <w:rPr>
          <w:sz w:val="28"/>
          <w:szCs w:val="28"/>
        </w:rPr>
        <w:t xml:space="preserve"> </w:t>
      </w:r>
      <w:r w:rsidR="00C41379" w:rsidRPr="006D6032">
        <w:rPr>
          <w:sz w:val="28"/>
          <w:szCs w:val="28"/>
        </w:rPr>
        <w:t xml:space="preserve">В нашем анализе накопление </w:t>
      </w:r>
      <w:r w:rsidR="00C41379" w:rsidRPr="006D6032">
        <w:rPr>
          <w:sz w:val="28"/>
          <w:szCs w:val="28"/>
          <w:vertAlign w:val="superscript"/>
        </w:rPr>
        <w:t>18</w:t>
      </w:r>
      <w:r w:rsidR="00C41379" w:rsidRPr="006D6032">
        <w:rPr>
          <w:sz w:val="28"/>
          <w:szCs w:val="28"/>
          <w:lang w:val="en-US"/>
        </w:rPr>
        <w:t>F</w:t>
      </w:r>
      <w:r w:rsidR="00C41379" w:rsidRPr="006D6032">
        <w:rPr>
          <w:sz w:val="28"/>
          <w:szCs w:val="28"/>
        </w:rPr>
        <w:t>-</w:t>
      </w:r>
      <w:r w:rsidR="00C41379" w:rsidRPr="006D6032">
        <w:rPr>
          <w:sz w:val="28"/>
          <w:szCs w:val="28"/>
          <w:lang w:val="en-US"/>
        </w:rPr>
        <w:t>FDG</w:t>
      </w:r>
      <w:r w:rsidR="00C41379" w:rsidRPr="006D6032">
        <w:rPr>
          <w:sz w:val="28"/>
          <w:szCs w:val="28"/>
        </w:rPr>
        <w:t xml:space="preserve"> в оставшихся протестированных локализациях не было связано с риском позднего метастазирования </w:t>
      </w:r>
      <w:r w:rsidR="0016610B">
        <w:rPr>
          <w:sz w:val="28"/>
          <w:szCs w:val="28"/>
        </w:rPr>
        <w:t>брюшины</w:t>
      </w:r>
      <w:r w:rsidR="00C41379" w:rsidRPr="006D6032">
        <w:rPr>
          <w:sz w:val="28"/>
          <w:szCs w:val="28"/>
        </w:rPr>
        <w:t>.</w:t>
      </w:r>
      <w:r w:rsidR="002E45A2" w:rsidRPr="006D6032">
        <w:rPr>
          <w:sz w:val="28"/>
          <w:szCs w:val="28"/>
        </w:rPr>
        <w:t xml:space="preserve"> </w:t>
      </w:r>
      <w:r w:rsidR="00CA5B6E" w:rsidRPr="006D6032">
        <w:rPr>
          <w:sz w:val="28"/>
          <w:szCs w:val="28"/>
        </w:rPr>
        <w:t xml:space="preserve">По результатам исследования применение </w:t>
      </w:r>
      <w:r w:rsidR="003F63EF" w:rsidRPr="006D6032">
        <w:rPr>
          <w:sz w:val="28"/>
          <w:szCs w:val="28"/>
        </w:rPr>
        <w:t xml:space="preserve">ПЭТ/КТ исследования </w:t>
      </w:r>
      <w:r w:rsidR="00CA5B6E" w:rsidRPr="006D6032">
        <w:rPr>
          <w:sz w:val="28"/>
          <w:szCs w:val="28"/>
        </w:rPr>
        <w:t xml:space="preserve">способствовало </w:t>
      </w:r>
      <w:r w:rsidR="003F63EF" w:rsidRPr="006D6032">
        <w:rPr>
          <w:sz w:val="28"/>
          <w:szCs w:val="28"/>
        </w:rPr>
        <w:t>определению прогностической ценности уровня накоплени</w:t>
      </w:r>
      <w:r w:rsidR="000238C8" w:rsidRPr="006D6032">
        <w:rPr>
          <w:sz w:val="28"/>
          <w:szCs w:val="28"/>
        </w:rPr>
        <w:t>я</w:t>
      </w:r>
      <w:r w:rsidR="003F63EF" w:rsidRPr="006D6032">
        <w:rPr>
          <w:sz w:val="28"/>
          <w:szCs w:val="28"/>
        </w:rPr>
        <w:t xml:space="preserve"> </w:t>
      </w:r>
      <w:r w:rsidR="003F63EF" w:rsidRPr="006D6032">
        <w:rPr>
          <w:sz w:val="28"/>
          <w:szCs w:val="28"/>
          <w:vertAlign w:val="superscript"/>
        </w:rPr>
        <w:t>18</w:t>
      </w:r>
      <w:r w:rsidR="003F63EF" w:rsidRPr="006D6032">
        <w:rPr>
          <w:sz w:val="28"/>
          <w:szCs w:val="28"/>
          <w:lang w:val="en-US"/>
        </w:rPr>
        <w:t>F</w:t>
      </w:r>
      <w:r w:rsidR="003F63EF" w:rsidRPr="006D6032">
        <w:rPr>
          <w:sz w:val="28"/>
          <w:szCs w:val="28"/>
        </w:rPr>
        <w:t>-</w:t>
      </w:r>
      <w:r w:rsidR="003F63EF" w:rsidRPr="006D6032">
        <w:rPr>
          <w:sz w:val="28"/>
          <w:szCs w:val="28"/>
          <w:lang w:val="en-US"/>
        </w:rPr>
        <w:t>FDG</w:t>
      </w:r>
      <w:r w:rsidR="003F63EF" w:rsidRPr="006D6032">
        <w:rPr>
          <w:sz w:val="28"/>
          <w:szCs w:val="28"/>
        </w:rPr>
        <w:t xml:space="preserve"> в </w:t>
      </w:r>
      <w:r w:rsidR="005D5AF3">
        <w:rPr>
          <w:sz w:val="28"/>
          <w:szCs w:val="28"/>
        </w:rPr>
        <w:t>висцеральном жире</w:t>
      </w:r>
      <w:r w:rsidR="003F63EF" w:rsidRPr="006D6032">
        <w:rPr>
          <w:sz w:val="28"/>
          <w:szCs w:val="28"/>
        </w:rPr>
        <w:t xml:space="preserve"> для обнаружения сальникового метастазирования и метастатического поражения </w:t>
      </w:r>
      <w:r w:rsidR="0016610B">
        <w:rPr>
          <w:sz w:val="28"/>
          <w:szCs w:val="28"/>
        </w:rPr>
        <w:t>брюшины</w:t>
      </w:r>
      <w:r w:rsidR="003F63EF" w:rsidRPr="006D6032">
        <w:rPr>
          <w:sz w:val="28"/>
          <w:szCs w:val="28"/>
        </w:rPr>
        <w:t xml:space="preserve"> у пациентов с</w:t>
      </w:r>
      <w:r w:rsidR="00EC05FC" w:rsidRPr="006D6032">
        <w:rPr>
          <w:sz w:val="28"/>
          <w:szCs w:val="28"/>
        </w:rPr>
        <w:t xml:space="preserve"> </w:t>
      </w:r>
      <w:r w:rsidR="005D5AF3">
        <w:rPr>
          <w:sz w:val="28"/>
          <w:szCs w:val="28"/>
        </w:rPr>
        <w:t>эпителиальным раком яичников и колоректальным раком</w:t>
      </w:r>
      <w:r w:rsidR="003F63EF" w:rsidRPr="006D6032">
        <w:rPr>
          <w:sz w:val="28"/>
          <w:szCs w:val="28"/>
        </w:rPr>
        <w:t>.</w:t>
      </w:r>
    </w:p>
    <w:p w14:paraId="65F2022A" w14:textId="77777777" w:rsidR="005D4816" w:rsidRDefault="00CA5B6E" w:rsidP="00D3420D">
      <w:pPr>
        <w:pStyle w:val="p"/>
        <w:spacing w:before="0" w:beforeAutospacing="0" w:after="0" w:afterAutospacing="0"/>
        <w:ind w:firstLine="708"/>
        <w:jc w:val="both"/>
        <w:rPr>
          <w:sz w:val="28"/>
          <w:szCs w:val="28"/>
        </w:rPr>
      </w:pPr>
      <w:r w:rsidRPr="00A43B9C">
        <w:rPr>
          <w:sz w:val="28"/>
          <w:szCs w:val="28"/>
        </w:rPr>
        <w:t>Таким образом, проведенное нами исследование позволило сделать</w:t>
      </w:r>
      <w:r w:rsidR="005D4816" w:rsidRPr="00A43B9C">
        <w:rPr>
          <w:sz w:val="28"/>
          <w:szCs w:val="28"/>
        </w:rPr>
        <w:t xml:space="preserve"> </w:t>
      </w:r>
      <w:r w:rsidRPr="00A43B9C">
        <w:rPr>
          <w:sz w:val="28"/>
          <w:szCs w:val="28"/>
        </w:rPr>
        <w:t xml:space="preserve">следующие </w:t>
      </w:r>
      <w:r w:rsidRPr="00A43B9C">
        <w:rPr>
          <w:b/>
          <w:bCs/>
          <w:sz w:val="28"/>
          <w:szCs w:val="28"/>
        </w:rPr>
        <w:t>выводы</w:t>
      </w:r>
      <w:r w:rsidRPr="00A43B9C">
        <w:rPr>
          <w:sz w:val="28"/>
          <w:szCs w:val="28"/>
        </w:rPr>
        <w:t>:</w:t>
      </w:r>
    </w:p>
    <w:p w14:paraId="440E1E51" w14:textId="2213E1B4" w:rsidR="00DE5F4E" w:rsidRPr="00DE5F4E" w:rsidRDefault="00DE5F4E" w:rsidP="00302EA8">
      <w:pPr>
        <w:pStyle w:val="p"/>
        <w:numPr>
          <w:ilvl w:val="0"/>
          <w:numId w:val="30"/>
        </w:numPr>
        <w:spacing w:before="0" w:beforeAutospacing="0" w:after="0" w:afterAutospacing="0"/>
        <w:ind w:left="0" w:firstLine="708"/>
        <w:jc w:val="both"/>
        <w:rPr>
          <w:sz w:val="28"/>
          <w:szCs w:val="28"/>
        </w:rPr>
      </w:pPr>
      <w:r w:rsidRPr="00DE5F4E">
        <w:rPr>
          <w:rFonts w:eastAsia="Calibri"/>
          <w:sz w:val="28"/>
          <w:szCs w:val="28"/>
        </w:rPr>
        <w:t>Показана зависимость между физиологическим уровнем накопления SUV</w:t>
      </w:r>
      <w:r w:rsidRPr="00DE5F4E">
        <w:rPr>
          <w:rFonts w:eastAsia="Calibri"/>
          <w:sz w:val="28"/>
          <w:szCs w:val="28"/>
          <w:vertAlign w:val="subscript"/>
        </w:rPr>
        <w:t>max</w:t>
      </w:r>
      <w:r w:rsidRPr="00DE5F4E">
        <w:rPr>
          <w:rFonts w:eastAsia="Calibri"/>
          <w:sz w:val="28"/>
          <w:szCs w:val="28"/>
        </w:rPr>
        <w:t xml:space="preserve"> в висцеральном жире и метастатическим поражением брюшины при колоректальном раке от локализации первичной опухоли и выявлена в собственно эпигастральной области (</w:t>
      </w:r>
      <w:r w:rsidRPr="00DE5F4E">
        <w:rPr>
          <w:rFonts w:eastAsia="Calibri"/>
          <w:sz w:val="28"/>
          <w:szCs w:val="28"/>
          <w:lang w:val="en-US"/>
        </w:rPr>
        <w:t>p</w:t>
      </w:r>
      <w:r w:rsidRPr="00DE5F4E">
        <w:rPr>
          <w:rFonts w:eastAsia="Calibri"/>
          <w:sz w:val="28"/>
          <w:szCs w:val="28"/>
        </w:rPr>
        <w:t xml:space="preserve"> = 0,049), правой боковой области (</w:t>
      </w:r>
      <w:r w:rsidRPr="00DE5F4E">
        <w:rPr>
          <w:rFonts w:eastAsia="Calibri"/>
          <w:sz w:val="28"/>
          <w:szCs w:val="28"/>
          <w:lang w:val="en-US"/>
        </w:rPr>
        <w:t>p</w:t>
      </w:r>
      <w:r w:rsidRPr="00DE5F4E">
        <w:rPr>
          <w:rFonts w:eastAsia="Calibri"/>
          <w:sz w:val="28"/>
          <w:szCs w:val="28"/>
        </w:rPr>
        <w:t xml:space="preserve"> = 0,023), пупочной области (</w:t>
      </w:r>
      <w:r w:rsidRPr="00DE5F4E">
        <w:rPr>
          <w:rFonts w:eastAsia="Calibri"/>
          <w:sz w:val="28"/>
          <w:szCs w:val="28"/>
          <w:lang w:val="en-US"/>
        </w:rPr>
        <w:t>p</w:t>
      </w:r>
      <w:r w:rsidRPr="00DE5F4E">
        <w:rPr>
          <w:rFonts w:eastAsia="Calibri"/>
          <w:sz w:val="28"/>
          <w:szCs w:val="28"/>
        </w:rPr>
        <w:t xml:space="preserve"> = 0,016) и полости малого таза</w:t>
      </w:r>
      <w:r w:rsidR="001C3B22">
        <w:rPr>
          <w:rFonts w:eastAsia="Calibri"/>
          <w:sz w:val="28"/>
          <w:szCs w:val="28"/>
        </w:rPr>
        <w:br/>
      </w:r>
      <w:r w:rsidRPr="00DE5F4E">
        <w:rPr>
          <w:rFonts w:eastAsia="Calibri"/>
          <w:sz w:val="28"/>
          <w:szCs w:val="28"/>
        </w:rPr>
        <w:t>(</w:t>
      </w:r>
      <w:r w:rsidRPr="00DE5F4E">
        <w:rPr>
          <w:rFonts w:eastAsia="Calibri"/>
          <w:sz w:val="28"/>
          <w:szCs w:val="28"/>
          <w:lang w:val="en-US"/>
        </w:rPr>
        <w:t>p</w:t>
      </w:r>
      <w:r w:rsidRPr="00DE5F4E">
        <w:rPr>
          <w:rFonts w:eastAsia="Calibri"/>
          <w:sz w:val="28"/>
          <w:szCs w:val="28"/>
        </w:rPr>
        <w:t xml:space="preserve"> = 0,037), а от стадии заболевания и гистологического типа опухоли </w:t>
      </w:r>
      <w:r w:rsidR="00450839">
        <w:rPr>
          <w:rFonts w:eastAsia="Calibri"/>
          <w:sz w:val="28"/>
          <w:szCs w:val="28"/>
        </w:rPr>
        <w:t xml:space="preserve">такой зависимости </w:t>
      </w:r>
      <w:r w:rsidRPr="00DE5F4E">
        <w:rPr>
          <w:rFonts w:eastAsia="Calibri"/>
          <w:sz w:val="28"/>
          <w:szCs w:val="28"/>
        </w:rPr>
        <w:t xml:space="preserve">не </w:t>
      </w:r>
      <w:r w:rsidR="00450839">
        <w:rPr>
          <w:rFonts w:eastAsia="Calibri"/>
          <w:sz w:val="28"/>
          <w:szCs w:val="28"/>
        </w:rPr>
        <w:t>обнаружено</w:t>
      </w:r>
      <w:r w:rsidRPr="00DE5F4E">
        <w:rPr>
          <w:rFonts w:eastAsia="Calibri"/>
          <w:sz w:val="28"/>
          <w:szCs w:val="28"/>
        </w:rPr>
        <w:t>. Зависимость физиологического уровня накопления SUV</w:t>
      </w:r>
      <w:r w:rsidRPr="00DE5F4E">
        <w:rPr>
          <w:rFonts w:eastAsia="Calibri"/>
          <w:sz w:val="28"/>
          <w:szCs w:val="28"/>
          <w:vertAlign w:val="subscript"/>
        </w:rPr>
        <w:t>max</w:t>
      </w:r>
      <w:r w:rsidRPr="00DE5F4E">
        <w:rPr>
          <w:rFonts w:eastAsia="Calibri"/>
          <w:sz w:val="28"/>
          <w:szCs w:val="28"/>
        </w:rPr>
        <w:t xml:space="preserve"> в висцеральном жире и метастатическим поражением брюшины при эпителиальном раке яичников от стадии заболевания</w:t>
      </w:r>
      <w:r w:rsidR="003123D9" w:rsidRPr="003123D9">
        <w:rPr>
          <w:rFonts w:eastAsia="Calibri"/>
          <w:sz w:val="28"/>
          <w:szCs w:val="28"/>
        </w:rPr>
        <w:t xml:space="preserve"> (</w:t>
      </w:r>
      <w:r w:rsidR="003123D9">
        <w:rPr>
          <w:rFonts w:eastAsia="Calibri"/>
          <w:sz w:val="28"/>
          <w:szCs w:val="28"/>
          <w:lang w:val="en-US"/>
        </w:rPr>
        <w:t>TNM</w:t>
      </w:r>
      <w:r w:rsidR="003123D9" w:rsidRPr="003123D9">
        <w:rPr>
          <w:rFonts w:eastAsia="Calibri"/>
          <w:sz w:val="28"/>
          <w:szCs w:val="28"/>
        </w:rPr>
        <w:t>)</w:t>
      </w:r>
      <w:r w:rsidRPr="00DE5F4E">
        <w:rPr>
          <w:rFonts w:eastAsia="Calibri"/>
          <w:sz w:val="28"/>
          <w:szCs w:val="28"/>
        </w:rPr>
        <w:t>, локализации первичной опухоли и гистологического типа опухоли не выявлена</w:t>
      </w:r>
      <w:r w:rsidR="008C3DFB">
        <w:rPr>
          <w:rFonts w:eastAsia="Calibri"/>
          <w:sz w:val="28"/>
          <w:szCs w:val="28"/>
        </w:rPr>
        <w:t>.</w:t>
      </w:r>
    </w:p>
    <w:p w14:paraId="44582484" w14:textId="2B527296" w:rsidR="00DE5F4E" w:rsidRPr="00DE5F4E" w:rsidRDefault="00DE5F4E" w:rsidP="00302EA8">
      <w:pPr>
        <w:pStyle w:val="p"/>
        <w:numPr>
          <w:ilvl w:val="0"/>
          <w:numId w:val="30"/>
        </w:numPr>
        <w:spacing w:before="0" w:beforeAutospacing="0" w:after="0" w:afterAutospacing="0"/>
        <w:ind w:left="0" w:firstLine="708"/>
        <w:jc w:val="both"/>
        <w:rPr>
          <w:sz w:val="28"/>
          <w:szCs w:val="28"/>
        </w:rPr>
      </w:pPr>
      <w:r w:rsidRPr="00DE5F4E">
        <w:rPr>
          <w:rFonts w:eastAsia="Calibri"/>
          <w:sz w:val="28"/>
          <w:szCs w:val="28"/>
        </w:rPr>
        <w:t>Обнаружены зоны брюшной полости и полости малого таза (при эпителиальном раке яичников в пупочной области (p = 0,038) и левой подвздошно-паховой области (p = 0,026); при колоректальном раке в собственно эпигастральной области (p = 0,026), левой подреберной области</w:t>
      </w:r>
      <w:r w:rsidR="001C3B22">
        <w:rPr>
          <w:rFonts w:eastAsia="Calibri"/>
          <w:sz w:val="28"/>
          <w:szCs w:val="28"/>
        </w:rPr>
        <w:br/>
      </w:r>
      <w:r w:rsidRPr="00DE5F4E">
        <w:rPr>
          <w:rFonts w:eastAsia="Calibri"/>
          <w:sz w:val="28"/>
          <w:szCs w:val="28"/>
        </w:rPr>
        <w:t xml:space="preserve">(p = 0,003), правой боковой области (p = 0,001), пупочной области (p = 0,002), </w:t>
      </w:r>
      <w:r w:rsidRPr="00DE5F4E">
        <w:rPr>
          <w:rFonts w:eastAsia="Calibri"/>
          <w:sz w:val="28"/>
          <w:szCs w:val="28"/>
        </w:rPr>
        <w:lastRenderedPageBreak/>
        <w:t>левой боковой области (p = 0,003) и правой подвздошно-паховой области</w:t>
      </w:r>
      <w:r w:rsidR="001C3B22">
        <w:rPr>
          <w:rFonts w:eastAsia="Calibri"/>
          <w:sz w:val="28"/>
          <w:szCs w:val="28"/>
        </w:rPr>
        <w:br/>
      </w:r>
      <w:r w:rsidRPr="00DE5F4E">
        <w:rPr>
          <w:rFonts w:eastAsia="Calibri"/>
          <w:sz w:val="28"/>
          <w:szCs w:val="28"/>
        </w:rPr>
        <w:t xml:space="preserve">(p = 0,002)), </w:t>
      </w:r>
      <w:r w:rsidR="00450839" w:rsidRPr="00450839">
        <w:rPr>
          <w:rFonts w:eastAsia="Calibri"/>
          <w:sz w:val="28"/>
          <w:szCs w:val="28"/>
        </w:rPr>
        <w:t>демонстрирующие</w:t>
      </w:r>
      <w:r w:rsidRPr="00DE5F4E">
        <w:rPr>
          <w:rFonts w:eastAsia="Calibri"/>
          <w:sz w:val="28"/>
          <w:szCs w:val="28"/>
        </w:rPr>
        <w:t xml:space="preserve"> прямую корреляционную зависимость от уровня накопления </w:t>
      </w:r>
      <w:r w:rsidRPr="00DE5F4E">
        <w:rPr>
          <w:rFonts w:eastAsia="Calibri"/>
          <w:sz w:val="28"/>
          <w:szCs w:val="28"/>
          <w:vertAlign w:val="superscript"/>
        </w:rPr>
        <w:t>18</w:t>
      </w:r>
      <w:r w:rsidRPr="00DE5F4E">
        <w:rPr>
          <w:rFonts w:eastAsia="Calibri"/>
          <w:sz w:val="28"/>
          <w:szCs w:val="28"/>
        </w:rPr>
        <w:t>F-FDG (SUV</w:t>
      </w:r>
      <w:r w:rsidRPr="00DE5F4E">
        <w:rPr>
          <w:rFonts w:eastAsia="Calibri"/>
          <w:sz w:val="28"/>
          <w:szCs w:val="28"/>
          <w:vertAlign w:val="subscript"/>
        </w:rPr>
        <w:t>max</w:t>
      </w:r>
      <w:r w:rsidRPr="00DE5F4E">
        <w:rPr>
          <w:rFonts w:eastAsia="Calibri"/>
          <w:sz w:val="28"/>
          <w:szCs w:val="28"/>
        </w:rPr>
        <w:t>) в висцеральном жире, которые могут быть использованы в качестве предиктора возможного метастазирования брюшины.</w:t>
      </w:r>
    </w:p>
    <w:p w14:paraId="5DC69FA8" w14:textId="08597C59" w:rsidR="003D41FA" w:rsidRPr="00DE5F4E" w:rsidRDefault="00DE5F4E" w:rsidP="00302EA8">
      <w:pPr>
        <w:pStyle w:val="p"/>
        <w:numPr>
          <w:ilvl w:val="0"/>
          <w:numId w:val="30"/>
        </w:numPr>
        <w:spacing w:before="0" w:beforeAutospacing="0" w:after="0" w:afterAutospacing="0"/>
        <w:ind w:left="0" w:firstLine="708"/>
        <w:jc w:val="both"/>
        <w:rPr>
          <w:sz w:val="28"/>
          <w:szCs w:val="28"/>
        </w:rPr>
      </w:pPr>
      <w:bookmarkStart w:id="122" w:name="_Hlk164176538"/>
      <w:r w:rsidRPr="00DE5F4E">
        <w:rPr>
          <w:sz w:val="28"/>
          <w:szCs w:val="28"/>
        </w:rPr>
        <w:t xml:space="preserve">Максимальный пороговый уровень накопления </w:t>
      </w:r>
      <w:r w:rsidRPr="00DE5F4E">
        <w:rPr>
          <w:sz w:val="28"/>
          <w:szCs w:val="28"/>
          <w:vertAlign w:val="superscript"/>
        </w:rPr>
        <w:t>18</w:t>
      </w:r>
      <w:r w:rsidRPr="00DE5F4E">
        <w:rPr>
          <w:sz w:val="28"/>
          <w:szCs w:val="28"/>
        </w:rPr>
        <w:t>F-FDG (SUV</w:t>
      </w:r>
      <w:r w:rsidRPr="00DE5F4E">
        <w:rPr>
          <w:sz w:val="28"/>
          <w:szCs w:val="28"/>
          <w:vertAlign w:val="subscript"/>
        </w:rPr>
        <w:t>max</w:t>
      </w:r>
      <w:r w:rsidRPr="00DE5F4E">
        <w:rPr>
          <w:sz w:val="28"/>
          <w:szCs w:val="28"/>
        </w:rPr>
        <w:t>) в висцеральном жире зон брюшной полости и полости малого таза имеет прогностическую ценность как независимый предиктор (при эпителиальном раке яичников - 1,48; при колоректальном раке – 1,13) и определяет начало метастазирования</w:t>
      </w:r>
      <w:r w:rsidR="003F6F6A" w:rsidRPr="003F6F6A">
        <w:rPr>
          <w:sz w:val="28"/>
          <w:szCs w:val="28"/>
        </w:rPr>
        <w:t xml:space="preserve"> </w:t>
      </w:r>
      <w:r w:rsidR="003F6F6A">
        <w:rPr>
          <w:sz w:val="28"/>
          <w:szCs w:val="28"/>
        </w:rPr>
        <w:t>брюшины</w:t>
      </w:r>
      <w:bookmarkEnd w:id="122"/>
      <w:r w:rsidRPr="00DE5F4E">
        <w:rPr>
          <w:sz w:val="28"/>
          <w:szCs w:val="28"/>
        </w:rPr>
        <w:t>.</w:t>
      </w:r>
      <w:r w:rsidR="003D41FA" w:rsidRPr="00DE5F4E">
        <w:rPr>
          <w:sz w:val="28"/>
          <w:szCs w:val="28"/>
        </w:rPr>
        <w:br w:type="page"/>
      </w:r>
    </w:p>
    <w:p w14:paraId="1DD08712" w14:textId="03377626" w:rsidR="000F0776" w:rsidRPr="00A43B9C" w:rsidRDefault="000F0776" w:rsidP="00AE28CD">
      <w:pPr>
        <w:pStyle w:val="1"/>
        <w:spacing w:line="240" w:lineRule="auto"/>
      </w:pPr>
      <w:bookmarkStart w:id="123" w:name="_Toc101861831"/>
      <w:bookmarkStart w:id="124" w:name="_Toc102937632"/>
      <w:r w:rsidRPr="00A43B9C">
        <w:rPr>
          <w:rFonts w:eastAsia="Times New Roman"/>
          <w:lang w:eastAsia="ru-RU"/>
        </w:rPr>
        <w:lastRenderedPageBreak/>
        <w:t>ПРАКТИЧЕСКИЕ РЕКОМЕНДАЦИИ</w:t>
      </w:r>
      <w:bookmarkEnd w:id="123"/>
      <w:bookmarkEnd w:id="124"/>
    </w:p>
    <w:p w14:paraId="2A92EB46" w14:textId="77777777" w:rsidR="00AE28CD" w:rsidRPr="00A43B9C" w:rsidRDefault="00AE28CD" w:rsidP="00AE28CD">
      <w:pPr>
        <w:pStyle w:val="aa"/>
        <w:autoSpaceDE w:val="0"/>
        <w:autoSpaceDN w:val="0"/>
        <w:adjustRightInd w:val="0"/>
        <w:spacing w:after="0" w:line="240" w:lineRule="auto"/>
        <w:ind w:left="709"/>
        <w:jc w:val="both"/>
        <w:rPr>
          <w:rFonts w:ascii="Times New Roman" w:hAnsi="Times New Roman" w:cs="Times New Roman"/>
          <w:sz w:val="28"/>
          <w:szCs w:val="28"/>
        </w:rPr>
      </w:pPr>
    </w:p>
    <w:p w14:paraId="28EDF6D6" w14:textId="2B4FFBF8" w:rsidR="002E45A2" w:rsidRDefault="00AD25D5" w:rsidP="00216007">
      <w:pPr>
        <w:pStyle w:val="aa"/>
        <w:numPr>
          <w:ilvl w:val="0"/>
          <w:numId w:val="22"/>
        </w:numPr>
        <w:autoSpaceDE w:val="0"/>
        <w:autoSpaceDN w:val="0"/>
        <w:adjustRightInd w:val="0"/>
        <w:spacing w:after="0" w:line="240" w:lineRule="auto"/>
        <w:ind w:left="0" w:firstLine="709"/>
        <w:jc w:val="both"/>
        <w:rPr>
          <w:rFonts w:ascii="Times New Roman" w:hAnsi="Times New Roman" w:cs="Times New Roman"/>
          <w:sz w:val="28"/>
          <w:szCs w:val="28"/>
        </w:rPr>
      </w:pPr>
      <w:r w:rsidRPr="00AD25D5">
        <w:rPr>
          <w:rFonts w:ascii="Times New Roman" w:hAnsi="Times New Roman" w:cs="Times New Roman"/>
          <w:sz w:val="28"/>
          <w:szCs w:val="28"/>
        </w:rPr>
        <w:t>Физиологический уровень накопления SUV</w:t>
      </w:r>
      <w:r w:rsidRPr="0058185A">
        <w:rPr>
          <w:rFonts w:ascii="Times New Roman" w:hAnsi="Times New Roman" w:cs="Times New Roman"/>
          <w:sz w:val="28"/>
          <w:szCs w:val="28"/>
          <w:vertAlign w:val="subscript"/>
        </w:rPr>
        <w:t>max</w:t>
      </w:r>
      <w:r w:rsidRPr="00AD25D5">
        <w:rPr>
          <w:rFonts w:ascii="Times New Roman" w:hAnsi="Times New Roman" w:cs="Times New Roman"/>
          <w:sz w:val="28"/>
          <w:szCs w:val="28"/>
        </w:rPr>
        <w:t xml:space="preserve"> при ПЭТ/КТ</w:t>
      </w:r>
      <w:r w:rsidR="00051345">
        <w:rPr>
          <w:rFonts w:ascii="Times New Roman" w:hAnsi="Times New Roman" w:cs="Times New Roman"/>
          <w:sz w:val="28"/>
          <w:szCs w:val="28"/>
        </w:rPr>
        <w:t xml:space="preserve"> </w:t>
      </w:r>
      <w:r w:rsidRPr="00AD25D5">
        <w:rPr>
          <w:rFonts w:ascii="Times New Roman" w:hAnsi="Times New Roman" w:cs="Times New Roman"/>
          <w:sz w:val="28"/>
          <w:szCs w:val="28"/>
        </w:rPr>
        <w:t xml:space="preserve">исследовании с </w:t>
      </w:r>
      <w:r w:rsidRPr="0058185A">
        <w:rPr>
          <w:rFonts w:ascii="Times New Roman" w:hAnsi="Times New Roman" w:cs="Times New Roman"/>
          <w:sz w:val="28"/>
          <w:szCs w:val="28"/>
          <w:vertAlign w:val="superscript"/>
        </w:rPr>
        <w:t>18</w:t>
      </w:r>
      <w:r w:rsidRPr="00AD25D5">
        <w:rPr>
          <w:rFonts w:ascii="Times New Roman" w:hAnsi="Times New Roman" w:cs="Times New Roman"/>
          <w:sz w:val="28"/>
          <w:szCs w:val="28"/>
        </w:rPr>
        <w:t>F-FDG в висцеральном жире у пациентов с эпителиальным раком яичников не зависит от стадии заболевания</w:t>
      </w:r>
      <w:r w:rsidR="00216007">
        <w:rPr>
          <w:rFonts w:ascii="Times New Roman" w:hAnsi="Times New Roman" w:cs="Times New Roman"/>
          <w:sz w:val="28"/>
          <w:szCs w:val="28"/>
        </w:rPr>
        <w:t xml:space="preserve"> (</w:t>
      </w:r>
      <w:r w:rsidR="00216007">
        <w:rPr>
          <w:rFonts w:ascii="Times New Roman" w:hAnsi="Times New Roman" w:cs="Times New Roman"/>
          <w:sz w:val="28"/>
          <w:szCs w:val="28"/>
          <w:lang w:val="en-US"/>
        </w:rPr>
        <w:t>TNM</w:t>
      </w:r>
      <w:r w:rsidR="00216007">
        <w:rPr>
          <w:rFonts w:ascii="Times New Roman" w:hAnsi="Times New Roman" w:cs="Times New Roman"/>
          <w:sz w:val="28"/>
          <w:szCs w:val="28"/>
        </w:rPr>
        <w:t>)</w:t>
      </w:r>
      <w:r w:rsidRPr="00AD25D5">
        <w:rPr>
          <w:rFonts w:ascii="Times New Roman" w:hAnsi="Times New Roman" w:cs="Times New Roman"/>
          <w:sz w:val="28"/>
          <w:szCs w:val="28"/>
        </w:rPr>
        <w:t>, локализации первичного процесса и гистологического типа опухоли. А уровень накопления SUV</w:t>
      </w:r>
      <w:r w:rsidRPr="0058185A">
        <w:rPr>
          <w:rFonts w:ascii="Times New Roman" w:hAnsi="Times New Roman" w:cs="Times New Roman"/>
          <w:sz w:val="28"/>
          <w:szCs w:val="28"/>
          <w:vertAlign w:val="subscript"/>
        </w:rPr>
        <w:t>max</w:t>
      </w:r>
      <w:r w:rsidRPr="00AD25D5">
        <w:rPr>
          <w:rFonts w:ascii="Times New Roman" w:hAnsi="Times New Roman" w:cs="Times New Roman"/>
          <w:sz w:val="28"/>
          <w:szCs w:val="28"/>
        </w:rPr>
        <w:t xml:space="preserve"> при колоректальном раке зависит от локализации первичного процесса</w:t>
      </w:r>
      <w:r w:rsidR="002E45A2" w:rsidRPr="002E45A2">
        <w:rPr>
          <w:rFonts w:ascii="Times New Roman" w:hAnsi="Times New Roman" w:cs="Times New Roman"/>
          <w:sz w:val="28"/>
          <w:szCs w:val="28"/>
        </w:rPr>
        <w:t>.</w:t>
      </w:r>
    </w:p>
    <w:p w14:paraId="3C78E021" w14:textId="2B1BB228" w:rsidR="002E45A2" w:rsidRDefault="00AD25D5" w:rsidP="00302EA8">
      <w:pPr>
        <w:pStyle w:val="aa"/>
        <w:numPr>
          <w:ilvl w:val="0"/>
          <w:numId w:val="22"/>
        </w:numPr>
        <w:autoSpaceDE w:val="0"/>
        <w:autoSpaceDN w:val="0"/>
        <w:adjustRightInd w:val="0"/>
        <w:spacing w:after="0" w:line="240" w:lineRule="auto"/>
        <w:ind w:left="0" w:firstLine="709"/>
        <w:jc w:val="both"/>
        <w:rPr>
          <w:rFonts w:ascii="Times New Roman" w:hAnsi="Times New Roman" w:cs="Times New Roman"/>
          <w:sz w:val="28"/>
          <w:szCs w:val="28"/>
        </w:rPr>
      </w:pPr>
      <w:r w:rsidRPr="00AD25D5">
        <w:rPr>
          <w:rFonts w:ascii="Times New Roman" w:hAnsi="Times New Roman" w:cs="Times New Roman"/>
          <w:sz w:val="28"/>
          <w:szCs w:val="28"/>
        </w:rPr>
        <w:t xml:space="preserve">Выявленная прямая корреляционная зависимость уровня накопления </w:t>
      </w:r>
      <w:r w:rsidRPr="0058185A">
        <w:rPr>
          <w:rFonts w:ascii="Times New Roman" w:hAnsi="Times New Roman" w:cs="Times New Roman"/>
          <w:sz w:val="28"/>
          <w:szCs w:val="28"/>
          <w:vertAlign w:val="superscript"/>
        </w:rPr>
        <w:t>18</w:t>
      </w:r>
      <w:r w:rsidRPr="00AD25D5">
        <w:rPr>
          <w:rFonts w:ascii="Times New Roman" w:hAnsi="Times New Roman" w:cs="Times New Roman"/>
          <w:sz w:val="28"/>
          <w:szCs w:val="28"/>
        </w:rPr>
        <w:t>F-FDG в висцеральном жире у пациентов с эпителиальным раком яичников и колоректальным раком от индекса накопления SUV</w:t>
      </w:r>
      <w:r w:rsidRPr="0058185A">
        <w:rPr>
          <w:rFonts w:ascii="Times New Roman" w:hAnsi="Times New Roman" w:cs="Times New Roman"/>
          <w:sz w:val="28"/>
          <w:szCs w:val="28"/>
          <w:vertAlign w:val="subscript"/>
        </w:rPr>
        <w:t>max</w:t>
      </w:r>
      <w:r w:rsidRPr="00AD25D5">
        <w:rPr>
          <w:rFonts w:ascii="Times New Roman" w:hAnsi="Times New Roman" w:cs="Times New Roman"/>
          <w:sz w:val="28"/>
          <w:szCs w:val="28"/>
        </w:rPr>
        <w:t xml:space="preserve"> в зонах брюшной полости и полости малого таза, мо</w:t>
      </w:r>
      <w:r w:rsidR="00450839">
        <w:rPr>
          <w:rFonts w:ascii="Times New Roman" w:hAnsi="Times New Roman" w:cs="Times New Roman"/>
          <w:sz w:val="28"/>
          <w:szCs w:val="28"/>
        </w:rPr>
        <w:t>же</w:t>
      </w:r>
      <w:r w:rsidRPr="00AD25D5">
        <w:rPr>
          <w:rFonts w:ascii="Times New Roman" w:hAnsi="Times New Roman" w:cs="Times New Roman"/>
          <w:sz w:val="28"/>
          <w:szCs w:val="28"/>
        </w:rPr>
        <w:t>т быть использован</w:t>
      </w:r>
      <w:r w:rsidR="00450839">
        <w:rPr>
          <w:rFonts w:ascii="Times New Roman" w:hAnsi="Times New Roman" w:cs="Times New Roman"/>
          <w:sz w:val="28"/>
          <w:szCs w:val="28"/>
        </w:rPr>
        <w:t>а</w:t>
      </w:r>
      <w:r w:rsidRPr="00AD25D5">
        <w:rPr>
          <w:rFonts w:ascii="Times New Roman" w:hAnsi="Times New Roman" w:cs="Times New Roman"/>
          <w:sz w:val="28"/>
          <w:szCs w:val="28"/>
        </w:rPr>
        <w:t xml:space="preserve"> в качестве предиктора возможного метастазирования брюшины</w:t>
      </w:r>
      <w:r w:rsidR="002E45A2" w:rsidRPr="002E45A2">
        <w:rPr>
          <w:rFonts w:ascii="Times New Roman" w:hAnsi="Times New Roman" w:cs="Times New Roman"/>
          <w:sz w:val="28"/>
          <w:szCs w:val="28"/>
        </w:rPr>
        <w:t>.</w:t>
      </w:r>
    </w:p>
    <w:p w14:paraId="4FDAC4DB" w14:textId="311E23D7" w:rsidR="003D41FA" w:rsidRPr="00095495" w:rsidRDefault="00AD25D5" w:rsidP="00216007">
      <w:pPr>
        <w:pStyle w:val="aa"/>
        <w:numPr>
          <w:ilvl w:val="0"/>
          <w:numId w:val="22"/>
        </w:numPr>
        <w:autoSpaceDE w:val="0"/>
        <w:autoSpaceDN w:val="0"/>
        <w:adjustRightInd w:val="0"/>
        <w:spacing w:after="0" w:line="240" w:lineRule="auto"/>
        <w:ind w:left="0" w:firstLine="709"/>
        <w:jc w:val="both"/>
        <w:rPr>
          <w:rFonts w:ascii="Times New Roman" w:hAnsi="Times New Roman" w:cs="Times New Roman"/>
          <w:sz w:val="28"/>
          <w:szCs w:val="28"/>
        </w:rPr>
      </w:pPr>
      <w:r w:rsidRPr="00AD25D5">
        <w:rPr>
          <w:rFonts w:ascii="Times New Roman" w:hAnsi="Times New Roman" w:cs="Times New Roman"/>
          <w:sz w:val="28"/>
          <w:szCs w:val="28"/>
        </w:rPr>
        <w:t xml:space="preserve">Максимальный пороговый уровень физиологического накопления </w:t>
      </w:r>
      <w:r w:rsidRPr="0058185A">
        <w:rPr>
          <w:rFonts w:ascii="Times New Roman" w:hAnsi="Times New Roman" w:cs="Times New Roman"/>
          <w:sz w:val="28"/>
          <w:szCs w:val="28"/>
          <w:vertAlign w:val="superscript"/>
        </w:rPr>
        <w:t>18</w:t>
      </w:r>
      <w:r w:rsidRPr="00AD25D5">
        <w:rPr>
          <w:rFonts w:ascii="Times New Roman" w:hAnsi="Times New Roman" w:cs="Times New Roman"/>
          <w:sz w:val="28"/>
          <w:szCs w:val="28"/>
        </w:rPr>
        <w:t>F-FDG (SUV</w:t>
      </w:r>
      <w:r w:rsidRPr="0058185A">
        <w:rPr>
          <w:rFonts w:ascii="Times New Roman" w:hAnsi="Times New Roman" w:cs="Times New Roman"/>
          <w:sz w:val="28"/>
          <w:szCs w:val="28"/>
          <w:vertAlign w:val="subscript"/>
        </w:rPr>
        <w:t>max</w:t>
      </w:r>
      <w:r w:rsidRPr="00AD25D5">
        <w:rPr>
          <w:rFonts w:ascii="Times New Roman" w:hAnsi="Times New Roman" w:cs="Times New Roman"/>
          <w:sz w:val="28"/>
          <w:szCs w:val="28"/>
        </w:rPr>
        <w:t xml:space="preserve">) в висцеральном жире в зонах брюшной полости и полости малого таза у пациентов с эпителиальным раком яичников и колоректальным раком показывает прогностическую ценность </w:t>
      </w:r>
      <w:r w:rsidR="00DE5F4E" w:rsidRPr="00302EA8">
        <w:rPr>
          <w:rFonts w:ascii="Times New Roman" w:hAnsi="Times New Roman" w:cs="Times New Roman"/>
          <w:sz w:val="28"/>
          <w:szCs w:val="28"/>
        </w:rPr>
        <w:t>как</w:t>
      </w:r>
      <w:r w:rsidRPr="00302EA8">
        <w:rPr>
          <w:rFonts w:ascii="Times New Roman" w:hAnsi="Times New Roman" w:cs="Times New Roman"/>
          <w:sz w:val="28"/>
          <w:szCs w:val="28"/>
        </w:rPr>
        <w:t xml:space="preserve"> независим</w:t>
      </w:r>
      <w:r w:rsidR="00DE5F4E" w:rsidRPr="00302EA8">
        <w:rPr>
          <w:rFonts w:ascii="Times New Roman" w:hAnsi="Times New Roman" w:cs="Times New Roman"/>
          <w:sz w:val="28"/>
          <w:szCs w:val="28"/>
        </w:rPr>
        <w:t>ый</w:t>
      </w:r>
      <w:r w:rsidRPr="00302EA8">
        <w:rPr>
          <w:rFonts w:ascii="Times New Roman" w:hAnsi="Times New Roman" w:cs="Times New Roman"/>
          <w:sz w:val="28"/>
          <w:szCs w:val="28"/>
        </w:rPr>
        <w:t xml:space="preserve"> предиктор</w:t>
      </w:r>
      <w:r w:rsidRPr="00AD25D5">
        <w:rPr>
          <w:rFonts w:ascii="Times New Roman" w:hAnsi="Times New Roman" w:cs="Times New Roman"/>
          <w:sz w:val="28"/>
          <w:szCs w:val="28"/>
        </w:rPr>
        <w:t xml:space="preserve"> метастазирования брюшины</w:t>
      </w:r>
      <w:r w:rsidR="002E45A2" w:rsidRPr="002E45A2">
        <w:rPr>
          <w:rFonts w:ascii="Times New Roman" w:hAnsi="Times New Roman" w:cs="Times New Roman"/>
          <w:sz w:val="28"/>
          <w:szCs w:val="28"/>
        </w:rPr>
        <w:t>.</w:t>
      </w:r>
      <w:r w:rsidR="003D41FA" w:rsidRPr="00095495">
        <w:rPr>
          <w:rFonts w:ascii="Times New Roman" w:hAnsi="Times New Roman" w:cs="Times New Roman"/>
          <w:sz w:val="28"/>
          <w:szCs w:val="28"/>
        </w:rPr>
        <w:br w:type="page"/>
      </w:r>
    </w:p>
    <w:p w14:paraId="2D7C7DB2" w14:textId="433BF379" w:rsidR="000F0776" w:rsidRPr="00A43B9C" w:rsidRDefault="000F0776" w:rsidP="00AE28CD">
      <w:pPr>
        <w:pStyle w:val="1"/>
        <w:spacing w:line="240" w:lineRule="auto"/>
        <w:rPr>
          <w:rFonts w:eastAsia="Times New Roman"/>
          <w:lang w:eastAsia="ru-RU"/>
        </w:rPr>
      </w:pPr>
      <w:bookmarkStart w:id="125" w:name="_Toc101861832"/>
      <w:bookmarkStart w:id="126" w:name="_Toc102937633"/>
      <w:r w:rsidRPr="00A43B9C">
        <w:rPr>
          <w:rFonts w:eastAsia="Times New Roman"/>
          <w:lang w:eastAsia="ru-RU"/>
        </w:rPr>
        <w:lastRenderedPageBreak/>
        <w:t>СПИСОК ИСПОЛЬЗОВАННЫХ ИСТОЧНИКОВ</w:t>
      </w:r>
      <w:bookmarkEnd w:id="125"/>
      <w:bookmarkEnd w:id="126"/>
    </w:p>
    <w:p w14:paraId="6DF8384E" w14:textId="72E2BCA6" w:rsidR="00AE28CD" w:rsidRPr="00F6152F" w:rsidRDefault="00AE28CD" w:rsidP="00F6152F">
      <w:pPr>
        <w:spacing w:after="0" w:line="240" w:lineRule="auto"/>
        <w:ind w:firstLine="709"/>
        <w:jc w:val="both"/>
        <w:rPr>
          <w:rFonts w:ascii="Times New Roman" w:hAnsi="Times New Roman" w:cs="Times New Roman"/>
          <w:sz w:val="28"/>
          <w:szCs w:val="28"/>
          <w:lang w:eastAsia="ru-RU"/>
        </w:rPr>
      </w:pPr>
      <w:bookmarkStart w:id="127" w:name="_Hlk153398535"/>
    </w:p>
    <w:p w14:paraId="093B7B63" w14:textId="062F20C7" w:rsidR="003131C2" w:rsidRPr="005E463D" w:rsidRDefault="002E45A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F6152F">
        <w:rPr>
          <w:rFonts w:ascii="Times New Roman" w:eastAsia="Times New Roman" w:hAnsi="Times New Roman" w:cs="Times New Roman"/>
          <w:sz w:val="28"/>
          <w:szCs w:val="28"/>
          <w:lang w:eastAsia="ru-RU"/>
        </w:rPr>
        <w:fldChar w:fldCharType="begin"/>
      </w:r>
      <w:r w:rsidR="00F6152F" w:rsidRPr="00EE444C">
        <w:rPr>
          <w:rFonts w:ascii="Times New Roman" w:eastAsia="Times New Roman" w:hAnsi="Times New Roman" w:cs="Times New Roman"/>
          <w:sz w:val="28"/>
          <w:szCs w:val="28"/>
          <w:lang w:val="en-US" w:eastAsia="ru-RU"/>
        </w:rPr>
        <w:instrText xml:space="preserve"> </w:instrText>
      </w:r>
      <w:r w:rsidR="00F6152F" w:rsidRPr="00F6152F">
        <w:rPr>
          <w:rFonts w:ascii="Times New Roman" w:eastAsia="Times New Roman" w:hAnsi="Times New Roman" w:cs="Times New Roman"/>
          <w:sz w:val="28"/>
          <w:szCs w:val="28"/>
          <w:lang w:val="en-US" w:eastAsia="ru-RU"/>
        </w:rPr>
        <w:instrText>ADDIN</w:instrText>
      </w:r>
      <w:r w:rsidR="00F6152F" w:rsidRPr="00EE444C">
        <w:rPr>
          <w:rFonts w:ascii="Times New Roman" w:eastAsia="Times New Roman" w:hAnsi="Times New Roman" w:cs="Times New Roman"/>
          <w:sz w:val="28"/>
          <w:szCs w:val="28"/>
          <w:lang w:val="en-US" w:eastAsia="ru-RU"/>
        </w:rPr>
        <w:instrText xml:space="preserve"> </w:instrText>
      </w:r>
      <w:r w:rsidR="00F6152F" w:rsidRPr="00F6152F">
        <w:rPr>
          <w:rFonts w:ascii="Times New Roman" w:eastAsia="Times New Roman" w:hAnsi="Times New Roman" w:cs="Times New Roman"/>
          <w:sz w:val="28"/>
          <w:szCs w:val="28"/>
          <w:lang w:val="en-US" w:eastAsia="ru-RU"/>
        </w:rPr>
        <w:instrText>ZOTERO</w:instrText>
      </w:r>
      <w:r w:rsidR="00F6152F" w:rsidRPr="00EE444C">
        <w:rPr>
          <w:rFonts w:ascii="Times New Roman" w:eastAsia="Times New Roman" w:hAnsi="Times New Roman" w:cs="Times New Roman"/>
          <w:sz w:val="28"/>
          <w:szCs w:val="28"/>
          <w:lang w:val="en-US" w:eastAsia="ru-RU"/>
        </w:rPr>
        <w:instrText>_</w:instrText>
      </w:r>
      <w:r w:rsidR="00F6152F" w:rsidRPr="00F6152F">
        <w:rPr>
          <w:rFonts w:ascii="Times New Roman" w:eastAsia="Times New Roman" w:hAnsi="Times New Roman" w:cs="Times New Roman"/>
          <w:sz w:val="28"/>
          <w:szCs w:val="28"/>
          <w:lang w:val="en-US" w:eastAsia="ru-RU"/>
        </w:rPr>
        <w:instrText>BIBL</w:instrText>
      </w:r>
      <w:r w:rsidR="00F6152F" w:rsidRPr="00EE444C">
        <w:rPr>
          <w:rFonts w:ascii="Times New Roman" w:eastAsia="Times New Roman" w:hAnsi="Times New Roman" w:cs="Times New Roman"/>
          <w:sz w:val="28"/>
          <w:szCs w:val="28"/>
          <w:lang w:val="en-US" w:eastAsia="ru-RU"/>
        </w:rPr>
        <w:instrText xml:space="preserve"> {"</w:instrText>
      </w:r>
      <w:r w:rsidR="00F6152F" w:rsidRPr="00F6152F">
        <w:rPr>
          <w:rFonts w:ascii="Times New Roman" w:eastAsia="Times New Roman" w:hAnsi="Times New Roman" w:cs="Times New Roman"/>
          <w:sz w:val="28"/>
          <w:szCs w:val="28"/>
          <w:lang w:val="en-US" w:eastAsia="ru-RU"/>
        </w:rPr>
        <w:instrText>uncited</w:instrText>
      </w:r>
      <w:r w:rsidR="00F6152F" w:rsidRPr="00EE444C">
        <w:rPr>
          <w:rFonts w:ascii="Times New Roman" w:eastAsia="Times New Roman" w:hAnsi="Times New Roman" w:cs="Times New Roman"/>
          <w:sz w:val="28"/>
          <w:szCs w:val="28"/>
          <w:lang w:val="en-US" w:eastAsia="ru-RU"/>
        </w:rPr>
        <w:instrText>":[],"</w:instrText>
      </w:r>
      <w:r w:rsidR="00F6152F" w:rsidRPr="00F6152F">
        <w:rPr>
          <w:rFonts w:ascii="Times New Roman" w:eastAsia="Times New Roman" w:hAnsi="Times New Roman" w:cs="Times New Roman"/>
          <w:sz w:val="28"/>
          <w:szCs w:val="28"/>
          <w:lang w:val="en-US" w:eastAsia="ru-RU"/>
        </w:rPr>
        <w:instrText>omitted</w:instrText>
      </w:r>
      <w:r w:rsidR="00F6152F" w:rsidRPr="00EE444C">
        <w:rPr>
          <w:rFonts w:ascii="Times New Roman" w:eastAsia="Times New Roman" w:hAnsi="Times New Roman" w:cs="Times New Roman"/>
          <w:sz w:val="28"/>
          <w:szCs w:val="28"/>
          <w:lang w:val="en-US" w:eastAsia="ru-RU"/>
        </w:rPr>
        <w:instrText>":[],"</w:instrText>
      </w:r>
      <w:r w:rsidR="00F6152F" w:rsidRPr="00F6152F">
        <w:rPr>
          <w:rFonts w:ascii="Times New Roman" w:eastAsia="Times New Roman" w:hAnsi="Times New Roman" w:cs="Times New Roman"/>
          <w:sz w:val="28"/>
          <w:szCs w:val="28"/>
          <w:lang w:val="en-US" w:eastAsia="ru-RU"/>
        </w:rPr>
        <w:instrText>custom</w:instrText>
      </w:r>
      <w:r w:rsidR="00F6152F" w:rsidRPr="00EE444C">
        <w:rPr>
          <w:rFonts w:ascii="Times New Roman" w:eastAsia="Times New Roman" w:hAnsi="Times New Roman" w:cs="Times New Roman"/>
          <w:sz w:val="28"/>
          <w:szCs w:val="28"/>
          <w:lang w:val="en-US" w:eastAsia="ru-RU"/>
        </w:rPr>
        <w:instrText xml:space="preserve">":[]} </w:instrText>
      </w:r>
      <w:r w:rsidR="00F6152F" w:rsidRPr="00F6152F">
        <w:rPr>
          <w:rFonts w:ascii="Times New Roman" w:eastAsia="Times New Roman" w:hAnsi="Times New Roman" w:cs="Times New Roman"/>
          <w:sz w:val="28"/>
          <w:szCs w:val="28"/>
          <w:lang w:val="en-US" w:eastAsia="ru-RU"/>
        </w:rPr>
        <w:instrText>CSL</w:instrText>
      </w:r>
      <w:r w:rsidR="00F6152F" w:rsidRPr="00EE444C">
        <w:rPr>
          <w:rFonts w:ascii="Times New Roman" w:eastAsia="Times New Roman" w:hAnsi="Times New Roman" w:cs="Times New Roman"/>
          <w:sz w:val="28"/>
          <w:szCs w:val="28"/>
          <w:lang w:val="en-US" w:eastAsia="ru-RU"/>
        </w:rPr>
        <w:instrText>_</w:instrText>
      </w:r>
      <w:r w:rsidR="00F6152F" w:rsidRPr="00F6152F">
        <w:rPr>
          <w:rFonts w:ascii="Times New Roman" w:eastAsia="Times New Roman" w:hAnsi="Times New Roman" w:cs="Times New Roman"/>
          <w:sz w:val="28"/>
          <w:szCs w:val="28"/>
          <w:lang w:val="en-US" w:eastAsia="ru-RU"/>
        </w:rPr>
        <w:instrText>BIBLIOGRAPHY</w:instrText>
      </w:r>
      <w:r w:rsidR="00F6152F" w:rsidRPr="00EE444C">
        <w:rPr>
          <w:rFonts w:ascii="Times New Roman" w:eastAsia="Times New Roman" w:hAnsi="Times New Roman" w:cs="Times New Roman"/>
          <w:sz w:val="28"/>
          <w:szCs w:val="28"/>
          <w:lang w:val="en-US" w:eastAsia="ru-RU"/>
        </w:rPr>
        <w:instrText xml:space="preserve"> </w:instrText>
      </w:r>
      <w:r w:rsidRPr="00F6152F">
        <w:rPr>
          <w:rFonts w:ascii="Times New Roman" w:eastAsia="Times New Roman" w:hAnsi="Times New Roman" w:cs="Times New Roman"/>
          <w:sz w:val="28"/>
          <w:szCs w:val="28"/>
          <w:lang w:eastAsia="ru-RU"/>
        </w:rPr>
        <w:fldChar w:fldCharType="separate"/>
      </w:r>
      <w:r w:rsidR="003131C2" w:rsidRPr="005E463D">
        <w:rPr>
          <w:rFonts w:ascii="Times New Roman" w:hAnsi="Times New Roman" w:cs="Times New Roman"/>
          <w:sz w:val="28"/>
          <w:szCs w:val="28"/>
          <w:lang w:val="kk-KZ"/>
          <w14:ligatures w14:val="standardContextual"/>
        </w:rPr>
        <w:t xml:space="preserve">1 Perrone A.M., Dondi G., Lima G.M., Castellucci P., Tesei M., Coluccelli S., et al. Potential Prognostic Role of </w:t>
      </w:r>
      <w:r w:rsidR="003131C2" w:rsidRPr="005E463D">
        <w:rPr>
          <w:rFonts w:ascii="Times New Roman" w:hAnsi="Times New Roman" w:cs="Times New Roman"/>
          <w:sz w:val="28"/>
          <w:szCs w:val="28"/>
          <w:vertAlign w:val="superscript"/>
          <w:lang w:val="kk-KZ"/>
          <w14:ligatures w14:val="standardContextual"/>
        </w:rPr>
        <w:t>18</w:t>
      </w:r>
      <w:r w:rsidR="003131C2" w:rsidRPr="005E463D">
        <w:rPr>
          <w:rFonts w:ascii="Times New Roman" w:hAnsi="Times New Roman" w:cs="Times New Roman"/>
          <w:sz w:val="28"/>
          <w:szCs w:val="28"/>
          <w:lang w:val="kk-KZ"/>
          <w14:ligatures w14:val="standardContextual"/>
        </w:rPr>
        <w:t>F-FDG PET/CT in Invasive Epithelial Ovarian Cancer Relapse.</w:t>
      </w:r>
      <w:r w:rsidR="003131C2" w:rsidRPr="005E463D">
        <w:rPr>
          <w:rFonts w:ascii="Times New Roman" w:hAnsi="Times New Roman" w:cs="Times New Roman"/>
          <w:sz w:val="28"/>
          <w:szCs w:val="28"/>
          <w:lang w:val="en-US"/>
          <w14:ligatures w14:val="standardContextual"/>
        </w:rPr>
        <w:t xml:space="preserve"> </w:t>
      </w:r>
      <w:r w:rsidR="003131C2" w:rsidRPr="005E463D">
        <w:rPr>
          <w:rFonts w:ascii="Times New Roman" w:hAnsi="Times New Roman" w:cs="Times New Roman"/>
          <w:sz w:val="28"/>
          <w:szCs w:val="28"/>
          <w:lang w:val="kk-KZ"/>
          <w14:ligatures w14:val="standardContextual"/>
        </w:rPr>
        <w:t xml:space="preserve">A Preliminary Study. </w:t>
      </w:r>
      <w:r w:rsidR="003131C2" w:rsidRPr="005E463D">
        <w:rPr>
          <w:rFonts w:ascii="Times New Roman" w:hAnsi="Times New Roman" w:cs="Times New Roman"/>
          <w:sz w:val="28"/>
          <w:szCs w:val="28"/>
          <w:lang w:val="en-US"/>
          <w14:ligatures w14:val="standardContextual"/>
        </w:rPr>
        <w:t xml:space="preserve">// </w:t>
      </w:r>
      <w:r w:rsidR="003131C2" w:rsidRPr="005E463D">
        <w:rPr>
          <w:rFonts w:ascii="Times New Roman" w:hAnsi="Times New Roman" w:cs="Times New Roman"/>
          <w:sz w:val="28"/>
          <w:szCs w:val="28"/>
          <w:lang w:val="kk-KZ"/>
          <w14:ligatures w14:val="standardContextual"/>
        </w:rPr>
        <w:t xml:space="preserve">Cancers. </w:t>
      </w:r>
      <w:r w:rsidR="003131C2" w:rsidRPr="005E463D">
        <w:rPr>
          <w:rFonts w:ascii="Times New Roman" w:hAnsi="Times New Roman" w:cs="Times New Roman"/>
          <w:sz w:val="28"/>
          <w:szCs w:val="28"/>
          <w:lang w:val="en-US"/>
          <w14:ligatures w14:val="standardContextual"/>
        </w:rPr>
        <w:t xml:space="preserve">- </w:t>
      </w:r>
      <w:r w:rsidR="003131C2" w:rsidRPr="005E463D">
        <w:rPr>
          <w:rFonts w:ascii="Times New Roman" w:hAnsi="Times New Roman" w:cs="Times New Roman"/>
          <w:sz w:val="28"/>
          <w:szCs w:val="28"/>
          <w:lang w:val="kk-KZ"/>
          <w14:ligatures w14:val="standardContextual"/>
        </w:rPr>
        <w:t>2019. - Vol. 11, №5. – 713</w:t>
      </w:r>
      <w:r w:rsidR="00A75E97">
        <w:rPr>
          <w:rFonts w:ascii="Times New Roman" w:hAnsi="Times New Roman" w:cs="Times New Roman"/>
          <w:sz w:val="28"/>
          <w:szCs w:val="28"/>
          <w:lang w:val="kk-KZ"/>
          <w14:ligatures w14:val="standardContextual"/>
        </w:rPr>
        <w:t xml:space="preserve"> </w:t>
      </w:r>
      <w:r w:rsidR="00A75E97">
        <w:rPr>
          <w:rFonts w:ascii="Times New Roman" w:hAnsi="Times New Roman" w:cs="Times New Roman"/>
          <w:sz w:val="28"/>
          <w:szCs w:val="28"/>
          <w:lang w:val="en-US"/>
          <w14:ligatures w14:val="standardContextual"/>
        </w:rPr>
        <w:t>p</w:t>
      </w:r>
      <w:r w:rsidR="003131C2" w:rsidRPr="005E463D">
        <w:rPr>
          <w:rFonts w:ascii="Times New Roman" w:hAnsi="Times New Roman" w:cs="Times New Roman"/>
          <w:sz w:val="28"/>
          <w:szCs w:val="28"/>
          <w:lang w:val="kk-KZ"/>
          <w14:ligatures w14:val="standardContextual"/>
        </w:rPr>
        <w:t>.</w:t>
      </w:r>
    </w:p>
    <w:p w14:paraId="49F943AE"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2 Caobelli F</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Alongi P</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Evangelista L</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Picchio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Saladini G</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Rensi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Predictive value of (18)F-FDG PET/CT in restaging patients affected by ovarian carcinoma: a multicentre study.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European Journal of Nuclear Medicine and Molecular Imaging.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2016. - Vol. 43, №3. – Р. 404-413.</w:t>
      </w:r>
    </w:p>
    <w:p w14:paraId="7AA64552"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3 Martin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Petrillo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Smyth E</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Shaida N</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Khwaja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Cheow 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K</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Colorectal liver metastases: Current management and future perspectives.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World Journal of Clinical Oncology.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2020. - Vol. 11, №10. – Р. 761-808.</w:t>
      </w:r>
    </w:p>
    <w:p w14:paraId="57BE5632"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 xml:space="preserve">4 </w:t>
      </w:r>
      <w:r w:rsidRPr="005E463D">
        <w:rPr>
          <w:rFonts w:ascii="Times New Roman" w:hAnsi="Times New Roman" w:cs="Times New Roman"/>
          <w:sz w:val="28"/>
          <w:szCs w:val="28"/>
          <w:lang w:val="en-US"/>
          <w14:ligatures w14:val="standardContextual"/>
        </w:rPr>
        <w:t xml:space="preserve">Kuipers E.J., Rösch T., Bretthauer M. Colorectal cancer screening--optimizing current strategies and new directions. // Nature Reviews. Clinical Oncology. -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13</w:t>
      </w:r>
      <w:r w:rsidRPr="005E463D">
        <w:rPr>
          <w:rFonts w:ascii="Times New Roman" w:hAnsi="Times New Roman" w:cs="Times New Roman"/>
          <w:sz w:val="28"/>
          <w:szCs w:val="28"/>
          <w:lang w:val="kk-KZ"/>
          <w14:ligatures w14:val="standardContextual"/>
        </w:rPr>
        <w:t>. - Vol. 1</w:t>
      </w:r>
      <w:r w:rsidRPr="005E463D">
        <w:rPr>
          <w:rFonts w:ascii="Times New Roman" w:hAnsi="Times New Roman" w:cs="Times New Roman"/>
          <w:sz w:val="28"/>
          <w:szCs w:val="28"/>
          <w:lang w:val="en-US"/>
          <w14:ligatures w14:val="standardContextual"/>
        </w:rPr>
        <w:t>0</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3</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130–142.</w:t>
      </w:r>
    </w:p>
    <w:p w14:paraId="3BFD9C4C"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5 Siegel 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L</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Miller K</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D</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Fuchs 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E</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Jemal A. Cancer statistics, 2022.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A Cancer Journal for Clinicians.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2022. - Vol. 72, №1. – Р. 7-33.</w:t>
      </w:r>
    </w:p>
    <w:p w14:paraId="0B61EB2D"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6 de Geus-Oei L</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F</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Ruers T</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Punt 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Willem Leer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Corstens F</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Oyen W</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G. FDG-PET in colorectal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Cancer Imaging.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2006. - Vol. 6, №Spec No А. – Р. 71-81.</w:t>
      </w:r>
    </w:p>
    <w:p w14:paraId="4687CF7A" w14:textId="4C02CC51"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7 Xia Q</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Liu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Wu 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Song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Tong L</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Huang G</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Prognostic significance of </w:t>
      </w:r>
      <w:r w:rsidRPr="005E463D">
        <w:rPr>
          <w:rFonts w:ascii="Times New Roman" w:hAnsi="Times New Roman" w:cs="Times New Roman"/>
          <w:sz w:val="28"/>
          <w:szCs w:val="28"/>
          <w:vertAlign w:val="superscript"/>
          <w:lang w:val="kk-KZ"/>
          <w14:ligatures w14:val="standardContextual"/>
        </w:rPr>
        <w:t>18</w:t>
      </w:r>
      <w:r w:rsidRPr="005E463D">
        <w:rPr>
          <w:rFonts w:ascii="Times New Roman" w:hAnsi="Times New Roman" w:cs="Times New Roman"/>
          <w:sz w:val="28"/>
          <w:szCs w:val="28"/>
          <w:lang w:val="kk-KZ"/>
          <w14:ligatures w14:val="standardContextual"/>
        </w:rPr>
        <w:t xml:space="preserve">FDG PET/CT in colorectal cancer patients with liver metastases: a meta-analysis.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Cancer Imaging.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2015. - Vol. 15, №1. – 19</w:t>
      </w:r>
      <w:r w:rsidR="00A75E97">
        <w:rPr>
          <w:rFonts w:ascii="Times New Roman" w:hAnsi="Times New Roman" w:cs="Times New Roman"/>
          <w:sz w:val="28"/>
          <w:szCs w:val="28"/>
          <w:lang w:val="en-US"/>
          <w14:ligatures w14:val="standardContextual"/>
        </w:rPr>
        <w:t xml:space="preserve"> p</w:t>
      </w:r>
      <w:r w:rsidRPr="005E463D">
        <w:rPr>
          <w:rFonts w:ascii="Times New Roman" w:hAnsi="Times New Roman" w:cs="Times New Roman"/>
          <w:sz w:val="28"/>
          <w:szCs w:val="28"/>
          <w:lang w:val="kk-KZ"/>
          <w14:ligatures w14:val="standardContextual"/>
        </w:rPr>
        <w:t>.</w:t>
      </w:r>
    </w:p>
    <w:p w14:paraId="632F42A6"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 xml:space="preserve">8 Almuhaideb A., Papathanasiou N., Bomanji J. </w:t>
      </w:r>
      <w:r w:rsidRPr="00407D16">
        <w:rPr>
          <w:rFonts w:ascii="Times New Roman" w:hAnsi="Times New Roman" w:cs="Times New Roman"/>
          <w:sz w:val="28"/>
          <w:szCs w:val="28"/>
          <w:vertAlign w:val="superscript"/>
          <w:lang w:val="kk-KZ"/>
          <w14:ligatures w14:val="standardContextual"/>
        </w:rPr>
        <w:t>18</w:t>
      </w:r>
      <w:r w:rsidRPr="005E463D">
        <w:rPr>
          <w:rFonts w:ascii="Times New Roman" w:hAnsi="Times New Roman" w:cs="Times New Roman"/>
          <w:sz w:val="28"/>
          <w:szCs w:val="28"/>
          <w:lang w:val="kk-KZ"/>
          <w14:ligatures w14:val="standardContextual"/>
        </w:rPr>
        <w:t xml:space="preserve">F-FDG PET/CT Imaging In Oncology.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Annals of Saudi Medicine.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201</w:t>
      </w:r>
      <w:r w:rsidRPr="005E463D">
        <w:rPr>
          <w:rFonts w:ascii="Times New Roman" w:hAnsi="Times New Roman" w:cs="Times New Roman"/>
          <w:sz w:val="28"/>
          <w:szCs w:val="28"/>
          <w:lang w:val="en-US"/>
          <w14:ligatures w14:val="standardContextual"/>
        </w:rPr>
        <w:t>1</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3</w:t>
      </w:r>
      <w:r w:rsidRPr="005E463D">
        <w:rPr>
          <w:rFonts w:ascii="Times New Roman" w:hAnsi="Times New Roman" w:cs="Times New Roman"/>
          <w:sz w:val="28"/>
          <w:szCs w:val="28"/>
          <w:lang w:val="kk-KZ"/>
          <w14:ligatures w14:val="standardContextual"/>
        </w:rPr>
        <w:t xml:space="preserve">1, №1. – Р. </w:t>
      </w:r>
      <w:r w:rsidRPr="005E463D">
        <w:rPr>
          <w:rFonts w:ascii="Times New Roman" w:hAnsi="Times New Roman" w:cs="Times New Roman"/>
          <w:sz w:val="28"/>
          <w:szCs w:val="28"/>
          <w:lang w:val="en-US"/>
          <w14:ligatures w14:val="standardContextual"/>
        </w:rPr>
        <w:t>3-</w:t>
      </w:r>
      <w:r w:rsidRPr="005E463D">
        <w:rPr>
          <w:rFonts w:ascii="Times New Roman" w:hAnsi="Times New Roman" w:cs="Times New Roman"/>
          <w:sz w:val="28"/>
          <w:szCs w:val="28"/>
          <w:lang w:val="kk-KZ"/>
          <w14:ligatures w14:val="standardContextual"/>
        </w:rPr>
        <w:t>1</w:t>
      </w:r>
      <w:r w:rsidRPr="005E463D">
        <w:rPr>
          <w:rFonts w:ascii="Times New Roman" w:hAnsi="Times New Roman" w:cs="Times New Roman"/>
          <w:sz w:val="28"/>
          <w:szCs w:val="28"/>
          <w:lang w:val="en-US"/>
          <w14:ligatures w14:val="standardContextual"/>
        </w:rPr>
        <w:t>3</w:t>
      </w:r>
      <w:r w:rsidRPr="005E463D">
        <w:rPr>
          <w:rFonts w:ascii="Times New Roman" w:hAnsi="Times New Roman" w:cs="Times New Roman"/>
          <w:sz w:val="28"/>
          <w:szCs w:val="28"/>
          <w:lang w:val="kk-KZ"/>
          <w14:ligatures w14:val="standardContextual"/>
        </w:rPr>
        <w:t>.</w:t>
      </w:r>
    </w:p>
    <w:p w14:paraId="271CD783"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9 Ben-Haim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Ell P. </w:t>
      </w:r>
      <w:r w:rsidRPr="00407D16">
        <w:rPr>
          <w:rFonts w:ascii="Times New Roman" w:hAnsi="Times New Roman" w:cs="Times New Roman"/>
          <w:sz w:val="28"/>
          <w:szCs w:val="28"/>
          <w:vertAlign w:val="superscript"/>
          <w:lang w:val="kk-KZ"/>
          <w14:ligatures w14:val="standardContextual"/>
        </w:rPr>
        <w:t>18</w:t>
      </w:r>
      <w:r w:rsidRPr="005E463D">
        <w:rPr>
          <w:rFonts w:ascii="Times New Roman" w:hAnsi="Times New Roman" w:cs="Times New Roman"/>
          <w:sz w:val="28"/>
          <w:szCs w:val="28"/>
          <w:lang w:val="kk-KZ"/>
          <w14:ligatures w14:val="standardContextual"/>
        </w:rPr>
        <w:t xml:space="preserve">F-FDG PET and PET/CT in the evaluation of cancer treatment response. </w:t>
      </w:r>
      <w:r w:rsidRPr="005E463D">
        <w:rPr>
          <w:rFonts w:ascii="Times New Roman" w:hAnsi="Times New Roman" w:cs="Times New Roman"/>
          <w:sz w:val="28"/>
          <w:szCs w:val="28"/>
          <w:lang w:val="en-US"/>
          <w14:ligatures w14:val="standardContextual"/>
        </w:rPr>
        <w:t>// Journal of Nuclear Medicine: Official Publication, Society of Nuclear Medicine</w:t>
      </w:r>
      <w:r w:rsidRPr="005E463D">
        <w:rPr>
          <w:rFonts w:ascii="Times New Roman" w:hAnsi="Times New Roman" w:cs="Times New Roman"/>
          <w:sz w:val="28"/>
          <w:szCs w:val="28"/>
          <w:lang w:val="kk-KZ"/>
          <w14:ligatures w14:val="standardContextual"/>
        </w:rPr>
        <w:t xml:space="preserv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09</w:t>
      </w:r>
      <w:r w:rsidRPr="005E463D">
        <w:rPr>
          <w:rFonts w:ascii="Times New Roman" w:hAnsi="Times New Roman" w:cs="Times New Roman"/>
          <w:sz w:val="28"/>
          <w:szCs w:val="28"/>
          <w:lang w:val="kk-KZ"/>
          <w14:ligatures w14:val="standardContextual"/>
        </w:rPr>
        <w:t>. - Vol. 5</w:t>
      </w:r>
      <w:r w:rsidRPr="005E463D">
        <w:rPr>
          <w:rFonts w:ascii="Times New Roman" w:hAnsi="Times New Roman" w:cs="Times New Roman"/>
          <w:sz w:val="28"/>
          <w:szCs w:val="28"/>
          <w:lang w:val="en-US"/>
          <w14:ligatures w14:val="standardContextual"/>
        </w:rPr>
        <w:t>0</w:t>
      </w:r>
      <w:r w:rsidRPr="005E463D">
        <w:rPr>
          <w:rFonts w:ascii="Times New Roman" w:hAnsi="Times New Roman" w:cs="Times New Roman"/>
          <w:sz w:val="28"/>
          <w:szCs w:val="28"/>
          <w:lang w:val="kk-KZ"/>
          <w14:ligatures w14:val="standardContextual"/>
        </w:rPr>
        <w:t xml:space="preserve">, №1. – Р. </w:t>
      </w:r>
      <w:r w:rsidRPr="005E463D">
        <w:rPr>
          <w:rFonts w:ascii="Times New Roman" w:hAnsi="Times New Roman" w:cs="Times New Roman"/>
          <w:sz w:val="28"/>
          <w:szCs w:val="28"/>
          <w:lang w:val="en-US"/>
          <w14:ligatures w14:val="standardContextual"/>
        </w:rPr>
        <w:t>88-9</w:t>
      </w:r>
      <w:r w:rsidRPr="005E463D">
        <w:rPr>
          <w:rFonts w:ascii="Times New Roman" w:hAnsi="Times New Roman" w:cs="Times New Roman"/>
          <w:sz w:val="28"/>
          <w:szCs w:val="28"/>
          <w:lang w:val="kk-KZ"/>
          <w14:ligatures w14:val="standardContextual"/>
        </w:rPr>
        <w:t>9.</w:t>
      </w:r>
    </w:p>
    <w:p w14:paraId="18848413"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10 Buchmann I</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Ganten T</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Haberkorn U. [[</w:t>
      </w:r>
      <w:r w:rsidRPr="00407D16">
        <w:rPr>
          <w:rFonts w:ascii="Times New Roman" w:hAnsi="Times New Roman" w:cs="Times New Roman"/>
          <w:sz w:val="28"/>
          <w:szCs w:val="28"/>
          <w:vertAlign w:val="superscript"/>
          <w:lang w:val="kk-KZ"/>
          <w14:ligatures w14:val="standardContextual"/>
        </w:rPr>
        <w:t>18</w:t>
      </w:r>
      <w:r w:rsidRPr="005E463D">
        <w:rPr>
          <w:rFonts w:ascii="Times New Roman" w:hAnsi="Times New Roman" w:cs="Times New Roman"/>
          <w:sz w:val="28"/>
          <w:szCs w:val="28"/>
          <w:lang w:val="kk-KZ"/>
          <w14:ligatures w14:val="standardContextual"/>
        </w:rPr>
        <w:t xml:space="preserve">F]-FDG-PET in the diagnostics of gastrointestinal tumors].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Zeitschrift Fur Gastroenterologie.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08</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46</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4</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367-375</w:t>
      </w:r>
      <w:r w:rsidRPr="005E463D">
        <w:rPr>
          <w:rFonts w:ascii="Times New Roman" w:hAnsi="Times New Roman" w:cs="Times New Roman"/>
          <w:sz w:val="28"/>
          <w:szCs w:val="28"/>
          <w:lang w:val="kk-KZ"/>
          <w14:ligatures w14:val="standardContextual"/>
        </w:rPr>
        <w:t>.</w:t>
      </w:r>
    </w:p>
    <w:p w14:paraId="2ECB8B52"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11 Chen L</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B</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Tong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L</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Song 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Z</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Zhu 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Wang Y</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C. </w:t>
      </w:r>
      <w:r w:rsidRPr="00407D16">
        <w:rPr>
          <w:rFonts w:ascii="Times New Roman" w:hAnsi="Times New Roman" w:cs="Times New Roman"/>
          <w:sz w:val="28"/>
          <w:szCs w:val="28"/>
          <w:vertAlign w:val="superscript"/>
          <w:lang w:val="kk-KZ"/>
          <w14:ligatures w14:val="standardContextual"/>
        </w:rPr>
        <w:t>18</w:t>
      </w:r>
      <w:r w:rsidRPr="005E463D">
        <w:rPr>
          <w:rFonts w:ascii="Times New Roman" w:hAnsi="Times New Roman" w:cs="Times New Roman"/>
          <w:sz w:val="28"/>
          <w:szCs w:val="28"/>
          <w:lang w:val="kk-KZ"/>
          <w14:ligatures w14:val="standardContextual"/>
        </w:rPr>
        <w:t xml:space="preserve">F-DG PET/CT in detection of recurrence and metastasis of colorectal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World Journal of Gastroenterology.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07</w:t>
      </w:r>
      <w:r w:rsidRPr="005E463D">
        <w:rPr>
          <w:rFonts w:ascii="Times New Roman" w:hAnsi="Times New Roman" w:cs="Times New Roman"/>
          <w:sz w:val="28"/>
          <w:szCs w:val="28"/>
          <w:lang w:val="kk-KZ"/>
          <w14:ligatures w14:val="standardContextual"/>
        </w:rPr>
        <w:t>. - Vol. 1</w:t>
      </w:r>
      <w:r w:rsidRPr="005E463D">
        <w:rPr>
          <w:rFonts w:ascii="Times New Roman" w:hAnsi="Times New Roman" w:cs="Times New Roman"/>
          <w:sz w:val="28"/>
          <w:szCs w:val="28"/>
          <w:lang w:val="en-US"/>
          <w14:ligatures w14:val="standardContextual"/>
        </w:rPr>
        <w:t>3</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37</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5025-5029</w:t>
      </w:r>
      <w:r w:rsidRPr="005E463D">
        <w:rPr>
          <w:rFonts w:ascii="Times New Roman" w:hAnsi="Times New Roman" w:cs="Times New Roman"/>
          <w:sz w:val="28"/>
          <w:szCs w:val="28"/>
          <w:lang w:val="kk-KZ"/>
          <w14:ligatures w14:val="standardContextual"/>
        </w:rPr>
        <w:t>.</w:t>
      </w:r>
    </w:p>
    <w:p w14:paraId="51AC8807"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12 Dolci 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Ceppi L</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Guerra L</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Crivellaro 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Lamanna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Adorni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Role of </w:t>
      </w:r>
      <w:r w:rsidRPr="00407D16">
        <w:rPr>
          <w:rFonts w:ascii="Times New Roman" w:hAnsi="Times New Roman" w:cs="Times New Roman"/>
          <w:sz w:val="28"/>
          <w:szCs w:val="28"/>
          <w:vertAlign w:val="superscript"/>
          <w:lang w:val="kk-KZ"/>
          <w14:ligatures w14:val="standardContextual"/>
        </w:rPr>
        <w:t>18</w:t>
      </w:r>
      <w:r w:rsidRPr="005E463D">
        <w:rPr>
          <w:rFonts w:ascii="Times New Roman" w:hAnsi="Times New Roman" w:cs="Times New Roman"/>
          <w:sz w:val="28"/>
          <w:szCs w:val="28"/>
          <w:lang w:val="kk-KZ"/>
          <w14:ligatures w14:val="standardContextual"/>
        </w:rPr>
        <w:t>F-fluoro-2-deoxyglucose positron emission tomography/computed tomography (</w:t>
      </w:r>
      <w:r w:rsidRPr="00407D16">
        <w:rPr>
          <w:rFonts w:ascii="Times New Roman" w:hAnsi="Times New Roman" w:cs="Times New Roman"/>
          <w:sz w:val="28"/>
          <w:szCs w:val="28"/>
          <w:vertAlign w:val="superscript"/>
          <w:lang w:val="kk-KZ"/>
          <w14:ligatures w14:val="standardContextual"/>
        </w:rPr>
        <w:t>18</w:t>
      </w:r>
      <w:r w:rsidRPr="005E463D">
        <w:rPr>
          <w:rFonts w:ascii="Times New Roman" w:hAnsi="Times New Roman" w:cs="Times New Roman"/>
          <w:sz w:val="28"/>
          <w:szCs w:val="28"/>
          <w:lang w:val="kk-KZ"/>
          <w14:ligatures w14:val="standardContextual"/>
        </w:rPr>
        <w:t xml:space="preserve">F-FDG PET/CT) in malignant ovarian germ cell tumors: a single-center experience with long term follow-up.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International Journal of Gynecological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201</w:t>
      </w:r>
      <w:r w:rsidRPr="005E463D">
        <w:rPr>
          <w:rFonts w:ascii="Times New Roman" w:hAnsi="Times New Roman" w:cs="Times New Roman"/>
          <w:sz w:val="28"/>
          <w:szCs w:val="28"/>
          <w:lang w:val="en-US"/>
          <w14:ligatures w14:val="standardContextual"/>
        </w:rPr>
        <w:t>9</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29</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8</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1298-1303</w:t>
      </w:r>
      <w:r w:rsidRPr="005E463D">
        <w:rPr>
          <w:rFonts w:ascii="Times New Roman" w:hAnsi="Times New Roman" w:cs="Times New Roman"/>
          <w:sz w:val="28"/>
          <w:szCs w:val="28"/>
          <w:lang w:val="kk-KZ"/>
          <w14:ligatures w14:val="standardContextual"/>
        </w:rPr>
        <w:t>.</w:t>
      </w:r>
    </w:p>
    <w:p w14:paraId="62EB5A12"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13</w:t>
      </w:r>
      <w:r w:rsidRPr="005E463D">
        <w:rPr>
          <w:rFonts w:ascii="Times New Roman" w:hAnsi="Times New Roman" w:cs="Times New Roman"/>
          <w:sz w:val="28"/>
          <w:szCs w:val="28"/>
          <w:lang w:val="en-US"/>
          <w14:ligatures w14:val="standardContextual"/>
        </w:rPr>
        <w:t xml:space="preserve"> Gauthé M., Richard-Molard M., Cacheux W., Michel P., Jouve J.L., Mitry E., et al. </w:t>
      </w:r>
      <w:r w:rsidRPr="005E463D">
        <w:rPr>
          <w:rFonts w:ascii="Times New Roman" w:hAnsi="Times New Roman" w:cs="Times New Roman"/>
          <w:sz w:val="28"/>
          <w:szCs w:val="28"/>
          <w:lang w:val="kk-KZ"/>
          <w14:ligatures w14:val="standardContextual"/>
        </w:rPr>
        <w:t xml:space="preserve">Role of fluorine 18 fluorodeoxyglucose positron emission tomography/computed tomography in gastrointestinal cancers.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Digestive and Liver Disease.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2015. - Vol. </w:t>
      </w:r>
      <w:r w:rsidRPr="005E463D">
        <w:rPr>
          <w:rFonts w:ascii="Times New Roman" w:hAnsi="Times New Roman" w:cs="Times New Roman"/>
          <w:sz w:val="28"/>
          <w:szCs w:val="28"/>
          <w:lang w:val="en-US"/>
          <w14:ligatures w14:val="standardContextual"/>
        </w:rPr>
        <w:t>47</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6</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443-454</w:t>
      </w:r>
      <w:r w:rsidRPr="005E463D">
        <w:rPr>
          <w:rFonts w:ascii="Times New Roman" w:hAnsi="Times New Roman" w:cs="Times New Roman"/>
          <w:sz w:val="28"/>
          <w:szCs w:val="28"/>
          <w:lang w:val="kk-KZ"/>
          <w14:ligatures w14:val="standardContextual"/>
        </w:rPr>
        <w:t>.</w:t>
      </w:r>
    </w:p>
    <w:p w14:paraId="79EB4318"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lastRenderedPageBreak/>
        <w:t>14 Hicks 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Mac Manus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P. </w:t>
      </w:r>
      <w:r w:rsidRPr="00407D16">
        <w:rPr>
          <w:rFonts w:ascii="Times New Roman" w:hAnsi="Times New Roman" w:cs="Times New Roman"/>
          <w:sz w:val="28"/>
          <w:szCs w:val="28"/>
          <w:vertAlign w:val="superscript"/>
          <w:lang w:val="kk-KZ"/>
          <w14:ligatures w14:val="standardContextual"/>
        </w:rPr>
        <w:t>18</w:t>
      </w:r>
      <w:r w:rsidRPr="005E463D">
        <w:rPr>
          <w:rFonts w:ascii="Times New Roman" w:hAnsi="Times New Roman" w:cs="Times New Roman"/>
          <w:sz w:val="28"/>
          <w:szCs w:val="28"/>
          <w:lang w:val="kk-KZ"/>
          <w14:ligatures w14:val="standardContextual"/>
        </w:rPr>
        <w:t xml:space="preserve">F-FDG PET in candidates for radiation therapy: is it important and how do we validate its impact?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Journal of Nuclear Medicine.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03</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44</w:t>
      </w:r>
      <w:r w:rsidRPr="005E463D">
        <w:rPr>
          <w:rFonts w:ascii="Times New Roman" w:hAnsi="Times New Roman" w:cs="Times New Roman"/>
          <w:sz w:val="28"/>
          <w:szCs w:val="28"/>
          <w:lang w:val="kk-KZ"/>
          <w14:ligatures w14:val="standardContextual"/>
        </w:rPr>
        <w:t xml:space="preserve">, №1. – Р. </w:t>
      </w:r>
      <w:r w:rsidRPr="005E463D">
        <w:rPr>
          <w:rFonts w:ascii="Times New Roman" w:hAnsi="Times New Roman" w:cs="Times New Roman"/>
          <w:sz w:val="28"/>
          <w:szCs w:val="28"/>
          <w:lang w:val="en-US"/>
          <w14:ligatures w14:val="standardContextual"/>
        </w:rPr>
        <w:t>30-32</w:t>
      </w:r>
      <w:r w:rsidRPr="005E463D">
        <w:rPr>
          <w:rFonts w:ascii="Times New Roman" w:hAnsi="Times New Roman" w:cs="Times New Roman"/>
          <w:sz w:val="28"/>
          <w:szCs w:val="28"/>
          <w:lang w:val="kk-KZ"/>
          <w14:ligatures w14:val="standardContextual"/>
        </w:rPr>
        <w:t>.</w:t>
      </w:r>
    </w:p>
    <w:p w14:paraId="5179F8C3"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15</w:t>
      </w:r>
      <w:r w:rsidRPr="005E463D">
        <w:rPr>
          <w:rFonts w:ascii="Times New Roman" w:hAnsi="Times New Roman" w:cs="Times New Roman"/>
          <w:sz w:val="28"/>
          <w:szCs w:val="28"/>
          <w:lang w:val="en-US"/>
          <w14:ligatures w14:val="standardContextual"/>
        </w:rPr>
        <w:t xml:space="preserve"> Jörg L., Heinisch M., Rechberger E., Kurz F., Klug R., Aufschnaiter M., et al. </w:t>
      </w:r>
      <w:r w:rsidRPr="005E463D">
        <w:rPr>
          <w:rFonts w:ascii="Times New Roman" w:hAnsi="Times New Roman" w:cs="Times New Roman"/>
          <w:sz w:val="28"/>
          <w:szCs w:val="28"/>
          <w:lang w:val="kk-KZ"/>
          <w14:ligatures w14:val="standardContextual"/>
        </w:rPr>
        <w:t>[</w:t>
      </w:r>
      <w:r w:rsidRPr="00407D16">
        <w:rPr>
          <w:rFonts w:ascii="Times New Roman" w:hAnsi="Times New Roman" w:cs="Times New Roman"/>
          <w:sz w:val="28"/>
          <w:szCs w:val="28"/>
          <w:vertAlign w:val="superscript"/>
          <w:lang w:val="kk-KZ"/>
          <w14:ligatures w14:val="standardContextual"/>
        </w:rPr>
        <w:t>18</w:t>
      </w:r>
      <w:r w:rsidRPr="005E463D">
        <w:rPr>
          <w:rFonts w:ascii="Times New Roman" w:hAnsi="Times New Roman" w:cs="Times New Roman"/>
          <w:sz w:val="28"/>
          <w:szCs w:val="28"/>
          <w:lang w:val="kk-KZ"/>
          <w14:ligatures w14:val="standardContextual"/>
        </w:rPr>
        <w:t xml:space="preserve">F-fluorodeoxyglucose positron emission tomography in colorectal cancer: value in primary staging and follow-up].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Acta Med</w:t>
      </w:r>
      <w:r w:rsidRPr="005E463D">
        <w:rPr>
          <w:rFonts w:ascii="Times New Roman" w:hAnsi="Times New Roman" w:cs="Times New Roman"/>
          <w:sz w:val="28"/>
          <w:szCs w:val="28"/>
          <w:lang w:val="en-US"/>
          <w14:ligatures w14:val="standardContextual"/>
        </w:rPr>
        <w:t>ica</w:t>
      </w:r>
      <w:r w:rsidRPr="005E463D">
        <w:rPr>
          <w:rFonts w:ascii="Times New Roman" w:hAnsi="Times New Roman" w:cs="Times New Roman"/>
          <w:sz w:val="28"/>
          <w:szCs w:val="28"/>
          <w:lang w:val="kk-KZ"/>
          <w14:ligatures w14:val="standardContextual"/>
        </w:rPr>
        <w:t xml:space="preserve"> Austriaca.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02</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29</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5</w:t>
      </w:r>
      <w:r w:rsidRPr="005E463D">
        <w:rPr>
          <w:rFonts w:ascii="Times New Roman" w:hAnsi="Times New Roman" w:cs="Times New Roman"/>
          <w:sz w:val="28"/>
          <w:szCs w:val="28"/>
          <w:lang w:val="kk-KZ"/>
          <w14:ligatures w14:val="standardContextual"/>
        </w:rPr>
        <w:t>. – Р. 1</w:t>
      </w:r>
      <w:r w:rsidRPr="005E463D">
        <w:rPr>
          <w:rFonts w:ascii="Times New Roman" w:hAnsi="Times New Roman" w:cs="Times New Roman"/>
          <w:sz w:val="28"/>
          <w:szCs w:val="28"/>
          <w:lang w:val="en-US"/>
          <w14:ligatures w14:val="standardContextual"/>
        </w:rPr>
        <w:t>76-179</w:t>
      </w:r>
      <w:r w:rsidRPr="005E463D">
        <w:rPr>
          <w:rFonts w:ascii="Times New Roman" w:hAnsi="Times New Roman" w:cs="Times New Roman"/>
          <w:sz w:val="28"/>
          <w:szCs w:val="28"/>
          <w:lang w:val="kk-KZ"/>
          <w14:ligatures w14:val="standardContextual"/>
        </w:rPr>
        <w:t>.</w:t>
      </w:r>
    </w:p>
    <w:p w14:paraId="4F493338"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16 van Kouwen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Nagengast F</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Jansen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B</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Oyen W</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G</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Drenth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P</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H. 2-(</w:t>
      </w:r>
      <w:r w:rsidRPr="00407D16">
        <w:rPr>
          <w:rFonts w:ascii="Times New Roman" w:hAnsi="Times New Roman" w:cs="Times New Roman"/>
          <w:sz w:val="28"/>
          <w:szCs w:val="28"/>
          <w:vertAlign w:val="superscript"/>
          <w:lang w:val="kk-KZ"/>
          <w14:ligatures w14:val="standardContextual"/>
        </w:rPr>
        <w:t>18</w:t>
      </w:r>
      <w:r w:rsidRPr="005E463D">
        <w:rPr>
          <w:rFonts w:ascii="Times New Roman" w:hAnsi="Times New Roman" w:cs="Times New Roman"/>
          <w:sz w:val="28"/>
          <w:szCs w:val="28"/>
          <w:lang w:val="kk-KZ"/>
          <w14:ligatures w14:val="standardContextual"/>
        </w:rPr>
        <w:t xml:space="preserve">F)-fluoro-2-deoxy-D-glucose positron emission tomography detects clinical relevant adenomas of the colon: a prospective study.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Journal of Clinical Oncology.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w:t>
      </w:r>
      <w:r w:rsidRPr="005E463D">
        <w:rPr>
          <w:rFonts w:ascii="Times New Roman" w:hAnsi="Times New Roman" w:cs="Times New Roman"/>
          <w:sz w:val="28"/>
          <w:szCs w:val="28"/>
          <w:lang w:val="kk-KZ"/>
          <w14:ligatures w14:val="standardContextual"/>
        </w:rPr>
        <w:t xml:space="preserve">5. - Vol. </w:t>
      </w:r>
      <w:r w:rsidRPr="005E463D">
        <w:rPr>
          <w:rFonts w:ascii="Times New Roman" w:hAnsi="Times New Roman" w:cs="Times New Roman"/>
          <w:sz w:val="28"/>
          <w:szCs w:val="28"/>
          <w:lang w:val="en-US"/>
          <w14:ligatures w14:val="standardContextual"/>
        </w:rPr>
        <w:t>23</w:t>
      </w:r>
      <w:r w:rsidRPr="005E463D">
        <w:rPr>
          <w:rFonts w:ascii="Times New Roman" w:hAnsi="Times New Roman" w:cs="Times New Roman"/>
          <w:sz w:val="28"/>
          <w:szCs w:val="28"/>
          <w:lang w:val="kk-KZ"/>
          <w14:ligatures w14:val="standardContextual"/>
        </w:rPr>
        <w:t>, №1</w:t>
      </w:r>
      <w:r w:rsidRPr="005E463D">
        <w:rPr>
          <w:rFonts w:ascii="Times New Roman" w:hAnsi="Times New Roman" w:cs="Times New Roman"/>
          <w:sz w:val="28"/>
          <w:szCs w:val="28"/>
          <w:lang w:val="en-US"/>
          <w14:ligatures w14:val="standardContextual"/>
        </w:rPr>
        <w:t>6</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3713-3717</w:t>
      </w:r>
      <w:r w:rsidRPr="005E463D">
        <w:rPr>
          <w:rFonts w:ascii="Times New Roman" w:hAnsi="Times New Roman" w:cs="Times New Roman"/>
          <w:sz w:val="28"/>
          <w:szCs w:val="28"/>
          <w:lang w:val="kk-KZ"/>
          <w14:ligatures w14:val="standardContextual"/>
        </w:rPr>
        <w:t>.</w:t>
      </w:r>
    </w:p>
    <w:p w14:paraId="463ED824"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17 Liu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Feng Z</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Wen 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Jiang Z</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Pan 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Deng Y</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w:t>
      </w:r>
      <w:r w:rsidRPr="00407D16">
        <w:rPr>
          <w:rFonts w:ascii="Times New Roman" w:hAnsi="Times New Roman" w:cs="Times New Roman"/>
          <w:sz w:val="28"/>
          <w:szCs w:val="28"/>
          <w:vertAlign w:val="superscript"/>
          <w:lang w:val="kk-KZ"/>
          <w14:ligatures w14:val="standardContextual"/>
        </w:rPr>
        <w:t>18</w:t>
      </w:r>
      <w:r w:rsidRPr="005E463D">
        <w:rPr>
          <w:rFonts w:ascii="Times New Roman" w:hAnsi="Times New Roman" w:cs="Times New Roman"/>
          <w:sz w:val="28"/>
          <w:szCs w:val="28"/>
          <w:lang w:val="kk-KZ"/>
          <w14:ligatures w14:val="standardContextual"/>
        </w:rPr>
        <w:t xml:space="preserve">F-FDG PET/CT can predict chemosensitivity and proliferation of epithelial ovarian cancer via SUVmax value.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Japanese Journal of Radiology.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201</w:t>
      </w:r>
      <w:r w:rsidRPr="005E463D">
        <w:rPr>
          <w:rFonts w:ascii="Times New Roman" w:hAnsi="Times New Roman" w:cs="Times New Roman"/>
          <w:sz w:val="28"/>
          <w:szCs w:val="28"/>
          <w:lang w:val="en-US"/>
          <w14:ligatures w14:val="standardContextual"/>
        </w:rPr>
        <w:t>8</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36</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9</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544-550</w:t>
      </w:r>
      <w:r w:rsidRPr="005E463D">
        <w:rPr>
          <w:rFonts w:ascii="Times New Roman" w:hAnsi="Times New Roman" w:cs="Times New Roman"/>
          <w:sz w:val="28"/>
          <w:szCs w:val="28"/>
          <w:lang w:val="kk-KZ"/>
          <w14:ligatures w14:val="standardContextual"/>
        </w:rPr>
        <w:t>.</w:t>
      </w:r>
    </w:p>
    <w:p w14:paraId="73F6AD06" w14:textId="7228E2C1"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18</w:t>
      </w:r>
      <w:r w:rsidRPr="005E463D">
        <w:rPr>
          <w:rFonts w:ascii="Times New Roman" w:hAnsi="Times New Roman" w:cs="Times New Roman"/>
          <w:sz w:val="28"/>
          <w:szCs w:val="28"/>
          <w:lang w:val="en-US"/>
          <w14:ligatures w14:val="standardContextual"/>
        </w:rPr>
        <w:t xml:space="preserve"> Lopez-Lopez V., Robles R., Brusadin R., López Conesa A., Torres J., Perez Flores D., et al. </w:t>
      </w:r>
      <w:r w:rsidRPr="005E463D">
        <w:rPr>
          <w:rFonts w:ascii="Times New Roman" w:hAnsi="Times New Roman" w:cs="Times New Roman"/>
          <w:sz w:val="28"/>
          <w:szCs w:val="28"/>
          <w:lang w:val="kk-KZ"/>
          <w14:ligatures w14:val="standardContextual"/>
        </w:rPr>
        <w:t xml:space="preserve">Role of </w:t>
      </w:r>
      <w:r w:rsidRPr="00407D16">
        <w:rPr>
          <w:rFonts w:ascii="Times New Roman" w:hAnsi="Times New Roman" w:cs="Times New Roman"/>
          <w:sz w:val="28"/>
          <w:szCs w:val="28"/>
          <w:vertAlign w:val="superscript"/>
          <w:lang w:val="kk-KZ"/>
          <w14:ligatures w14:val="standardContextual"/>
        </w:rPr>
        <w:t>18</w:t>
      </w:r>
      <w:r w:rsidRPr="005E463D">
        <w:rPr>
          <w:rFonts w:ascii="Times New Roman" w:hAnsi="Times New Roman" w:cs="Times New Roman"/>
          <w:sz w:val="28"/>
          <w:szCs w:val="28"/>
          <w:lang w:val="kk-KZ"/>
          <w14:ligatures w14:val="standardContextual"/>
        </w:rPr>
        <w:t xml:space="preserve">F-FDG PET/CT vs CT-scan in patients with pulmonary metastases previously operated on for colorectal liver metastases.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The British Journal of Radiology.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201</w:t>
      </w:r>
      <w:r w:rsidRPr="005E463D">
        <w:rPr>
          <w:rFonts w:ascii="Times New Roman" w:hAnsi="Times New Roman" w:cs="Times New Roman"/>
          <w:sz w:val="28"/>
          <w:szCs w:val="28"/>
          <w:lang w:val="en-US"/>
          <w14:ligatures w14:val="standardContextual"/>
        </w:rPr>
        <w:t>8</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9</w:t>
      </w:r>
      <w:r w:rsidRPr="005E463D">
        <w:rPr>
          <w:rFonts w:ascii="Times New Roman" w:hAnsi="Times New Roman" w:cs="Times New Roman"/>
          <w:sz w:val="28"/>
          <w:szCs w:val="28"/>
          <w:lang w:val="kk-KZ"/>
          <w14:ligatures w14:val="standardContextual"/>
        </w:rPr>
        <w:t>1, №1</w:t>
      </w:r>
      <w:r w:rsidRPr="005E463D">
        <w:rPr>
          <w:rFonts w:ascii="Times New Roman" w:hAnsi="Times New Roman" w:cs="Times New Roman"/>
          <w:sz w:val="28"/>
          <w:szCs w:val="28"/>
          <w:lang w:val="en-US"/>
          <w14:ligatures w14:val="standardContextual"/>
        </w:rPr>
        <w:t>081</w:t>
      </w:r>
      <w:r w:rsidRPr="005E463D">
        <w:rPr>
          <w:rFonts w:ascii="Times New Roman" w:hAnsi="Times New Roman" w:cs="Times New Roman"/>
          <w:sz w:val="28"/>
          <w:szCs w:val="28"/>
          <w:lang w:val="kk-KZ"/>
          <w14:ligatures w14:val="standardContextual"/>
        </w:rPr>
        <w:t>. – 20170216</w:t>
      </w:r>
      <w:r w:rsidR="00A75E97">
        <w:rPr>
          <w:rFonts w:ascii="Times New Roman" w:hAnsi="Times New Roman" w:cs="Times New Roman"/>
          <w:sz w:val="28"/>
          <w:szCs w:val="28"/>
          <w:lang w:val="en-US"/>
          <w14:ligatures w14:val="standardContextual"/>
        </w:rPr>
        <w:t xml:space="preserve"> p</w:t>
      </w:r>
      <w:r w:rsidRPr="005E463D">
        <w:rPr>
          <w:rFonts w:ascii="Times New Roman" w:hAnsi="Times New Roman" w:cs="Times New Roman"/>
          <w:sz w:val="28"/>
          <w:szCs w:val="28"/>
          <w:lang w:val="kk-KZ"/>
          <w14:ligatures w14:val="standardContextual"/>
        </w:rPr>
        <w:t>.</w:t>
      </w:r>
    </w:p>
    <w:p w14:paraId="5958B81D"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19 Moehler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Dimitrakopoulou-Strauss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Gutzler F</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Raeth U</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Strauss L</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G</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Stremmel W. </w:t>
      </w:r>
      <w:r w:rsidRPr="00407D16">
        <w:rPr>
          <w:rFonts w:ascii="Times New Roman" w:hAnsi="Times New Roman" w:cs="Times New Roman"/>
          <w:sz w:val="28"/>
          <w:szCs w:val="28"/>
          <w:vertAlign w:val="superscript"/>
          <w:lang w:val="kk-KZ"/>
          <w14:ligatures w14:val="standardContextual"/>
        </w:rPr>
        <w:t>18</w:t>
      </w:r>
      <w:r w:rsidRPr="005E463D">
        <w:rPr>
          <w:rFonts w:ascii="Times New Roman" w:hAnsi="Times New Roman" w:cs="Times New Roman"/>
          <w:sz w:val="28"/>
          <w:szCs w:val="28"/>
          <w:lang w:val="kk-KZ"/>
          <w14:ligatures w14:val="standardContextual"/>
        </w:rPr>
        <w:t xml:space="preserve">F-labeled fluorouracil positron emission tomography and the prognoses of colorectal carcinoma patients with metastases to the liver treated with 5-fluorouracil.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1</w:t>
      </w:r>
      <w:r w:rsidRPr="005E463D">
        <w:rPr>
          <w:rFonts w:ascii="Times New Roman" w:hAnsi="Times New Roman" w:cs="Times New Roman"/>
          <w:sz w:val="28"/>
          <w:szCs w:val="28"/>
          <w:lang w:val="en-US"/>
          <w14:ligatures w14:val="standardContextual"/>
        </w:rPr>
        <w:t>998</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83</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2</w:t>
      </w:r>
      <w:r w:rsidRPr="005E463D">
        <w:rPr>
          <w:rFonts w:ascii="Times New Roman" w:hAnsi="Times New Roman" w:cs="Times New Roman"/>
          <w:sz w:val="28"/>
          <w:szCs w:val="28"/>
          <w:lang w:val="kk-KZ"/>
          <w14:ligatures w14:val="standardContextual"/>
        </w:rPr>
        <w:t>. – Р. 245–</w:t>
      </w:r>
      <w:r w:rsidRPr="005E463D">
        <w:rPr>
          <w:rFonts w:ascii="Times New Roman" w:hAnsi="Times New Roman" w:cs="Times New Roman"/>
          <w:sz w:val="28"/>
          <w:szCs w:val="28"/>
          <w:lang w:val="en-US"/>
          <w14:ligatures w14:val="standardContextual"/>
        </w:rPr>
        <w:t>2</w:t>
      </w:r>
      <w:r w:rsidRPr="005E463D">
        <w:rPr>
          <w:rFonts w:ascii="Times New Roman" w:hAnsi="Times New Roman" w:cs="Times New Roman"/>
          <w:sz w:val="28"/>
          <w:szCs w:val="28"/>
          <w:lang w:val="kk-KZ"/>
          <w14:ligatures w14:val="standardContextual"/>
        </w:rPr>
        <w:t>53.</w:t>
      </w:r>
    </w:p>
    <w:p w14:paraId="3B9C10F8"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20 Surasi D</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Bhambhvani P</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Baldwin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Almodovar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E</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O’Malley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P. </w:t>
      </w:r>
      <w:r w:rsidRPr="005E463D">
        <w:rPr>
          <w:rFonts w:ascii="Times New Roman" w:hAnsi="Times New Roman" w:cs="Times New Roman"/>
          <w:sz w:val="28"/>
          <w:szCs w:val="28"/>
          <w:vertAlign w:val="superscript"/>
          <w:lang w:val="kk-KZ"/>
          <w14:ligatures w14:val="standardContextual"/>
        </w:rPr>
        <w:t>18</w:t>
      </w:r>
      <w:r w:rsidRPr="005E463D">
        <w:rPr>
          <w:rFonts w:ascii="Times New Roman" w:hAnsi="Times New Roman" w:cs="Times New Roman"/>
          <w:sz w:val="28"/>
          <w:szCs w:val="28"/>
          <w:lang w:val="kk-KZ"/>
          <w14:ligatures w14:val="standardContextual"/>
        </w:rPr>
        <w:t xml:space="preserve">F-FDG PET and PET/CT patient preparation: a review of the literature.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Journal of Nuclear Medicine Technology.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201</w:t>
      </w:r>
      <w:r w:rsidRPr="005E463D">
        <w:rPr>
          <w:rFonts w:ascii="Times New Roman" w:hAnsi="Times New Roman" w:cs="Times New Roman"/>
          <w:sz w:val="28"/>
          <w:szCs w:val="28"/>
          <w:lang w:val="en-US"/>
          <w14:ligatures w14:val="standardContextual"/>
        </w:rPr>
        <w:t>4</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42</w:t>
      </w:r>
      <w:r w:rsidRPr="005E463D">
        <w:rPr>
          <w:rFonts w:ascii="Times New Roman" w:hAnsi="Times New Roman" w:cs="Times New Roman"/>
          <w:sz w:val="28"/>
          <w:szCs w:val="28"/>
          <w:lang w:val="kk-KZ"/>
          <w14:ligatures w14:val="standardContextual"/>
        </w:rPr>
        <w:t>, №1. – Р. 5–13.</w:t>
      </w:r>
    </w:p>
    <w:p w14:paraId="6D43CB2A"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21</w:t>
      </w:r>
      <w:r w:rsidRPr="005E463D">
        <w:rPr>
          <w:rFonts w:ascii="Times New Roman" w:hAnsi="Times New Roman" w:cs="Times New Roman"/>
          <w:sz w:val="28"/>
          <w:szCs w:val="28"/>
          <w:lang w:val="en-US"/>
          <w14:ligatures w14:val="standardContextual"/>
        </w:rPr>
        <w:t xml:space="preserve"> Vallius T., Peter A., Auranen A., Carpén O., Kemppainen J., Matomäki J., et al. </w:t>
      </w:r>
      <w:r w:rsidRPr="00407D16">
        <w:rPr>
          <w:rFonts w:ascii="Times New Roman" w:hAnsi="Times New Roman" w:cs="Times New Roman"/>
          <w:sz w:val="28"/>
          <w:szCs w:val="28"/>
          <w:vertAlign w:val="superscript"/>
          <w:lang w:val="en-US"/>
          <w14:ligatures w14:val="standardContextual"/>
        </w:rPr>
        <w:t>18</w:t>
      </w:r>
      <w:r w:rsidRPr="005E463D">
        <w:rPr>
          <w:rFonts w:ascii="Times New Roman" w:hAnsi="Times New Roman" w:cs="Times New Roman"/>
          <w:sz w:val="28"/>
          <w:szCs w:val="28"/>
          <w:lang w:val="en-US"/>
          <w14:ligatures w14:val="standardContextual"/>
        </w:rPr>
        <w:t xml:space="preserve">F-FDG-PET/CT can identify histopathological non-responders to platinum-based neoadjuvant chemotherapy in advanced epithelial ovarian cancer. // Gynecologic Oncology. - </w:t>
      </w:r>
      <w:r w:rsidRPr="005E463D">
        <w:rPr>
          <w:rFonts w:ascii="Times New Roman" w:hAnsi="Times New Roman" w:cs="Times New Roman"/>
          <w:sz w:val="28"/>
          <w:szCs w:val="28"/>
          <w:lang w:val="kk-KZ"/>
          <w14:ligatures w14:val="standardContextual"/>
        </w:rPr>
        <w:t>201</w:t>
      </w:r>
      <w:r w:rsidRPr="005E463D">
        <w:rPr>
          <w:rFonts w:ascii="Times New Roman" w:hAnsi="Times New Roman" w:cs="Times New Roman"/>
          <w:sz w:val="28"/>
          <w:szCs w:val="28"/>
          <w:lang w:val="en-US"/>
          <w14:ligatures w14:val="standardContextual"/>
        </w:rPr>
        <w:t>6</w:t>
      </w:r>
      <w:r w:rsidRPr="005E463D">
        <w:rPr>
          <w:rFonts w:ascii="Times New Roman" w:hAnsi="Times New Roman" w:cs="Times New Roman"/>
          <w:sz w:val="28"/>
          <w:szCs w:val="28"/>
          <w:lang w:val="kk-KZ"/>
          <w14:ligatures w14:val="standardContextual"/>
        </w:rPr>
        <w:t>. - Vol. 1</w:t>
      </w:r>
      <w:r w:rsidRPr="005E463D">
        <w:rPr>
          <w:rFonts w:ascii="Times New Roman" w:hAnsi="Times New Roman" w:cs="Times New Roman"/>
          <w:sz w:val="28"/>
          <w:szCs w:val="28"/>
          <w:lang w:val="en-US"/>
          <w14:ligatures w14:val="standardContextual"/>
        </w:rPr>
        <w:t>40</w:t>
      </w:r>
      <w:r w:rsidRPr="005E463D">
        <w:rPr>
          <w:rFonts w:ascii="Times New Roman" w:hAnsi="Times New Roman" w:cs="Times New Roman"/>
          <w:sz w:val="28"/>
          <w:szCs w:val="28"/>
          <w:lang w:val="kk-KZ"/>
          <w14:ligatures w14:val="standardContextual"/>
        </w:rPr>
        <w:t xml:space="preserve">, №1. – Р. </w:t>
      </w:r>
      <w:r w:rsidRPr="005E463D">
        <w:rPr>
          <w:rFonts w:ascii="Times New Roman" w:hAnsi="Times New Roman" w:cs="Times New Roman"/>
          <w:sz w:val="28"/>
          <w:szCs w:val="28"/>
          <w:lang w:val="en-US"/>
          <w14:ligatures w14:val="standardContextual"/>
        </w:rPr>
        <w:t>29–35.</w:t>
      </w:r>
    </w:p>
    <w:p w14:paraId="5CD5F8A0"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22</w:t>
      </w:r>
      <w:r w:rsidRPr="005E463D">
        <w:rPr>
          <w:rFonts w:ascii="Times New Roman" w:hAnsi="Times New Roman" w:cs="Times New Roman"/>
          <w:sz w:val="28"/>
          <w:szCs w:val="28"/>
          <w:lang w:val="en-US"/>
          <w14:ligatures w14:val="standardContextual"/>
        </w:rPr>
        <w:t xml:space="preserve"> Vallius T., Hynninen J., Kemppainen J., Alves V., Auranen K., Matomäki J., et al. </w:t>
      </w:r>
      <w:r w:rsidRPr="00407D16">
        <w:rPr>
          <w:rFonts w:ascii="Times New Roman" w:hAnsi="Times New Roman" w:cs="Times New Roman"/>
          <w:sz w:val="28"/>
          <w:szCs w:val="28"/>
          <w:vertAlign w:val="superscript"/>
          <w:lang w:val="en-US"/>
          <w14:ligatures w14:val="standardContextual"/>
        </w:rPr>
        <w:t>18</w:t>
      </w:r>
      <w:r w:rsidRPr="005E463D">
        <w:rPr>
          <w:rFonts w:ascii="Times New Roman" w:hAnsi="Times New Roman" w:cs="Times New Roman"/>
          <w:sz w:val="28"/>
          <w:szCs w:val="28"/>
          <w:lang w:val="en-US"/>
          <w14:ligatures w14:val="standardContextual"/>
        </w:rPr>
        <w:t xml:space="preserve">F-FDG-PET/CT based total metabolic tumor volume change during neoadjuvant chemotherapy predicts outcome in advanced epithelial ovarian cancer. // European Journal of Nuclear Medicine and Molecular Imaging. - </w:t>
      </w:r>
      <w:r w:rsidRPr="005E463D">
        <w:rPr>
          <w:rFonts w:ascii="Times New Roman" w:hAnsi="Times New Roman" w:cs="Times New Roman"/>
          <w:sz w:val="28"/>
          <w:szCs w:val="28"/>
          <w:lang w:val="kk-KZ"/>
          <w14:ligatures w14:val="standardContextual"/>
        </w:rPr>
        <w:t>201</w:t>
      </w:r>
      <w:r w:rsidRPr="005E463D">
        <w:rPr>
          <w:rFonts w:ascii="Times New Roman" w:hAnsi="Times New Roman" w:cs="Times New Roman"/>
          <w:sz w:val="28"/>
          <w:szCs w:val="28"/>
          <w:lang w:val="en-US"/>
          <w14:ligatures w14:val="standardContextual"/>
        </w:rPr>
        <w:t>8</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4</w:t>
      </w:r>
      <w:r w:rsidRPr="005E463D">
        <w:rPr>
          <w:rFonts w:ascii="Times New Roman" w:hAnsi="Times New Roman" w:cs="Times New Roman"/>
          <w:sz w:val="28"/>
          <w:szCs w:val="28"/>
          <w:lang w:val="kk-KZ"/>
          <w14:ligatures w14:val="standardContextual"/>
        </w:rPr>
        <w:t>5, №</w:t>
      </w:r>
      <w:r w:rsidRPr="005E463D">
        <w:rPr>
          <w:rFonts w:ascii="Times New Roman" w:hAnsi="Times New Roman" w:cs="Times New Roman"/>
          <w:sz w:val="28"/>
          <w:szCs w:val="28"/>
          <w:lang w:val="en-US"/>
          <w14:ligatures w14:val="standardContextual"/>
        </w:rPr>
        <w:t>7</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1224–1232.</w:t>
      </w:r>
    </w:p>
    <w:p w14:paraId="17B00165"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23 Wiering B</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Ruers T</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Oyen W</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G. Role of FDG-PET in the diagnosis and treatment of colorectal liver metastases.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Expert Review of Anticancer Therapy.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04</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4</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4</w:t>
      </w:r>
      <w:r w:rsidRPr="005E463D">
        <w:rPr>
          <w:rFonts w:ascii="Times New Roman" w:hAnsi="Times New Roman" w:cs="Times New Roman"/>
          <w:sz w:val="28"/>
          <w:szCs w:val="28"/>
          <w:lang w:val="kk-KZ"/>
          <w14:ligatures w14:val="standardContextual"/>
        </w:rPr>
        <w:t>. – Р. 607–</w:t>
      </w:r>
      <w:r w:rsidRPr="005E463D">
        <w:rPr>
          <w:rFonts w:ascii="Times New Roman" w:hAnsi="Times New Roman" w:cs="Times New Roman"/>
          <w:sz w:val="28"/>
          <w:szCs w:val="28"/>
          <w:lang w:val="en-US"/>
          <w14:ligatures w14:val="standardContextual"/>
        </w:rPr>
        <w:t>6</w:t>
      </w:r>
      <w:r w:rsidRPr="005E463D">
        <w:rPr>
          <w:rFonts w:ascii="Times New Roman" w:hAnsi="Times New Roman" w:cs="Times New Roman"/>
          <w:sz w:val="28"/>
          <w:szCs w:val="28"/>
          <w:lang w:val="kk-KZ"/>
          <w14:ligatures w14:val="standardContextual"/>
        </w:rPr>
        <w:t>13.</w:t>
      </w:r>
    </w:p>
    <w:p w14:paraId="56324F6A"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24</w:t>
      </w:r>
      <w:r w:rsidRPr="005E463D">
        <w:rPr>
          <w:rFonts w:ascii="Times New Roman" w:hAnsi="Times New Roman" w:cs="Times New Roman"/>
          <w:sz w:val="28"/>
          <w:szCs w:val="28"/>
          <w:lang w:val="en-US"/>
          <w14:ligatures w14:val="standardContextual"/>
        </w:rPr>
        <w:t xml:space="preserve"> Akay S., Urkan M., Balyemez U., Erşen M., Taşar M. Is visceral obesity associated with colorectal cancer? The first volumetric study </w:t>
      </w:r>
      <w:r w:rsidRPr="005E463D">
        <w:rPr>
          <w:rFonts w:ascii="Times New Roman" w:hAnsi="Times New Roman" w:cs="Times New Roman"/>
          <w:sz w:val="28"/>
          <w:szCs w:val="28"/>
          <w:lang w:val="kk-KZ"/>
          <w14:ligatures w14:val="standardContextual"/>
        </w:rPr>
        <w:t xml:space="preserve">using all CT slices.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Diagnostic and Interventional Radiology.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201</w:t>
      </w:r>
      <w:r w:rsidRPr="005E463D">
        <w:rPr>
          <w:rFonts w:ascii="Times New Roman" w:hAnsi="Times New Roman" w:cs="Times New Roman"/>
          <w:sz w:val="28"/>
          <w:szCs w:val="28"/>
          <w:lang w:val="en-US"/>
          <w14:ligatures w14:val="standardContextual"/>
        </w:rPr>
        <w:t>9</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2</w:t>
      </w:r>
      <w:r w:rsidRPr="005E463D">
        <w:rPr>
          <w:rFonts w:ascii="Times New Roman" w:hAnsi="Times New Roman" w:cs="Times New Roman"/>
          <w:sz w:val="28"/>
          <w:szCs w:val="28"/>
          <w:lang w:val="kk-KZ"/>
          <w14:ligatures w14:val="standardContextual"/>
        </w:rPr>
        <w:t>5, №</w:t>
      </w:r>
      <w:r w:rsidRPr="005E463D">
        <w:rPr>
          <w:rFonts w:ascii="Times New Roman" w:hAnsi="Times New Roman" w:cs="Times New Roman"/>
          <w:sz w:val="28"/>
          <w:szCs w:val="28"/>
          <w:lang w:val="en-US"/>
          <w14:ligatures w14:val="standardContextual"/>
        </w:rPr>
        <w:t>5</w:t>
      </w:r>
      <w:r w:rsidRPr="005E463D">
        <w:rPr>
          <w:rFonts w:ascii="Times New Roman" w:hAnsi="Times New Roman" w:cs="Times New Roman"/>
          <w:sz w:val="28"/>
          <w:szCs w:val="28"/>
          <w:lang w:val="kk-KZ"/>
          <w14:ligatures w14:val="standardContextual"/>
        </w:rPr>
        <w:t>. – Р. 338–</w:t>
      </w:r>
      <w:r w:rsidRPr="005E463D">
        <w:rPr>
          <w:rFonts w:ascii="Times New Roman" w:hAnsi="Times New Roman" w:cs="Times New Roman"/>
          <w:sz w:val="28"/>
          <w:szCs w:val="28"/>
          <w:lang w:val="en-US"/>
          <w14:ligatures w14:val="standardContextual"/>
        </w:rPr>
        <w:t>3</w:t>
      </w:r>
      <w:r w:rsidRPr="005E463D">
        <w:rPr>
          <w:rFonts w:ascii="Times New Roman" w:hAnsi="Times New Roman" w:cs="Times New Roman"/>
          <w:sz w:val="28"/>
          <w:szCs w:val="28"/>
          <w:lang w:val="kk-KZ"/>
          <w14:ligatures w14:val="standardContextual"/>
        </w:rPr>
        <w:t>45.</w:t>
      </w:r>
    </w:p>
    <w:p w14:paraId="631D7989" w14:textId="6992F814"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25 Bucerius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Vijgen G</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E</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Brans B</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Bouvy N</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D</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Bauwens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Rudd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F</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Impact of bariatric surgery on carotid artery inflammation and the metabolic activity in different adipose tissues.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Medicine (Baltimore).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15</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94</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20</w:t>
      </w:r>
      <w:r w:rsidRPr="005E463D">
        <w:rPr>
          <w:rFonts w:ascii="Times New Roman" w:hAnsi="Times New Roman" w:cs="Times New Roman"/>
          <w:sz w:val="28"/>
          <w:szCs w:val="28"/>
          <w:lang w:val="kk-KZ"/>
          <w14:ligatures w14:val="standardContextual"/>
        </w:rPr>
        <w:t xml:space="preserve">. – </w:t>
      </w:r>
      <w:r w:rsidRPr="005E463D">
        <w:rPr>
          <w:rFonts w:ascii="Times New Roman" w:hAnsi="Times New Roman" w:cs="Times New Roman"/>
          <w:sz w:val="28"/>
          <w:szCs w:val="28"/>
          <w:lang w:val="en-US"/>
          <w14:ligatures w14:val="standardContextual"/>
        </w:rPr>
        <w:t>e</w:t>
      </w:r>
      <w:r w:rsidRPr="005E463D">
        <w:rPr>
          <w:rFonts w:ascii="Times New Roman" w:hAnsi="Times New Roman" w:cs="Times New Roman"/>
          <w:sz w:val="28"/>
          <w:szCs w:val="28"/>
          <w:lang w:val="kk-KZ"/>
          <w14:ligatures w14:val="standardContextual"/>
        </w:rPr>
        <w:t>725</w:t>
      </w:r>
      <w:r w:rsidR="00A75E97">
        <w:rPr>
          <w:rFonts w:ascii="Times New Roman" w:hAnsi="Times New Roman" w:cs="Times New Roman"/>
          <w:sz w:val="28"/>
          <w:szCs w:val="28"/>
          <w:lang w:val="en-US"/>
          <w14:ligatures w14:val="standardContextual"/>
        </w:rPr>
        <w:t xml:space="preserve"> p</w:t>
      </w:r>
      <w:r w:rsidRPr="005E463D">
        <w:rPr>
          <w:rFonts w:ascii="Times New Roman" w:hAnsi="Times New Roman" w:cs="Times New Roman"/>
          <w:sz w:val="28"/>
          <w:szCs w:val="28"/>
          <w:lang w:val="kk-KZ"/>
          <w14:ligatures w14:val="standardContextual"/>
        </w:rPr>
        <w:t>.</w:t>
      </w:r>
    </w:p>
    <w:p w14:paraId="7CCC696A"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lastRenderedPageBreak/>
        <w:t>26 Christen T</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Sheikine Y</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Rocha V</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Z</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Hurwitz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Goldfine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B</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Di Carli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Increased glucose uptake in visceral versus subcutaneous adipose tissue revealed by PET imaging.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JACC Cardiovasc</w:t>
      </w:r>
      <w:r w:rsidRPr="005E463D">
        <w:rPr>
          <w:rFonts w:ascii="Times New Roman" w:hAnsi="Times New Roman" w:cs="Times New Roman"/>
          <w:sz w:val="28"/>
          <w:szCs w:val="28"/>
          <w:lang w:val="en-US"/>
          <w14:ligatures w14:val="standardContextual"/>
        </w:rPr>
        <w:t>ular</w:t>
      </w:r>
      <w:r w:rsidRPr="005E463D">
        <w:rPr>
          <w:rFonts w:ascii="Times New Roman" w:hAnsi="Times New Roman" w:cs="Times New Roman"/>
          <w:sz w:val="28"/>
          <w:szCs w:val="28"/>
          <w:lang w:val="kk-KZ"/>
          <w14:ligatures w14:val="standardContextual"/>
        </w:rPr>
        <w:t xml:space="preserve"> Imaging.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201</w:t>
      </w:r>
      <w:r w:rsidRPr="005E463D">
        <w:rPr>
          <w:rFonts w:ascii="Times New Roman" w:hAnsi="Times New Roman" w:cs="Times New Roman"/>
          <w:sz w:val="28"/>
          <w:szCs w:val="28"/>
          <w:lang w:val="en-US"/>
          <w14:ligatures w14:val="standardContextual"/>
        </w:rPr>
        <w:t>0</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3</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8</w:t>
      </w:r>
      <w:r w:rsidRPr="005E463D">
        <w:rPr>
          <w:rFonts w:ascii="Times New Roman" w:hAnsi="Times New Roman" w:cs="Times New Roman"/>
          <w:sz w:val="28"/>
          <w:szCs w:val="28"/>
          <w:lang w:val="kk-KZ"/>
          <w14:ligatures w14:val="standardContextual"/>
        </w:rPr>
        <w:t>. – Р. 843–</w:t>
      </w:r>
      <w:r w:rsidRPr="005E463D">
        <w:rPr>
          <w:rFonts w:ascii="Times New Roman" w:hAnsi="Times New Roman" w:cs="Times New Roman"/>
          <w:sz w:val="28"/>
          <w:szCs w:val="28"/>
          <w:lang w:val="en-US"/>
          <w14:ligatures w14:val="standardContextual"/>
        </w:rPr>
        <w:t>8</w:t>
      </w:r>
      <w:r w:rsidRPr="005E463D">
        <w:rPr>
          <w:rFonts w:ascii="Times New Roman" w:hAnsi="Times New Roman" w:cs="Times New Roman"/>
          <w:sz w:val="28"/>
          <w:szCs w:val="28"/>
          <w:lang w:val="kk-KZ"/>
          <w14:ligatures w14:val="standardContextual"/>
        </w:rPr>
        <w:t>51.</w:t>
      </w:r>
    </w:p>
    <w:p w14:paraId="48F4EFE2"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27 Larsson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Wolk A. Obesity and colon and rectal cancer risk: a meta-analysis of prospective studies.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The American Journal of Clinical Nutrition.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07</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86</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3</w:t>
      </w:r>
      <w:r w:rsidRPr="005E463D">
        <w:rPr>
          <w:rFonts w:ascii="Times New Roman" w:hAnsi="Times New Roman" w:cs="Times New Roman"/>
          <w:sz w:val="28"/>
          <w:szCs w:val="28"/>
          <w:lang w:val="kk-KZ"/>
          <w14:ligatures w14:val="standardContextual"/>
        </w:rPr>
        <w:t>. – Р. 556–</w:t>
      </w:r>
      <w:r w:rsidRPr="005E463D">
        <w:rPr>
          <w:rFonts w:ascii="Times New Roman" w:hAnsi="Times New Roman" w:cs="Times New Roman"/>
          <w:sz w:val="28"/>
          <w:szCs w:val="28"/>
          <w:lang w:val="en-US"/>
          <w14:ligatures w14:val="standardContextual"/>
        </w:rPr>
        <w:t>5</w:t>
      </w:r>
      <w:r w:rsidRPr="005E463D">
        <w:rPr>
          <w:rFonts w:ascii="Times New Roman" w:hAnsi="Times New Roman" w:cs="Times New Roman"/>
          <w:sz w:val="28"/>
          <w:szCs w:val="28"/>
          <w:lang w:val="kk-KZ"/>
          <w14:ligatures w14:val="standardContextual"/>
        </w:rPr>
        <w:t>65.</w:t>
      </w:r>
    </w:p>
    <w:p w14:paraId="77A38BFD" w14:textId="49CBEC49"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28 Pahk K</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Rhee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Kim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Choe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G. Predictive Role of Functional Visceral Fat Activity Assessed by Preoperative F-18 FDG PET/CT for Regional Lymph Node or Distant Metastasis in Patients with Colorectal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PLoS One.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16</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11</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2</w:t>
      </w:r>
      <w:r w:rsidRPr="005E463D">
        <w:rPr>
          <w:rFonts w:ascii="Times New Roman" w:hAnsi="Times New Roman" w:cs="Times New Roman"/>
          <w:sz w:val="28"/>
          <w:szCs w:val="28"/>
          <w:lang w:val="kk-KZ"/>
          <w14:ligatures w14:val="standardContextual"/>
        </w:rPr>
        <w:t xml:space="preserve">. – </w:t>
      </w:r>
      <w:r w:rsidRPr="005E463D">
        <w:rPr>
          <w:rFonts w:ascii="Times New Roman" w:hAnsi="Times New Roman" w:cs="Times New Roman"/>
          <w:sz w:val="28"/>
          <w:szCs w:val="28"/>
          <w:lang w:val="en-US"/>
          <w14:ligatures w14:val="standardContextual"/>
        </w:rPr>
        <w:t>e0148776</w:t>
      </w:r>
      <w:r w:rsidR="00A75E97">
        <w:rPr>
          <w:rFonts w:ascii="Times New Roman" w:hAnsi="Times New Roman" w:cs="Times New Roman"/>
          <w:sz w:val="28"/>
          <w:szCs w:val="28"/>
          <w:lang w:val="en-US"/>
          <w14:ligatures w14:val="standardContextual"/>
        </w:rPr>
        <w:t xml:space="preserve"> p</w:t>
      </w:r>
      <w:r w:rsidRPr="005E463D">
        <w:rPr>
          <w:rFonts w:ascii="Times New Roman" w:hAnsi="Times New Roman" w:cs="Times New Roman"/>
          <w:sz w:val="28"/>
          <w:szCs w:val="28"/>
          <w:lang w:val="kk-KZ"/>
          <w14:ligatures w14:val="standardContextual"/>
        </w:rPr>
        <w:t>.</w:t>
      </w:r>
    </w:p>
    <w:p w14:paraId="583E4F69"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29 Rickles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Iannuzzi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Mironov O</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Deeb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P</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Sharma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Fleming F</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Visceral obesity and colorectal cancer: are we missing the boat with BMI?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Journal of Gastrointestinal Surgery: Official Journal of the Society for Surgery of the Alimentary Tract.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13</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17</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w:t>
      </w:r>
      <w:r w:rsidRPr="005E463D">
        <w:rPr>
          <w:rFonts w:ascii="Times New Roman" w:hAnsi="Times New Roman" w:cs="Times New Roman"/>
          <w:sz w:val="28"/>
          <w:szCs w:val="28"/>
          <w:lang w:val="kk-KZ"/>
          <w14:ligatures w14:val="standardContextual"/>
        </w:rPr>
        <w:t xml:space="preserve">. </w:t>
      </w:r>
      <w:r w:rsidRPr="005E463D">
        <w:rPr>
          <w:rFonts w:ascii="Times New Roman" w:hAnsi="Times New Roman" w:cs="Times New Roman"/>
          <w:sz w:val="28"/>
          <w:szCs w:val="28"/>
          <w:lang w:val="en-US"/>
          <w14:ligatures w14:val="standardContextual"/>
        </w:rPr>
        <w:t xml:space="preserve">P. </w:t>
      </w:r>
      <w:r w:rsidRPr="005E463D">
        <w:rPr>
          <w:rFonts w:ascii="Times New Roman" w:hAnsi="Times New Roman" w:cs="Times New Roman"/>
          <w:sz w:val="28"/>
          <w:szCs w:val="28"/>
          <w:lang w:val="kk-KZ"/>
          <w14:ligatures w14:val="standardContextual"/>
        </w:rPr>
        <w:t>133–</w:t>
      </w:r>
      <w:r w:rsidRPr="005E463D">
        <w:rPr>
          <w:rFonts w:ascii="Times New Roman" w:hAnsi="Times New Roman" w:cs="Times New Roman"/>
          <w:sz w:val="28"/>
          <w:szCs w:val="28"/>
          <w:lang w:val="en-US"/>
          <w14:ligatures w14:val="standardContextual"/>
        </w:rPr>
        <w:t>1</w:t>
      </w:r>
      <w:r w:rsidRPr="005E463D">
        <w:rPr>
          <w:rFonts w:ascii="Times New Roman" w:hAnsi="Times New Roman" w:cs="Times New Roman"/>
          <w:sz w:val="28"/>
          <w:szCs w:val="28"/>
          <w:lang w:val="kk-KZ"/>
          <w14:ligatures w14:val="standardContextual"/>
        </w:rPr>
        <w:t>43.</w:t>
      </w:r>
    </w:p>
    <w:p w14:paraId="69795B90"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30 Delbeke D</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Martin W</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H. PET and PET-CT for evaluation of colorectal carcinoma.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Semin</w:t>
      </w:r>
      <w:r w:rsidRPr="005E463D">
        <w:rPr>
          <w:rFonts w:ascii="Times New Roman" w:hAnsi="Times New Roman" w:cs="Times New Roman"/>
          <w:sz w:val="28"/>
          <w:szCs w:val="28"/>
          <w:lang w:val="en-US"/>
          <w14:ligatures w14:val="standardContextual"/>
        </w:rPr>
        <w:t>ars</w:t>
      </w:r>
      <w:r w:rsidRPr="005E463D">
        <w:rPr>
          <w:rFonts w:ascii="Times New Roman" w:hAnsi="Times New Roman" w:cs="Times New Roman"/>
          <w:sz w:val="28"/>
          <w:szCs w:val="28"/>
          <w:lang w:val="kk-KZ"/>
          <w14:ligatures w14:val="standardContextual"/>
        </w:rPr>
        <w:t xml:space="preserve"> Nucl</w:t>
      </w:r>
      <w:r w:rsidRPr="005E463D">
        <w:rPr>
          <w:rFonts w:ascii="Times New Roman" w:hAnsi="Times New Roman" w:cs="Times New Roman"/>
          <w:sz w:val="28"/>
          <w:szCs w:val="28"/>
          <w:lang w:val="en-US"/>
          <w14:ligatures w14:val="standardContextual"/>
        </w:rPr>
        <w:t>ear</w:t>
      </w:r>
      <w:r w:rsidRPr="005E463D">
        <w:rPr>
          <w:rFonts w:ascii="Times New Roman" w:hAnsi="Times New Roman" w:cs="Times New Roman"/>
          <w:sz w:val="28"/>
          <w:szCs w:val="28"/>
          <w:lang w:val="kk-KZ"/>
          <w14:ligatures w14:val="standardContextual"/>
        </w:rPr>
        <w:t xml:space="preserve"> Med</w:t>
      </w:r>
      <w:r w:rsidRPr="005E463D">
        <w:rPr>
          <w:rFonts w:ascii="Times New Roman" w:hAnsi="Times New Roman" w:cs="Times New Roman"/>
          <w:sz w:val="28"/>
          <w:szCs w:val="28"/>
          <w:lang w:val="en-US"/>
          <w14:ligatures w14:val="standardContextual"/>
        </w:rPr>
        <w:t>icine</w:t>
      </w:r>
      <w:r w:rsidRPr="005E463D">
        <w:rPr>
          <w:rFonts w:ascii="Times New Roman" w:hAnsi="Times New Roman" w:cs="Times New Roman"/>
          <w:sz w:val="28"/>
          <w:szCs w:val="28"/>
          <w:lang w:val="kk-KZ"/>
          <w14:ligatures w14:val="standardContextual"/>
        </w:rPr>
        <w:t xml:space="preserv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04</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34</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3</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209-223</w:t>
      </w:r>
      <w:r w:rsidRPr="005E463D">
        <w:rPr>
          <w:rFonts w:ascii="Times New Roman" w:hAnsi="Times New Roman" w:cs="Times New Roman"/>
          <w:sz w:val="28"/>
          <w:szCs w:val="28"/>
          <w:lang w:val="kk-KZ"/>
          <w14:ligatures w14:val="standardContextual"/>
        </w:rPr>
        <w:t>.</w:t>
      </w:r>
    </w:p>
    <w:p w14:paraId="6FBA9D25"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31 Gallamini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Zwarthoed 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Borra A. Positron Emission Tomography (PET) in Oncology.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Cancers (Basel).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14</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6</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4</w:t>
      </w:r>
      <w:r w:rsidRPr="005E463D">
        <w:rPr>
          <w:rFonts w:ascii="Times New Roman" w:hAnsi="Times New Roman" w:cs="Times New Roman"/>
          <w:sz w:val="28"/>
          <w:szCs w:val="28"/>
          <w:lang w:val="kk-KZ"/>
          <w14:ligatures w14:val="standardContextual"/>
        </w:rPr>
        <w:t>. – Р. 1821–</w:t>
      </w:r>
      <w:r w:rsidRPr="005E463D">
        <w:rPr>
          <w:rFonts w:ascii="Times New Roman" w:hAnsi="Times New Roman" w:cs="Times New Roman"/>
          <w:sz w:val="28"/>
          <w:szCs w:val="28"/>
          <w:lang w:val="en-US"/>
          <w14:ligatures w14:val="standardContextual"/>
        </w:rPr>
        <w:t>18</w:t>
      </w:r>
      <w:r w:rsidRPr="005E463D">
        <w:rPr>
          <w:rFonts w:ascii="Times New Roman" w:hAnsi="Times New Roman" w:cs="Times New Roman"/>
          <w:sz w:val="28"/>
          <w:szCs w:val="28"/>
          <w:lang w:val="kk-KZ"/>
          <w14:ligatures w14:val="standardContextual"/>
        </w:rPr>
        <w:t>89.</w:t>
      </w:r>
    </w:p>
    <w:p w14:paraId="652B7B9E"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32 Hansen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F</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Jensen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Nordholm-Carstensen A. [Positron emission tomography/computed tomography in follow-up programmes for patients with colorectal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Ugeskrift for Laeger.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16</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178</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37</w:t>
      </w:r>
      <w:r w:rsidRPr="005E463D">
        <w:rPr>
          <w:rFonts w:ascii="Times New Roman" w:hAnsi="Times New Roman" w:cs="Times New Roman"/>
          <w:sz w:val="28"/>
          <w:szCs w:val="28"/>
          <w:lang w:val="kk-KZ"/>
          <w14:ligatures w14:val="standardContextual"/>
        </w:rPr>
        <w:t>. – Р. V03160229.</w:t>
      </w:r>
    </w:p>
    <w:p w14:paraId="50323AE2"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33 Lee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Lee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R. Positron emission tomography/computed tomography in the staging of colon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Annals of Coloproctology.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14</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30</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w:t>
      </w:r>
      <w:r w:rsidRPr="005E463D">
        <w:rPr>
          <w:rFonts w:ascii="Times New Roman" w:hAnsi="Times New Roman" w:cs="Times New Roman"/>
          <w:sz w:val="28"/>
          <w:szCs w:val="28"/>
          <w:lang w:val="kk-KZ"/>
          <w14:ligatures w14:val="standardContextual"/>
        </w:rPr>
        <w:t>. – Р. 23–</w:t>
      </w:r>
      <w:r w:rsidRPr="005E463D">
        <w:rPr>
          <w:rFonts w:ascii="Times New Roman" w:hAnsi="Times New Roman" w:cs="Times New Roman"/>
          <w:sz w:val="28"/>
          <w:szCs w:val="28"/>
          <w:lang w:val="en-US"/>
          <w14:ligatures w14:val="standardContextual"/>
        </w:rPr>
        <w:t>2</w:t>
      </w:r>
      <w:r w:rsidRPr="005E463D">
        <w:rPr>
          <w:rFonts w:ascii="Times New Roman" w:hAnsi="Times New Roman" w:cs="Times New Roman"/>
          <w:sz w:val="28"/>
          <w:szCs w:val="28"/>
          <w:lang w:val="kk-KZ"/>
          <w14:ligatures w14:val="standardContextual"/>
        </w:rPr>
        <w:t>7.</w:t>
      </w:r>
    </w:p>
    <w:p w14:paraId="3209CBD1"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34 Ell P</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von Schulthess G</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K. PET/CT: a new road map. </w:t>
      </w:r>
      <w:r w:rsidRPr="005E463D">
        <w:rPr>
          <w:rFonts w:ascii="Times New Roman" w:hAnsi="Times New Roman" w:cs="Times New Roman"/>
          <w:sz w:val="28"/>
          <w:szCs w:val="28"/>
          <w:lang w:val="en-US"/>
          <w14:ligatures w14:val="standardContextual"/>
        </w:rPr>
        <w:t>// European Journal of Nuclear Medicine and Molecular Imaging</w:t>
      </w:r>
      <w:r w:rsidRPr="005E463D">
        <w:rPr>
          <w:rFonts w:ascii="Times New Roman" w:hAnsi="Times New Roman" w:cs="Times New Roman"/>
          <w:sz w:val="28"/>
          <w:szCs w:val="28"/>
          <w:lang w:val="kk-KZ"/>
          <w14:ligatures w14:val="standardContextual"/>
        </w:rPr>
        <w:t xml:space="preserv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02</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29</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6</w:t>
      </w:r>
      <w:r w:rsidRPr="005E463D">
        <w:rPr>
          <w:rFonts w:ascii="Times New Roman" w:hAnsi="Times New Roman" w:cs="Times New Roman"/>
          <w:sz w:val="28"/>
          <w:szCs w:val="28"/>
          <w:lang w:val="kk-KZ"/>
          <w14:ligatures w14:val="standardContextual"/>
        </w:rPr>
        <w:t>. – Р. 719–</w:t>
      </w:r>
      <w:r w:rsidRPr="005E463D">
        <w:rPr>
          <w:rFonts w:ascii="Times New Roman" w:hAnsi="Times New Roman" w:cs="Times New Roman"/>
          <w:sz w:val="28"/>
          <w:szCs w:val="28"/>
          <w:lang w:val="en-US"/>
          <w14:ligatures w14:val="standardContextual"/>
        </w:rPr>
        <w:t>7</w:t>
      </w:r>
      <w:r w:rsidRPr="005E463D">
        <w:rPr>
          <w:rFonts w:ascii="Times New Roman" w:hAnsi="Times New Roman" w:cs="Times New Roman"/>
          <w:sz w:val="28"/>
          <w:szCs w:val="28"/>
          <w:lang w:val="kk-KZ"/>
          <w14:ligatures w14:val="standardContextual"/>
        </w:rPr>
        <w:t>20.</w:t>
      </w:r>
    </w:p>
    <w:p w14:paraId="3CDCD0FD"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35 Grosu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L</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Piert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Weber W</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Jeremic B</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Picchio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Schratzenstaller U</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Positron emission tomography for radiation treatment planning.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Strahlentherapie Und Onkologie.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05</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181</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8</w:t>
      </w:r>
      <w:r w:rsidRPr="005E463D">
        <w:rPr>
          <w:rFonts w:ascii="Times New Roman" w:hAnsi="Times New Roman" w:cs="Times New Roman"/>
          <w:sz w:val="28"/>
          <w:szCs w:val="28"/>
          <w:lang w:val="kk-KZ"/>
          <w14:ligatures w14:val="standardContextual"/>
        </w:rPr>
        <w:t>. – Р. 483–</w:t>
      </w:r>
      <w:r w:rsidRPr="005E463D">
        <w:rPr>
          <w:rFonts w:ascii="Times New Roman" w:hAnsi="Times New Roman" w:cs="Times New Roman"/>
          <w:sz w:val="28"/>
          <w:szCs w:val="28"/>
          <w:lang w:val="en-US"/>
          <w14:ligatures w14:val="standardContextual"/>
        </w:rPr>
        <w:t>4</w:t>
      </w:r>
      <w:r w:rsidRPr="005E463D">
        <w:rPr>
          <w:rFonts w:ascii="Times New Roman" w:hAnsi="Times New Roman" w:cs="Times New Roman"/>
          <w:sz w:val="28"/>
          <w:szCs w:val="28"/>
          <w:lang w:val="kk-KZ"/>
          <w14:ligatures w14:val="standardContextual"/>
        </w:rPr>
        <w:t>99.</w:t>
      </w:r>
    </w:p>
    <w:p w14:paraId="7E4A5F5C"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36 Kosugi 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Saito N</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Murakami K</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Ochiai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Koda K</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Ono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Positron emission tomography for preoperative staging in patients with locally advanced or metastatic colorectal adenocarcinoma in lymph node metastasis.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Hepato-Gastroenterology.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08</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55</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82-83</w:t>
      </w:r>
      <w:r w:rsidRPr="005E463D">
        <w:rPr>
          <w:rFonts w:ascii="Times New Roman" w:hAnsi="Times New Roman" w:cs="Times New Roman"/>
          <w:sz w:val="28"/>
          <w:szCs w:val="28"/>
          <w:lang w:val="kk-KZ"/>
          <w14:ligatures w14:val="standardContextual"/>
        </w:rPr>
        <w:t>. – Р. 398–402.</w:t>
      </w:r>
    </w:p>
    <w:p w14:paraId="06394A61"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37 Vikram 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Iyer 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B. PET/CT imaging in the diagnosis, staging, and follow-up of colorectal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Cancer Imaging.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08</w:t>
      </w:r>
      <w:r w:rsidRPr="005E463D">
        <w:rPr>
          <w:rFonts w:ascii="Times New Roman" w:hAnsi="Times New Roman" w:cs="Times New Roman"/>
          <w:sz w:val="28"/>
          <w:szCs w:val="28"/>
          <w:lang w:val="kk-KZ"/>
          <w14:ligatures w14:val="standardContextual"/>
        </w:rPr>
        <w:t>. - Vol.</w:t>
      </w:r>
      <w:r w:rsidRPr="005E463D">
        <w:rPr>
          <w:rFonts w:ascii="Times New Roman" w:hAnsi="Times New Roman" w:cs="Times New Roman"/>
          <w:sz w:val="28"/>
          <w:szCs w:val="28"/>
          <w:lang w:val="en-US"/>
          <w14:ligatures w14:val="standardContextual"/>
        </w:rPr>
        <w:t>8</w:t>
      </w:r>
      <w:r w:rsidRPr="005E463D">
        <w:rPr>
          <w:rFonts w:ascii="Times New Roman" w:hAnsi="Times New Roman" w:cs="Times New Roman"/>
          <w:sz w:val="28"/>
          <w:szCs w:val="28"/>
          <w:lang w:val="kk-KZ"/>
          <w14:ligatures w14:val="standardContextual"/>
        </w:rPr>
        <w:t>, №Spec Iss A. – Р. 46–51.</w:t>
      </w:r>
    </w:p>
    <w:p w14:paraId="5EE72BC0" w14:textId="724910C2"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38 Jiang Y</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Hou G</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Wu F</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Zhu Z</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Zhang W</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Cheng W. The maximum standardized uptake value and extent of peritoneal involvement may predict the prognosis of patients with recurrent ovarian cancer after primary treatment: A retrospective clinical study.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Medicine.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20</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99</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8</w:t>
      </w:r>
      <w:r w:rsidRPr="005E463D">
        <w:rPr>
          <w:rFonts w:ascii="Times New Roman" w:hAnsi="Times New Roman" w:cs="Times New Roman"/>
          <w:sz w:val="28"/>
          <w:szCs w:val="28"/>
          <w:lang w:val="kk-KZ"/>
          <w14:ligatures w14:val="standardContextual"/>
        </w:rPr>
        <w:t>. – e19228</w:t>
      </w:r>
      <w:r w:rsidR="00A75E97">
        <w:rPr>
          <w:rFonts w:ascii="Times New Roman" w:hAnsi="Times New Roman" w:cs="Times New Roman"/>
          <w:sz w:val="28"/>
          <w:szCs w:val="28"/>
          <w:lang w:val="en-US"/>
          <w14:ligatures w14:val="standardContextual"/>
        </w:rPr>
        <w:t xml:space="preserve"> p</w:t>
      </w:r>
      <w:r w:rsidRPr="005E463D">
        <w:rPr>
          <w:rFonts w:ascii="Times New Roman" w:hAnsi="Times New Roman" w:cs="Times New Roman"/>
          <w:sz w:val="28"/>
          <w:szCs w:val="28"/>
          <w:lang w:val="kk-KZ"/>
          <w14:ligatures w14:val="standardContextual"/>
        </w:rPr>
        <w:t>.</w:t>
      </w:r>
    </w:p>
    <w:p w14:paraId="65864DA6"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39 Bray F</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Ferlay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Soerjomataram I</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Siegel 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L</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Torre L</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Jemal A. Global cancer statistics 2018: GLOBOCAN estimates of incidence and mortality worldwide for 36 cancers in 185 countries.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A Cancer Journal for Clinicians.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18</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68</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6</w:t>
      </w:r>
      <w:r w:rsidRPr="005E463D">
        <w:rPr>
          <w:rFonts w:ascii="Times New Roman" w:hAnsi="Times New Roman" w:cs="Times New Roman"/>
          <w:sz w:val="28"/>
          <w:szCs w:val="28"/>
          <w:lang w:val="kk-KZ"/>
          <w14:ligatures w14:val="standardContextual"/>
        </w:rPr>
        <w:t>. – Р. 394–424.</w:t>
      </w:r>
    </w:p>
    <w:p w14:paraId="6C5DBE88"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lastRenderedPageBreak/>
        <w:t>40 Fitzmaurice 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Akinyemiju T</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F</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Al Lami F</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Alam T</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Alizadeh-Navaei 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Global, Regional, and National Cancer Incidence, Mortality, Years of Life Lost, Years Lived With Disability, and Disability-Adjusted Life-Years for 29 Cancer Groups, 1990 to 2016: A Systematic Analysis for the Global Burden of Disease Study. </w:t>
      </w:r>
      <w:r w:rsidRPr="005E463D">
        <w:rPr>
          <w:rFonts w:ascii="Times New Roman" w:hAnsi="Times New Roman" w:cs="Times New Roman"/>
          <w:sz w:val="28"/>
          <w:szCs w:val="28"/>
          <w:lang w:val="en-US"/>
          <w14:ligatures w14:val="standardContextual"/>
        </w:rPr>
        <w:t xml:space="preserve">// JAMA Oncology. -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18</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4</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11</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1553–1568.</w:t>
      </w:r>
    </w:p>
    <w:p w14:paraId="63635074" w14:textId="77777777" w:rsidR="003131C2" w:rsidRPr="00D02BE3"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41 Кайдарова Д.Р. Показатели онкологической службы Республики Казах</w:t>
      </w:r>
      <w:r w:rsidRPr="00D02BE3">
        <w:rPr>
          <w:rFonts w:ascii="Times New Roman" w:hAnsi="Times New Roman" w:cs="Times New Roman"/>
          <w:sz w:val="28"/>
          <w:szCs w:val="28"/>
          <w:lang w:val="kk-KZ"/>
          <w14:ligatures w14:val="standardContextual"/>
        </w:rPr>
        <w:t xml:space="preserve">стан за 2018 год (статистические и аналитические материалы). </w:t>
      </w:r>
      <w:hyperlink r:id="rId349" w:history="1">
        <w:r w:rsidRPr="00D02BE3">
          <w:rPr>
            <w:rStyle w:val="a9"/>
            <w:rFonts w:ascii="Times New Roman" w:hAnsi="Times New Roman" w:cs="Times New Roman"/>
            <w:color w:val="auto"/>
            <w:sz w:val="28"/>
            <w:szCs w:val="28"/>
            <w:u w:val="none"/>
            <w:lang w:val="kk-KZ"/>
            <w14:ligatures w14:val="standardContextual"/>
          </w:rPr>
          <w:t>https://onco.kz/news/pokazateli-onkologicheskoj-sluzhby-respubliki-kazahstan-za-2018-god-statisticheskie-i-analiticheskie-materialy</w:t>
        </w:r>
      </w:hyperlink>
      <w:r w:rsidRPr="00D02BE3">
        <w:rPr>
          <w:rFonts w:ascii="Times New Roman" w:hAnsi="Times New Roman" w:cs="Times New Roman"/>
          <w:sz w:val="28"/>
          <w:szCs w:val="28"/>
          <w:lang w:val="kk-KZ"/>
          <w14:ligatures w14:val="standardContextual"/>
        </w:rPr>
        <w:t>.</w:t>
      </w:r>
    </w:p>
    <w:p w14:paraId="74126574"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42 Kaidarova D</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Bolatbekova 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Kukubassov Y</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Sadykova T</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Satanova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Aidarov A. Ovarian cancer in Kazakhstan for 15 years (2005–2020).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International Journal of Gynecologic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21</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31</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3</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809–814.</w:t>
      </w:r>
    </w:p>
    <w:p w14:paraId="00CB01E4" w14:textId="77777777" w:rsidR="003131C2" w:rsidRPr="00D02BE3"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D02BE3">
        <w:rPr>
          <w:rFonts w:ascii="Times New Roman" w:hAnsi="Times New Roman" w:cs="Times New Roman"/>
          <w:sz w:val="28"/>
          <w:szCs w:val="28"/>
          <w:lang w:val="kk-KZ"/>
          <w14:ligatures w14:val="standardContextual"/>
        </w:rPr>
        <w:t xml:space="preserve">43 Ovarian Cancer — Cancer Stat Facts. </w:t>
      </w:r>
      <w:hyperlink r:id="rId350" w:history="1">
        <w:r w:rsidRPr="00D02BE3">
          <w:rPr>
            <w:rStyle w:val="a9"/>
            <w:rFonts w:ascii="Times New Roman" w:hAnsi="Times New Roman" w:cs="Times New Roman"/>
            <w:color w:val="auto"/>
            <w:sz w:val="28"/>
            <w:szCs w:val="28"/>
            <w:u w:val="none"/>
            <w:lang w:val="kk-KZ"/>
            <w14:ligatures w14:val="standardContextual"/>
          </w:rPr>
          <w:t>https://seer.cancer.gov/statfacts/html/ovary.html</w:t>
        </w:r>
      </w:hyperlink>
      <w:r w:rsidRPr="00D02BE3">
        <w:rPr>
          <w:rFonts w:ascii="Times New Roman" w:hAnsi="Times New Roman" w:cs="Times New Roman"/>
          <w:sz w:val="28"/>
          <w:szCs w:val="28"/>
          <w:lang w:val="kk-KZ"/>
          <w14:ligatures w14:val="standardContextual"/>
        </w:rPr>
        <w:t>.</w:t>
      </w:r>
    </w:p>
    <w:p w14:paraId="071426ED"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44 Siegel 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L</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Miller K</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D</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Fedewa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Ahnen D</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Meester 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G</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Barzi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Colorectal cancer statistics, 2017.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A Cancer Journal for Clinicians.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17</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67</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3</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177–193.</w:t>
      </w:r>
    </w:p>
    <w:p w14:paraId="2B261430"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45 Rebecca Siegel, Carol DeSantis, Ahmedin Jemal</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Colorectal cancer statistics, 2014</w:t>
      </w:r>
      <w:r w:rsidRPr="005E463D">
        <w:rPr>
          <w:rFonts w:ascii="Times New Roman" w:hAnsi="Times New Roman" w:cs="Times New Roman"/>
          <w:sz w:val="28"/>
          <w:szCs w:val="28"/>
          <w:lang w:val="en-US"/>
          <w14:ligatures w14:val="standardContextual"/>
        </w:rPr>
        <w:t>. /</w:t>
      </w:r>
      <w:r w:rsidRPr="005E463D">
        <w:rPr>
          <w:rFonts w:ascii="Times New Roman" w:hAnsi="Times New Roman" w:cs="Times New Roman"/>
          <w:sz w:val="28"/>
          <w:szCs w:val="28"/>
          <w:lang w:val="kk-KZ"/>
          <w14:ligatures w14:val="standardContextual"/>
        </w:rPr>
        <w:t xml:space="preserve"> A Cancer Journal for Clinicians. - Vol. </w:t>
      </w:r>
      <w:r w:rsidRPr="005E463D">
        <w:rPr>
          <w:rFonts w:ascii="Times New Roman" w:hAnsi="Times New Roman" w:cs="Times New Roman"/>
          <w:sz w:val="28"/>
          <w:szCs w:val="28"/>
          <w:lang w:val="en-US"/>
          <w14:ligatures w14:val="standardContextual"/>
        </w:rPr>
        <w:t>64</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2</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104–117.</w:t>
      </w:r>
    </w:p>
    <w:p w14:paraId="6EE13C5B"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46 Sung 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Ferlay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Siegel 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L</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Laversanne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Soerjomataram I</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Jemal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Global Cancer Statistics 2020: GLOBOCAN Estimates of Incidence and Mortality Worldwide for 36 Cancers in 185 Countries.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A Cancer Journal for Clinicians.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21</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71</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3</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209–249.</w:t>
      </w:r>
    </w:p>
    <w:p w14:paraId="51D5591E" w14:textId="2035ADE2"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47 Kaidarova D</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Jumanov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Zhylkaidarova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Shayakhmetova D. Colorectal cancer screening results in the regions of Kazakhstan with different levels of cancer prevalence.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Journal of Clinical Oncology.</w:t>
      </w:r>
      <w:r w:rsidRPr="005E463D">
        <w:rPr>
          <w:rFonts w:ascii="Times New Roman" w:hAnsi="Times New Roman" w:cs="Times New Roman"/>
          <w:sz w:val="28"/>
          <w:szCs w:val="28"/>
          <w:lang w:val="en-US"/>
          <w14:ligatures w14:val="standardContextual"/>
        </w:rPr>
        <w:t xml:space="preserve"> -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22</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40</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4</w:t>
      </w:r>
      <w:r w:rsidRPr="005E463D">
        <w:rPr>
          <w:rFonts w:ascii="Times New Roman" w:hAnsi="Times New Roman" w:cs="Times New Roman"/>
          <w:sz w:val="28"/>
          <w:szCs w:val="28"/>
          <w:lang w:val="kk-KZ"/>
          <w14:ligatures w14:val="standardContextual"/>
        </w:rPr>
        <w:t xml:space="preserve">. – </w:t>
      </w:r>
      <w:r w:rsidRPr="005E463D">
        <w:rPr>
          <w:rFonts w:ascii="Times New Roman" w:hAnsi="Times New Roman" w:cs="Times New Roman"/>
          <w:sz w:val="28"/>
          <w:szCs w:val="28"/>
          <w:lang w:val="en-US"/>
          <w14:ligatures w14:val="standardContextual"/>
        </w:rPr>
        <w:t>62</w:t>
      </w:r>
      <w:r w:rsidR="00610F69">
        <w:rPr>
          <w:rFonts w:ascii="Times New Roman" w:hAnsi="Times New Roman" w:cs="Times New Roman"/>
          <w:sz w:val="28"/>
          <w:szCs w:val="28"/>
          <w:lang w:val="en-US"/>
          <w14:ligatures w14:val="standardContextual"/>
        </w:rPr>
        <w:t xml:space="preserve"> p</w:t>
      </w:r>
      <w:r w:rsidRPr="005E463D">
        <w:rPr>
          <w:rFonts w:ascii="Times New Roman" w:hAnsi="Times New Roman" w:cs="Times New Roman"/>
          <w:sz w:val="28"/>
          <w:szCs w:val="28"/>
          <w:lang w:val="kk-KZ"/>
          <w14:ligatures w14:val="standardContextual"/>
        </w:rPr>
        <w:t>.</w:t>
      </w:r>
    </w:p>
    <w:p w14:paraId="00C8C545"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48 Zhylkaidarova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Kaidarova D</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Batyrbekov K</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Shatkovskaya O</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Begimbetova D. Trends of Colorectal Cancer Prevalence in Kazakhstan Related to Screening.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Clinical Endoscopy.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21</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54</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w:t>
      </w:r>
      <w:r w:rsidRPr="005E463D">
        <w:rPr>
          <w:rFonts w:ascii="Times New Roman" w:hAnsi="Times New Roman" w:cs="Times New Roman"/>
          <w:sz w:val="28"/>
          <w:szCs w:val="28"/>
          <w:lang w:val="kk-KZ"/>
          <w14:ligatures w14:val="standardContextual"/>
        </w:rPr>
        <w:t>. – Р. 32–</w:t>
      </w:r>
      <w:r w:rsidRPr="005E463D">
        <w:rPr>
          <w:rFonts w:ascii="Times New Roman" w:hAnsi="Times New Roman" w:cs="Times New Roman"/>
          <w:sz w:val="28"/>
          <w:szCs w:val="28"/>
          <w:lang w:val="en-US"/>
          <w14:ligatures w14:val="standardContextual"/>
        </w:rPr>
        <w:t>3</w:t>
      </w:r>
      <w:r w:rsidRPr="005E463D">
        <w:rPr>
          <w:rFonts w:ascii="Times New Roman" w:hAnsi="Times New Roman" w:cs="Times New Roman"/>
          <w:sz w:val="28"/>
          <w:szCs w:val="28"/>
          <w:lang w:val="kk-KZ"/>
          <w14:ligatures w14:val="standardContextual"/>
        </w:rPr>
        <w:t>7.</w:t>
      </w:r>
    </w:p>
    <w:p w14:paraId="314494BA"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49 Dolgushin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B</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Mikhaylov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I</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Gordeev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S. The role of PET/CT with </w:t>
      </w:r>
      <w:r w:rsidRPr="00407D16">
        <w:rPr>
          <w:rFonts w:ascii="Times New Roman" w:hAnsi="Times New Roman" w:cs="Times New Roman"/>
          <w:sz w:val="28"/>
          <w:szCs w:val="28"/>
          <w:vertAlign w:val="superscript"/>
          <w:lang w:val="kk-KZ"/>
          <w14:ligatures w14:val="standardContextual"/>
        </w:rPr>
        <w:t>18</w:t>
      </w:r>
      <w:r w:rsidRPr="005E463D">
        <w:rPr>
          <w:rFonts w:ascii="Times New Roman" w:hAnsi="Times New Roman" w:cs="Times New Roman"/>
          <w:sz w:val="28"/>
          <w:szCs w:val="28"/>
          <w:lang w:val="kk-KZ"/>
          <w14:ligatures w14:val="standardContextual"/>
        </w:rPr>
        <w:t xml:space="preserve">F-fluorodeoxyglucose in detecting the progression of colorectal cancer in asymptomatic patients with elevated level of </w:t>
      </w:r>
      <w:r w:rsidRPr="005E463D">
        <w:rPr>
          <w:rFonts w:ascii="Times New Roman" w:hAnsi="Times New Roman" w:cs="Times New Roman"/>
          <w:sz w:val="28"/>
          <w:szCs w:val="28"/>
          <w14:ligatures w14:val="standardContextual"/>
        </w:rPr>
        <w:t>с</w:t>
      </w:r>
      <w:r w:rsidRPr="005E463D">
        <w:rPr>
          <w:rFonts w:ascii="Times New Roman" w:hAnsi="Times New Roman" w:cs="Times New Roman"/>
          <w:sz w:val="28"/>
          <w:szCs w:val="28"/>
          <w:lang w:val="kk-KZ"/>
          <w14:ligatures w14:val="standardContextual"/>
        </w:rPr>
        <w:t xml:space="preserve">arcinoembryonic antigen (literature review).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Pelvic Surgery and Oncology.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19</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9</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2</w:t>
      </w:r>
      <w:r w:rsidRPr="005E463D">
        <w:rPr>
          <w:rFonts w:ascii="Times New Roman" w:hAnsi="Times New Roman" w:cs="Times New Roman"/>
          <w:sz w:val="28"/>
          <w:szCs w:val="28"/>
          <w:lang w:val="kk-KZ"/>
          <w14:ligatures w14:val="standardContextual"/>
        </w:rPr>
        <w:t>. – Р. 11–</w:t>
      </w:r>
      <w:r w:rsidRPr="005E463D">
        <w:rPr>
          <w:rFonts w:ascii="Times New Roman" w:hAnsi="Times New Roman" w:cs="Times New Roman"/>
          <w:sz w:val="28"/>
          <w:szCs w:val="28"/>
          <w:lang w:val="en-US"/>
          <w14:ligatures w14:val="standardContextual"/>
        </w:rPr>
        <w:t>1</w:t>
      </w:r>
      <w:r w:rsidRPr="005E463D">
        <w:rPr>
          <w:rFonts w:ascii="Times New Roman" w:hAnsi="Times New Roman" w:cs="Times New Roman"/>
          <w:sz w:val="28"/>
          <w:szCs w:val="28"/>
          <w:lang w:val="kk-KZ"/>
          <w14:ligatures w14:val="standardContextual"/>
        </w:rPr>
        <w:t>5.</w:t>
      </w:r>
    </w:p>
    <w:p w14:paraId="2F0A60F0"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50 Grigsby P</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W</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Siegel B</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Dehdashti F. Lymph node staging by positron emission tomography in patients with carcinoma of the cervix.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Journal of Clinical Oncology.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01</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19</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17</w:t>
      </w:r>
      <w:r w:rsidRPr="005E463D">
        <w:rPr>
          <w:rFonts w:ascii="Times New Roman" w:hAnsi="Times New Roman" w:cs="Times New Roman"/>
          <w:sz w:val="28"/>
          <w:szCs w:val="28"/>
          <w:lang w:val="kk-KZ"/>
          <w14:ligatures w14:val="standardContextual"/>
        </w:rPr>
        <w:t>. – Р. 3745–</w:t>
      </w:r>
      <w:r w:rsidRPr="005E463D">
        <w:rPr>
          <w:rFonts w:ascii="Times New Roman" w:hAnsi="Times New Roman" w:cs="Times New Roman"/>
          <w:sz w:val="28"/>
          <w:szCs w:val="28"/>
          <w:lang w:val="en-US"/>
          <w14:ligatures w14:val="standardContextual"/>
        </w:rPr>
        <w:t>374</w:t>
      </w:r>
      <w:r w:rsidRPr="005E463D">
        <w:rPr>
          <w:rFonts w:ascii="Times New Roman" w:hAnsi="Times New Roman" w:cs="Times New Roman"/>
          <w:sz w:val="28"/>
          <w:szCs w:val="28"/>
          <w:lang w:val="kk-KZ"/>
          <w14:ligatures w14:val="standardContextual"/>
        </w:rPr>
        <w:t>9.</w:t>
      </w:r>
    </w:p>
    <w:p w14:paraId="3C35B376"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51 Peacock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G</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Christensen 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T</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Banks K</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P. RESISTing the Need to Quantify: Putting Qualitative FDG-PET/CT Tumor Response Assessment Criteria into Daily Practice.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American Journal of Neuroradiology.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19</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40</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12</w:t>
      </w:r>
      <w:r w:rsidRPr="005E463D">
        <w:rPr>
          <w:rFonts w:ascii="Times New Roman" w:hAnsi="Times New Roman" w:cs="Times New Roman"/>
          <w:sz w:val="28"/>
          <w:szCs w:val="28"/>
          <w:lang w:val="kk-KZ"/>
          <w14:ligatures w14:val="standardContextual"/>
        </w:rPr>
        <w:t>. – Р. 1978–</w:t>
      </w:r>
      <w:r w:rsidRPr="005E463D">
        <w:rPr>
          <w:rFonts w:ascii="Times New Roman" w:hAnsi="Times New Roman" w:cs="Times New Roman"/>
          <w:sz w:val="28"/>
          <w:szCs w:val="28"/>
          <w:lang w:val="en-US"/>
          <w14:ligatures w14:val="standardContextual"/>
        </w:rPr>
        <w:t>19</w:t>
      </w:r>
      <w:r w:rsidRPr="005E463D">
        <w:rPr>
          <w:rFonts w:ascii="Times New Roman" w:hAnsi="Times New Roman" w:cs="Times New Roman"/>
          <w:sz w:val="28"/>
          <w:szCs w:val="28"/>
          <w:lang w:val="kk-KZ"/>
          <w14:ligatures w14:val="standardContextual"/>
        </w:rPr>
        <w:t>86.</w:t>
      </w:r>
    </w:p>
    <w:p w14:paraId="73329702"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52 Sung P</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L</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Chen Y</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Liu 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Shieh 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Wang P</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Yen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Whole-body positron emission tomography with </w:t>
      </w:r>
      <w:r w:rsidRPr="00407D16">
        <w:rPr>
          <w:rFonts w:ascii="Times New Roman" w:hAnsi="Times New Roman" w:cs="Times New Roman"/>
          <w:sz w:val="28"/>
          <w:szCs w:val="28"/>
          <w:vertAlign w:val="superscript"/>
          <w:lang w:val="kk-KZ"/>
          <w14:ligatures w14:val="standardContextual"/>
        </w:rPr>
        <w:t>18</w:t>
      </w:r>
      <w:r w:rsidRPr="005E463D">
        <w:rPr>
          <w:rFonts w:ascii="Times New Roman" w:hAnsi="Times New Roman" w:cs="Times New Roman"/>
          <w:sz w:val="28"/>
          <w:szCs w:val="28"/>
          <w:lang w:val="kk-KZ"/>
          <w14:ligatures w14:val="standardContextual"/>
        </w:rPr>
        <w:t xml:space="preserve">F-fluorodeoxyglucose is an effective method to detect extra-pelvic recurrence in uterine sarcomas.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European Journal of Gynaecological Oncology.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08</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29</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3</w:t>
      </w:r>
      <w:r w:rsidRPr="005E463D">
        <w:rPr>
          <w:rFonts w:ascii="Times New Roman" w:hAnsi="Times New Roman" w:cs="Times New Roman"/>
          <w:sz w:val="28"/>
          <w:szCs w:val="28"/>
          <w:lang w:val="kk-KZ"/>
          <w14:ligatures w14:val="standardContextual"/>
        </w:rPr>
        <w:t>. – Р. 246–</w:t>
      </w:r>
      <w:r w:rsidRPr="005E463D">
        <w:rPr>
          <w:rFonts w:ascii="Times New Roman" w:hAnsi="Times New Roman" w:cs="Times New Roman"/>
          <w:sz w:val="28"/>
          <w:szCs w:val="28"/>
          <w:lang w:val="en-US"/>
          <w14:ligatures w14:val="standardContextual"/>
        </w:rPr>
        <w:t>251</w:t>
      </w:r>
      <w:r w:rsidRPr="005E463D">
        <w:rPr>
          <w:rFonts w:ascii="Times New Roman" w:hAnsi="Times New Roman" w:cs="Times New Roman"/>
          <w:sz w:val="28"/>
          <w:szCs w:val="28"/>
          <w:lang w:val="kk-KZ"/>
          <w14:ligatures w14:val="standardContextual"/>
        </w:rPr>
        <w:t>.</w:t>
      </w:r>
    </w:p>
    <w:p w14:paraId="76D827DA"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lastRenderedPageBreak/>
        <w:t>53 Torizuka T</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Nobezawa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Kanno T</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Futatsubashi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Yoshikawa E</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Okada 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Ovarian cancer recurrence: role of whole-body positron emission tomography using 2-[fluorine-18]-fluoro-2-deoxy- D-glucose.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European Journal of Nuclear Medicine and Molecular Imaging.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02</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29</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6</w:t>
      </w:r>
      <w:r w:rsidRPr="005E463D">
        <w:rPr>
          <w:rFonts w:ascii="Times New Roman" w:hAnsi="Times New Roman" w:cs="Times New Roman"/>
          <w:sz w:val="28"/>
          <w:szCs w:val="28"/>
          <w:lang w:val="kk-KZ"/>
          <w14:ligatures w14:val="standardContextual"/>
        </w:rPr>
        <w:t>. – Р. 797–803.</w:t>
      </w:r>
    </w:p>
    <w:p w14:paraId="5D7DC769"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en-US"/>
          <w14:ligatures w14:val="standardContextual"/>
        </w:rPr>
      </w:pPr>
      <w:r w:rsidRPr="005E463D">
        <w:rPr>
          <w:rFonts w:ascii="Times New Roman" w:hAnsi="Times New Roman" w:cs="Times New Roman"/>
          <w:sz w:val="28"/>
          <w:szCs w:val="28"/>
          <w:lang w:val="kk-KZ"/>
          <w14:ligatures w14:val="standardContextual"/>
        </w:rPr>
        <w:t xml:space="preserve">54 Ushijima K. Treatment for Recurrent Ovarian Cancer—At First Relapse. </w:t>
      </w:r>
      <w:r w:rsidRPr="005E463D">
        <w:rPr>
          <w:rFonts w:ascii="Times New Roman" w:hAnsi="Times New Roman" w:cs="Times New Roman"/>
          <w:sz w:val="28"/>
          <w:szCs w:val="28"/>
          <w:lang w:val="en-US"/>
          <w14:ligatures w14:val="standardContextual"/>
        </w:rPr>
        <w:t xml:space="preserve">// Journal of Oncology. -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10</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2010</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w:t>
      </w:r>
      <w:r w:rsidRPr="005E463D">
        <w:rPr>
          <w:rFonts w:ascii="Times New Roman" w:hAnsi="Times New Roman" w:cs="Times New Roman"/>
          <w:sz w:val="28"/>
          <w:szCs w:val="28"/>
          <w:lang w:val="kk-KZ"/>
          <w14:ligatures w14:val="standardContextual"/>
        </w:rPr>
        <w:t>. – Р. 1–7.</w:t>
      </w:r>
    </w:p>
    <w:p w14:paraId="3D57F2AB"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14:ligatures w14:val="standardContextual"/>
        </w:rPr>
        <w:t>55 Саевец В.В., Важенин А.В., Ульрих Е.А., Мухин А.А., Таратонов А.В., Шмидт А.В. Диагностика и лечение распространённых форм рака яичников III–IV стадии. // Научно-практический медицинский рецензируемый журнал «Злокачественные опухоли»</w:t>
      </w:r>
      <w:r w:rsidRPr="005E463D">
        <w:rPr>
          <w:rFonts w:ascii="Times New Roman" w:hAnsi="Times New Roman" w:cs="Times New Roman"/>
          <w:sz w:val="28"/>
          <w:szCs w:val="28"/>
          <w:lang w:val="kk-KZ"/>
          <w14:ligatures w14:val="standardContextual"/>
        </w:rPr>
        <w:t xml:space="preserve">. </w:t>
      </w:r>
      <w:r w:rsidRPr="005E463D">
        <w:rPr>
          <w:rFonts w:ascii="Times New Roman" w:hAnsi="Times New Roman" w:cs="Times New Roman"/>
          <w:sz w:val="28"/>
          <w:szCs w:val="28"/>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14:ligatures w14:val="standardContextual"/>
        </w:rPr>
        <w:t>20</w:t>
      </w:r>
      <w:r w:rsidRPr="005E463D">
        <w:rPr>
          <w:rFonts w:ascii="Times New Roman" w:hAnsi="Times New Roman" w:cs="Times New Roman"/>
          <w:sz w:val="28"/>
          <w:szCs w:val="28"/>
          <w:lang w:val="kk-KZ"/>
          <w14:ligatures w14:val="standardContextual"/>
        </w:rPr>
        <w:t xml:space="preserve">. - Т. </w:t>
      </w:r>
      <w:r w:rsidRPr="005E463D">
        <w:rPr>
          <w:rFonts w:ascii="Times New Roman" w:hAnsi="Times New Roman" w:cs="Times New Roman"/>
          <w:sz w:val="28"/>
          <w:szCs w:val="28"/>
          <w14:ligatures w14:val="standardContextual"/>
        </w:rPr>
        <w:t>10</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14:ligatures w14:val="standardContextual"/>
        </w:rPr>
        <w:t>3</w:t>
      </w:r>
      <w:r w:rsidRPr="005E463D">
        <w:rPr>
          <w:rFonts w:ascii="Times New Roman" w:hAnsi="Times New Roman" w:cs="Times New Roman"/>
          <w:sz w:val="28"/>
          <w:szCs w:val="28"/>
          <w:lang w:val="en-US"/>
          <w14:ligatures w14:val="standardContextual"/>
        </w:rPr>
        <w:t>s</w:t>
      </w:r>
      <w:r w:rsidRPr="005E463D">
        <w:rPr>
          <w:rFonts w:ascii="Times New Roman" w:hAnsi="Times New Roman" w:cs="Times New Roman"/>
          <w:sz w:val="28"/>
          <w:szCs w:val="28"/>
          <w14:ligatures w14:val="standardContextual"/>
        </w:rPr>
        <w:t>1</w:t>
      </w:r>
      <w:r w:rsidRPr="005E463D">
        <w:rPr>
          <w:rFonts w:ascii="Times New Roman" w:hAnsi="Times New Roman" w:cs="Times New Roman"/>
          <w:sz w:val="28"/>
          <w:szCs w:val="28"/>
          <w:lang w:val="kk-KZ"/>
          <w14:ligatures w14:val="standardContextual"/>
        </w:rPr>
        <w:t>. – С. 15–20.</w:t>
      </w:r>
    </w:p>
    <w:p w14:paraId="720556B2"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56 Jermy K</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Luise 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Bourne T. The characterization of common ovarian cysts in premenopausal women.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Ultrasound in Obstetrics &amp; Gynecology.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01</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17</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2</w:t>
      </w:r>
      <w:r w:rsidRPr="005E463D">
        <w:rPr>
          <w:rFonts w:ascii="Times New Roman" w:hAnsi="Times New Roman" w:cs="Times New Roman"/>
          <w:sz w:val="28"/>
          <w:szCs w:val="28"/>
          <w:lang w:val="kk-KZ"/>
          <w14:ligatures w14:val="standardContextual"/>
        </w:rPr>
        <w:t>. – Р. 140–</w:t>
      </w:r>
      <w:r w:rsidRPr="005E463D">
        <w:rPr>
          <w:rFonts w:ascii="Times New Roman" w:hAnsi="Times New Roman" w:cs="Times New Roman"/>
          <w:sz w:val="28"/>
          <w:szCs w:val="28"/>
          <w:lang w:val="en-US"/>
          <w14:ligatures w14:val="standardContextual"/>
        </w:rPr>
        <w:t>144</w:t>
      </w:r>
      <w:r w:rsidRPr="005E463D">
        <w:rPr>
          <w:rFonts w:ascii="Times New Roman" w:hAnsi="Times New Roman" w:cs="Times New Roman"/>
          <w:sz w:val="28"/>
          <w:szCs w:val="28"/>
          <w:lang w:val="kk-KZ"/>
          <w14:ligatures w14:val="standardContextual"/>
        </w:rPr>
        <w:t>.</w:t>
      </w:r>
    </w:p>
    <w:p w14:paraId="51DBDCEE"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57</w:t>
      </w:r>
      <w:r w:rsidRPr="005E463D">
        <w:rPr>
          <w:rFonts w:ascii="Times New Roman" w:hAnsi="Times New Roman" w:cs="Times New Roman"/>
          <w:sz w:val="28"/>
          <w:szCs w:val="28"/>
          <w:lang w:val="en-US"/>
          <w14:ligatures w14:val="standardContextual"/>
        </w:rPr>
        <w:t xml:space="preserve"> Kubik-Huch R.A., Dörffler W., von Schulthess G.K., Marincek B., Köchli O.R., Seifert B., et al. Value of (</w:t>
      </w:r>
      <w:r w:rsidRPr="00407D16">
        <w:rPr>
          <w:rFonts w:ascii="Times New Roman" w:hAnsi="Times New Roman" w:cs="Times New Roman"/>
          <w:sz w:val="28"/>
          <w:szCs w:val="28"/>
          <w:vertAlign w:val="superscript"/>
          <w:lang w:val="en-US"/>
          <w14:ligatures w14:val="standardContextual"/>
        </w:rPr>
        <w:t>18</w:t>
      </w:r>
      <w:r w:rsidRPr="005E463D">
        <w:rPr>
          <w:rFonts w:ascii="Times New Roman" w:hAnsi="Times New Roman" w:cs="Times New Roman"/>
          <w:sz w:val="28"/>
          <w:szCs w:val="28"/>
          <w:lang w:val="en-US"/>
          <w14:ligatures w14:val="standardContextual"/>
        </w:rPr>
        <w:t xml:space="preserve">F)-FDG positron emission tomography, computed tomography, and magnetic resonance imaging in diagnosing primary and recurrent ovarian carcinoma. // European Radiology. -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00</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10</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5</w:t>
      </w:r>
      <w:r w:rsidRPr="005E463D">
        <w:rPr>
          <w:rFonts w:ascii="Times New Roman" w:hAnsi="Times New Roman" w:cs="Times New Roman"/>
          <w:sz w:val="28"/>
          <w:szCs w:val="28"/>
          <w:lang w:val="kk-KZ"/>
          <w14:ligatures w14:val="standardContextual"/>
        </w:rPr>
        <w:t>. – Р. 761–767.</w:t>
      </w:r>
    </w:p>
    <w:p w14:paraId="7AB77072"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58 Wang X</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Y</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Yang F</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Jin 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Guan Y</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Zhang 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W</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Fu D</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L. The value of </w:t>
      </w:r>
      <w:r w:rsidRPr="00407D16">
        <w:rPr>
          <w:rFonts w:ascii="Times New Roman" w:hAnsi="Times New Roman" w:cs="Times New Roman"/>
          <w:sz w:val="28"/>
          <w:szCs w:val="28"/>
          <w:vertAlign w:val="superscript"/>
          <w:lang w:val="kk-KZ"/>
          <w14:ligatures w14:val="standardContextual"/>
        </w:rPr>
        <w:t>18</w:t>
      </w:r>
      <w:r w:rsidRPr="005E463D">
        <w:rPr>
          <w:rFonts w:ascii="Times New Roman" w:hAnsi="Times New Roman" w:cs="Times New Roman"/>
          <w:sz w:val="28"/>
          <w:szCs w:val="28"/>
          <w:lang w:val="kk-KZ"/>
          <w14:ligatures w14:val="standardContextual"/>
        </w:rPr>
        <w:t xml:space="preserve">F-FDG positron emission tomography/computed tomography on the pre-operative staging and the management of patients with pancreatic carcinoma.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Hepato-Gastroenterology.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14</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61</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135</w:t>
      </w:r>
      <w:r w:rsidRPr="005E463D">
        <w:rPr>
          <w:rFonts w:ascii="Times New Roman" w:hAnsi="Times New Roman" w:cs="Times New Roman"/>
          <w:sz w:val="28"/>
          <w:szCs w:val="28"/>
          <w:lang w:val="kk-KZ"/>
          <w14:ligatures w14:val="standardContextual"/>
        </w:rPr>
        <w:t>. – Р. 2102–2</w:t>
      </w:r>
      <w:r w:rsidRPr="005E463D">
        <w:rPr>
          <w:rFonts w:ascii="Times New Roman" w:hAnsi="Times New Roman" w:cs="Times New Roman"/>
          <w:sz w:val="28"/>
          <w:szCs w:val="28"/>
          <w:lang w:val="en-US"/>
          <w14:ligatures w14:val="standardContextual"/>
        </w:rPr>
        <w:t>109</w:t>
      </w:r>
      <w:r w:rsidRPr="005E463D">
        <w:rPr>
          <w:rFonts w:ascii="Times New Roman" w:hAnsi="Times New Roman" w:cs="Times New Roman"/>
          <w:sz w:val="28"/>
          <w:szCs w:val="28"/>
          <w:lang w:val="kk-KZ"/>
          <w14:ligatures w14:val="standardContextual"/>
        </w:rPr>
        <w:t>.</w:t>
      </w:r>
    </w:p>
    <w:p w14:paraId="6A61CB62"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59 Bharti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Ma P</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Maulik G</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Singh 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Khan E</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Skarin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T</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Haptoglobin alpha-subunit and hepatocyte growth factor can potentially serve as serum tumor biomarkers in small cell lung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Anticancer Research.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04</w:t>
      </w:r>
      <w:r w:rsidRPr="005E463D">
        <w:rPr>
          <w:rFonts w:ascii="Times New Roman" w:hAnsi="Times New Roman" w:cs="Times New Roman"/>
          <w:sz w:val="28"/>
          <w:szCs w:val="28"/>
          <w:lang w:val="kk-KZ"/>
          <w14:ligatures w14:val="standardContextual"/>
        </w:rPr>
        <w:t>. - Vol. 2</w:t>
      </w:r>
      <w:r w:rsidRPr="005E463D">
        <w:rPr>
          <w:rFonts w:ascii="Times New Roman" w:hAnsi="Times New Roman" w:cs="Times New Roman"/>
          <w:sz w:val="28"/>
          <w:szCs w:val="28"/>
          <w:lang w:val="en-US"/>
          <w14:ligatures w14:val="standardContextual"/>
        </w:rPr>
        <w:t>4</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2</w:t>
      </w:r>
      <w:r w:rsidRPr="005E463D">
        <w:rPr>
          <w:rFonts w:ascii="Times New Roman" w:hAnsi="Times New Roman" w:cs="Times New Roman"/>
          <w:sz w:val="28"/>
          <w:szCs w:val="28"/>
          <w14:ligatures w14:val="standardContextual"/>
        </w:rPr>
        <w:t>С</w:t>
      </w:r>
      <w:r w:rsidRPr="005E463D">
        <w:rPr>
          <w:rFonts w:ascii="Times New Roman" w:hAnsi="Times New Roman" w:cs="Times New Roman"/>
          <w:sz w:val="28"/>
          <w:szCs w:val="28"/>
          <w:lang w:val="kk-KZ"/>
          <w14:ligatures w14:val="standardContextual"/>
        </w:rPr>
        <w:t>. – Р. 1031–</w:t>
      </w:r>
      <w:r w:rsidRPr="005E463D">
        <w:rPr>
          <w:rFonts w:ascii="Times New Roman" w:hAnsi="Times New Roman" w:cs="Times New Roman"/>
          <w:sz w:val="28"/>
          <w:szCs w:val="28"/>
          <w:lang w:val="en-US"/>
          <w14:ligatures w14:val="standardContextual"/>
        </w:rPr>
        <w:t>1038</w:t>
      </w:r>
      <w:r w:rsidRPr="005E463D">
        <w:rPr>
          <w:rFonts w:ascii="Times New Roman" w:hAnsi="Times New Roman" w:cs="Times New Roman"/>
          <w:sz w:val="28"/>
          <w:szCs w:val="28"/>
          <w:lang w:val="kk-KZ"/>
          <w14:ligatures w14:val="standardContextual"/>
        </w:rPr>
        <w:t>.</w:t>
      </w:r>
    </w:p>
    <w:p w14:paraId="44C4661D"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60 Mahner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Schirrmacher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Brenner W</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Jenicke L</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Habermann 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Avril N</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Comparison between positron emission tomography using 2-[fluorine-18]fluoro-2-deoxy-D-glucose, conventional imaging and computed tomography for staging of breast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Annals of Oncology.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08</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19</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7</w:t>
      </w:r>
      <w:r w:rsidRPr="005E463D">
        <w:rPr>
          <w:rFonts w:ascii="Times New Roman" w:hAnsi="Times New Roman" w:cs="Times New Roman"/>
          <w:sz w:val="28"/>
          <w:szCs w:val="28"/>
          <w:lang w:val="kk-KZ"/>
          <w14:ligatures w14:val="standardContextual"/>
        </w:rPr>
        <w:t>. – Р. 1249–</w:t>
      </w:r>
      <w:r w:rsidRPr="005E463D">
        <w:rPr>
          <w:rFonts w:ascii="Times New Roman" w:hAnsi="Times New Roman" w:cs="Times New Roman"/>
          <w:sz w:val="28"/>
          <w:szCs w:val="28"/>
          <w:lang w:val="en-US"/>
          <w14:ligatures w14:val="standardContextual"/>
        </w:rPr>
        <w:t>1254</w:t>
      </w:r>
      <w:r w:rsidRPr="005E463D">
        <w:rPr>
          <w:rFonts w:ascii="Times New Roman" w:hAnsi="Times New Roman" w:cs="Times New Roman"/>
          <w:sz w:val="28"/>
          <w:szCs w:val="28"/>
          <w:lang w:val="kk-KZ"/>
          <w14:ligatures w14:val="standardContextual"/>
        </w:rPr>
        <w:t>.</w:t>
      </w:r>
    </w:p>
    <w:p w14:paraId="3D8E3583"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61 Moore 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G</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McMeekin D</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Brown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K</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DiSilvestro P</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Miller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Allard W</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A novel multiple marker bioassay utilizing HE4 and CA125 for the prediction of ovarian cancer in patients with a pelvic mass.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Gynecologic Oncology.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09</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112</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w:t>
      </w:r>
      <w:r w:rsidRPr="005E463D">
        <w:rPr>
          <w:rFonts w:ascii="Times New Roman" w:hAnsi="Times New Roman" w:cs="Times New Roman"/>
          <w:sz w:val="28"/>
          <w:szCs w:val="28"/>
          <w:lang w:val="kk-KZ"/>
          <w14:ligatures w14:val="standardContextual"/>
        </w:rPr>
        <w:t>. – Р. 4</w:t>
      </w:r>
      <w:r w:rsidRPr="005E463D">
        <w:rPr>
          <w:rFonts w:ascii="Times New Roman" w:hAnsi="Times New Roman" w:cs="Times New Roman"/>
          <w:sz w:val="28"/>
          <w:szCs w:val="28"/>
          <w:lang w:val="en-US"/>
          <w14:ligatures w14:val="standardContextual"/>
        </w:rPr>
        <w:t>0</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46</w:t>
      </w:r>
      <w:r w:rsidRPr="005E463D">
        <w:rPr>
          <w:rFonts w:ascii="Times New Roman" w:hAnsi="Times New Roman" w:cs="Times New Roman"/>
          <w:sz w:val="28"/>
          <w:szCs w:val="28"/>
          <w:lang w:val="kk-KZ"/>
          <w14:ligatures w14:val="standardContextual"/>
        </w:rPr>
        <w:t>.</w:t>
      </w:r>
    </w:p>
    <w:p w14:paraId="13A7A74D"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62 Uslu L</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Donig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Link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Rosenberg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Quon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Daldrup-Link 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E. Value of </w:t>
      </w:r>
      <w:r w:rsidRPr="00407D16">
        <w:rPr>
          <w:rFonts w:ascii="Times New Roman" w:hAnsi="Times New Roman" w:cs="Times New Roman"/>
          <w:sz w:val="28"/>
          <w:szCs w:val="28"/>
          <w:vertAlign w:val="superscript"/>
          <w:lang w:val="kk-KZ"/>
          <w14:ligatures w14:val="standardContextual"/>
        </w:rPr>
        <w:t>18</w:t>
      </w:r>
      <w:r w:rsidRPr="005E463D">
        <w:rPr>
          <w:rFonts w:ascii="Times New Roman" w:hAnsi="Times New Roman" w:cs="Times New Roman"/>
          <w:sz w:val="28"/>
          <w:szCs w:val="28"/>
          <w:lang w:val="kk-KZ"/>
          <w14:ligatures w14:val="standardContextual"/>
        </w:rPr>
        <w:t xml:space="preserve">F-FDG PET and PET/CT for evaluation of pediatric malignancies.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Journal of Nuclear Medicine.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15</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56</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2</w:t>
      </w:r>
      <w:r w:rsidRPr="005E463D">
        <w:rPr>
          <w:rFonts w:ascii="Times New Roman" w:hAnsi="Times New Roman" w:cs="Times New Roman"/>
          <w:sz w:val="28"/>
          <w:szCs w:val="28"/>
          <w:lang w:val="kk-KZ"/>
          <w14:ligatures w14:val="standardContextual"/>
        </w:rPr>
        <w:t>. – Р. 2</w:t>
      </w:r>
      <w:r w:rsidRPr="005E463D">
        <w:rPr>
          <w:rFonts w:ascii="Times New Roman" w:hAnsi="Times New Roman" w:cs="Times New Roman"/>
          <w:sz w:val="28"/>
          <w:szCs w:val="28"/>
          <w:lang w:val="en-US"/>
          <w14:ligatures w14:val="standardContextual"/>
        </w:rPr>
        <w:t>7</w:t>
      </w:r>
      <w:r w:rsidRPr="005E463D">
        <w:rPr>
          <w:rFonts w:ascii="Times New Roman" w:hAnsi="Times New Roman" w:cs="Times New Roman"/>
          <w:sz w:val="28"/>
          <w:szCs w:val="28"/>
          <w:lang w:val="kk-KZ"/>
          <w14:ligatures w14:val="standardContextual"/>
        </w:rPr>
        <w:t>4–</w:t>
      </w:r>
      <w:r w:rsidRPr="005E463D">
        <w:rPr>
          <w:rFonts w:ascii="Times New Roman" w:hAnsi="Times New Roman" w:cs="Times New Roman"/>
          <w:sz w:val="28"/>
          <w:szCs w:val="28"/>
          <w:lang w:val="en-US"/>
          <w14:ligatures w14:val="standardContextual"/>
        </w:rPr>
        <w:t>286</w:t>
      </w:r>
      <w:r w:rsidRPr="005E463D">
        <w:rPr>
          <w:rFonts w:ascii="Times New Roman" w:hAnsi="Times New Roman" w:cs="Times New Roman"/>
          <w:sz w:val="28"/>
          <w:szCs w:val="28"/>
          <w:lang w:val="kk-KZ"/>
          <w14:ligatures w14:val="standardContextual"/>
        </w:rPr>
        <w:t>.</w:t>
      </w:r>
    </w:p>
    <w:p w14:paraId="21C9FE1B"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63 Aboagye E</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O</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Saleem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Cunningham V</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Osman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Price P</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M. Extraction of 5-fluorouracil by tumor and liver: a noninvasive positron emission tomography study of patients with gastrointestinal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Cancer Research.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01</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61</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13</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4937</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4941</w:t>
      </w:r>
      <w:r w:rsidRPr="005E463D">
        <w:rPr>
          <w:rFonts w:ascii="Times New Roman" w:hAnsi="Times New Roman" w:cs="Times New Roman"/>
          <w:sz w:val="28"/>
          <w:szCs w:val="28"/>
          <w:lang w:val="kk-KZ"/>
          <w14:ligatures w14:val="standardContextual"/>
        </w:rPr>
        <w:t>.</w:t>
      </w:r>
    </w:p>
    <w:p w14:paraId="5D261013"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64 Dobos N</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Rubesin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E. Radiologic imaging modalities in the diagnosis and management of colorectal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Hematology/Oncology Clinics of North America.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02</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16</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4</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875</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895</w:t>
      </w:r>
      <w:r w:rsidRPr="005E463D">
        <w:rPr>
          <w:rFonts w:ascii="Times New Roman" w:hAnsi="Times New Roman" w:cs="Times New Roman"/>
          <w:sz w:val="28"/>
          <w:szCs w:val="28"/>
          <w:lang w:val="kk-KZ"/>
          <w14:ligatures w14:val="standardContextual"/>
        </w:rPr>
        <w:t>.</w:t>
      </w:r>
    </w:p>
    <w:p w14:paraId="18438092"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lastRenderedPageBreak/>
        <w:t>65 Goldberg 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I</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Margulis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R. Gastrointestinal radiology in the United States: An overview of the past 50 years.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Radiology.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00</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216</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w:t>
      </w:r>
      <w:r w:rsidRPr="005E463D">
        <w:rPr>
          <w:rFonts w:ascii="Times New Roman" w:hAnsi="Times New Roman" w:cs="Times New Roman"/>
          <w:sz w:val="28"/>
          <w:szCs w:val="28"/>
          <w:lang w:val="kk-KZ"/>
          <w14:ligatures w14:val="standardContextual"/>
        </w:rPr>
        <w:t>. – Р. 1–</w:t>
      </w:r>
      <w:r w:rsidRPr="005E463D">
        <w:rPr>
          <w:rFonts w:ascii="Times New Roman" w:hAnsi="Times New Roman" w:cs="Times New Roman"/>
          <w:sz w:val="28"/>
          <w:szCs w:val="28"/>
          <w:lang w:val="en-US"/>
          <w14:ligatures w14:val="standardContextual"/>
        </w:rPr>
        <w:t>7</w:t>
      </w:r>
      <w:r w:rsidRPr="005E463D">
        <w:rPr>
          <w:rFonts w:ascii="Times New Roman" w:hAnsi="Times New Roman" w:cs="Times New Roman"/>
          <w:sz w:val="28"/>
          <w:szCs w:val="28"/>
          <w:lang w:val="kk-KZ"/>
          <w14:ligatures w14:val="standardContextual"/>
        </w:rPr>
        <w:t>.</w:t>
      </w:r>
    </w:p>
    <w:p w14:paraId="70A82871"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66 Kamel I</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Cohade 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Neyman E</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Fishman E</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K</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Wahl 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L. Incremental value of CT in PET/CT of patients with colorectal carcinoma.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Abdominal Imaging.</w:t>
      </w:r>
      <w:r w:rsidRPr="005E463D">
        <w:rPr>
          <w:rFonts w:ascii="Times New Roman" w:hAnsi="Times New Roman" w:cs="Times New Roman"/>
          <w:sz w:val="28"/>
          <w:szCs w:val="28"/>
          <w:lang w:val="en-US"/>
          <w14:ligatures w14:val="standardContextual"/>
        </w:rPr>
        <w:t xml:space="preserve"> -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04</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29</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6</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663</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668</w:t>
      </w:r>
      <w:r w:rsidRPr="005E463D">
        <w:rPr>
          <w:rFonts w:ascii="Times New Roman" w:hAnsi="Times New Roman" w:cs="Times New Roman"/>
          <w:sz w:val="28"/>
          <w:szCs w:val="28"/>
          <w:lang w:val="kk-KZ"/>
          <w14:ligatures w14:val="standardContextual"/>
        </w:rPr>
        <w:t>.</w:t>
      </w:r>
    </w:p>
    <w:p w14:paraId="7E247B39"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67 Meta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Seltzer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Schiepers 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Silverman D</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Ariannejad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Gambhir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Impact of </w:t>
      </w:r>
      <w:r w:rsidRPr="00407D16">
        <w:rPr>
          <w:rFonts w:ascii="Times New Roman" w:hAnsi="Times New Roman" w:cs="Times New Roman"/>
          <w:sz w:val="28"/>
          <w:szCs w:val="28"/>
          <w:vertAlign w:val="superscript"/>
          <w:lang w:val="kk-KZ"/>
          <w14:ligatures w14:val="standardContextual"/>
        </w:rPr>
        <w:t>18</w:t>
      </w:r>
      <w:r w:rsidRPr="005E463D">
        <w:rPr>
          <w:rFonts w:ascii="Times New Roman" w:hAnsi="Times New Roman" w:cs="Times New Roman"/>
          <w:sz w:val="28"/>
          <w:szCs w:val="28"/>
          <w:lang w:val="kk-KZ"/>
          <w14:ligatures w14:val="standardContextual"/>
        </w:rPr>
        <w:t xml:space="preserve">F-FDG PET on managing patients with colorectal cancer: the referring physician’s perspective.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Journal of Nuclear Medicine.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01</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42</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4</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586</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590</w:t>
      </w:r>
      <w:r w:rsidRPr="005E463D">
        <w:rPr>
          <w:rFonts w:ascii="Times New Roman" w:hAnsi="Times New Roman" w:cs="Times New Roman"/>
          <w:sz w:val="28"/>
          <w:szCs w:val="28"/>
          <w:lang w:val="kk-KZ"/>
          <w14:ligatures w14:val="standardContextual"/>
        </w:rPr>
        <w:t>.</w:t>
      </w:r>
    </w:p>
    <w:p w14:paraId="5898236E"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68 Whiteford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Whiteford 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Yee L</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F</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Ogunbiyi O</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Dehdashti F</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Siegel B</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Usefulness of FDG-PET scan in the assessment of suspected metastatic or recurrent adenocarcinoma of the colon and rectum.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Diseases of the Colon and Rectum.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00</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43</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6</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75</w:t>
      </w:r>
      <w:r w:rsidRPr="005E463D">
        <w:rPr>
          <w:rFonts w:ascii="Times New Roman" w:hAnsi="Times New Roman" w:cs="Times New Roman"/>
          <w:sz w:val="28"/>
          <w:szCs w:val="28"/>
          <w:lang w:val="kk-KZ"/>
          <w14:ligatures w14:val="standardContextual"/>
        </w:rPr>
        <w:t>9–</w:t>
      </w:r>
      <w:r w:rsidRPr="005E463D">
        <w:rPr>
          <w:rFonts w:ascii="Times New Roman" w:hAnsi="Times New Roman" w:cs="Times New Roman"/>
          <w:sz w:val="28"/>
          <w:szCs w:val="28"/>
          <w:lang w:val="en-US"/>
          <w14:ligatures w14:val="standardContextual"/>
        </w:rPr>
        <w:t>767</w:t>
      </w:r>
      <w:r w:rsidRPr="005E463D">
        <w:rPr>
          <w:rFonts w:ascii="Times New Roman" w:hAnsi="Times New Roman" w:cs="Times New Roman"/>
          <w:sz w:val="28"/>
          <w:szCs w:val="28"/>
          <w:lang w:val="kk-KZ"/>
          <w14:ligatures w14:val="standardContextual"/>
        </w:rPr>
        <w:t>.</w:t>
      </w:r>
    </w:p>
    <w:p w14:paraId="5F941830"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69 Ciernik I</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F</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Dizendorf E</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Baumert B</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G</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Reiner B</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Burger 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Davis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B</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Radiation treatment planning with an integrated positron emission and computer tomography (PET/CT): a feasibility study.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International Journal of Radiation Oncology, Biology, Physics.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03</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57</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3</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853</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863</w:t>
      </w:r>
      <w:r w:rsidRPr="005E463D">
        <w:rPr>
          <w:rFonts w:ascii="Times New Roman" w:hAnsi="Times New Roman" w:cs="Times New Roman"/>
          <w:sz w:val="28"/>
          <w:szCs w:val="28"/>
          <w:lang w:val="kk-KZ"/>
          <w14:ligatures w14:val="standardContextual"/>
        </w:rPr>
        <w:t>.</w:t>
      </w:r>
    </w:p>
    <w:p w14:paraId="4F70D27D"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70 Cohade 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Osman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Leal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Wahl 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L. Direct comparison of (18)F-FDG PET and PET/CT in patients with colorectal carcinoma.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Journal of Nuclear Medicine.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03</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44</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11</w:t>
      </w:r>
      <w:r w:rsidRPr="005E463D">
        <w:rPr>
          <w:rFonts w:ascii="Times New Roman" w:hAnsi="Times New Roman" w:cs="Times New Roman"/>
          <w:sz w:val="28"/>
          <w:szCs w:val="28"/>
          <w:lang w:val="kk-KZ"/>
          <w14:ligatures w14:val="standardContextual"/>
        </w:rPr>
        <w:t>. – Р. 1797–</w:t>
      </w:r>
      <w:r w:rsidRPr="005E463D">
        <w:rPr>
          <w:rFonts w:ascii="Times New Roman" w:hAnsi="Times New Roman" w:cs="Times New Roman"/>
          <w:sz w:val="28"/>
          <w:szCs w:val="28"/>
          <w:lang w:val="en-US"/>
          <w14:ligatures w14:val="standardContextual"/>
        </w:rPr>
        <w:t>1</w:t>
      </w:r>
      <w:r w:rsidRPr="005E463D">
        <w:rPr>
          <w:rFonts w:ascii="Times New Roman" w:hAnsi="Times New Roman" w:cs="Times New Roman"/>
          <w:sz w:val="28"/>
          <w:szCs w:val="28"/>
          <w:lang w:val="kk-KZ"/>
          <w14:ligatures w14:val="standardContextual"/>
        </w:rPr>
        <w:t>803.</w:t>
      </w:r>
    </w:p>
    <w:p w14:paraId="3647D236"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71 Osman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Cohade 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Nakamoto Y</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Marshall L</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T</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Leal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P</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Wahl 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L. Clinically significant inaccurate localization of lesions with PET/CT: frequency in 300 patients.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Journal of Nuclear Medicine.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03</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44</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2</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240</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24</w:t>
      </w:r>
      <w:r w:rsidRPr="005E463D">
        <w:rPr>
          <w:rFonts w:ascii="Times New Roman" w:hAnsi="Times New Roman" w:cs="Times New Roman"/>
          <w:sz w:val="28"/>
          <w:szCs w:val="28"/>
          <w:lang w:val="kk-KZ"/>
          <w14:ligatures w14:val="standardContextual"/>
        </w:rPr>
        <w:t>3.</w:t>
      </w:r>
    </w:p>
    <w:p w14:paraId="7C58426C"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72</w:t>
      </w:r>
      <w:r w:rsidRPr="005E463D">
        <w:rPr>
          <w:rFonts w:ascii="Times New Roman" w:hAnsi="Times New Roman" w:cs="Times New Roman"/>
          <w:sz w:val="28"/>
          <w:szCs w:val="28"/>
          <w:lang w:val="en-US"/>
          <w14:ligatures w14:val="standardContextual"/>
        </w:rPr>
        <w:t xml:space="preserve"> Petersen R.K., Hess S., Alavi A., Høilund-Carlsen P.F. Clinical impact of FDG-PET/CT on colorectal cancer staging and treatment strategy. // American Journal of Nuclear Medicine and Molecular Imaging. -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14</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4</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5</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4</w:t>
      </w:r>
      <w:r w:rsidRPr="005E463D">
        <w:rPr>
          <w:rFonts w:ascii="Times New Roman" w:hAnsi="Times New Roman" w:cs="Times New Roman"/>
          <w:sz w:val="28"/>
          <w:szCs w:val="28"/>
          <w:lang w:val="kk-KZ"/>
          <w14:ligatures w14:val="standardContextual"/>
        </w:rPr>
        <w:t>7</w:t>
      </w:r>
      <w:r w:rsidRPr="005E463D">
        <w:rPr>
          <w:rFonts w:ascii="Times New Roman" w:hAnsi="Times New Roman" w:cs="Times New Roman"/>
          <w:sz w:val="28"/>
          <w:szCs w:val="28"/>
          <w:lang w:val="en-US"/>
          <w14:ligatures w14:val="standardContextual"/>
        </w:rPr>
        <w:t>1</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482</w:t>
      </w:r>
      <w:r w:rsidRPr="005E463D">
        <w:rPr>
          <w:rFonts w:ascii="Times New Roman" w:hAnsi="Times New Roman" w:cs="Times New Roman"/>
          <w:sz w:val="28"/>
          <w:szCs w:val="28"/>
          <w:lang w:val="kk-KZ"/>
          <w14:ligatures w14:val="standardContextual"/>
        </w:rPr>
        <w:t>.</w:t>
      </w:r>
    </w:p>
    <w:p w14:paraId="60F91D26"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73</w:t>
      </w:r>
      <w:r w:rsidRPr="005E463D">
        <w:rPr>
          <w:rFonts w:ascii="Times New Roman" w:hAnsi="Times New Roman" w:cs="Times New Roman"/>
          <w:sz w:val="28"/>
          <w:szCs w:val="28"/>
          <w:lang w:val="en-US"/>
          <w14:ligatures w14:val="standardContextual"/>
        </w:rPr>
        <w:t xml:space="preserve"> Rodríguez-Fraile M., Cózar-Santiago M.P., Sabaté-Llobera A., Caresia-Aróztegui A.P., Delgado Bolton R.C., Orcajo-Rincon J., et al. FDG PET/CT in colorectal cancer. // Revista Espanola De Medicina Nuclear E Imagen Molecular. -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20</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39</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5</w:t>
      </w:r>
      <w:r w:rsidRPr="005E463D">
        <w:rPr>
          <w:rFonts w:ascii="Times New Roman" w:hAnsi="Times New Roman" w:cs="Times New Roman"/>
          <w:sz w:val="28"/>
          <w:szCs w:val="28"/>
          <w:lang w:val="kk-KZ"/>
          <w14:ligatures w14:val="standardContextual"/>
        </w:rPr>
        <w:t>7–</w:t>
      </w:r>
      <w:r w:rsidRPr="005E463D">
        <w:rPr>
          <w:rFonts w:ascii="Times New Roman" w:hAnsi="Times New Roman" w:cs="Times New Roman"/>
          <w:sz w:val="28"/>
          <w:szCs w:val="28"/>
          <w:lang w:val="en-US"/>
          <w14:ligatures w14:val="standardContextual"/>
        </w:rPr>
        <w:t>66</w:t>
      </w:r>
      <w:r w:rsidRPr="005E463D">
        <w:rPr>
          <w:rFonts w:ascii="Times New Roman" w:hAnsi="Times New Roman" w:cs="Times New Roman"/>
          <w:sz w:val="28"/>
          <w:szCs w:val="28"/>
          <w:lang w:val="kk-KZ"/>
          <w14:ligatures w14:val="standardContextual"/>
        </w:rPr>
        <w:t>.</w:t>
      </w:r>
    </w:p>
    <w:p w14:paraId="4FE014A5"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74 Tatsumi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Nakamoto Y</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Traughber B</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Marshall L</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T</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Geschwind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F</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Wahl 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L. Initial experience in small animal tumor imaging with a clinical positron emission tomography/computed tomography scanner using 2-[F-18]fluoro-2-deoxy-D-glucose.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Cancer Research.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03</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63</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19</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6252</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6257</w:t>
      </w:r>
      <w:r w:rsidRPr="005E463D">
        <w:rPr>
          <w:rFonts w:ascii="Times New Roman" w:hAnsi="Times New Roman" w:cs="Times New Roman"/>
          <w:sz w:val="28"/>
          <w:szCs w:val="28"/>
          <w:lang w:val="kk-KZ"/>
          <w14:ligatures w14:val="standardContextual"/>
        </w:rPr>
        <w:t>.</w:t>
      </w:r>
    </w:p>
    <w:p w14:paraId="6284CF9D"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75</w:t>
      </w:r>
      <w:r w:rsidRPr="005E463D">
        <w:rPr>
          <w:rFonts w:ascii="Times New Roman" w:hAnsi="Times New Roman" w:cs="Times New Roman"/>
          <w:sz w:val="28"/>
          <w:szCs w:val="28"/>
          <w:lang w:val="en-US"/>
          <w14:ligatures w14:val="standardContextual"/>
        </w:rPr>
        <w:t xml:space="preserve"> Ince S., Okuyucu K., Hancerliogulları O., Alagoz E., San H., Arslan N. Clinical Significance of Fluorine-18-fluorodeoxyglucose Positron Emission Tomography/computed Tomography in the Follow-up of Colorectal Cancer: Searching off Approaches Increasing Specificity for Detection of Recurrence. // Radiology and Oncology. -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17</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51</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4</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3</w:t>
      </w:r>
      <w:r w:rsidRPr="005E463D">
        <w:rPr>
          <w:rFonts w:ascii="Times New Roman" w:hAnsi="Times New Roman" w:cs="Times New Roman"/>
          <w:sz w:val="28"/>
          <w:szCs w:val="28"/>
          <w:lang w:val="kk-KZ"/>
          <w14:ligatures w14:val="standardContextual"/>
        </w:rPr>
        <w:t>7</w:t>
      </w:r>
      <w:r w:rsidRPr="005E463D">
        <w:rPr>
          <w:rFonts w:ascii="Times New Roman" w:hAnsi="Times New Roman" w:cs="Times New Roman"/>
          <w:sz w:val="28"/>
          <w:szCs w:val="28"/>
          <w:lang w:val="en-US"/>
          <w14:ligatures w14:val="standardContextual"/>
        </w:rPr>
        <w:t>8</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3</w:t>
      </w:r>
      <w:r w:rsidRPr="005E463D">
        <w:rPr>
          <w:rFonts w:ascii="Times New Roman" w:hAnsi="Times New Roman" w:cs="Times New Roman"/>
          <w:sz w:val="28"/>
          <w:szCs w:val="28"/>
          <w:lang w:val="kk-KZ"/>
          <w14:ligatures w14:val="standardContextual"/>
        </w:rPr>
        <w:t>8</w:t>
      </w:r>
      <w:r w:rsidRPr="005E463D">
        <w:rPr>
          <w:rFonts w:ascii="Times New Roman" w:hAnsi="Times New Roman" w:cs="Times New Roman"/>
          <w:sz w:val="28"/>
          <w:szCs w:val="28"/>
          <w:lang w:val="en-US"/>
          <w14:ligatures w14:val="standardContextual"/>
        </w:rPr>
        <w:t>5</w:t>
      </w:r>
      <w:r w:rsidRPr="005E463D">
        <w:rPr>
          <w:rFonts w:ascii="Times New Roman" w:hAnsi="Times New Roman" w:cs="Times New Roman"/>
          <w:sz w:val="28"/>
          <w:szCs w:val="28"/>
          <w:lang w:val="kk-KZ"/>
          <w14:ligatures w14:val="standardContextual"/>
        </w:rPr>
        <w:t>.</w:t>
      </w:r>
    </w:p>
    <w:p w14:paraId="1C1D936D"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76 Tucker 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Coel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Ko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Morris P</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Druger G</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McGuigan P. Impact of fluorine-18 fluorodeoxyglucose positron emission tomography on patient management: first year’s experience in a clinical center.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Journal of Clinical Oncology.</w:t>
      </w:r>
      <w:r w:rsidRPr="005E463D">
        <w:rPr>
          <w:rFonts w:ascii="Times New Roman" w:hAnsi="Times New Roman" w:cs="Times New Roman"/>
          <w:sz w:val="28"/>
          <w:szCs w:val="28"/>
          <w:lang w:val="en-US"/>
          <w14:ligatures w14:val="standardContextual"/>
        </w:rPr>
        <w:t xml:space="preserve"> -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01</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19</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9</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2504</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25</w:t>
      </w:r>
      <w:r w:rsidRPr="005E463D">
        <w:rPr>
          <w:rFonts w:ascii="Times New Roman" w:hAnsi="Times New Roman" w:cs="Times New Roman"/>
          <w:sz w:val="28"/>
          <w:szCs w:val="28"/>
          <w:lang w:val="kk-KZ"/>
          <w14:ligatures w14:val="standardContextual"/>
        </w:rPr>
        <w:t>0</w:t>
      </w:r>
      <w:r w:rsidRPr="005E463D">
        <w:rPr>
          <w:rFonts w:ascii="Times New Roman" w:hAnsi="Times New Roman" w:cs="Times New Roman"/>
          <w:sz w:val="28"/>
          <w:szCs w:val="28"/>
          <w:lang w:val="en-US"/>
          <w14:ligatures w14:val="standardContextual"/>
        </w:rPr>
        <w:t>8</w:t>
      </w:r>
      <w:r w:rsidRPr="005E463D">
        <w:rPr>
          <w:rFonts w:ascii="Times New Roman" w:hAnsi="Times New Roman" w:cs="Times New Roman"/>
          <w:sz w:val="28"/>
          <w:szCs w:val="28"/>
          <w:lang w:val="kk-KZ"/>
          <w14:ligatures w14:val="standardContextual"/>
        </w:rPr>
        <w:t>.</w:t>
      </w:r>
    </w:p>
    <w:p w14:paraId="35AD8AD3"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lastRenderedPageBreak/>
        <w:t>77 Reynolds F</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Kelly K</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A. Techniques for molecular imaging probe design.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Molecular Imaging.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11</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10</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6</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40</w:t>
      </w:r>
      <w:r w:rsidRPr="005E463D">
        <w:rPr>
          <w:rFonts w:ascii="Times New Roman" w:hAnsi="Times New Roman" w:cs="Times New Roman"/>
          <w:sz w:val="28"/>
          <w:szCs w:val="28"/>
          <w:lang w:val="kk-KZ"/>
          <w14:ligatures w14:val="standardContextual"/>
        </w:rPr>
        <w:t>7–</w:t>
      </w:r>
      <w:r w:rsidRPr="005E463D">
        <w:rPr>
          <w:rFonts w:ascii="Times New Roman" w:hAnsi="Times New Roman" w:cs="Times New Roman"/>
          <w:sz w:val="28"/>
          <w:szCs w:val="28"/>
          <w:lang w:val="en-US"/>
          <w14:ligatures w14:val="standardContextual"/>
        </w:rPr>
        <w:t>419</w:t>
      </w:r>
      <w:r w:rsidRPr="005E463D">
        <w:rPr>
          <w:rFonts w:ascii="Times New Roman" w:hAnsi="Times New Roman" w:cs="Times New Roman"/>
          <w:sz w:val="28"/>
          <w:szCs w:val="28"/>
          <w:lang w:val="kk-KZ"/>
          <w14:ligatures w14:val="standardContextual"/>
        </w:rPr>
        <w:t>.</w:t>
      </w:r>
    </w:p>
    <w:p w14:paraId="5DB38C67"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78 Su W</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T</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Brachman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O’Connell T</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X. Use of OncoScint scan to assess resectability of hepatic metastases from colorectal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The American Surgeon.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01</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67</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12</w:t>
      </w:r>
      <w:r w:rsidRPr="005E463D">
        <w:rPr>
          <w:rFonts w:ascii="Times New Roman" w:hAnsi="Times New Roman" w:cs="Times New Roman"/>
          <w:sz w:val="28"/>
          <w:szCs w:val="28"/>
          <w:lang w:val="kk-KZ"/>
          <w14:ligatures w14:val="standardContextual"/>
        </w:rPr>
        <w:t>. – Р. 1</w:t>
      </w:r>
      <w:r w:rsidRPr="005E463D">
        <w:rPr>
          <w:rFonts w:ascii="Times New Roman" w:hAnsi="Times New Roman" w:cs="Times New Roman"/>
          <w:sz w:val="28"/>
          <w:szCs w:val="28"/>
          <w:lang w:val="en-US"/>
          <w14:ligatures w14:val="standardContextual"/>
        </w:rPr>
        <w:t>200</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12</w:t>
      </w:r>
      <w:r w:rsidRPr="005E463D">
        <w:rPr>
          <w:rFonts w:ascii="Times New Roman" w:hAnsi="Times New Roman" w:cs="Times New Roman"/>
          <w:sz w:val="28"/>
          <w:szCs w:val="28"/>
          <w:lang w:val="kk-KZ"/>
          <w14:ligatures w14:val="standardContextual"/>
        </w:rPr>
        <w:t>03.</w:t>
      </w:r>
    </w:p>
    <w:p w14:paraId="4C1E3DC2"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79</w:t>
      </w:r>
      <w:r w:rsidRPr="005E463D">
        <w:rPr>
          <w:rFonts w:ascii="Times New Roman" w:hAnsi="Times New Roman" w:cs="Times New Roman"/>
          <w:sz w:val="28"/>
          <w:szCs w:val="28"/>
          <w:lang w:val="en-US"/>
          <w14:ligatures w14:val="standardContextual"/>
        </w:rPr>
        <w:t xml:space="preserve"> Willkomm P., Bender H., Bangard M., Decker P., Grünwald F., Biersack H.J. FDG PET and immunoscintigraphy with 99mTc-labeled antibody fragments for detection of the recurrence of colorectal carcinoma. // Journal of Nuclear Medicine. -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00</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41</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10</w:t>
      </w:r>
      <w:r w:rsidRPr="005E463D">
        <w:rPr>
          <w:rFonts w:ascii="Times New Roman" w:hAnsi="Times New Roman" w:cs="Times New Roman"/>
          <w:sz w:val="28"/>
          <w:szCs w:val="28"/>
          <w:lang w:val="kk-KZ"/>
          <w14:ligatures w14:val="standardContextual"/>
        </w:rPr>
        <w:t>. – Р. 1</w:t>
      </w:r>
      <w:r w:rsidRPr="005E463D">
        <w:rPr>
          <w:rFonts w:ascii="Times New Roman" w:hAnsi="Times New Roman" w:cs="Times New Roman"/>
          <w:sz w:val="28"/>
          <w:szCs w:val="28"/>
          <w:lang w:val="en-US"/>
          <w14:ligatures w14:val="standardContextual"/>
        </w:rPr>
        <w:t>657</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166</w:t>
      </w:r>
      <w:r w:rsidRPr="005E463D">
        <w:rPr>
          <w:rFonts w:ascii="Times New Roman" w:hAnsi="Times New Roman" w:cs="Times New Roman"/>
          <w:sz w:val="28"/>
          <w:szCs w:val="28"/>
          <w:lang w:val="kk-KZ"/>
          <w14:ligatures w14:val="standardContextual"/>
        </w:rPr>
        <w:t>3.</w:t>
      </w:r>
    </w:p>
    <w:p w14:paraId="3F341C5C"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80 Duman K</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Simsek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Gorgulu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Yagci G</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Peker Y. The role of 2-[f-18] fluoro 2-deoxy d-glucose positron emission tomography in the preoperative staging of gastric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The Eurasian Journal of Medicine.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13</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45</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3</w:t>
      </w:r>
      <w:r w:rsidRPr="005E463D">
        <w:rPr>
          <w:rFonts w:ascii="Times New Roman" w:hAnsi="Times New Roman" w:cs="Times New Roman"/>
          <w:sz w:val="28"/>
          <w:szCs w:val="28"/>
          <w:lang w:val="kk-KZ"/>
          <w14:ligatures w14:val="standardContextual"/>
        </w:rPr>
        <w:t>. – Р. 1</w:t>
      </w:r>
      <w:r w:rsidRPr="005E463D">
        <w:rPr>
          <w:rFonts w:ascii="Times New Roman" w:hAnsi="Times New Roman" w:cs="Times New Roman"/>
          <w:sz w:val="28"/>
          <w:szCs w:val="28"/>
          <w:lang w:val="en-US"/>
          <w14:ligatures w14:val="standardContextual"/>
        </w:rPr>
        <w:t>4</w:t>
      </w:r>
      <w:r w:rsidRPr="005E463D">
        <w:rPr>
          <w:rFonts w:ascii="Times New Roman" w:hAnsi="Times New Roman" w:cs="Times New Roman"/>
          <w:sz w:val="28"/>
          <w:szCs w:val="28"/>
          <w:lang w:val="kk-KZ"/>
          <w14:ligatures w14:val="standardContextual"/>
        </w:rPr>
        <w:t>9–</w:t>
      </w:r>
      <w:r w:rsidRPr="005E463D">
        <w:rPr>
          <w:rFonts w:ascii="Times New Roman" w:hAnsi="Times New Roman" w:cs="Times New Roman"/>
          <w:sz w:val="28"/>
          <w:szCs w:val="28"/>
          <w:lang w:val="en-US"/>
          <w14:ligatures w14:val="standardContextual"/>
        </w:rPr>
        <w:t>154</w:t>
      </w:r>
      <w:r w:rsidRPr="005E463D">
        <w:rPr>
          <w:rFonts w:ascii="Times New Roman" w:hAnsi="Times New Roman" w:cs="Times New Roman"/>
          <w:sz w:val="28"/>
          <w:szCs w:val="28"/>
          <w:lang w:val="kk-KZ"/>
          <w14:ligatures w14:val="standardContextual"/>
        </w:rPr>
        <w:t>.</w:t>
      </w:r>
    </w:p>
    <w:p w14:paraId="4D30C9F1"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81 Libutti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K</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Alexander 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Choyke P</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Bartlett D</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L</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Bacharach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L</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Whatley M, et al. A prospective study of 2-[</w:t>
      </w:r>
      <w:r w:rsidRPr="00407D16">
        <w:rPr>
          <w:rFonts w:ascii="Times New Roman" w:hAnsi="Times New Roman" w:cs="Times New Roman"/>
          <w:sz w:val="28"/>
          <w:szCs w:val="28"/>
          <w:vertAlign w:val="superscript"/>
          <w:lang w:val="kk-KZ"/>
          <w14:ligatures w14:val="standardContextual"/>
        </w:rPr>
        <w:t>18</w:t>
      </w:r>
      <w:r w:rsidRPr="005E463D">
        <w:rPr>
          <w:rFonts w:ascii="Times New Roman" w:hAnsi="Times New Roman" w:cs="Times New Roman"/>
          <w:sz w:val="28"/>
          <w:szCs w:val="28"/>
          <w:lang w:val="kk-KZ"/>
          <w14:ligatures w14:val="standardContextual"/>
        </w:rPr>
        <w:t xml:space="preserve">F] fluoro-2-deoxy-D-glucose/positron emission tomography scan, 99mTc-labeled arcitumomab (CEA-scan), and blind second-look laparotomy for detecting colon cancer recurrence in patients with increasing carcinoembryonic antigen levels.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Annals of Surgical Oncology.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01</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8</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10</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77</w:t>
      </w:r>
      <w:r w:rsidRPr="005E463D">
        <w:rPr>
          <w:rFonts w:ascii="Times New Roman" w:hAnsi="Times New Roman" w:cs="Times New Roman"/>
          <w:sz w:val="28"/>
          <w:szCs w:val="28"/>
          <w:lang w:val="kk-KZ"/>
          <w14:ligatures w14:val="standardContextual"/>
        </w:rPr>
        <w:t>9–</w:t>
      </w:r>
      <w:r w:rsidRPr="005E463D">
        <w:rPr>
          <w:rFonts w:ascii="Times New Roman" w:hAnsi="Times New Roman" w:cs="Times New Roman"/>
          <w:sz w:val="28"/>
          <w:szCs w:val="28"/>
          <w:lang w:val="en-US"/>
          <w14:ligatures w14:val="standardContextual"/>
        </w:rPr>
        <w:t>786</w:t>
      </w:r>
      <w:r w:rsidRPr="005E463D">
        <w:rPr>
          <w:rFonts w:ascii="Times New Roman" w:hAnsi="Times New Roman" w:cs="Times New Roman"/>
          <w:sz w:val="28"/>
          <w:szCs w:val="28"/>
          <w:lang w:val="kk-KZ"/>
          <w14:ligatures w14:val="standardContextual"/>
        </w:rPr>
        <w:t>.</w:t>
      </w:r>
    </w:p>
    <w:p w14:paraId="63BFF831"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82 Han N</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Sun X</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Qin 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Hassan Bakari K</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Wu Z</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Zhang Y</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Value of </w:t>
      </w:r>
      <w:r w:rsidRPr="00407D16">
        <w:rPr>
          <w:rFonts w:ascii="Times New Roman" w:hAnsi="Times New Roman" w:cs="Times New Roman"/>
          <w:sz w:val="28"/>
          <w:szCs w:val="28"/>
          <w:vertAlign w:val="superscript"/>
          <w:lang w:val="kk-KZ"/>
          <w14:ligatures w14:val="standardContextual"/>
        </w:rPr>
        <w:t>18</w:t>
      </w:r>
      <w:r w:rsidRPr="005E463D">
        <w:rPr>
          <w:rFonts w:ascii="Times New Roman" w:hAnsi="Times New Roman" w:cs="Times New Roman"/>
          <w:sz w:val="28"/>
          <w:szCs w:val="28"/>
          <w:lang w:val="kk-KZ"/>
          <w14:ligatures w14:val="standardContextual"/>
        </w:rPr>
        <w:t xml:space="preserve">F-FDG PET/CT Combined With Tumor Markers in the Evaluation of Ascites.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American journal of roentgenology.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18</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210</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5</w:t>
      </w:r>
      <w:r w:rsidRPr="005E463D">
        <w:rPr>
          <w:rFonts w:ascii="Times New Roman" w:hAnsi="Times New Roman" w:cs="Times New Roman"/>
          <w:sz w:val="28"/>
          <w:szCs w:val="28"/>
          <w:lang w:val="kk-KZ"/>
          <w14:ligatures w14:val="standardContextual"/>
        </w:rPr>
        <w:t>. – Р. 1</w:t>
      </w:r>
      <w:r w:rsidRPr="005E463D">
        <w:rPr>
          <w:rFonts w:ascii="Times New Roman" w:hAnsi="Times New Roman" w:cs="Times New Roman"/>
          <w:sz w:val="28"/>
          <w:szCs w:val="28"/>
          <w:lang w:val="en-US"/>
          <w14:ligatures w14:val="standardContextual"/>
        </w:rPr>
        <w:t>155</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1163</w:t>
      </w:r>
      <w:r w:rsidRPr="005E463D">
        <w:rPr>
          <w:rFonts w:ascii="Times New Roman" w:hAnsi="Times New Roman" w:cs="Times New Roman"/>
          <w:sz w:val="28"/>
          <w:szCs w:val="28"/>
          <w:lang w:val="kk-KZ"/>
          <w14:ligatures w14:val="standardContextual"/>
        </w:rPr>
        <w:t>.</w:t>
      </w:r>
    </w:p>
    <w:p w14:paraId="56A1613E"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83 Tanaka T</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Kawai Y</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Kanai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Taki Y</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Nakamoto Y</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Takabayashi A. Usefulness of FDG-positron emission tomography in diagnosing peritoneal recurrence of colorectal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American Journal of Surgery.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02</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184</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5</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433</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436</w:t>
      </w:r>
      <w:r w:rsidRPr="005E463D">
        <w:rPr>
          <w:rFonts w:ascii="Times New Roman" w:hAnsi="Times New Roman" w:cs="Times New Roman"/>
          <w:sz w:val="28"/>
          <w:szCs w:val="28"/>
          <w:lang w:val="kk-KZ"/>
          <w14:ligatures w14:val="standardContextual"/>
        </w:rPr>
        <w:t>.</w:t>
      </w:r>
    </w:p>
    <w:p w14:paraId="081C6184"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84 Berger K</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L</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Nicholson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Dehdashti F</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Siegel B</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A. FDG PET evaluation of mucinous neoplasms: correlation of FDG uptake with histopathologic features.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American journal of roentgenology.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00</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174</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4</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1005</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1008</w:t>
      </w:r>
      <w:r w:rsidRPr="005E463D">
        <w:rPr>
          <w:rFonts w:ascii="Times New Roman" w:hAnsi="Times New Roman" w:cs="Times New Roman"/>
          <w:sz w:val="28"/>
          <w:szCs w:val="28"/>
          <w:lang w:val="kk-KZ"/>
          <w14:ligatures w14:val="standardContextual"/>
        </w:rPr>
        <w:t>.</w:t>
      </w:r>
    </w:p>
    <w:p w14:paraId="43D5BE33"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85 Yasuda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Takahashi W</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Takagi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Ide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Shohtsu A. Primary colorectal cancers detected with PET.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Japanese Journal of Clinical Oncology. </w:t>
      </w:r>
      <w:r w:rsidRPr="005E463D">
        <w:rPr>
          <w:rFonts w:ascii="Times New Roman" w:hAnsi="Times New Roman" w:cs="Times New Roman"/>
          <w:sz w:val="28"/>
          <w:szCs w:val="28"/>
          <w:lang w:val="en-US"/>
          <w14:ligatures w14:val="standardContextual"/>
        </w:rPr>
        <w:t>- 1998</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28</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10</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638</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640</w:t>
      </w:r>
      <w:r w:rsidRPr="005E463D">
        <w:rPr>
          <w:rFonts w:ascii="Times New Roman" w:hAnsi="Times New Roman" w:cs="Times New Roman"/>
          <w:sz w:val="28"/>
          <w:szCs w:val="28"/>
          <w:lang w:val="kk-KZ"/>
          <w14:ligatures w14:val="standardContextual"/>
        </w:rPr>
        <w:t>.</w:t>
      </w:r>
    </w:p>
    <w:p w14:paraId="79EE7BAC"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86 Drenth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P</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Nagengast F</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Oyen W</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J. Evaluation of (pre-)malignant colonic abnormalities: endoscopic validation of FDG-PET findings.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European Journal of Nuclear Medicine.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01</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28</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12</w:t>
      </w:r>
      <w:r w:rsidRPr="005E463D">
        <w:rPr>
          <w:rFonts w:ascii="Times New Roman" w:hAnsi="Times New Roman" w:cs="Times New Roman"/>
          <w:sz w:val="28"/>
          <w:szCs w:val="28"/>
          <w:lang w:val="kk-KZ"/>
          <w14:ligatures w14:val="standardContextual"/>
        </w:rPr>
        <w:t>. – Р. 1</w:t>
      </w:r>
      <w:r w:rsidRPr="005E463D">
        <w:rPr>
          <w:rFonts w:ascii="Times New Roman" w:hAnsi="Times New Roman" w:cs="Times New Roman"/>
          <w:sz w:val="28"/>
          <w:szCs w:val="28"/>
          <w:lang w:val="en-US"/>
          <w14:ligatures w14:val="standardContextual"/>
        </w:rPr>
        <w:t>766</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1769</w:t>
      </w:r>
      <w:r w:rsidRPr="005E463D">
        <w:rPr>
          <w:rFonts w:ascii="Times New Roman" w:hAnsi="Times New Roman" w:cs="Times New Roman"/>
          <w:sz w:val="28"/>
          <w:szCs w:val="28"/>
          <w:lang w:val="kk-KZ"/>
          <w14:ligatures w14:val="standardContextual"/>
        </w:rPr>
        <w:t>.</w:t>
      </w:r>
    </w:p>
    <w:p w14:paraId="4D0B6AD2"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87 Jeon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Meza 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Moolgavkar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Luebeck E</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G. Evaluation of screening strategies for pre-malignant lesions using a biomathematical approach.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Mathematical Biosciences.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08</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213</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56</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70</w:t>
      </w:r>
      <w:r w:rsidRPr="005E463D">
        <w:rPr>
          <w:rFonts w:ascii="Times New Roman" w:hAnsi="Times New Roman" w:cs="Times New Roman"/>
          <w:sz w:val="28"/>
          <w:szCs w:val="28"/>
          <w:lang w:val="kk-KZ"/>
          <w14:ligatures w14:val="standardContextual"/>
        </w:rPr>
        <w:t>.</w:t>
      </w:r>
    </w:p>
    <w:p w14:paraId="4A0DE583"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88 Abdel-Nabi 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Doerr 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Lamonica D</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Cronin V</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Galantowicz P</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Carbone G</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Staging of primary colorectal carcinomas with fluorine-18 fluorodeoxyglucose whole-body PET: correlation with histopathologic and CT findings.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Radiology. </w:t>
      </w:r>
      <w:r w:rsidRPr="005E463D">
        <w:rPr>
          <w:rFonts w:ascii="Times New Roman" w:hAnsi="Times New Roman" w:cs="Times New Roman"/>
          <w:sz w:val="28"/>
          <w:szCs w:val="28"/>
          <w:lang w:val="en-US"/>
          <w14:ligatures w14:val="standardContextual"/>
        </w:rPr>
        <w:t>- 1998</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206</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3</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755</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760</w:t>
      </w:r>
      <w:r w:rsidRPr="005E463D">
        <w:rPr>
          <w:rFonts w:ascii="Times New Roman" w:hAnsi="Times New Roman" w:cs="Times New Roman"/>
          <w:sz w:val="28"/>
          <w:szCs w:val="28"/>
          <w:lang w:val="kk-KZ"/>
          <w14:ligatures w14:val="standardContextual"/>
        </w:rPr>
        <w:t>.</w:t>
      </w:r>
    </w:p>
    <w:p w14:paraId="122AA9A9"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89 Sasaki K</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Kawasaki 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Sato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Koyama K</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Yoshimi F</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Nagai H. Impact of Fluorine-18 2-Fluoro-2-Deoxy-D-Glucose Uptake on Preoperative Positron </w:t>
      </w:r>
      <w:r w:rsidRPr="005E463D">
        <w:rPr>
          <w:rFonts w:ascii="Times New Roman" w:hAnsi="Times New Roman" w:cs="Times New Roman"/>
          <w:sz w:val="28"/>
          <w:szCs w:val="28"/>
          <w:lang w:val="kk-KZ"/>
          <w14:ligatures w14:val="standardContextual"/>
        </w:rPr>
        <w:lastRenderedPageBreak/>
        <w:t xml:space="preserve">Emission Tomography/Computed Tomography in the Lymph Nodes of Patients with Primary Colorectal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Digestive Surgery.</w:t>
      </w:r>
      <w:r w:rsidRPr="005E463D">
        <w:rPr>
          <w:rFonts w:ascii="Times New Roman" w:hAnsi="Times New Roman" w:cs="Times New Roman"/>
          <w:sz w:val="28"/>
          <w:szCs w:val="28"/>
          <w:lang w:val="en-US"/>
          <w14:ligatures w14:val="standardContextual"/>
        </w:rPr>
        <w:t xml:space="preserve"> -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17</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34</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60</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67</w:t>
      </w:r>
      <w:r w:rsidRPr="005E463D">
        <w:rPr>
          <w:rFonts w:ascii="Times New Roman" w:hAnsi="Times New Roman" w:cs="Times New Roman"/>
          <w:sz w:val="28"/>
          <w:szCs w:val="28"/>
          <w:lang w:val="kk-KZ"/>
          <w14:ligatures w14:val="standardContextual"/>
        </w:rPr>
        <w:t>.</w:t>
      </w:r>
    </w:p>
    <w:p w14:paraId="09BB6E6C"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90 Brush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Boyd K</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Chappell F</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Crawford F</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Dozier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Fenwick E</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The value of FDG positron emission tomography/computerised tomography (PET/CT) in pre-operative staging of colorectal cancer: a systematic review and economic evaluation.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Health Technology Assessment (Winchester, England).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11</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15</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35</w:t>
      </w:r>
      <w:r w:rsidRPr="005E463D">
        <w:rPr>
          <w:rFonts w:ascii="Times New Roman" w:hAnsi="Times New Roman" w:cs="Times New Roman"/>
          <w:sz w:val="28"/>
          <w:szCs w:val="28"/>
          <w:lang w:val="kk-KZ"/>
          <w14:ligatures w14:val="standardContextual"/>
        </w:rPr>
        <w:t>. – Р. 1–</w:t>
      </w:r>
      <w:r w:rsidRPr="005E463D">
        <w:rPr>
          <w:rFonts w:ascii="Times New Roman" w:hAnsi="Times New Roman" w:cs="Times New Roman"/>
          <w:sz w:val="28"/>
          <w:szCs w:val="28"/>
          <w:lang w:val="en-US"/>
          <w14:ligatures w14:val="standardContextual"/>
        </w:rPr>
        <w:t>192</w:t>
      </w:r>
      <w:r w:rsidRPr="005E463D">
        <w:rPr>
          <w:rFonts w:ascii="Times New Roman" w:hAnsi="Times New Roman" w:cs="Times New Roman"/>
          <w:sz w:val="28"/>
          <w:szCs w:val="28"/>
          <w:lang w:val="kk-KZ"/>
          <w14:ligatures w14:val="standardContextual"/>
        </w:rPr>
        <w:t>.</w:t>
      </w:r>
    </w:p>
    <w:p w14:paraId="7687D749"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91</w:t>
      </w:r>
      <w:r w:rsidRPr="005E463D">
        <w:rPr>
          <w:rFonts w:ascii="Times New Roman" w:hAnsi="Times New Roman" w:cs="Times New Roman"/>
          <w:sz w:val="28"/>
          <w:szCs w:val="28"/>
          <w:lang w:val="en-US"/>
          <w14:ligatures w14:val="standardContextual"/>
        </w:rPr>
        <w:t xml:space="preserve"> Kantorová I., Lipská L., Bêlohlávek O., Visokai V., Trubaĉ M., Schneiderová M. Routine (18)F-FDG PET preoperative staging of colorectal cancer: comparison with conventional staging and its impact on treatment decision making. // Journal of Nuclear Medicine. -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03</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44</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11</w:t>
      </w:r>
      <w:r w:rsidRPr="005E463D">
        <w:rPr>
          <w:rFonts w:ascii="Times New Roman" w:hAnsi="Times New Roman" w:cs="Times New Roman"/>
          <w:sz w:val="28"/>
          <w:szCs w:val="28"/>
          <w:lang w:val="kk-KZ"/>
          <w14:ligatures w14:val="standardContextual"/>
        </w:rPr>
        <w:t>. – Р. 1</w:t>
      </w:r>
      <w:r w:rsidRPr="005E463D">
        <w:rPr>
          <w:rFonts w:ascii="Times New Roman" w:hAnsi="Times New Roman" w:cs="Times New Roman"/>
          <w:sz w:val="28"/>
          <w:szCs w:val="28"/>
          <w:lang w:val="en-US"/>
          <w14:ligatures w14:val="standardContextual"/>
        </w:rPr>
        <w:t>784</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1788</w:t>
      </w:r>
      <w:r w:rsidRPr="005E463D">
        <w:rPr>
          <w:rFonts w:ascii="Times New Roman" w:hAnsi="Times New Roman" w:cs="Times New Roman"/>
          <w:sz w:val="28"/>
          <w:szCs w:val="28"/>
          <w:lang w:val="kk-KZ"/>
          <w14:ligatures w14:val="standardContextual"/>
        </w:rPr>
        <w:t>.</w:t>
      </w:r>
    </w:p>
    <w:p w14:paraId="545AF23F"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92 Kolev N</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Tonev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Ignatov V</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Ivanov G</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Ivanov K. [Influence of FDG-PET-CT on diagnostic and treatment of colorectal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Khirurgiia.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11</w:t>
      </w:r>
      <w:r w:rsidRPr="005E463D">
        <w:rPr>
          <w:rFonts w:ascii="Times New Roman" w:hAnsi="Times New Roman" w:cs="Times New Roman"/>
          <w:sz w:val="28"/>
          <w:szCs w:val="28"/>
          <w:lang w:val="kk-KZ"/>
          <w14:ligatures w14:val="standardContextual"/>
        </w:rPr>
        <w:t>. - Vol. 3, №</w:t>
      </w:r>
      <w:r w:rsidRPr="005E463D">
        <w:rPr>
          <w:rFonts w:ascii="Times New Roman" w:hAnsi="Times New Roman" w:cs="Times New Roman"/>
          <w:sz w:val="28"/>
          <w:szCs w:val="28"/>
          <w:lang w:val="en-US"/>
          <w14:ligatures w14:val="standardContextual"/>
        </w:rPr>
        <w:t>1</w:t>
      </w:r>
      <w:r w:rsidRPr="005E463D">
        <w:rPr>
          <w:rFonts w:ascii="Times New Roman" w:hAnsi="Times New Roman" w:cs="Times New Roman"/>
          <w:sz w:val="28"/>
          <w:szCs w:val="28"/>
          <w:lang w:val="kk-KZ"/>
          <w14:ligatures w14:val="standardContextual"/>
        </w:rPr>
        <w:t>. – Р. 55–6</w:t>
      </w:r>
      <w:r w:rsidRPr="005E463D">
        <w:rPr>
          <w:rFonts w:ascii="Times New Roman" w:hAnsi="Times New Roman" w:cs="Times New Roman"/>
          <w:sz w:val="28"/>
          <w:szCs w:val="28"/>
          <w:lang w:val="en-US"/>
          <w14:ligatures w14:val="standardContextual"/>
        </w:rPr>
        <w:t>1</w:t>
      </w:r>
      <w:r w:rsidRPr="005E463D">
        <w:rPr>
          <w:rFonts w:ascii="Times New Roman" w:hAnsi="Times New Roman" w:cs="Times New Roman"/>
          <w:sz w:val="28"/>
          <w:szCs w:val="28"/>
          <w:lang w:val="kk-KZ"/>
          <w14:ligatures w14:val="standardContextual"/>
        </w:rPr>
        <w:t>.</w:t>
      </w:r>
    </w:p>
    <w:p w14:paraId="400C35ED"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93 Llamas-Elvira J.M., Rodríguez-Fernández A., Gutiérrez-Sáinz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Gomez-Rio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Bellon-Guardia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Ramos-Font 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w:t>
      </w:r>
      <w:r w:rsidRPr="005E463D">
        <w:rPr>
          <w:rFonts w:ascii="Times New Roman" w:hAnsi="Times New Roman" w:cs="Times New Roman"/>
          <w:sz w:val="28"/>
          <w:szCs w:val="28"/>
          <w:lang w:val="en-US"/>
          <w14:ligatures w14:val="standardContextual"/>
        </w:rPr>
        <w:t xml:space="preserve">Fluorine-18 fluorodeoxyglucose PET in the preoperative staging of colorectal cancer. // European Journal of Nuclear Medicine and Molecular Imaging. -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07</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34</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6</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859</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867</w:t>
      </w:r>
      <w:r w:rsidRPr="005E463D">
        <w:rPr>
          <w:rFonts w:ascii="Times New Roman" w:hAnsi="Times New Roman" w:cs="Times New Roman"/>
          <w:sz w:val="28"/>
          <w:szCs w:val="28"/>
          <w:lang w:val="kk-KZ"/>
          <w14:ligatures w14:val="standardContextual"/>
        </w:rPr>
        <w:t>.</w:t>
      </w:r>
    </w:p>
    <w:p w14:paraId="2F7D932D"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 xml:space="preserve">94 Özkan Z.G., Has Şimşek D., Kuyumcu S., Oflas M., Işık E.G., Doğan İ., et al. </w:t>
      </w:r>
      <w:r w:rsidRPr="005E463D">
        <w:rPr>
          <w:rFonts w:ascii="Times New Roman" w:hAnsi="Times New Roman" w:cs="Times New Roman"/>
          <w:sz w:val="28"/>
          <w:szCs w:val="28"/>
          <w:lang w:val="en-US"/>
          <w14:ligatures w14:val="standardContextual"/>
        </w:rPr>
        <w:t xml:space="preserve">Prognostic value of FDG PET-CT in suspected recurrence of colorectal carcinoma: survival outcomes of a 10-year follow-up: FDG PET in recurrent colorectal CA. // Annals of Nuclear Medicine. -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22</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36</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52</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60</w:t>
      </w:r>
      <w:r w:rsidRPr="005E463D">
        <w:rPr>
          <w:rFonts w:ascii="Times New Roman" w:hAnsi="Times New Roman" w:cs="Times New Roman"/>
          <w:sz w:val="28"/>
          <w:szCs w:val="28"/>
          <w:lang w:val="kk-KZ"/>
          <w14:ligatures w14:val="standardContextual"/>
        </w:rPr>
        <w:t>.</w:t>
      </w:r>
    </w:p>
    <w:p w14:paraId="7F83E329" w14:textId="340736C4"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95 Choi B</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W</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Kim 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W</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Won K</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Song B</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I</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Cho K</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B</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Bae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U. Diagnostic accuracy of </w:t>
      </w:r>
      <w:r w:rsidRPr="00407D16">
        <w:rPr>
          <w:rFonts w:ascii="Times New Roman" w:hAnsi="Times New Roman" w:cs="Times New Roman"/>
          <w:sz w:val="28"/>
          <w:szCs w:val="28"/>
          <w:vertAlign w:val="superscript"/>
          <w:lang w:val="kk-KZ"/>
          <w14:ligatures w14:val="standardContextual"/>
        </w:rPr>
        <w:t>18</w:t>
      </w:r>
      <w:r w:rsidRPr="005E463D">
        <w:rPr>
          <w:rFonts w:ascii="Times New Roman" w:hAnsi="Times New Roman" w:cs="Times New Roman"/>
          <w:sz w:val="28"/>
          <w:szCs w:val="28"/>
          <w:lang w:val="kk-KZ"/>
          <w14:ligatures w14:val="standardContextual"/>
        </w:rPr>
        <w:t xml:space="preserve">F-FDG PET/CT for detecting synchronous advanced colorectal neoplasia in patients with gastric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Medicine.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16</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95</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36</w:t>
      </w:r>
      <w:r w:rsidRPr="005E463D">
        <w:rPr>
          <w:rFonts w:ascii="Times New Roman" w:hAnsi="Times New Roman" w:cs="Times New Roman"/>
          <w:sz w:val="28"/>
          <w:szCs w:val="28"/>
          <w:lang w:val="kk-KZ"/>
          <w14:ligatures w14:val="standardContextual"/>
        </w:rPr>
        <w:t>. – e4741</w:t>
      </w:r>
      <w:r w:rsidR="00610F69">
        <w:rPr>
          <w:rFonts w:ascii="Times New Roman" w:hAnsi="Times New Roman" w:cs="Times New Roman"/>
          <w:sz w:val="28"/>
          <w:szCs w:val="28"/>
          <w:lang w:val="en-US"/>
          <w14:ligatures w14:val="standardContextual"/>
        </w:rPr>
        <w:t xml:space="preserve"> p</w:t>
      </w:r>
      <w:r w:rsidRPr="005E463D">
        <w:rPr>
          <w:rFonts w:ascii="Times New Roman" w:hAnsi="Times New Roman" w:cs="Times New Roman"/>
          <w:sz w:val="28"/>
          <w:szCs w:val="28"/>
          <w:lang w:val="kk-KZ"/>
          <w14:ligatures w14:val="standardContextual"/>
        </w:rPr>
        <w:t>.</w:t>
      </w:r>
    </w:p>
    <w:p w14:paraId="01AE967B"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 xml:space="preserve">96 Mukai M, Sadahiro S, Yasuda S, Ishida H, Tokunaga N, Tajima T, et al. Preoperative evaluation by whole-body </w:t>
      </w:r>
      <w:r w:rsidRPr="00407D16">
        <w:rPr>
          <w:rFonts w:ascii="Times New Roman" w:hAnsi="Times New Roman" w:cs="Times New Roman"/>
          <w:sz w:val="28"/>
          <w:szCs w:val="28"/>
          <w:vertAlign w:val="superscript"/>
          <w:lang w:val="kk-KZ"/>
          <w14:ligatures w14:val="standardContextual"/>
        </w:rPr>
        <w:t>18</w:t>
      </w:r>
      <w:r w:rsidRPr="005E463D">
        <w:rPr>
          <w:rFonts w:ascii="Times New Roman" w:hAnsi="Times New Roman" w:cs="Times New Roman"/>
          <w:sz w:val="28"/>
          <w:szCs w:val="28"/>
          <w:lang w:val="kk-KZ"/>
          <w14:ligatures w14:val="standardContextual"/>
        </w:rPr>
        <w:t xml:space="preserve">F-fluorodeoxyglucose positron emission tomography in patients with primary colorectal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Oncology Reports.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00</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7</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85</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87</w:t>
      </w:r>
      <w:r w:rsidRPr="005E463D">
        <w:rPr>
          <w:rFonts w:ascii="Times New Roman" w:hAnsi="Times New Roman" w:cs="Times New Roman"/>
          <w:sz w:val="28"/>
          <w:szCs w:val="28"/>
          <w:lang w:val="kk-KZ"/>
          <w14:ligatures w14:val="standardContextual"/>
        </w:rPr>
        <w:t>.</w:t>
      </w:r>
    </w:p>
    <w:p w14:paraId="21CFA675"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97 Sorenson E</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Lambreton F</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Yu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Q</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Li T</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Denlinger 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Meyer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E</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Impact of PET/CT for Restaging Patients With Locally Advanced Rectal Cancer After Neoadjuvant Chemoradiation.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The Journal of Surgical Research.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19</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243</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242</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248</w:t>
      </w:r>
      <w:r w:rsidRPr="005E463D">
        <w:rPr>
          <w:rFonts w:ascii="Times New Roman" w:hAnsi="Times New Roman" w:cs="Times New Roman"/>
          <w:sz w:val="28"/>
          <w:szCs w:val="28"/>
          <w:lang w:val="kk-KZ"/>
          <w14:ligatures w14:val="standardContextual"/>
        </w:rPr>
        <w:t>.</w:t>
      </w:r>
    </w:p>
    <w:p w14:paraId="36318BB5"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 xml:space="preserve">98 Cho S.H., Kim S.W., Kim W.C., Park J.M., Yoo I.R., Kim S.H., et al. Incidental focal colorectal </w:t>
      </w:r>
      <w:r w:rsidRPr="005E463D">
        <w:rPr>
          <w:rFonts w:ascii="Times New Roman" w:hAnsi="Times New Roman" w:cs="Times New Roman"/>
          <w:sz w:val="28"/>
          <w:szCs w:val="28"/>
          <w:vertAlign w:val="superscript"/>
          <w:lang w:val="kk-KZ"/>
          <w14:ligatures w14:val="standardContextual"/>
        </w:rPr>
        <w:t>18</w:t>
      </w:r>
      <w:r w:rsidRPr="005E463D">
        <w:rPr>
          <w:rFonts w:ascii="Times New Roman" w:hAnsi="Times New Roman" w:cs="Times New Roman"/>
          <w:sz w:val="28"/>
          <w:szCs w:val="28"/>
          <w:lang w:val="kk-KZ"/>
          <w14:ligatures w14:val="standardContextual"/>
        </w:rPr>
        <w:t xml:space="preserve">F-fluorodeoxyglucose uptake on positron emission tomography/computed tomography.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World Journal of Gastroenterology.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13</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19</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22</w:t>
      </w:r>
      <w:r w:rsidRPr="005E463D">
        <w:rPr>
          <w:rFonts w:ascii="Times New Roman" w:hAnsi="Times New Roman" w:cs="Times New Roman"/>
          <w:sz w:val="28"/>
          <w:szCs w:val="28"/>
          <w:lang w:val="kk-KZ"/>
          <w14:ligatures w14:val="standardContextual"/>
        </w:rPr>
        <w:t>. – Р. 3453-3458.</w:t>
      </w:r>
    </w:p>
    <w:p w14:paraId="25C967E3"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99</w:t>
      </w:r>
      <w:r w:rsidRPr="005E463D">
        <w:rPr>
          <w:rFonts w:ascii="Times New Roman" w:hAnsi="Times New Roman" w:cs="Times New Roman"/>
          <w:sz w:val="28"/>
          <w:szCs w:val="28"/>
          <w:lang w:val="en-US"/>
          <w14:ligatures w14:val="standardContextual"/>
        </w:rPr>
        <w:t xml:space="preserve"> Fuertes J., Montagut C., Bullich S., Coma M.I., Mestre-Fusco A., Suárez-Piñera M., et al. Incidental focal uptake in colorectal location on oncologic </w:t>
      </w:r>
      <w:r w:rsidRPr="005E463D">
        <w:rPr>
          <w:rFonts w:ascii="Times New Roman" w:hAnsi="Times New Roman" w:cs="Times New Roman"/>
          <w:sz w:val="28"/>
          <w:szCs w:val="28"/>
          <w:vertAlign w:val="superscript"/>
          <w:lang w:val="kk-KZ"/>
          <w14:ligatures w14:val="standardContextual"/>
        </w:rPr>
        <w:t>18</w:t>
      </w:r>
      <w:r w:rsidRPr="005E463D">
        <w:rPr>
          <w:rFonts w:ascii="Times New Roman" w:hAnsi="Times New Roman" w:cs="Times New Roman"/>
          <w:sz w:val="28"/>
          <w:szCs w:val="28"/>
          <w:lang w:val="kk-KZ"/>
          <w14:ligatures w14:val="standardContextual"/>
        </w:rPr>
        <w:t xml:space="preserve">FDG PET and PET/CT studies: histopathological findings and clinical significances.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Revista Espanola De Medicina Nuclear E Imagen Molecular.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15</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34</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2</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95</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101</w:t>
      </w:r>
      <w:r w:rsidRPr="005E463D">
        <w:rPr>
          <w:rFonts w:ascii="Times New Roman" w:hAnsi="Times New Roman" w:cs="Times New Roman"/>
          <w:sz w:val="28"/>
          <w:szCs w:val="28"/>
          <w:lang w:val="kk-KZ"/>
          <w14:ligatures w14:val="standardContextual"/>
        </w:rPr>
        <w:t>.</w:t>
      </w:r>
    </w:p>
    <w:p w14:paraId="3AA32DBB"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100 van Hoeij F</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B</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Keijsers 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G</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Loffeld B</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C</w:t>
      </w:r>
      <w:r w:rsidRPr="005E463D">
        <w:rPr>
          <w:rFonts w:ascii="Times New Roman" w:hAnsi="Times New Roman" w:cs="Times New Roman"/>
          <w:sz w:val="28"/>
          <w:szCs w:val="28"/>
          <w:lang w:val="en-US"/>
          <w14:ligatures w14:val="standardContextual"/>
        </w:rPr>
        <w:t>.A.</w:t>
      </w:r>
      <w:r w:rsidRPr="005E463D">
        <w:rPr>
          <w:rFonts w:ascii="Times New Roman" w:hAnsi="Times New Roman" w:cs="Times New Roman"/>
          <w:sz w:val="28"/>
          <w:szCs w:val="28"/>
          <w:lang w:val="kk-KZ"/>
          <w14:ligatures w14:val="standardContextual"/>
        </w:rPr>
        <w:t>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Dun G</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Stadhouders P</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G</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Weusten B</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L</w:t>
      </w:r>
      <w:r w:rsidRPr="005E463D">
        <w:rPr>
          <w:rFonts w:ascii="Times New Roman" w:hAnsi="Times New Roman" w:cs="Times New Roman"/>
          <w:sz w:val="28"/>
          <w:szCs w:val="28"/>
          <w:lang w:val="en-US"/>
          <w14:ligatures w14:val="standardContextual"/>
        </w:rPr>
        <w:t>.A</w:t>
      </w:r>
      <w:r w:rsidRPr="005E463D">
        <w:rPr>
          <w:rFonts w:ascii="Times New Roman" w:hAnsi="Times New Roman" w:cs="Times New Roman"/>
          <w:sz w:val="28"/>
          <w:szCs w:val="28"/>
          <w:lang w:val="kk-KZ"/>
          <w14:ligatures w14:val="standardContextual"/>
        </w:rPr>
        <w:t xml:space="preserve">.M. Incidental colonic focal FDG uptake on PET/CT: can </w:t>
      </w:r>
      <w:r w:rsidRPr="005E463D">
        <w:rPr>
          <w:rFonts w:ascii="Times New Roman" w:hAnsi="Times New Roman" w:cs="Times New Roman"/>
          <w:sz w:val="28"/>
          <w:szCs w:val="28"/>
          <w:lang w:val="kk-KZ"/>
          <w14:ligatures w14:val="standardContextual"/>
        </w:rPr>
        <w:lastRenderedPageBreak/>
        <w:t xml:space="preserve">the maximum standardized uptake value (SUVmax) guide us in the timing of colonoscopy?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European Journal of Nuclear Medicine and Molecular Imaging.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15</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42</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66</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71</w:t>
      </w:r>
      <w:r w:rsidRPr="005E463D">
        <w:rPr>
          <w:rFonts w:ascii="Times New Roman" w:hAnsi="Times New Roman" w:cs="Times New Roman"/>
          <w:sz w:val="28"/>
          <w:szCs w:val="28"/>
          <w:lang w:val="kk-KZ"/>
          <w14:ligatures w14:val="standardContextual"/>
        </w:rPr>
        <w:t>.</w:t>
      </w:r>
    </w:p>
    <w:p w14:paraId="211E369A"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101 Keyzer 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Dhaene B</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Blocklet D</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De Maertelaer V</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Goldman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Gevenois P</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A. Colonoscopic Findings in Patients With Incidental Colonic Focal FDG Uptake.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American journal of roentgenology.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15</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204</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5</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586</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591</w:t>
      </w:r>
      <w:r w:rsidRPr="005E463D">
        <w:rPr>
          <w:rFonts w:ascii="Times New Roman" w:hAnsi="Times New Roman" w:cs="Times New Roman"/>
          <w:sz w:val="28"/>
          <w:szCs w:val="28"/>
          <w:lang w:val="kk-KZ"/>
          <w14:ligatures w14:val="standardContextual"/>
        </w:rPr>
        <w:t>.</w:t>
      </w:r>
    </w:p>
    <w:p w14:paraId="1F21795B"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102 Kousgaard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Thorlacius-Ussing O. Incidental colorectal FDG uptake on PET/CT scan and lesions observed during subsequent colonoscopy: a systematic review. </w:t>
      </w:r>
      <w:r w:rsidRPr="005E463D">
        <w:rPr>
          <w:rFonts w:ascii="Times New Roman" w:hAnsi="Times New Roman" w:cs="Times New Roman"/>
          <w:sz w:val="28"/>
          <w:szCs w:val="28"/>
          <w:lang w:val="en-US"/>
          <w14:ligatures w14:val="standardContextual"/>
        </w:rPr>
        <w:t>// Techniques in Coloproctology</w:t>
      </w:r>
      <w:r w:rsidRPr="005E463D">
        <w:rPr>
          <w:rFonts w:ascii="Times New Roman" w:hAnsi="Times New Roman" w:cs="Times New Roman"/>
          <w:sz w:val="28"/>
          <w:szCs w:val="28"/>
          <w:lang w:val="kk-KZ"/>
          <w14:ligatures w14:val="standardContextual"/>
        </w:rPr>
        <w:t xml:space="preserv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17</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21</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7</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52</w:t>
      </w:r>
      <w:r w:rsidRPr="005E463D">
        <w:rPr>
          <w:rFonts w:ascii="Times New Roman" w:hAnsi="Times New Roman" w:cs="Times New Roman"/>
          <w:sz w:val="28"/>
          <w:szCs w:val="28"/>
          <w:lang w:val="kk-KZ"/>
          <w14:ligatures w14:val="standardContextual"/>
        </w:rPr>
        <w:t>1–</w:t>
      </w:r>
      <w:r w:rsidRPr="005E463D">
        <w:rPr>
          <w:rFonts w:ascii="Times New Roman" w:hAnsi="Times New Roman" w:cs="Times New Roman"/>
          <w:sz w:val="28"/>
          <w:szCs w:val="28"/>
          <w:lang w:val="en-US"/>
          <w14:ligatures w14:val="standardContextual"/>
        </w:rPr>
        <w:t>529</w:t>
      </w:r>
      <w:r w:rsidRPr="005E463D">
        <w:rPr>
          <w:rFonts w:ascii="Times New Roman" w:hAnsi="Times New Roman" w:cs="Times New Roman"/>
          <w:sz w:val="28"/>
          <w:szCs w:val="28"/>
          <w:lang w:val="kk-KZ"/>
          <w14:ligatures w14:val="standardContextual"/>
        </w:rPr>
        <w:t>.</w:t>
      </w:r>
    </w:p>
    <w:p w14:paraId="62394F81"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103 Kunawudhi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Wong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K</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Alkasab T</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K</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Mahmood U. Accuracy of FDG-PET/CT for Detection of Incidental Pre-Malignant and Malignant Colonic Lesions - Correlation with Colonoscopic and Histopathologic Findings.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Asian Pacific journal of cancer prevention.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16</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17</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8</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4</w:t>
      </w:r>
      <w:r w:rsidRPr="005E463D">
        <w:rPr>
          <w:rFonts w:ascii="Times New Roman" w:hAnsi="Times New Roman" w:cs="Times New Roman"/>
          <w:sz w:val="28"/>
          <w:szCs w:val="28"/>
          <w:lang w:val="kk-KZ"/>
          <w14:ligatures w14:val="standardContextual"/>
        </w:rPr>
        <w:t>1</w:t>
      </w:r>
      <w:r w:rsidRPr="005E463D">
        <w:rPr>
          <w:rFonts w:ascii="Times New Roman" w:hAnsi="Times New Roman" w:cs="Times New Roman"/>
          <w:sz w:val="28"/>
          <w:szCs w:val="28"/>
          <w:lang w:val="en-US"/>
          <w14:ligatures w14:val="standardContextual"/>
        </w:rPr>
        <w:t>43</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4147</w:t>
      </w:r>
      <w:r w:rsidRPr="005E463D">
        <w:rPr>
          <w:rFonts w:ascii="Times New Roman" w:hAnsi="Times New Roman" w:cs="Times New Roman"/>
          <w:sz w:val="28"/>
          <w:szCs w:val="28"/>
          <w:lang w:val="kk-KZ"/>
          <w14:ligatures w14:val="standardContextual"/>
        </w:rPr>
        <w:t>.</w:t>
      </w:r>
    </w:p>
    <w:p w14:paraId="4BABF196"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104 Tatlidil 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Jadvar 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Bading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Conti P</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Incidental colonic fluorodeoxyglucose uptake: correlation with colonoscopic and histopathologic findings.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Radiology.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02</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224</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3</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783</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787</w:t>
      </w:r>
      <w:r w:rsidRPr="005E463D">
        <w:rPr>
          <w:rFonts w:ascii="Times New Roman" w:hAnsi="Times New Roman" w:cs="Times New Roman"/>
          <w:sz w:val="28"/>
          <w:szCs w:val="28"/>
          <w:lang w:val="kk-KZ"/>
          <w14:ligatures w14:val="standardContextual"/>
        </w:rPr>
        <w:t>.</w:t>
      </w:r>
    </w:p>
    <w:p w14:paraId="1E5FECA6"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105 Treglia G</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Calcagni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L</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Rufini V</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Leccisotti L</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Meduri G</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Spitilli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G</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Clinical significance of incidental focal colorectal (18)F-fluorodeoxyglucose uptake: our experience and a review of the literature. </w:t>
      </w:r>
      <w:r w:rsidRPr="005E463D">
        <w:rPr>
          <w:rFonts w:ascii="Times New Roman" w:hAnsi="Times New Roman" w:cs="Times New Roman"/>
          <w:sz w:val="28"/>
          <w:szCs w:val="28"/>
          <w:lang w:val="en-US"/>
          <w14:ligatures w14:val="standardContextual"/>
        </w:rPr>
        <w:t>// Colorectal Disease</w:t>
      </w:r>
      <w:r w:rsidRPr="005E463D">
        <w:rPr>
          <w:rFonts w:ascii="Times New Roman" w:hAnsi="Times New Roman" w:cs="Times New Roman"/>
          <w:sz w:val="28"/>
          <w:szCs w:val="28"/>
          <w:lang w:val="kk-KZ"/>
          <w14:ligatures w14:val="standardContextual"/>
        </w:rPr>
        <w:t xml:space="preserv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12</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14</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2</w:t>
      </w:r>
      <w:r w:rsidRPr="005E463D">
        <w:rPr>
          <w:rFonts w:ascii="Times New Roman" w:hAnsi="Times New Roman" w:cs="Times New Roman"/>
          <w:sz w:val="28"/>
          <w:szCs w:val="28"/>
          <w:lang w:val="kk-KZ"/>
          <w14:ligatures w14:val="standardContextual"/>
        </w:rPr>
        <w:t>. – Р. 1</w:t>
      </w:r>
      <w:r w:rsidRPr="005E463D">
        <w:rPr>
          <w:rFonts w:ascii="Times New Roman" w:hAnsi="Times New Roman" w:cs="Times New Roman"/>
          <w:sz w:val="28"/>
          <w:szCs w:val="28"/>
          <w:lang w:val="en-US"/>
          <w14:ligatures w14:val="standardContextual"/>
        </w:rPr>
        <w:t>74</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180</w:t>
      </w:r>
      <w:r w:rsidRPr="005E463D">
        <w:rPr>
          <w:rFonts w:ascii="Times New Roman" w:hAnsi="Times New Roman" w:cs="Times New Roman"/>
          <w:sz w:val="28"/>
          <w:szCs w:val="28"/>
          <w:lang w:val="kk-KZ"/>
          <w14:ligatures w14:val="standardContextual"/>
        </w:rPr>
        <w:t>.</w:t>
      </w:r>
    </w:p>
    <w:p w14:paraId="61065805"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106 Briggs 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Chowdhury F</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U</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Lodge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P</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Scarsbrook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F. Clinical impact of FDG PET-CT in patients with potentially operable metastatic colorectal cancer. </w:t>
      </w:r>
      <w:r w:rsidRPr="005E463D">
        <w:rPr>
          <w:rFonts w:ascii="Times New Roman" w:hAnsi="Times New Roman" w:cs="Times New Roman"/>
          <w:sz w:val="28"/>
          <w:szCs w:val="28"/>
          <w:lang w:val="en-US"/>
          <w14:ligatures w14:val="standardContextual"/>
        </w:rPr>
        <w:t>// Clinical Radiology</w:t>
      </w:r>
      <w:r w:rsidRPr="005E463D">
        <w:rPr>
          <w:rFonts w:ascii="Times New Roman" w:hAnsi="Times New Roman" w:cs="Times New Roman"/>
          <w:sz w:val="28"/>
          <w:szCs w:val="28"/>
          <w:lang w:val="kk-KZ"/>
          <w14:ligatures w14:val="standardContextual"/>
        </w:rPr>
        <w:t xml:space="preserv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11</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66</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12</w:t>
      </w:r>
      <w:r w:rsidRPr="005E463D">
        <w:rPr>
          <w:rFonts w:ascii="Times New Roman" w:hAnsi="Times New Roman" w:cs="Times New Roman"/>
          <w:sz w:val="28"/>
          <w:szCs w:val="28"/>
          <w:lang w:val="kk-KZ"/>
          <w14:ligatures w14:val="standardContextual"/>
        </w:rPr>
        <w:t>. – Р. 1</w:t>
      </w:r>
      <w:r w:rsidRPr="005E463D">
        <w:rPr>
          <w:rFonts w:ascii="Times New Roman" w:hAnsi="Times New Roman" w:cs="Times New Roman"/>
          <w:sz w:val="28"/>
          <w:szCs w:val="28"/>
          <w:lang w:val="en-US"/>
          <w14:ligatures w14:val="standardContextual"/>
        </w:rPr>
        <w:t>167</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1174</w:t>
      </w:r>
      <w:r w:rsidRPr="005E463D">
        <w:rPr>
          <w:rFonts w:ascii="Times New Roman" w:hAnsi="Times New Roman" w:cs="Times New Roman"/>
          <w:sz w:val="28"/>
          <w:szCs w:val="28"/>
          <w:lang w:val="kk-KZ"/>
          <w14:ligatures w14:val="standardContextual"/>
        </w:rPr>
        <w:t>.</w:t>
      </w:r>
    </w:p>
    <w:p w14:paraId="4B6BAF1A"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107 Kalff V</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Hicks 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Ware 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E</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Hogg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Binns D</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McKenzie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F. The clinical impact of (18)F-FDG PET in patients with suspected or confirmed recurrence of colorectal cancer: a prospective study.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Journal of Nuclear Medicine.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02</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43</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4</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492</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499</w:t>
      </w:r>
      <w:r w:rsidRPr="005E463D">
        <w:rPr>
          <w:rFonts w:ascii="Times New Roman" w:hAnsi="Times New Roman" w:cs="Times New Roman"/>
          <w:sz w:val="28"/>
          <w:szCs w:val="28"/>
          <w:lang w:val="kk-KZ"/>
          <w14:ligatures w14:val="standardContextual"/>
        </w:rPr>
        <w:t>.</w:t>
      </w:r>
    </w:p>
    <w:p w14:paraId="7D2958E0"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108 Flanagan F.L., Dehdashti F</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Ogunbiyi O</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Kodner I</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Siegel B</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A. Utility of FDG-PET for investigating unexplained plasma CEA elevation in patients with colorectal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Annals of Surgery. </w:t>
      </w:r>
      <w:r w:rsidRPr="005E463D">
        <w:rPr>
          <w:rFonts w:ascii="Times New Roman" w:hAnsi="Times New Roman" w:cs="Times New Roman"/>
          <w:sz w:val="28"/>
          <w:szCs w:val="28"/>
          <w:lang w:val="en-US"/>
          <w14:ligatures w14:val="standardContextual"/>
        </w:rPr>
        <w:t>- 1998</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227</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3</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3</w:t>
      </w:r>
      <w:r w:rsidRPr="005E463D">
        <w:rPr>
          <w:rFonts w:ascii="Times New Roman" w:hAnsi="Times New Roman" w:cs="Times New Roman"/>
          <w:sz w:val="28"/>
          <w:szCs w:val="28"/>
          <w:lang w:val="kk-KZ"/>
          <w14:ligatures w14:val="standardContextual"/>
        </w:rPr>
        <w:t>1</w:t>
      </w:r>
      <w:r w:rsidRPr="005E463D">
        <w:rPr>
          <w:rFonts w:ascii="Times New Roman" w:hAnsi="Times New Roman" w:cs="Times New Roman"/>
          <w:sz w:val="28"/>
          <w:szCs w:val="28"/>
          <w:lang w:val="en-US"/>
          <w14:ligatures w14:val="standardContextual"/>
        </w:rPr>
        <w:t>9</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323</w:t>
      </w:r>
      <w:r w:rsidRPr="005E463D">
        <w:rPr>
          <w:rFonts w:ascii="Times New Roman" w:hAnsi="Times New Roman" w:cs="Times New Roman"/>
          <w:sz w:val="28"/>
          <w:szCs w:val="28"/>
          <w:lang w:val="kk-KZ"/>
          <w14:ligatures w14:val="standardContextual"/>
        </w:rPr>
        <w:t>.</w:t>
      </w:r>
    </w:p>
    <w:p w14:paraId="364380D0" w14:textId="458A4BED"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109 Gade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Kubik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Fisker 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V</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Thorlacius-Ussing O</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Petersen L</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J. Diagnostic value of </w:t>
      </w:r>
      <w:r w:rsidRPr="005E463D">
        <w:rPr>
          <w:rFonts w:ascii="Times New Roman" w:hAnsi="Times New Roman" w:cs="Times New Roman"/>
          <w:sz w:val="28"/>
          <w:szCs w:val="28"/>
          <w:vertAlign w:val="superscript"/>
          <w:lang w:val="kk-KZ"/>
          <w14:ligatures w14:val="standardContextual"/>
        </w:rPr>
        <w:t>18</w:t>
      </w:r>
      <w:r w:rsidRPr="005E463D">
        <w:rPr>
          <w:rFonts w:ascii="Times New Roman" w:hAnsi="Times New Roman" w:cs="Times New Roman"/>
          <w:sz w:val="28"/>
          <w:szCs w:val="28"/>
          <w:lang w:val="kk-KZ"/>
          <w14:ligatures w14:val="standardContextual"/>
        </w:rPr>
        <w:t xml:space="preserve">F-FDG PET/CT as first choice in the detection of recurrent colorectal cancer due to rising CEA.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Cancer Imaging.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15</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15</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w:t>
      </w:r>
      <w:r w:rsidRPr="005E463D">
        <w:rPr>
          <w:rFonts w:ascii="Times New Roman" w:hAnsi="Times New Roman" w:cs="Times New Roman"/>
          <w:sz w:val="28"/>
          <w:szCs w:val="28"/>
          <w:lang w:val="kk-KZ"/>
          <w14:ligatures w14:val="standardContextual"/>
        </w:rPr>
        <w:t>. – 1</w:t>
      </w:r>
      <w:r w:rsidRPr="005E463D">
        <w:rPr>
          <w:rFonts w:ascii="Times New Roman" w:hAnsi="Times New Roman" w:cs="Times New Roman"/>
          <w:sz w:val="28"/>
          <w:szCs w:val="28"/>
          <w:lang w:val="en-US"/>
          <w14:ligatures w14:val="standardContextual"/>
        </w:rPr>
        <w:t>1</w:t>
      </w:r>
      <w:r w:rsidR="00610F69">
        <w:rPr>
          <w:rFonts w:ascii="Times New Roman" w:hAnsi="Times New Roman" w:cs="Times New Roman"/>
          <w:sz w:val="28"/>
          <w:szCs w:val="28"/>
          <w:lang w:val="en-US"/>
          <w14:ligatures w14:val="standardContextual"/>
        </w:rPr>
        <w:t xml:space="preserve"> p</w:t>
      </w:r>
      <w:r w:rsidRPr="005E463D">
        <w:rPr>
          <w:rFonts w:ascii="Times New Roman" w:hAnsi="Times New Roman" w:cs="Times New Roman"/>
          <w:sz w:val="28"/>
          <w:szCs w:val="28"/>
          <w:lang w:val="kk-KZ"/>
          <w14:ligatures w14:val="standardContextual"/>
        </w:rPr>
        <w:t>.</w:t>
      </w:r>
    </w:p>
    <w:p w14:paraId="56B173B8"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en-US"/>
          <w14:ligatures w14:val="standardContextual"/>
        </w:rPr>
      </w:pPr>
      <w:r w:rsidRPr="005E463D">
        <w:rPr>
          <w:rFonts w:ascii="Times New Roman" w:hAnsi="Times New Roman" w:cs="Times New Roman"/>
          <w:sz w:val="28"/>
          <w:szCs w:val="28"/>
          <w:lang w:val="kk-KZ"/>
          <w14:ligatures w14:val="standardContextual"/>
        </w:rPr>
        <w:t>110 Culverwell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D</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Chowdhury F</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U</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Scarsbrook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F. Optimizing the role of FDG PET-CT for potentially operable metastatic colorectal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Abdominal Imaging.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12</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37</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6</w:t>
      </w:r>
      <w:r w:rsidRPr="005E463D">
        <w:rPr>
          <w:rFonts w:ascii="Times New Roman" w:hAnsi="Times New Roman" w:cs="Times New Roman"/>
          <w:sz w:val="28"/>
          <w:szCs w:val="28"/>
          <w:lang w:val="kk-KZ"/>
          <w14:ligatures w14:val="standardContextual"/>
        </w:rPr>
        <w:t>. – Р. 1</w:t>
      </w:r>
      <w:r w:rsidRPr="005E463D">
        <w:rPr>
          <w:rFonts w:ascii="Times New Roman" w:hAnsi="Times New Roman" w:cs="Times New Roman"/>
          <w:sz w:val="28"/>
          <w:szCs w:val="28"/>
          <w:lang w:val="en-US"/>
          <w14:ligatures w14:val="standardContextual"/>
        </w:rPr>
        <w:t>021</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1031</w:t>
      </w:r>
      <w:r w:rsidRPr="005E463D">
        <w:rPr>
          <w:rFonts w:ascii="Times New Roman" w:hAnsi="Times New Roman" w:cs="Times New Roman"/>
          <w:sz w:val="28"/>
          <w:szCs w:val="28"/>
          <w:lang w:val="kk-KZ"/>
          <w14:ligatures w14:val="standardContextual"/>
        </w:rPr>
        <w:t>.</w:t>
      </w:r>
    </w:p>
    <w:p w14:paraId="70B1309C"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111</w:t>
      </w:r>
      <w:r w:rsidRPr="005E463D">
        <w:rPr>
          <w:rFonts w:ascii="Times New Roman" w:hAnsi="Times New Roman" w:cs="Times New Roman"/>
          <w:sz w:val="28"/>
          <w:szCs w:val="28"/>
          <w:lang w:val="en-US"/>
          <w14:ligatures w14:val="standardContextual"/>
        </w:rPr>
        <w:t xml:space="preserve"> Hustinx R., Bénard F., Alavi A. Whole-body FDG-PET imaging in the management of patients with cancer. // Seminars in Nuclear Medicine. -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02</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32</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35</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46</w:t>
      </w:r>
      <w:r w:rsidRPr="005E463D">
        <w:rPr>
          <w:rFonts w:ascii="Times New Roman" w:hAnsi="Times New Roman" w:cs="Times New Roman"/>
          <w:sz w:val="28"/>
          <w:szCs w:val="28"/>
          <w:lang w:val="kk-KZ"/>
          <w14:ligatures w14:val="standardContextual"/>
        </w:rPr>
        <w:t>.</w:t>
      </w:r>
    </w:p>
    <w:p w14:paraId="58A2B78C"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112 Lonneux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Reffad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Detry 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Kartheuser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Gigot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F</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Pauwels S. FDG-PET improves the staging and selection of patients with recurrent colorectal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European Journal of Nuclear Medicine and Molecular Imaging.</w:t>
      </w:r>
      <w:r w:rsidRPr="005E463D">
        <w:rPr>
          <w:rFonts w:ascii="Times New Roman" w:hAnsi="Times New Roman" w:cs="Times New Roman"/>
          <w:sz w:val="28"/>
          <w:szCs w:val="28"/>
          <w:lang w:val="en-US"/>
          <w14:ligatures w14:val="standardContextual"/>
        </w:rPr>
        <w:t xml:space="preserve"> -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02</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29</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7</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9</w:t>
      </w:r>
      <w:r w:rsidRPr="005E463D">
        <w:rPr>
          <w:rFonts w:ascii="Times New Roman" w:hAnsi="Times New Roman" w:cs="Times New Roman"/>
          <w:sz w:val="28"/>
          <w:szCs w:val="28"/>
          <w:lang w:val="kk-KZ"/>
          <w14:ligatures w14:val="standardContextual"/>
        </w:rPr>
        <w:t>1</w:t>
      </w:r>
      <w:r w:rsidRPr="005E463D">
        <w:rPr>
          <w:rFonts w:ascii="Times New Roman" w:hAnsi="Times New Roman" w:cs="Times New Roman"/>
          <w:sz w:val="28"/>
          <w:szCs w:val="28"/>
          <w:lang w:val="en-US"/>
          <w14:ligatures w14:val="standardContextual"/>
        </w:rPr>
        <w:t>5</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921</w:t>
      </w:r>
      <w:r w:rsidRPr="005E463D">
        <w:rPr>
          <w:rFonts w:ascii="Times New Roman" w:hAnsi="Times New Roman" w:cs="Times New Roman"/>
          <w:sz w:val="28"/>
          <w:szCs w:val="28"/>
          <w:lang w:val="kk-KZ"/>
          <w14:ligatures w14:val="standardContextual"/>
        </w:rPr>
        <w:t>.</w:t>
      </w:r>
    </w:p>
    <w:p w14:paraId="75685ED5"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lastRenderedPageBreak/>
        <w:t>113 Odalovic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Stojiljkovic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Sobic-Saranovic D</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Pandurevic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Brajkovic L</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Milosevic I</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Prospective study on diagnostic and prognostic significance of postoperative FDG PET/CT in recurrent colorectal carcinoma patients: comparison with MRI and tumor markers.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Neoplasma.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17</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64</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6</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954</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961</w:t>
      </w:r>
      <w:r w:rsidRPr="005E463D">
        <w:rPr>
          <w:rFonts w:ascii="Times New Roman" w:hAnsi="Times New Roman" w:cs="Times New Roman"/>
          <w:sz w:val="28"/>
          <w:szCs w:val="28"/>
          <w:lang w:val="kk-KZ"/>
          <w14:ligatures w14:val="standardContextual"/>
        </w:rPr>
        <w:t>.</w:t>
      </w:r>
    </w:p>
    <w:p w14:paraId="400AFD93"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114 Ozkan E</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Soydal 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Araz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Kir K</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Ibis E. The role of </w:t>
      </w:r>
      <w:r w:rsidRPr="00407D16">
        <w:rPr>
          <w:rFonts w:ascii="Times New Roman" w:hAnsi="Times New Roman" w:cs="Times New Roman"/>
          <w:sz w:val="28"/>
          <w:szCs w:val="28"/>
          <w:vertAlign w:val="superscript"/>
          <w:lang w:val="kk-KZ"/>
          <w14:ligatures w14:val="standardContextual"/>
        </w:rPr>
        <w:t>18</w:t>
      </w:r>
      <w:r w:rsidRPr="005E463D">
        <w:rPr>
          <w:rFonts w:ascii="Times New Roman" w:hAnsi="Times New Roman" w:cs="Times New Roman"/>
          <w:sz w:val="28"/>
          <w:szCs w:val="28"/>
          <w:lang w:val="kk-KZ"/>
          <w14:ligatures w14:val="standardContextual"/>
        </w:rPr>
        <w:t xml:space="preserve">F-FDG PET/CT in detecting colorectal cancer recurrence in patients with elevated CEA levels.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Nuclear Medicine Communications.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12</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33</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4</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395</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402</w:t>
      </w:r>
      <w:r w:rsidRPr="005E463D">
        <w:rPr>
          <w:rFonts w:ascii="Times New Roman" w:hAnsi="Times New Roman" w:cs="Times New Roman"/>
          <w:sz w:val="28"/>
          <w:szCs w:val="28"/>
          <w:lang w:val="kk-KZ"/>
          <w14:ligatures w14:val="standardContextual"/>
        </w:rPr>
        <w:t>.</w:t>
      </w:r>
    </w:p>
    <w:p w14:paraId="00AED556" w14:textId="44A22F26"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115 Sarikaya I</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Povoski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P</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Al-Saif O</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Kocak E</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Bloomston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Marsh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Combined use of preoperative </w:t>
      </w:r>
      <w:r w:rsidRPr="00407D16">
        <w:rPr>
          <w:rFonts w:ascii="Times New Roman" w:hAnsi="Times New Roman" w:cs="Times New Roman"/>
          <w:sz w:val="28"/>
          <w:szCs w:val="28"/>
          <w:vertAlign w:val="superscript"/>
          <w:lang w:val="kk-KZ"/>
          <w14:ligatures w14:val="standardContextual"/>
        </w:rPr>
        <w:t>18</w:t>
      </w:r>
      <w:r w:rsidRPr="005E463D">
        <w:rPr>
          <w:rFonts w:ascii="Times New Roman" w:hAnsi="Times New Roman" w:cs="Times New Roman"/>
          <w:sz w:val="28"/>
          <w:szCs w:val="28"/>
          <w:lang w:val="kk-KZ"/>
          <w14:ligatures w14:val="standardContextual"/>
        </w:rPr>
        <w:t xml:space="preserve">F FDG-PET imaging and intraoperative gamma probe detection for accurate assessment of tumor recurrence in patients with colorectal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World Journal of Surgical Oncology.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07</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5</w:t>
      </w:r>
      <w:r w:rsidRPr="005E463D">
        <w:rPr>
          <w:rFonts w:ascii="Times New Roman" w:hAnsi="Times New Roman" w:cs="Times New Roman"/>
          <w:sz w:val="28"/>
          <w:szCs w:val="28"/>
          <w:lang w:val="kk-KZ"/>
          <w14:ligatures w14:val="standardContextual"/>
        </w:rPr>
        <w:t xml:space="preserve">. – </w:t>
      </w:r>
      <w:r w:rsidRPr="005E463D">
        <w:rPr>
          <w:rFonts w:ascii="Times New Roman" w:hAnsi="Times New Roman" w:cs="Times New Roman"/>
          <w:sz w:val="28"/>
          <w:szCs w:val="28"/>
          <w:lang w:val="en-US"/>
          <w14:ligatures w14:val="standardContextual"/>
        </w:rPr>
        <w:t>80</w:t>
      </w:r>
      <w:r w:rsidR="00610F69">
        <w:rPr>
          <w:rFonts w:ascii="Times New Roman" w:hAnsi="Times New Roman" w:cs="Times New Roman"/>
          <w:sz w:val="28"/>
          <w:szCs w:val="28"/>
          <w:lang w:val="en-US"/>
          <w14:ligatures w14:val="standardContextual"/>
        </w:rPr>
        <w:t xml:space="preserve"> p</w:t>
      </w:r>
      <w:r w:rsidRPr="005E463D">
        <w:rPr>
          <w:rFonts w:ascii="Times New Roman" w:hAnsi="Times New Roman" w:cs="Times New Roman"/>
          <w:sz w:val="28"/>
          <w:szCs w:val="28"/>
          <w:lang w:val="kk-KZ"/>
          <w14:ligatures w14:val="standardContextual"/>
        </w:rPr>
        <w:t>.</w:t>
      </w:r>
    </w:p>
    <w:p w14:paraId="4E3AEB0E"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116 Valk P</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E</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Abella-Columna E</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Haseman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K</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Pounds T</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Tesar 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D</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Myers 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W</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et al. Whole-body PET imaging with [</w:t>
      </w:r>
      <w:r w:rsidRPr="00407D16">
        <w:rPr>
          <w:rFonts w:ascii="Times New Roman" w:hAnsi="Times New Roman" w:cs="Times New Roman"/>
          <w:sz w:val="28"/>
          <w:szCs w:val="28"/>
          <w:vertAlign w:val="superscript"/>
          <w:lang w:val="kk-KZ"/>
          <w14:ligatures w14:val="standardContextual"/>
        </w:rPr>
        <w:t>18</w:t>
      </w:r>
      <w:r w:rsidRPr="005E463D">
        <w:rPr>
          <w:rFonts w:ascii="Times New Roman" w:hAnsi="Times New Roman" w:cs="Times New Roman"/>
          <w:sz w:val="28"/>
          <w:szCs w:val="28"/>
          <w:lang w:val="kk-KZ"/>
          <w14:ligatures w14:val="standardContextual"/>
        </w:rPr>
        <w:t xml:space="preserve">F]fluorodeoxyglucose in management of recurrent colorectal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Archives of Surgery. </w:t>
      </w:r>
      <w:r w:rsidRPr="005E463D">
        <w:rPr>
          <w:rFonts w:ascii="Times New Roman" w:hAnsi="Times New Roman" w:cs="Times New Roman"/>
          <w:sz w:val="28"/>
          <w:szCs w:val="28"/>
          <w:lang w:val="en-US"/>
          <w14:ligatures w14:val="standardContextual"/>
        </w:rPr>
        <w:t>- 1999</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134</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5</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503</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513</w:t>
      </w:r>
      <w:r w:rsidRPr="005E463D">
        <w:rPr>
          <w:rFonts w:ascii="Times New Roman" w:hAnsi="Times New Roman" w:cs="Times New Roman"/>
          <w:sz w:val="28"/>
          <w:szCs w:val="28"/>
          <w:lang w:val="kk-KZ"/>
          <w14:ligatures w14:val="standardContextual"/>
        </w:rPr>
        <w:t>.</w:t>
      </w:r>
    </w:p>
    <w:p w14:paraId="4558555F"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117 Watson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Lolohea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Robertson G</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Frizelle F</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A. The role of positron emission tomography in the management of recurrent colorectal cancer: a review.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Diseases of the Colon and Rectum.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07</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50</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w:t>
      </w:r>
      <w:r w:rsidRPr="005E463D">
        <w:rPr>
          <w:rFonts w:ascii="Times New Roman" w:hAnsi="Times New Roman" w:cs="Times New Roman"/>
          <w:sz w:val="28"/>
          <w:szCs w:val="28"/>
          <w:lang w:val="kk-KZ"/>
          <w14:ligatures w14:val="standardContextual"/>
        </w:rPr>
        <w:t>. – Р. 1</w:t>
      </w:r>
      <w:r w:rsidRPr="005E463D">
        <w:rPr>
          <w:rFonts w:ascii="Times New Roman" w:hAnsi="Times New Roman" w:cs="Times New Roman"/>
          <w:sz w:val="28"/>
          <w:szCs w:val="28"/>
          <w:lang w:val="en-US"/>
          <w14:ligatures w14:val="standardContextual"/>
        </w:rPr>
        <w:t>02</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114</w:t>
      </w:r>
      <w:r w:rsidRPr="005E463D">
        <w:rPr>
          <w:rFonts w:ascii="Times New Roman" w:hAnsi="Times New Roman" w:cs="Times New Roman"/>
          <w:sz w:val="28"/>
          <w:szCs w:val="28"/>
          <w:lang w:val="kk-KZ"/>
          <w14:ligatures w14:val="standardContextual"/>
        </w:rPr>
        <w:t>.</w:t>
      </w:r>
    </w:p>
    <w:p w14:paraId="68D00848"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118 Swanson 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S. Is an FDG-PET scan the new imaging standard for colon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Annals of Surgical Oncology.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01</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8</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10</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752</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753</w:t>
      </w:r>
      <w:r w:rsidRPr="005E463D">
        <w:rPr>
          <w:rFonts w:ascii="Times New Roman" w:hAnsi="Times New Roman" w:cs="Times New Roman"/>
          <w:sz w:val="28"/>
          <w:szCs w:val="28"/>
          <w:lang w:val="kk-KZ"/>
          <w14:ligatures w14:val="standardContextual"/>
        </w:rPr>
        <w:t>.</w:t>
      </w:r>
    </w:p>
    <w:p w14:paraId="0FDAAC25"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119 Flamen P</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Hoekstra O</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Homans F</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Van Cutsem E</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Maes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Stroobants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Unexplained rising carcinoembryonic antigen (CEA) in the postoperative surveillance of colorectal cancer: the utility of positron emission tomography (PET).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European Journal of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01</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37</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7</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862</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869</w:t>
      </w:r>
      <w:r w:rsidRPr="005E463D">
        <w:rPr>
          <w:rFonts w:ascii="Times New Roman" w:hAnsi="Times New Roman" w:cs="Times New Roman"/>
          <w:sz w:val="28"/>
          <w:szCs w:val="28"/>
          <w:lang w:val="kk-KZ"/>
          <w14:ligatures w14:val="standardContextual"/>
        </w:rPr>
        <w:t>.</w:t>
      </w:r>
    </w:p>
    <w:p w14:paraId="530AAFD4"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120 Lu Y</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Y</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Chen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Chien 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Chen W</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T</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L</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Tsai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Lin W</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Y</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Use of FDG-PET or PET/CT to detect recurrent colorectal cancer in patients with elevated CEA: a systematic review and meta-analysis.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International Journal of Colorectal Disease.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13</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28</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8</w:t>
      </w:r>
      <w:r w:rsidRPr="005E463D">
        <w:rPr>
          <w:rFonts w:ascii="Times New Roman" w:hAnsi="Times New Roman" w:cs="Times New Roman"/>
          <w:sz w:val="28"/>
          <w:szCs w:val="28"/>
          <w:lang w:val="kk-KZ"/>
          <w14:ligatures w14:val="standardContextual"/>
        </w:rPr>
        <w:t>. – Р. 1</w:t>
      </w:r>
      <w:r w:rsidRPr="005E463D">
        <w:rPr>
          <w:rFonts w:ascii="Times New Roman" w:hAnsi="Times New Roman" w:cs="Times New Roman"/>
          <w:sz w:val="28"/>
          <w:szCs w:val="28"/>
          <w:lang w:val="en-US"/>
          <w14:ligatures w14:val="standardContextual"/>
        </w:rPr>
        <w:t>039</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1047</w:t>
      </w:r>
      <w:r w:rsidRPr="005E463D">
        <w:rPr>
          <w:rFonts w:ascii="Times New Roman" w:hAnsi="Times New Roman" w:cs="Times New Roman"/>
          <w:sz w:val="28"/>
          <w:szCs w:val="28"/>
          <w:lang w:val="kk-KZ"/>
          <w14:ligatures w14:val="standardContextual"/>
        </w:rPr>
        <w:t>.</w:t>
      </w:r>
    </w:p>
    <w:p w14:paraId="5C082E2F"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121 Shen Y</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Y</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Liang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Chen Y</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K</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Tsai 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Y</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Kao 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H. Clinical impact of </w:t>
      </w:r>
      <w:r w:rsidRPr="00407D16">
        <w:rPr>
          <w:rFonts w:ascii="Times New Roman" w:hAnsi="Times New Roman" w:cs="Times New Roman"/>
          <w:sz w:val="28"/>
          <w:szCs w:val="28"/>
          <w:vertAlign w:val="superscript"/>
          <w:lang w:val="kk-KZ"/>
          <w14:ligatures w14:val="standardContextual"/>
        </w:rPr>
        <w:t>18</w:t>
      </w:r>
      <w:r w:rsidRPr="005E463D">
        <w:rPr>
          <w:rFonts w:ascii="Times New Roman" w:hAnsi="Times New Roman" w:cs="Times New Roman"/>
          <w:sz w:val="28"/>
          <w:szCs w:val="28"/>
          <w:lang w:val="kk-KZ"/>
          <w14:ligatures w14:val="standardContextual"/>
        </w:rPr>
        <w:t xml:space="preserve">F-FDG-PET in the suspicion of recurrent colorectal cancer based on asymptomatically elevated serum level of carcinoembryonic antigen (CEA) in Taiwan.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Hepato-Gastroenterology.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06</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53</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69</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348</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350</w:t>
      </w:r>
      <w:r w:rsidRPr="005E463D">
        <w:rPr>
          <w:rFonts w:ascii="Times New Roman" w:hAnsi="Times New Roman" w:cs="Times New Roman"/>
          <w:sz w:val="28"/>
          <w:szCs w:val="28"/>
          <w:lang w:val="kk-KZ"/>
          <w14:ligatures w14:val="standardContextual"/>
        </w:rPr>
        <w:t>.</w:t>
      </w:r>
    </w:p>
    <w:p w14:paraId="40E09691"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122 Vallam K</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Guruchannabasavaiah B</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Agrawal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Rangarajan V</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Ostwal V</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Engineer 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Carcinoembryonic antigen directed PET-CECT scanning for postoperative surveillance of colorectal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Colorectal Disease.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17</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19</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10</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907</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911</w:t>
      </w:r>
      <w:r w:rsidRPr="005E463D">
        <w:rPr>
          <w:rFonts w:ascii="Times New Roman" w:hAnsi="Times New Roman" w:cs="Times New Roman"/>
          <w:sz w:val="28"/>
          <w:szCs w:val="28"/>
          <w:lang w:val="kk-KZ"/>
          <w14:ligatures w14:val="standardContextual"/>
        </w:rPr>
        <w:t>.</w:t>
      </w:r>
    </w:p>
    <w:p w14:paraId="02FD1C2F"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123 Flamen P</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Stroobants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Van Cutsem E</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Dupont P</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Bormans G</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De Vadder N</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Additional value of whole-body positron emission tomography with fluorine-18-2-fluoro-2-deoxy-D-glucose in recurrent colorectal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Journal of Clinical Oncology. </w:t>
      </w:r>
      <w:r w:rsidRPr="005E463D">
        <w:rPr>
          <w:rFonts w:ascii="Times New Roman" w:hAnsi="Times New Roman" w:cs="Times New Roman"/>
          <w:sz w:val="28"/>
          <w:szCs w:val="28"/>
          <w:lang w:val="en-US"/>
          <w14:ligatures w14:val="standardContextual"/>
        </w:rPr>
        <w:t>- 1999</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17</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3</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894</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901</w:t>
      </w:r>
      <w:r w:rsidRPr="005E463D">
        <w:rPr>
          <w:rFonts w:ascii="Times New Roman" w:hAnsi="Times New Roman" w:cs="Times New Roman"/>
          <w:sz w:val="28"/>
          <w:szCs w:val="28"/>
          <w:lang w:val="kk-KZ"/>
          <w14:ligatures w14:val="standardContextual"/>
        </w:rPr>
        <w:t>.</w:t>
      </w:r>
    </w:p>
    <w:p w14:paraId="432EF2F1"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124 Pelosi E</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Deandreis D. The role of </w:t>
      </w:r>
      <w:r w:rsidRPr="00407D16">
        <w:rPr>
          <w:rFonts w:ascii="Times New Roman" w:hAnsi="Times New Roman" w:cs="Times New Roman"/>
          <w:sz w:val="28"/>
          <w:szCs w:val="28"/>
          <w:vertAlign w:val="superscript"/>
          <w:lang w:val="kk-KZ"/>
          <w14:ligatures w14:val="standardContextual"/>
        </w:rPr>
        <w:t>18</w:t>
      </w:r>
      <w:r w:rsidRPr="005E463D">
        <w:rPr>
          <w:rFonts w:ascii="Times New Roman" w:hAnsi="Times New Roman" w:cs="Times New Roman"/>
          <w:sz w:val="28"/>
          <w:szCs w:val="28"/>
          <w:lang w:val="kk-KZ"/>
          <w14:ligatures w14:val="standardContextual"/>
        </w:rPr>
        <w:t xml:space="preserve">F-fluoro-deoxy-glucose positron emission tomography (FDG-PET) in the management of patients with colorectal cancer. </w:t>
      </w:r>
      <w:r w:rsidRPr="005E463D">
        <w:rPr>
          <w:rFonts w:ascii="Times New Roman" w:hAnsi="Times New Roman" w:cs="Times New Roman"/>
          <w:sz w:val="28"/>
          <w:szCs w:val="28"/>
          <w:lang w:val="en-US"/>
          <w14:ligatures w14:val="standardContextual"/>
        </w:rPr>
        <w:t>// E</w:t>
      </w:r>
      <w:r w:rsidRPr="005E463D">
        <w:rPr>
          <w:rFonts w:ascii="Times New Roman" w:hAnsi="Times New Roman" w:cs="Times New Roman"/>
          <w:sz w:val="28"/>
          <w:szCs w:val="28"/>
          <w:lang w:val="kk-KZ"/>
          <w14:ligatures w14:val="standardContextual"/>
        </w:rPr>
        <w:t xml:space="preserve">uropean Journal of Surgical Oncology.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07</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33</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w:t>
      </w:r>
      <w:r w:rsidRPr="005E463D">
        <w:rPr>
          <w:rFonts w:ascii="Times New Roman" w:hAnsi="Times New Roman" w:cs="Times New Roman"/>
          <w:sz w:val="28"/>
          <w:szCs w:val="28"/>
          <w:lang w:val="kk-KZ"/>
          <w14:ligatures w14:val="standardContextual"/>
        </w:rPr>
        <w:t>. – Р. 1–</w:t>
      </w:r>
      <w:r w:rsidRPr="005E463D">
        <w:rPr>
          <w:rFonts w:ascii="Times New Roman" w:hAnsi="Times New Roman" w:cs="Times New Roman"/>
          <w:sz w:val="28"/>
          <w:szCs w:val="28"/>
          <w:lang w:val="en-US"/>
          <w14:ligatures w14:val="standardContextual"/>
        </w:rPr>
        <w:t>6</w:t>
      </w:r>
      <w:r w:rsidRPr="005E463D">
        <w:rPr>
          <w:rFonts w:ascii="Times New Roman" w:hAnsi="Times New Roman" w:cs="Times New Roman"/>
          <w:sz w:val="28"/>
          <w:szCs w:val="28"/>
          <w:lang w:val="kk-KZ"/>
          <w14:ligatures w14:val="standardContextual"/>
        </w:rPr>
        <w:t>.</w:t>
      </w:r>
    </w:p>
    <w:p w14:paraId="7B2AE669"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lastRenderedPageBreak/>
        <w:t>125 Ruers T</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Langenhoff B</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Neeleman N</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Jager G</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Strijk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Wobbes T</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Value of positron emission tomography with [F-18]fluorodeoxyglucose in patients with colorectal liver metastases: a prospective study.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Journal of Clinical Oncology.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02</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20</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2</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388</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395</w:t>
      </w:r>
      <w:r w:rsidRPr="005E463D">
        <w:rPr>
          <w:rFonts w:ascii="Times New Roman" w:hAnsi="Times New Roman" w:cs="Times New Roman"/>
          <w:sz w:val="28"/>
          <w:szCs w:val="28"/>
          <w:lang w:val="kk-KZ"/>
          <w14:ligatures w14:val="standardContextual"/>
        </w:rPr>
        <w:t>.</w:t>
      </w:r>
    </w:p>
    <w:p w14:paraId="37D63957"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126 Wiering B</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Krabbe P</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F</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Jager G</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Oyen W</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G</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Ruers T</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M. The impact of fluor-18-deoxyglucose-positron emission tomography in the management of colorectal liver metastases.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05</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104</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12</w:t>
      </w:r>
      <w:r w:rsidRPr="005E463D">
        <w:rPr>
          <w:rFonts w:ascii="Times New Roman" w:hAnsi="Times New Roman" w:cs="Times New Roman"/>
          <w:sz w:val="28"/>
          <w:szCs w:val="28"/>
          <w:lang w:val="kk-KZ"/>
          <w14:ligatures w14:val="standardContextual"/>
        </w:rPr>
        <w:t>. – Р. 2658–</w:t>
      </w:r>
      <w:r w:rsidRPr="005E463D">
        <w:rPr>
          <w:rFonts w:ascii="Times New Roman" w:hAnsi="Times New Roman" w:cs="Times New Roman"/>
          <w:sz w:val="28"/>
          <w:szCs w:val="28"/>
          <w:lang w:val="en-US"/>
          <w14:ligatures w14:val="standardContextual"/>
        </w:rPr>
        <w:t>26</w:t>
      </w:r>
      <w:r w:rsidRPr="005E463D">
        <w:rPr>
          <w:rFonts w:ascii="Times New Roman" w:hAnsi="Times New Roman" w:cs="Times New Roman"/>
          <w:sz w:val="28"/>
          <w:szCs w:val="28"/>
          <w:lang w:val="kk-KZ"/>
          <w14:ligatures w14:val="standardContextual"/>
        </w:rPr>
        <w:t>70.</w:t>
      </w:r>
    </w:p>
    <w:p w14:paraId="3062875D"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127 Chen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Cheong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Yun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Kim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Lim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Hyung W</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Improvement in preoperative staging of gastric adenocarcinoma with positron emission tomography.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05</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103</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11</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2383</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2390</w:t>
      </w:r>
      <w:r w:rsidRPr="005E463D">
        <w:rPr>
          <w:rFonts w:ascii="Times New Roman" w:hAnsi="Times New Roman" w:cs="Times New Roman"/>
          <w:sz w:val="28"/>
          <w:szCs w:val="28"/>
          <w:lang w:val="kk-KZ"/>
          <w14:ligatures w14:val="standardContextual"/>
        </w:rPr>
        <w:t>.</w:t>
      </w:r>
    </w:p>
    <w:p w14:paraId="4EEFBC92"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128 Kato T</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Tsukamoto E</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Kuge Y</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Katoh 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Nambu T</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Nobuta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Clinical role of (18)F-FDG PET for initial staging of patients with extrahepatic bile duct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European Journal of Nuclear Medicine and Molecular Imaging.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02</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29</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8</w:t>
      </w:r>
      <w:r w:rsidRPr="005E463D">
        <w:rPr>
          <w:rFonts w:ascii="Times New Roman" w:hAnsi="Times New Roman" w:cs="Times New Roman"/>
          <w:sz w:val="28"/>
          <w:szCs w:val="28"/>
          <w:lang w:val="kk-KZ"/>
          <w14:ligatures w14:val="standardContextual"/>
        </w:rPr>
        <w:t>. – Р. 1</w:t>
      </w:r>
      <w:r w:rsidRPr="005E463D">
        <w:rPr>
          <w:rFonts w:ascii="Times New Roman" w:hAnsi="Times New Roman" w:cs="Times New Roman"/>
          <w:sz w:val="28"/>
          <w:szCs w:val="28"/>
          <w:lang w:val="en-US"/>
          <w14:ligatures w14:val="standardContextual"/>
        </w:rPr>
        <w:t>047</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1054</w:t>
      </w:r>
      <w:r w:rsidRPr="005E463D">
        <w:rPr>
          <w:rFonts w:ascii="Times New Roman" w:hAnsi="Times New Roman" w:cs="Times New Roman"/>
          <w:sz w:val="28"/>
          <w:szCs w:val="28"/>
          <w:lang w:val="kk-KZ"/>
          <w14:ligatures w14:val="standardContextual"/>
        </w:rPr>
        <w:t>.</w:t>
      </w:r>
    </w:p>
    <w:p w14:paraId="5E22194F"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129 Rossi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Mallardo V</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Rosati I</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Prisco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Califano T</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Della Vecchia N</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[Virtual colonoscopy and PET/CT for diagnosis and staging of colorectal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Recenti Progressi in Medicina.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13</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104</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7-8</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345</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349</w:t>
      </w:r>
      <w:r w:rsidRPr="005E463D">
        <w:rPr>
          <w:rFonts w:ascii="Times New Roman" w:hAnsi="Times New Roman" w:cs="Times New Roman"/>
          <w:sz w:val="28"/>
          <w:szCs w:val="28"/>
          <w:lang w:val="kk-KZ"/>
          <w14:ligatures w14:val="standardContextual"/>
        </w:rPr>
        <w:t>.</w:t>
      </w:r>
    </w:p>
    <w:p w14:paraId="5D31D798"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130 Yun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Lim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Noh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Hyung W</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Cheong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Bong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K</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Lymph node staging of gastric cancer using (18)F-FDG PET: a comparison study with CT. Journal of Nuclear Medicine.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05</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46</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10</w:t>
      </w:r>
      <w:r w:rsidRPr="005E463D">
        <w:rPr>
          <w:rFonts w:ascii="Times New Roman" w:hAnsi="Times New Roman" w:cs="Times New Roman"/>
          <w:sz w:val="28"/>
          <w:szCs w:val="28"/>
          <w:lang w:val="kk-KZ"/>
          <w14:ligatures w14:val="standardContextual"/>
        </w:rPr>
        <w:t>. – Р. 1</w:t>
      </w:r>
      <w:r w:rsidRPr="005E463D">
        <w:rPr>
          <w:rFonts w:ascii="Times New Roman" w:hAnsi="Times New Roman" w:cs="Times New Roman"/>
          <w:sz w:val="28"/>
          <w:szCs w:val="28"/>
          <w:lang w:val="en-US"/>
          <w14:ligatures w14:val="standardContextual"/>
        </w:rPr>
        <w:t>582</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1588</w:t>
      </w:r>
      <w:r w:rsidRPr="005E463D">
        <w:rPr>
          <w:rFonts w:ascii="Times New Roman" w:hAnsi="Times New Roman" w:cs="Times New Roman"/>
          <w:sz w:val="28"/>
          <w:szCs w:val="28"/>
          <w:lang w:val="kk-KZ"/>
          <w14:ligatures w14:val="standardContextual"/>
        </w:rPr>
        <w:t>.</w:t>
      </w:r>
    </w:p>
    <w:p w14:paraId="5C28D1A3"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131 Huebner 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Park K</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Shepherd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E</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Schwimmer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Czernin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Phelps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E</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A meta-analysis of the literature for whole-body FDG PET detection of recurrent colorectal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Journal of Nuclear Medicine.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00</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41</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7</w:t>
      </w:r>
      <w:r w:rsidRPr="005E463D">
        <w:rPr>
          <w:rFonts w:ascii="Times New Roman" w:hAnsi="Times New Roman" w:cs="Times New Roman"/>
          <w:sz w:val="28"/>
          <w:szCs w:val="28"/>
          <w:lang w:val="kk-KZ"/>
          <w14:ligatures w14:val="standardContextual"/>
        </w:rPr>
        <w:t>. – Р. 1</w:t>
      </w:r>
      <w:r w:rsidRPr="005E463D">
        <w:rPr>
          <w:rFonts w:ascii="Times New Roman" w:hAnsi="Times New Roman" w:cs="Times New Roman"/>
          <w:sz w:val="28"/>
          <w:szCs w:val="28"/>
          <w:lang w:val="en-US"/>
          <w14:ligatures w14:val="standardContextual"/>
        </w:rPr>
        <w:t>177</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1189</w:t>
      </w:r>
      <w:r w:rsidRPr="005E463D">
        <w:rPr>
          <w:rFonts w:ascii="Times New Roman" w:hAnsi="Times New Roman" w:cs="Times New Roman"/>
          <w:sz w:val="28"/>
          <w:szCs w:val="28"/>
          <w:lang w:val="kk-KZ"/>
          <w14:ligatures w14:val="standardContextual"/>
        </w:rPr>
        <w:t>.</w:t>
      </w:r>
    </w:p>
    <w:p w14:paraId="24FF37E1"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132 Zhang 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Chen Y</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Xue 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Zheng P</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Tong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Liu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Diagnostic value of FDG-PET in recurrent colorectal carcinoma: a meta-analysis.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International Journal of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09</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124</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w:t>
      </w:r>
      <w:r w:rsidRPr="005E463D">
        <w:rPr>
          <w:rFonts w:ascii="Times New Roman" w:hAnsi="Times New Roman" w:cs="Times New Roman"/>
          <w:sz w:val="28"/>
          <w:szCs w:val="28"/>
          <w:lang w:val="kk-KZ"/>
          <w14:ligatures w14:val="standardContextual"/>
        </w:rPr>
        <w:t>. – Р. 1</w:t>
      </w:r>
      <w:r w:rsidRPr="005E463D">
        <w:rPr>
          <w:rFonts w:ascii="Times New Roman" w:hAnsi="Times New Roman" w:cs="Times New Roman"/>
          <w:sz w:val="28"/>
          <w:szCs w:val="28"/>
          <w:lang w:val="en-US"/>
          <w14:ligatures w14:val="standardContextual"/>
        </w:rPr>
        <w:t>67</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173</w:t>
      </w:r>
      <w:r w:rsidRPr="005E463D">
        <w:rPr>
          <w:rFonts w:ascii="Times New Roman" w:hAnsi="Times New Roman" w:cs="Times New Roman"/>
          <w:sz w:val="28"/>
          <w:szCs w:val="28"/>
          <w:lang w:val="kk-KZ"/>
          <w14:ligatures w14:val="standardContextual"/>
        </w:rPr>
        <w:t>.</w:t>
      </w:r>
    </w:p>
    <w:p w14:paraId="6E0F6829"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133</w:t>
      </w:r>
      <w:r w:rsidRPr="005E463D">
        <w:rPr>
          <w:rFonts w:ascii="Times New Roman" w:hAnsi="Times New Roman" w:cs="Times New Roman"/>
          <w:sz w:val="28"/>
          <w:szCs w:val="28"/>
          <w:lang w:val="en-US"/>
          <w14:ligatures w14:val="standardContextual"/>
        </w:rPr>
        <w:t xml:space="preserve"> Deleau C., Buecher B., Rousseau C., Kraeber-Bodéré F., Flamant M., des Varannes S.B., et al. Clinical impact of fluorodeoxyglucose-positron emission tomography scan/computed tomography in comparison with computed tomography on the detection of colorectal cancer recurrence. // European Journal of Gastroenterology &amp; Hepatology. -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11</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23</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3</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275</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281</w:t>
      </w:r>
      <w:r w:rsidRPr="005E463D">
        <w:rPr>
          <w:rFonts w:ascii="Times New Roman" w:hAnsi="Times New Roman" w:cs="Times New Roman"/>
          <w:sz w:val="28"/>
          <w:szCs w:val="28"/>
          <w:lang w:val="kk-KZ"/>
          <w14:ligatures w14:val="standardContextual"/>
        </w:rPr>
        <w:t>.</w:t>
      </w:r>
    </w:p>
    <w:p w14:paraId="601BDA4A"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134 Herbertson 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Scarsbrook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F</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Lee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T</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Tebbutt N</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Scott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M. Established, emerging and future roles of PET/CT in the management of colorectal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Clinical Radiology.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09</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64</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3</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225</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237</w:t>
      </w:r>
      <w:r w:rsidRPr="005E463D">
        <w:rPr>
          <w:rFonts w:ascii="Times New Roman" w:hAnsi="Times New Roman" w:cs="Times New Roman"/>
          <w:sz w:val="28"/>
          <w:szCs w:val="28"/>
          <w:lang w:val="kk-KZ"/>
          <w14:ligatures w14:val="standardContextual"/>
        </w:rPr>
        <w:t>.</w:t>
      </w:r>
    </w:p>
    <w:p w14:paraId="27922A37"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135 Kim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Czernin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Allen-Auerbach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Halpern B</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Fueger B</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Hecht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Comparison between </w:t>
      </w:r>
      <w:r w:rsidRPr="00407D16">
        <w:rPr>
          <w:rFonts w:ascii="Times New Roman" w:hAnsi="Times New Roman" w:cs="Times New Roman"/>
          <w:sz w:val="28"/>
          <w:szCs w:val="28"/>
          <w:vertAlign w:val="superscript"/>
          <w:lang w:val="kk-KZ"/>
          <w14:ligatures w14:val="standardContextual"/>
        </w:rPr>
        <w:t>18</w:t>
      </w:r>
      <w:r w:rsidRPr="005E463D">
        <w:rPr>
          <w:rFonts w:ascii="Times New Roman" w:hAnsi="Times New Roman" w:cs="Times New Roman"/>
          <w:sz w:val="28"/>
          <w:szCs w:val="28"/>
          <w:lang w:val="kk-KZ"/>
          <w14:ligatures w14:val="standardContextual"/>
        </w:rPr>
        <w:t xml:space="preserve">F-FDG PET, in-line PET/CT, and software fusion for restaging of recurrent colorectal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Journal of Nuclear Medicine.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05</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46</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4</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587</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595</w:t>
      </w:r>
      <w:r w:rsidRPr="005E463D">
        <w:rPr>
          <w:rFonts w:ascii="Times New Roman" w:hAnsi="Times New Roman" w:cs="Times New Roman"/>
          <w:sz w:val="28"/>
          <w:szCs w:val="28"/>
          <w:lang w:val="kk-KZ"/>
          <w14:ligatures w14:val="standardContextual"/>
        </w:rPr>
        <w:t>.</w:t>
      </w:r>
    </w:p>
    <w:p w14:paraId="2D6A57F3"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136 Kula Z</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Szefer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Zuchora Z</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Romanowicz G</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Pietrzak T. [Evaluation of positron emission tomography by using F-18-fluorodeoxyglucose in diagnosis of recurrent colorectal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Polski Merkuriusz Lekarski: Organ Polskiego Towarzystwa Lekarskiego.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04</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17</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63</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66</w:t>
      </w:r>
      <w:r w:rsidRPr="005E463D">
        <w:rPr>
          <w:rFonts w:ascii="Times New Roman" w:hAnsi="Times New Roman" w:cs="Times New Roman"/>
          <w:sz w:val="28"/>
          <w:szCs w:val="28"/>
          <w:lang w:val="kk-KZ"/>
          <w14:ligatures w14:val="standardContextual"/>
        </w:rPr>
        <w:t>.</w:t>
      </w:r>
    </w:p>
    <w:p w14:paraId="63BCC231"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lastRenderedPageBreak/>
        <w:t>137 Liu W</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Zeng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Tang 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Z</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Qiang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W. Radiologic Imaging Modalities for Colorectal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Digestive Diseases and Sciences.</w:t>
      </w:r>
      <w:r w:rsidRPr="005E463D">
        <w:rPr>
          <w:rFonts w:ascii="Times New Roman" w:hAnsi="Times New Roman" w:cs="Times New Roman"/>
          <w:sz w:val="28"/>
          <w:szCs w:val="28"/>
          <w:lang w:val="en-US"/>
          <w14:ligatures w14:val="standardContextual"/>
        </w:rPr>
        <w:t xml:space="preserve"> -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21</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67</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2792</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2804</w:t>
      </w:r>
      <w:r w:rsidRPr="005E463D">
        <w:rPr>
          <w:rFonts w:ascii="Times New Roman" w:hAnsi="Times New Roman" w:cs="Times New Roman"/>
          <w:sz w:val="28"/>
          <w:szCs w:val="28"/>
          <w:lang w:val="kk-KZ"/>
          <w14:ligatures w14:val="standardContextual"/>
        </w:rPr>
        <w:t>.</w:t>
      </w:r>
    </w:p>
    <w:p w14:paraId="5B72C57D"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138 Nakamoto Y</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Sakamoto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Okada T</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Senda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Higashi T</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Saga T</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Clinical value of manual fusion of PET and CT images in patients with suspected recurrent colorectal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American journal of roentgenology.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07</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188</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257</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267</w:t>
      </w:r>
      <w:r w:rsidRPr="005E463D">
        <w:rPr>
          <w:rFonts w:ascii="Times New Roman" w:hAnsi="Times New Roman" w:cs="Times New Roman"/>
          <w:sz w:val="28"/>
          <w:szCs w:val="28"/>
          <w:lang w:val="kk-KZ"/>
          <w14:ligatures w14:val="standardContextual"/>
        </w:rPr>
        <w:t>.</w:t>
      </w:r>
    </w:p>
    <w:p w14:paraId="5D0F37A2"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139 Peng N</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Hu 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King T</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Chiu Y</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L</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Wang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Liu 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S. Detection of resectable recurrences in colorectal cancer patients with 2-[</w:t>
      </w:r>
      <w:r w:rsidRPr="00407D16">
        <w:rPr>
          <w:rFonts w:ascii="Times New Roman" w:hAnsi="Times New Roman" w:cs="Times New Roman"/>
          <w:sz w:val="28"/>
          <w:szCs w:val="28"/>
          <w:vertAlign w:val="superscript"/>
          <w:lang w:val="kk-KZ"/>
          <w14:ligatures w14:val="standardContextual"/>
        </w:rPr>
        <w:t>18</w:t>
      </w:r>
      <w:r w:rsidRPr="005E463D">
        <w:rPr>
          <w:rFonts w:ascii="Times New Roman" w:hAnsi="Times New Roman" w:cs="Times New Roman"/>
          <w:sz w:val="28"/>
          <w:szCs w:val="28"/>
          <w:lang w:val="kk-KZ"/>
          <w14:ligatures w14:val="standardContextual"/>
        </w:rPr>
        <w:t xml:space="preserve">F]fluoro-2-deoxy-D-glucose-positron emission tomography/computed tomography.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Cancer Biotherapy &amp; Radiopharmaceuticals.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13</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28</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6</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479</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487</w:t>
      </w:r>
      <w:r w:rsidRPr="005E463D">
        <w:rPr>
          <w:rFonts w:ascii="Times New Roman" w:hAnsi="Times New Roman" w:cs="Times New Roman"/>
          <w:sz w:val="28"/>
          <w:szCs w:val="28"/>
          <w:lang w:val="kk-KZ"/>
          <w14:ligatures w14:val="standardContextual"/>
        </w:rPr>
        <w:t>.</w:t>
      </w:r>
    </w:p>
    <w:p w14:paraId="2BD618EB"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140 Staib L</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Schirrmeister 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Reske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N</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Beger 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G. Is (18)F-fluorodeoxyglucose positron emission tomography in recurrent colorectal cancer a contribution to surgical decision making?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American Journal of Surgery.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00</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180</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w:t>
      </w:r>
      <w:r w:rsidRPr="005E463D">
        <w:rPr>
          <w:rFonts w:ascii="Times New Roman" w:hAnsi="Times New Roman" w:cs="Times New Roman"/>
          <w:sz w:val="28"/>
          <w:szCs w:val="28"/>
          <w:lang w:val="kk-KZ"/>
          <w14:ligatures w14:val="standardContextual"/>
        </w:rPr>
        <w:t>. – Р. 1–</w:t>
      </w:r>
      <w:r w:rsidRPr="005E463D">
        <w:rPr>
          <w:rFonts w:ascii="Times New Roman" w:hAnsi="Times New Roman" w:cs="Times New Roman"/>
          <w:sz w:val="28"/>
          <w:szCs w:val="28"/>
          <w:lang w:val="en-US"/>
          <w14:ligatures w14:val="standardContextual"/>
        </w:rPr>
        <w:t>5</w:t>
      </w:r>
      <w:r w:rsidRPr="005E463D">
        <w:rPr>
          <w:rFonts w:ascii="Times New Roman" w:hAnsi="Times New Roman" w:cs="Times New Roman"/>
          <w:sz w:val="28"/>
          <w:szCs w:val="28"/>
          <w:lang w:val="kk-KZ"/>
          <w14:ligatures w14:val="standardContextual"/>
        </w:rPr>
        <w:t>.</w:t>
      </w:r>
    </w:p>
    <w:p w14:paraId="4F86CBC2"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141 Arulampalam T</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Costa D</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Visvikis D</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Boulos P</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Taylor I</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Ell P. The impact of FDG-PET on the management algorithm for recurrent colorectal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European Journal of Nuclear Medicine.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01</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28</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12</w:t>
      </w:r>
      <w:r w:rsidRPr="005E463D">
        <w:rPr>
          <w:rFonts w:ascii="Times New Roman" w:hAnsi="Times New Roman" w:cs="Times New Roman"/>
          <w:sz w:val="28"/>
          <w:szCs w:val="28"/>
          <w:lang w:val="kk-KZ"/>
          <w14:ligatures w14:val="standardContextual"/>
        </w:rPr>
        <w:t>. – Р. 1</w:t>
      </w:r>
      <w:r w:rsidRPr="005E463D">
        <w:rPr>
          <w:rFonts w:ascii="Times New Roman" w:hAnsi="Times New Roman" w:cs="Times New Roman"/>
          <w:sz w:val="28"/>
          <w:szCs w:val="28"/>
          <w:lang w:val="en-US"/>
          <w14:ligatures w14:val="standardContextual"/>
        </w:rPr>
        <w:t>758</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1765</w:t>
      </w:r>
      <w:r w:rsidRPr="005E463D">
        <w:rPr>
          <w:rFonts w:ascii="Times New Roman" w:hAnsi="Times New Roman" w:cs="Times New Roman"/>
          <w:sz w:val="28"/>
          <w:szCs w:val="28"/>
          <w:lang w:val="kk-KZ"/>
          <w14:ligatures w14:val="standardContextual"/>
        </w:rPr>
        <w:t>.</w:t>
      </w:r>
    </w:p>
    <w:p w14:paraId="0143A9E5"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142 Caglar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Yener 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Karabulut E. Value of CT, FDG PET-CT and serum tumor markers in staging recurrent colorectal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International Journal of Computer Assisted Radiology and Surgery.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15</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10</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7</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993</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1002</w:t>
      </w:r>
      <w:r w:rsidRPr="005E463D">
        <w:rPr>
          <w:rFonts w:ascii="Times New Roman" w:hAnsi="Times New Roman" w:cs="Times New Roman"/>
          <w:sz w:val="28"/>
          <w:szCs w:val="28"/>
          <w:lang w:val="kk-KZ"/>
          <w14:ligatures w14:val="standardContextual"/>
        </w:rPr>
        <w:t>.</w:t>
      </w:r>
    </w:p>
    <w:p w14:paraId="1BD9768F"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 xml:space="preserve">143 Ogunbiyi O.A., Flanagan F.L., Dehdashti F., Siegel B.A., Trask D.D., Birnbaum E.H., et al. Detection of recurrent and metastatic colorectal cancer: comparison of positron emission tomography and computed tomography.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Annals of Surgical Oncology. </w:t>
      </w:r>
      <w:r w:rsidRPr="005E463D">
        <w:rPr>
          <w:rFonts w:ascii="Times New Roman" w:hAnsi="Times New Roman" w:cs="Times New Roman"/>
          <w:sz w:val="28"/>
          <w:szCs w:val="28"/>
          <w:lang w:val="en-US"/>
          <w14:ligatures w14:val="standardContextual"/>
        </w:rPr>
        <w:t>- 1997</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4</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8</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6</w:t>
      </w:r>
      <w:r w:rsidRPr="005E463D">
        <w:rPr>
          <w:rFonts w:ascii="Times New Roman" w:hAnsi="Times New Roman" w:cs="Times New Roman"/>
          <w:sz w:val="28"/>
          <w:szCs w:val="28"/>
          <w:lang w:val="kk-KZ"/>
          <w14:ligatures w14:val="standardContextual"/>
        </w:rPr>
        <w:t>1</w:t>
      </w:r>
      <w:r w:rsidRPr="005E463D">
        <w:rPr>
          <w:rFonts w:ascii="Times New Roman" w:hAnsi="Times New Roman" w:cs="Times New Roman"/>
          <w:sz w:val="28"/>
          <w:szCs w:val="28"/>
          <w:lang w:val="en-US"/>
          <w14:ligatures w14:val="standardContextual"/>
        </w:rPr>
        <w:t>3</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620</w:t>
      </w:r>
      <w:r w:rsidRPr="005E463D">
        <w:rPr>
          <w:rFonts w:ascii="Times New Roman" w:hAnsi="Times New Roman" w:cs="Times New Roman"/>
          <w:sz w:val="28"/>
          <w:szCs w:val="28"/>
          <w:lang w:val="kk-KZ"/>
          <w14:ligatures w14:val="standardContextual"/>
        </w:rPr>
        <w:t>.</w:t>
      </w:r>
    </w:p>
    <w:p w14:paraId="00A6008E"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144</w:t>
      </w:r>
      <w:r w:rsidRPr="005E463D">
        <w:rPr>
          <w:rFonts w:ascii="Times New Roman" w:hAnsi="Times New Roman" w:cs="Times New Roman"/>
          <w:sz w:val="28"/>
          <w:szCs w:val="28"/>
          <w:lang w:val="en-US"/>
          <w14:ligatures w14:val="standardContextual"/>
        </w:rPr>
        <w:t xml:space="preserve"> Çınar A., Gençoğlu E.A., Korkmaz M. Restaging of colorectal cancer and PET/CT. // Ulusal Cerrahi Dergisi. -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13</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29</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2</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76</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80</w:t>
      </w:r>
      <w:r w:rsidRPr="005E463D">
        <w:rPr>
          <w:rFonts w:ascii="Times New Roman" w:hAnsi="Times New Roman" w:cs="Times New Roman"/>
          <w:sz w:val="28"/>
          <w:szCs w:val="28"/>
          <w:lang w:val="kk-KZ"/>
          <w14:ligatures w14:val="standardContextual"/>
        </w:rPr>
        <w:t>.</w:t>
      </w:r>
    </w:p>
    <w:p w14:paraId="7B6FF3D4"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145 Kim J.M., Kwon C.H.D., Joh J.W., Sinn D.H., Choi G.S., Paik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W. Prognosis of preoperative positron emission tomography uptake in hepatectomy patients.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Annals of Surgical Treatment and Research. - 2018. - Vol. 94, №</w:t>
      </w:r>
      <w:r w:rsidRPr="005E463D">
        <w:rPr>
          <w:rFonts w:ascii="Times New Roman" w:hAnsi="Times New Roman" w:cs="Times New Roman"/>
          <w:sz w:val="28"/>
          <w:szCs w:val="28"/>
          <w:lang w:val="en-US"/>
          <w14:ligatures w14:val="standardContextual"/>
        </w:rPr>
        <w:t>4</w:t>
      </w:r>
      <w:r w:rsidRPr="005E463D">
        <w:rPr>
          <w:rFonts w:ascii="Times New Roman" w:hAnsi="Times New Roman" w:cs="Times New Roman"/>
          <w:sz w:val="28"/>
          <w:szCs w:val="28"/>
          <w:lang w:val="kk-KZ"/>
          <w14:ligatures w14:val="standardContextual"/>
        </w:rPr>
        <w:t>. – Р. 183–189.</w:t>
      </w:r>
    </w:p>
    <w:p w14:paraId="10EA02F8"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 xml:space="preserve">146 Lee J.Y., Yoon S.M., Kim J.T., Kim K.B., Kim M.J., Park J.G., et al. Diagnostic and prognostic value of preoperative </w:t>
      </w:r>
      <w:r w:rsidRPr="00407D16">
        <w:rPr>
          <w:rFonts w:ascii="Times New Roman" w:hAnsi="Times New Roman" w:cs="Times New Roman"/>
          <w:sz w:val="28"/>
          <w:szCs w:val="28"/>
          <w:vertAlign w:val="superscript"/>
          <w:lang w:val="kk-KZ"/>
          <w14:ligatures w14:val="standardContextual"/>
        </w:rPr>
        <w:t>18</w:t>
      </w:r>
      <w:r w:rsidRPr="005E463D">
        <w:rPr>
          <w:rFonts w:ascii="Times New Roman" w:hAnsi="Times New Roman" w:cs="Times New Roman"/>
          <w:sz w:val="28"/>
          <w:szCs w:val="28"/>
          <w:lang w:val="kk-KZ"/>
          <w14:ligatures w14:val="standardContextual"/>
        </w:rPr>
        <w:t xml:space="preserve">F-fluorodeoxyglucose positron emission tomography/computed tomography for colorectal cancer: comparison with conventional computed tomography.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Intestinal Research.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17</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15</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2</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208</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214</w:t>
      </w:r>
      <w:r w:rsidRPr="005E463D">
        <w:rPr>
          <w:rFonts w:ascii="Times New Roman" w:hAnsi="Times New Roman" w:cs="Times New Roman"/>
          <w:sz w:val="28"/>
          <w:szCs w:val="28"/>
          <w:lang w:val="kk-KZ"/>
          <w14:ligatures w14:val="standardContextual"/>
        </w:rPr>
        <w:t>.</w:t>
      </w:r>
    </w:p>
    <w:p w14:paraId="7C809D8F"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147 Rohren E</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Paulson E</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K</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Hagge 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Wong T</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Z</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Killius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Clavien P</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The role of F-18 FDG positron emission tomography in preoperative assessment of the liver in patients being considered for curative resection of hepatic metastases from colorectal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Clinical Nuclear Medicine.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02</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27</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8</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550</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555</w:t>
      </w:r>
      <w:r w:rsidRPr="005E463D">
        <w:rPr>
          <w:rFonts w:ascii="Times New Roman" w:hAnsi="Times New Roman" w:cs="Times New Roman"/>
          <w:sz w:val="28"/>
          <w:szCs w:val="28"/>
          <w:lang w:val="kk-KZ"/>
          <w14:ligatures w14:val="standardContextual"/>
        </w:rPr>
        <w:t>.</w:t>
      </w:r>
    </w:p>
    <w:p w14:paraId="6D29835D"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148 Rydzewski B</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Dehdashti F</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Gordon B</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Teefey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Strasberg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Siegel B</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A. Usefulness of intraoperative sonography for revealing hepatic metastases from colorectal cancer in patients selected for surgery after undergoing </w:t>
      </w:r>
      <w:r w:rsidRPr="005E463D">
        <w:rPr>
          <w:rFonts w:ascii="Times New Roman" w:hAnsi="Times New Roman" w:cs="Times New Roman"/>
          <w:sz w:val="28"/>
          <w:szCs w:val="28"/>
          <w:lang w:val="kk-KZ"/>
          <w14:ligatures w14:val="standardContextual"/>
        </w:rPr>
        <w:lastRenderedPageBreak/>
        <w:t xml:space="preserve">FDG PET.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American journal of roentgenology.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02</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178</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2</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353</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358</w:t>
      </w:r>
      <w:r w:rsidRPr="005E463D">
        <w:rPr>
          <w:rFonts w:ascii="Times New Roman" w:hAnsi="Times New Roman" w:cs="Times New Roman"/>
          <w:sz w:val="28"/>
          <w:szCs w:val="28"/>
          <w:lang w:val="kk-KZ"/>
          <w14:ligatures w14:val="standardContextual"/>
        </w:rPr>
        <w:t>.</w:t>
      </w:r>
    </w:p>
    <w:p w14:paraId="6CA16FE8"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149 Bipat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van Leeuwen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Comans E</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F</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I</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Pijl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E</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Bossuyt P</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Zwinderman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Colorectal liver metastases: CT, MR imaging, and PET for diagnosis--meta-analysis.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Radiology.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05</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237</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w:t>
      </w:r>
      <w:r w:rsidRPr="005E463D">
        <w:rPr>
          <w:rFonts w:ascii="Times New Roman" w:hAnsi="Times New Roman" w:cs="Times New Roman"/>
          <w:sz w:val="28"/>
          <w:szCs w:val="28"/>
          <w:lang w:val="kk-KZ"/>
          <w14:ligatures w14:val="standardContextual"/>
        </w:rPr>
        <w:t>. – Р. 1</w:t>
      </w:r>
      <w:r w:rsidRPr="005E463D">
        <w:rPr>
          <w:rFonts w:ascii="Times New Roman" w:hAnsi="Times New Roman" w:cs="Times New Roman"/>
          <w:sz w:val="28"/>
          <w:szCs w:val="28"/>
          <w:lang w:val="en-US"/>
          <w14:ligatures w14:val="standardContextual"/>
        </w:rPr>
        <w:t>23</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131</w:t>
      </w:r>
      <w:r w:rsidRPr="005E463D">
        <w:rPr>
          <w:rFonts w:ascii="Times New Roman" w:hAnsi="Times New Roman" w:cs="Times New Roman"/>
          <w:sz w:val="28"/>
          <w:szCs w:val="28"/>
          <w:lang w:val="kk-KZ"/>
          <w14:ligatures w14:val="standardContextual"/>
        </w:rPr>
        <w:t>.</w:t>
      </w:r>
    </w:p>
    <w:p w14:paraId="084F117E"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150 Kinkel K</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Lu Y</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Both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Warren 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Thoeni 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F. Detection of hepatic metastases from cancers of the gastrointestinal tract by using noninvasive imaging methods (US, CT, MR imaging, PET): a meta-analysis.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Radiology.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02</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224</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3</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748</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756</w:t>
      </w:r>
      <w:r w:rsidRPr="005E463D">
        <w:rPr>
          <w:rFonts w:ascii="Times New Roman" w:hAnsi="Times New Roman" w:cs="Times New Roman"/>
          <w:sz w:val="28"/>
          <w:szCs w:val="28"/>
          <w:lang w:val="kk-KZ"/>
          <w14:ligatures w14:val="standardContextual"/>
        </w:rPr>
        <w:t>.</w:t>
      </w:r>
    </w:p>
    <w:p w14:paraId="5C5ECC23"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151 Maegerlein 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Fingerle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Souvatzoglou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Rummeny E</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Holzapfel K. Detection of liver metastases in patients with adenocarcinomas of the gastrointestinal tract: comparison of (18)F-FDG PET/CT and MR imaging.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Abdominal Imaging.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15</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40</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5</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1213</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1222</w:t>
      </w:r>
      <w:r w:rsidRPr="005E463D">
        <w:rPr>
          <w:rFonts w:ascii="Times New Roman" w:hAnsi="Times New Roman" w:cs="Times New Roman"/>
          <w:sz w:val="28"/>
          <w:szCs w:val="28"/>
          <w:lang w:val="kk-KZ"/>
          <w14:ligatures w14:val="standardContextual"/>
        </w:rPr>
        <w:t>.</w:t>
      </w:r>
    </w:p>
    <w:p w14:paraId="3BCA51DA"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152 Maffione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Lopci E</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Bluemel 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Giammarile F</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Herrmann K</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Rubello D. Diagnostic accuracy and impact on management of (18)F-FDG PET and PET/CT in colorectal liver metastasis: a meta-analysis and systematic review.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European Journal of Nuclear Medicine and Molecular Imaging.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15</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42</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152</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163</w:t>
      </w:r>
      <w:r w:rsidRPr="005E463D">
        <w:rPr>
          <w:rFonts w:ascii="Times New Roman" w:hAnsi="Times New Roman" w:cs="Times New Roman"/>
          <w:sz w:val="28"/>
          <w:szCs w:val="28"/>
          <w:lang w:val="kk-KZ"/>
          <w14:ligatures w14:val="standardContextual"/>
        </w:rPr>
        <w:t>.</w:t>
      </w:r>
    </w:p>
    <w:p w14:paraId="5BB2EAB1"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153 Niekel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Bipat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Stoker J. Diagnostic imaging of colorectal liver metastases with CT, MR imaging, FDG PET, and/or FDG PET/CT: a meta-analysis of prospective studies including patients who have not previously undergone treatment.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Radiology.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10</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257</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3</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674</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684</w:t>
      </w:r>
      <w:r w:rsidRPr="005E463D">
        <w:rPr>
          <w:rFonts w:ascii="Times New Roman" w:hAnsi="Times New Roman" w:cs="Times New Roman"/>
          <w:sz w:val="28"/>
          <w:szCs w:val="28"/>
          <w:lang w:val="kk-KZ"/>
          <w14:ligatures w14:val="standardContextual"/>
        </w:rPr>
        <w:t>.</w:t>
      </w:r>
    </w:p>
    <w:p w14:paraId="79E2619D"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154 Adie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Yip 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Chu F</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Morris D</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L. Resection of liver metastases from colorectal cancer: does preoperative chemotherapy affect the accuracy of PET in preoperative planning?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ANZ journal of surgery.</w:t>
      </w:r>
      <w:r w:rsidRPr="005E463D">
        <w:rPr>
          <w:rFonts w:ascii="Times New Roman" w:hAnsi="Times New Roman" w:cs="Times New Roman"/>
          <w:sz w:val="28"/>
          <w:szCs w:val="28"/>
          <w:lang w:val="en-US"/>
          <w14:ligatures w14:val="standardContextual"/>
        </w:rPr>
        <w:t xml:space="preserve"> -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09</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79</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5</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358</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361</w:t>
      </w:r>
      <w:r w:rsidRPr="005E463D">
        <w:rPr>
          <w:rFonts w:ascii="Times New Roman" w:hAnsi="Times New Roman" w:cs="Times New Roman"/>
          <w:sz w:val="28"/>
          <w:szCs w:val="28"/>
          <w:lang w:val="kk-KZ"/>
          <w14:ligatures w14:val="standardContextual"/>
        </w:rPr>
        <w:t>.</w:t>
      </w:r>
    </w:p>
    <w:p w14:paraId="7CC7B1A7"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155 Lubezky N</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Metser U</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Geva 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Nakache 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Shmueli E</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Klausner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The role and limitations of 18-fluoro-2-deoxy-D-glucose positron emission tomography (FDG-PET) scan and computerized tomography (CT) in restaging patients with hepatic colorectal metastases following neoadjuvant chemotherapy: comparison with operative and pathological findings.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Journal of Gastrointestinal Surgery.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07</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11</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4</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472</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478</w:t>
      </w:r>
      <w:r w:rsidRPr="005E463D">
        <w:rPr>
          <w:rFonts w:ascii="Times New Roman" w:hAnsi="Times New Roman" w:cs="Times New Roman"/>
          <w:sz w:val="28"/>
          <w:szCs w:val="28"/>
          <w:lang w:val="kk-KZ"/>
          <w14:ligatures w14:val="standardContextual"/>
        </w:rPr>
        <w:t>.</w:t>
      </w:r>
    </w:p>
    <w:p w14:paraId="13F749FC"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156 Wiering B</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Adang E</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van der Sijp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Roumen 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de Jong K</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P</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Comans E</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F</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I</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Added value of positron emission tomography imaging in the surgical treatment of colorectal liver metastases.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Nuclear Medicine Communications.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10</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31</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11</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938</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944</w:t>
      </w:r>
      <w:r w:rsidRPr="005E463D">
        <w:rPr>
          <w:rFonts w:ascii="Times New Roman" w:hAnsi="Times New Roman" w:cs="Times New Roman"/>
          <w:sz w:val="28"/>
          <w:szCs w:val="28"/>
          <w:lang w:val="kk-KZ"/>
          <w14:ligatures w14:val="standardContextual"/>
        </w:rPr>
        <w:t>.</w:t>
      </w:r>
    </w:p>
    <w:p w14:paraId="10DDF4D5"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157 Laurens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T</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Oyen W</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G. Impact of Fluorodeoxyglucose PET/Computed Tomography on the Management of Patients with Colorectal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PET clinics.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15</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10</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3</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345</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360</w:t>
      </w:r>
      <w:r w:rsidRPr="005E463D">
        <w:rPr>
          <w:rFonts w:ascii="Times New Roman" w:hAnsi="Times New Roman" w:cs="Times New Roman"/>
          <w:sz w:val="28"/>
          <w:szCs w:val="28"/>
          <w:lang w:val="kk-KZ"/>
          <w14:ligatures w14:val="standardContextual"/>
        </w:rPr>
        <w:t>.</w:t>
      </w:r>
    </w:p>
    <w:p w14:paraId="2E065045"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158 Blodgett T</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Fukui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B</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Snyderman 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Branstetter B</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F</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McCook B</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Townsend D</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W</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Combined PET-CT in the head and neck: part 1. Physiologic, altered physiologic, and artifactual FDG uptake.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Radiographics.</w:t>
      </w:r>
      <w:r w:rsidRPr="005E463D">
        <w:rPr>
          <w:rFonts w:ascii="Times New Roman" w:hAnsi="Times New Roman" w:cs="Times New Roman"/>
          <w:sz w:val="28"/>
          <w:szCs w:val="28"/>
          <w:lang w:val="en-US"/>
          <w14:ligatures w14:val="standardContextual"/>
        </w:rPr>
        <w:t xml:space="preserve"> -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05</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25</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4</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897</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912</w:t>
      </w:r>
      <w:r w:rsidRPr="005E463D">
        <w:rPr>
          <w:rFonts w:ascii="Times New Roman" w:hAnsi="Times New Roman" w:cs="Times New Roman"/>
          <w:sz w:val="28"/>
          <w:szCs w:val="28"/>
          <w:lang w:val="kk-KZ"/>
          <w14:ligatures w14:val="standardContextual"/>
        </w:rPr>
        <w:t>.</w:t>
      </w:r>
    </w:p>
    <w:p w14:paraId="43422615" w14:textId="33F5832F"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lastRenderedPageBreak/>
        <w:t>159 Kang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Y</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Kim 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N</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Chang Y</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Yun Y</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Ryu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Shin 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Gut microbiota and physiologic bowel </w:t>
      </w:r>
      <w:r w:rsidRPr="00407D16">
        <w:rPr>
          <w:rFonts w:ascii="Times New Roman" w:hAnsi="Times New Roman" w:cs="Times New Roman"/>
          <w:sz w:val="28"/>
          <w:szCs w:val="28"/>
          <w:vertAlign w:val="superscript"/>
          <w:lang w:val="kk-KZ"/>
          <w14:ligatures w14:val="standardContextual"/>
        </w:rPr>
        <w:t>18</w:t>
      </w:r>
      <w:r w:rsidRPr="005E463D">
        <w:rPr>
          <w:rFonts w:ascii="Times New Roman" w:hAnsi="Times New Roman" w:cs="Times New Roman"/>
          <w:sz w:val="28"/>
          <w:szCs w:val="28"/>
          <w:lang w:val="kk-KZ"/>
          <w14:ligatures w14:val="standardContextual"/>
        </w:rPr>
        <w:t xml:space="preserve">F-FDG uptake.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EJNMMI Res</w:t>
      </w:r>
      <w:r w:rsidRPr="005E463D">
        <w:rPr>
          <w:rFonts w:ascii="Times New Roman" w:hAnsi="Times New Roman" w:cs="Times New Roman"/>
          <w:sz w:val="28"/>
          <w:szCs w:val="28"/>
          <w:lang w:val="en-US"/>
          <w14:ligatures w14:val="standardContextual"/>
        </w:rPr>
        <w:t>earch</w:t>
      </w:r>
      <w:r w:rsidRPr="005E463D">
        <w:rPr>
          <w:rFonts w:ascii="Times New Roman" w:hAnsi="Times New Roman" w:cs="Times New Roman"/>
          <w:sz w:val="28"/>
          <w:szCs w:val="28"/>
          <w:lang w:val="kk-KZ"/>
          <w14:ligatures w14:val="standardContextual"/>
        </w:rPr>
        <w:t xml:space="preserv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17</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7</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w:t>
      </w:r>
      <w:r w:rsidRPr="005E463D">
        <w:rPr>
          <w:rFonts w:ascii="Times New Roman" w:hAnsi="Times New Roman" w:cs="Times New Roman"/>
          <w:sz w:val="28"/>
          <w:szCs w:val="28"/>
          <w:lang w:val="kk-KZ"/>
          <w14:ligatures w14:val="standardContextual"/>
        </w:rPr>
        <w:t xml:space="preserve">. – </w:t>
      </w:r>
      <w:r w:rsidRPr="005E463D">
        <w:rPr>
          <w:rFonts w:ascii="Times New Roman" w:hAnsi="Times New Roman" w:cs="Times New Roman"/>
          <w:sz w:val="28"/>
          <w:szCs w:val="28"/>
          <w:lang w:val="en-US"/>
          <w14:ligatures w14:val="standardContextual"/>
        </w:rPr>
        <w:t>72</w:t>
      </w:r>
      <w:r w:rsidR="00610F69">
        <w:rPr>
          <w:rFonts w:ascii="Times New Roman" w:hAnsi="Times New Roman" w:cs="Times New Roman"/>
          <w:sz w:val="28"/>
          <w:szCs w:val="28"/>
          <w:lang w:val="en-US"/>
          <w14:ligatures w14:val="standardContextual"/>
        </w:rPr>
        <w:t xml:space="preserve"> p</w:t>
      </w:r>
      <w:r w:rsidRPr="005E463D">
        <w:rPr>
          <w:rFonts w:ascii="Times New Roman" w:hAnsi="Times New Roman" w:cs="Times New Roman"/>
          <w:sz w:val="28"/>
          <w:szCs w:val="28"/>
          <w:lang w:val="kk-KZ"/>
          <w14:ligatures w14:val="standardContextual"/>
        </w:rPr>
        <w:t>.</w:t>
      </w:r>
    </w:p>
    <w:p w14:paraId="5BBBC440"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160 Murphy 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Doerger K</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Nathan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Lowe V</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J. Pretreatment with diphenoxylate hydrochloride/atropine sulfate (Lomotil) does not decrease physiologic bowel FDG activity on PET/CT scans of the abdomen and pelvis.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Molecular Imaging and Biology.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09</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11</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2</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114</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117</w:t>
      </w:r>
      <w:r w:rsidRPr="005E463D">
        <w:rPr>
          <w:rFonts w:ascii="Times New Roman" w:hAnsi="Times New Roman" w:cs="Times New Roman"/>
          <w:sz w:val="28"/>
          <w:szCs w:val="28"/>
          <w:lang w:val="kk-KZ"/>
          <w14:ligatures w14:val="standardContextual"/>
        </w:rPr>
        <w:t>.</w:t>
      </w:r>
    </w:p>
    <w:p w14:paraId="4D64B62C"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161 Shin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Jeong Y</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Y</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Min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Kim 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Chung T</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W</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Kang 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K. Preoperative staging of colorectal cancer: CT vs. integrated FDG PET/CT.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Abdominal Imaging.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08</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33</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3</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270</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277</w:t>
      </w:r>
      <w:r w:rsidRPr="005E463D">
        <w:rPr>
          <w:rFonts w:ascii="Times New Roman" w:hAnsi="Times New Roman" w:cs="Times New Roman"/>
          <w:sz w:val="28"/>
          <w:szCs w:val="28"/>
          <w:lang w:val="kk-KZ"/>
          <w14:ligatures w14:val="standardContextual"/>
        </w:rPr>
        <w:t>.</w:t>
      </w:r>
    </w:p>
    <w:p w14:paraId="2BAD978B"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162 Beddy D</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Hyland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P</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Winter D</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Lim 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White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Moriarty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A simplified tumor regression grade correlates with survival in locally advanced rectal carcinoma treated with neoadjuvant chemoradiotherapy.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Annals of Surgical Oncology.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08</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15</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12</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3471</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3477</w:t>
      </w:r>
      <w:r w:rsidRPr="005E463D">
        <w:rPr>
          <w:rFonts w:ascii="Times New Roman" w:hAnsi="Times New Roman" w:cs="Times New Roman"/>
          <w:sz w:val="28"/>
          <w:szCs w:val="28"/>
          <w:lang w:val="kk-KZ"/>
          <w14:ligatures w14:val="standardContextual"/>
        </w:rPr>
        <w:t>.</w:t>
      </w:r>
    </w:p>
    <w:p w14:paraId="3D9B7601"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163 Glynne-Jones 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Wallace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Livingstone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I</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L</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Meyrick-Thomas J. Complete clinical response after preoperative chemoradiation in rectal cancer: is a “wait and see” policy justified?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Diseases of the Colon and Rectum.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08</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51</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10</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20</w:t>
      </w:r>
      <w:r w:rsidRPr="005E463D">
        <w:rPr>
          <w:rFonts w:ascii="Times New Roman" w:hAnsi="Times New Roman" w:cs="Times New Roman"/>
          <w:sz w:val="28"/>
          <w:szCs w:val="28"/>
          <w:lang w:val="kk-KZ"/>
          <w14:ligatures w14:val="standardContextual"/>
        </w:rPr>
        <w:t>.</w:t>
      </w:r>
    </w:p>
    <w:p w14:paraId="100ADB49"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164 Glynne-Jones 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Mawdsley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Novell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R. The clinical significance of the circumferential resection margin following preoperative pelvic chemo-radiotherapy in rectal cancer: why we need a common language.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Colorectal Disease.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06</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8</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9</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800</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807</w:t>
      </w:r>
      <w:r w:rsidRPr="005E463D">
        <w:rPr>
          <w:rFonts w:ascii="Times New Roman" w:hAnsi="Times New Roman" w:cs="Times New Roman"/>
          <w:sz w:val="28"/>
          <w:szCs w:val="28"/>
          <w:lang w:val="kk-KZ"/>
          <w14:ligatures w14:val="standardContextual"/>
        </w:rPr>
        <w:t>.</w:t>
      </w:r>
    </w:p>
    <w:p w14:paraId="0B8B279C"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165 Guillem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G</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Chessin D</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B</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Shia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Moore 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G</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Mazumdar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Bernard B</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Clinical examination following preoperative chemoradiation for rectal cancer is not a reliable surrogate end point.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Journal of Clinical Oncology.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05</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23</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15</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3475</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3479</w:t>
      </w:r>
      <w:r w:rsidRPr="005E463D">
        <w:rPr>
          <w:rFonts w:ascii="Times New Roman" w:hAnsi="Times New Roman" w:cs="Times New Roman"/>
          <w:sz w:val="28"/>
          <w:szCs w:val="28"/>
          <w:lang w:val="kk-KZ"/>
          <w14:ligatures w14:val="standardContextual"/>
        </w:rPr>
        <w:t>.</w:t>
      </w:r>
    </w:p>
    <w:p w14:paraId="747B45F7"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166 Lindebjerg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Spindler K</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L</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G</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Ploen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Jakobsen A. The prognostic value of lymph node metastases and tumour regression grade in rectal cancer patients treated with long-course preoperative chemoradiotherapy.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Colorectal Disease.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09</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11</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3</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264</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269</w:t>
      </w:r>
      <w:r w:rsidRPr="005E463D">
        <w:rPr>
          <w:rFonts w:ascii="Times New Roman" w:hAnsi="Times New Roman" w:cs="Times New Roman"/>
          <w:sz w:val="28"/>
          <w:szCs w:val="28"/>
          <w:lang w:val="kk-KZ"/>
          <w14:ligatures w14:val="standardContextual"/>
        </w:rPr>
        <w:t>.</w:t>
      </w:r>
    </w:p>
    <w:p w14:paraId="3837FAB5"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167 Quah 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Chou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F</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Gonen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Shia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Schrag D</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Saltz L</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B</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Pathologic stage is most prognostic of disease-free survival in locally advanced rectal cancer patients after preoperative chemoradiation.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08</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113</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57</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64</w:t>
      </w:r>
      <w:r w:rsidRPr="005E463D">
        <w:rPr>
          <w:rFonts w:ascii="Times New Roman" w:hAnsi="Times New Roman" w:cs="Times New Roman"/>
          <w:sz w:val="28"/>
          <w:szCs w:val="28"/>
          <w:lang w:val="kk-KZ"/>
          <w14:ligatures w14:val="standardContextual"/>
        </w:rPr>
        <w:t>.</w:t>
      </w:r>
    </w:p>
    <w:p w14:paraId="5699D3D6"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168 Larsson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Orsini N</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Wolk A. Diabetes mellitus and risk of colorectal cancer: a meta-analysis.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J Natl Cancer Inst.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05</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97</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2</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1679</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1687</w:t>
      </w:r>
      <w:r w:rsidRPr="005E463D">
        <w:rPr>
          <w:rFonts w:ascii="Times New Roman" w:hAnsi="Times New Roman" w:cs="Times New Roman"/>
          <w:sz w:val="28"/>
          <w:szCs w:val="28"/>
          <w:lang w:val="kk-KZ"/>
          <w14:ligatures w14:val="standardContextual"/>
        </w:rPr>
        <w:t>.</w:t>
      </w:r>
    </w:p>
    <w:p w14:paraId="666089AA"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169 Larsson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Orsini N</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Wolk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Vitamin B6 and risk of colorectal cancer: a meta-analysis of prospective studies.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JAMA.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10</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303</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11</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1077</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1083</w:t>
      </w:r>
      <w:r w:rsidRPr="005E463D">
        <w:rPr>
          <w:rFonts w:ascii="Times New Roman" w:hAnsi="Times New Roman" w:cs="Times New Roman"/>
          <w:sz w:val="28"/>
          <w:szCs w:val="28"/>
          <w:lang w:val="kk-KZ"/>
          <w14:ligatures w14:val="standardContextual"/>
        </w:rPr>
        <w:t>.</w:t>
      </w:r>
    </w:p>
    <w:p w14:paraId="208E1F31"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170 Larsson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Wolk A. Meat consumption and risk of colorectal cancer: a meta-analysis of prospective studies.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International Journal of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06</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119</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11</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2657</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2664</w:t>
      </w:r>
      <w:r w:rsidRPr="005E463D">
        <w:rPr>
          <w:rFonts w:ascii="Times New Roman" w:hAnsi="Times New Roman" w:cs="Times New Roman"/>
          <w:sz w:val="28"/>
          <w:szCs w:val="28"/>
          <w:lang w:val="kk-KZ"/>
          <w14:ligatures w14:val="standardContextual"/>
        </w:rPr>
        <w:t>.</w:t>
      </w:r>
    </w:p>
    <w:p w14:paraId="074F6BE1" w14:textId="6E0F2FF1"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171</w:t>
      </w:r>
      <w:r w:rsidRPr="005E463D">
        <w:rPr>
          <w:rFonts w:ascii="Times New Roman" w:hAnsi="Times New Roman" w:cs="Times New Roman"/>
          <w:sz w:val="28"/>
          <w:szCs w:val="28"/>
          <w:lang w:val="en-US"/>
          <w14:ligatures w14:val="standardContextual"/>
        </w:rPr>
        <w:t xml:space="preserve"> Dizendorf E.V., Baumert B.G., von Schulthess G.K., Lütolf U.M. Impact of whole-body </w:t>
      </w:r>
      <w:r w:rsidRPr="00407D16">
        <w:rPr>
          <w:rFonts w:ascii="Times New Roman" w:hAnsi="Times New Roman" w:cs="Times New Roman"/>
          <w:sz w:val="28"/>
          <w:szCs w:val="28"/>
          <w:vertAlign w:val="superscript"/>
          <w:lang w:val="en-US"/>
          <w14:ligatures w14:val="standardContextual"/>
        </w:rPr>
        <w:t>18</w:t>
      </w:r>
      <w:r w:rsidRPr="005E463D">
        <w:rPr>
          <w:rFonts w:ascii="Times New Roman" w:hAnsi="Times New Roman" w:cs="Times New Roman"/>
          <w:sz w:val="28"/>
          <w:szCs w:val="28"/>
          <w:lang w:val="en-US"/>
          <w14:ligatures w14:val="standardContextual"/>
        </w:rPr>
        <w:t xml:space="preserve">F-FDG PET on staging and managing patients for radiation therapy. // Journal of Nuclear Medicine. -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03</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44</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24</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29</w:t>
      </w:r>
      <w:r w:rsidRPr="005E463D">
        <w:rPr>
          <w:rFonts w:ascii="Times New Roman" w:hAnsi="Times New Roman" w:cs="Times New Roman"/>
          <w:sz w:val="28"/>
          <w:szCs w:val="28"/>
          <w:lang w:val="kk-KZ"/>
          <w14:ligatures w14:val="standardContextual"/>
        </w:rPr>
        <w:t>.</w:t>
      </w:r>
    </w:p>
    <w:p w14:paraId="0CEA3862"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lastRenderedPageBreak/>
        <w:t>172 Kamel E</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Zwahlen D</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Wyss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T</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Stumpe K</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D</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von Schulthess G</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K</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Steinert 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C. Whole-body (18)F-FDG PET improves the management of patients with small cell lung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Journal of Nuclear Medicine.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03</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44</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12</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1911</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1917</w:t>
      </w:r>
      <w:r w:rsidRPr="005E463D">
        <w:rPr>
          <w:rFonts w:ascii="Times New Roman" w:hAnsi="Times New Roman" w:cs="Times New Roman"/>
          <w:sz w:val="28"/>
          <w:szCs w:val="28"/>
          <w:lang w:val="kk-KZ"/>
          <w14:ligatures w14:val="standardContextual"/>
        </w:rPr>
        <w:t>.</w:t>
      </w:r>
    </w:p>
    <w:p w14:paraId="1081D06F"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173 Strasberg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Dehdashti F</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Siegel B</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Drebin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Linehan D. Survival of Patients Evaluated by FDG-PET Before Hepatic Resection for Metastatic Colorectal Carcinoma: A Prospective Database Study.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Annals of Surgery.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01</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233</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3</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293</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299</w:t>
      </w:r>
      <w:r w:rsidRPr="005E463D">
        <w:rPr>
          <w:rFonts w:ascii="Times New Roman" w:hAnsi="Times New Roman" w:cs="Times New Roman"/>
          <w:sz w:val="28"/>
          <w:szCs w:val="28"/>
          <w:lang w:val="kk-KZ"/>
          <w14:ligatures w14:val="standardContextual"/>
        </w:rPr>
        <w:t>.</w:t>
      </w:r>
    </w:p>
    <w:p w14:paraId="5F25FB14"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174 Brunetti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C. Fludeoxyglucose F 18 PET-Computed Tomography: Management Changes Effecting Patient Outcomes in Gynecologic Malignancies.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PET Clin.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15</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10</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3</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395</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409</w:t>
      </w:r>
      <w:r w:rsidRPr="005E463D">
        <w:rPr>
          <w:rFonts w:ascii="Times New Roman" w:hAnsi="Times New Roman" w:cs="Times New Roman"/>
          <w:sz w:val="28"/>
          <w:szCs w:val="28"/>
          <w:lang w:val="kk-KZ"/>
          <w14:ligatures w14:val="standardContextual"/>
        </w:rPr>
        <w:t>.</w:t>
      </w:r>
    </w:p>
    <w:p w14:paraId="4F1E166A" w14:textId="0A72B826"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175 Im 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Bradshaw T</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Solaiyappan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Current Methods to Define Metabolic Tumor Volume in Positron Emission Tomography: Which One is Better?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Nuclear Medicine and Molecular Imaging.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18</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52</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5</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15</w:t>
      </w:r>
      <w:r w:rsidRPr="005E463D">
        <w:rPr>
          <w:rFonts w:ascii="Times New Roman" w:hAnsi="Times New Roman" w:cs="Times New Roman"/>
          <w:sz w:val="28"/>
          <w:szCs w:val="28"/>
          <w:lang w:val="kk-KZ"/>
          <w14:ligatures w14:val="standardContextual"/>
        </w:rPr>
        <w:t>.</w:t>
      </w:r>
    </w:p>
    <w:p w14:paraId="504ECCC7"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176 Rubello D</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Marzola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Colletti P</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M. The Prognostic Value of </w:t>
      </w:r>
      <w:r w:rsidRPr="00407D16">
        <w:rPr>
          <w:rFonts w:ascii="Times New Roman" w:hAnsi="Times New Roman" w:cs="Times New Roman"/>
          <w:sz w:val="28"/>
          <w:szCs w:val="28"/>
          <w:vertAlign w:val="superscript"/>
          <w:lang w:val="kk-KZ"/>
          <w14:ligatures w14:val="standardContextual"/>
        </w:rPr>
        <w:t>18</w:t>
      </w:r>
      <w:r w:rsidRPr="005E463D">
        <w:rPr>
          <w:rFonts w:ascii="Times New Roman" w:hAnsi="Times New Roman" w:cs="Times New Roman"/>
          <w:sz w:val="28"/>
          <w:szCs w:val="28"/>
          <w:lang w:val="kk-KZ"/>
          <w14:ligatures w14:val="standardContextual"/>
        </w:rPr>
        <w:t xml:space="preserve">F-FDG PET/CT in Monitoring Chemotherapy in Ovarian Cancer Both at Initial Diagnosis and at Recurrent Disease.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Clinical Nuclear Medicine.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18</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43</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10</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735</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738</w:t>
      </w:r>
      <w:r w:rsidRPr="005E463D">
        <w:rPr>
          <w:rFonts w:ascii="Times New Roman" w:hAnsi="Times New Roman" w:cs="Times New Roman"/>
          <w:sz w:val="28"/>
          <w:szCs w:val="28"/>
          <w:lang w:val="kk-KZ"/>
          <w14:ligatures w14:val="standardContextual"/>
        </w:rPr>
        <w:t>.</w:t>
      </w:r>
    </w:p>
    <w:p w14:paraId="7A12DA30" w14:textId="084835F2"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177</w:t>
      </w:r>
      <w:r w:rsidRPr="005E463D">
        <w:rPr>
          <w:rFonts w:ascii="Times New Roman" w:hAnsi="Times New Roman" w:cs="Times New Roman"/>
          <w:sz w:val="28"/>
          <w:szCs w:val="28"/>
          <w:lang w:val="en-US"/>
          <w14:ligatures w14:val="standardContextual"/>
        </w:rPr>
        <w:t xml:space="preserve"> Rusu G., Achimaș-Cadariu P., Piciu A., Căinap S.S., Căinap C., Piciu D. A Comparative Study between </w:t>
      </w:r>
      <w:r w:rsidRPr="00407D16">
        <w:rPr>
          <w:rFonts w:ascii="Times New Roman" w:hAnsi="Times New Roman" w:cs="Times New Roman"/>
          <w:sz w:val="28"/>
          <w:szCs w:val="28"/>
          <w:vertAlign w:val="superscript"/>
          <w:lang w:val="en-US"/>
          <w14:ligatures w14:val="standardContextual"/>
        </w:rPr>
        <w:t>18</w:t>
      </w:r>
      <w:r w:rsidRPr="005E463D">
        <w:rPr>
          <w:rFonts w:ascii="Times New Roman" w:hAnsi="Times New Roman" w:cs="Times New Roman"/>
          <w:sz w:val="28"/>
          <w:szCs w:val="28"/>
          <w:lang w:val="en-US"/>
          <w14:ligatures w14:val="standardContextual"/>
        </w:rPr>
        <w:t xml:space="preserve">F-FDG PET/CT and Conventional Imaging in the Evaluation of Progressive Disease and Recurrence in Ovarian Carcinoma. // Healthcare. -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21</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9</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6</w:t>
      </w:r>
      <w:r w:rsidRPr="005E463D">
        <w:rPr>
          <w:rFonts w:ascii="Times New Roman" w:hAnsi="Times New Roman" w:cs="Times New Roman"/>
          <w:sz w:val="28"/>
          <w:szCs w:val="28"/>
          <w:lang w:val="kk-KZ"/>
          <w14:ligatures w14:val="standardContextual"/>
        </w:rPr>
        <w:t xml:space="preserve">. – </w:t>
      </w:r>
      <w:r w:rsidRPr="005E463D">
        <w:rPr>
          <w:rFonts w:ascii="Times New Roman" w:hAnsi="Times New Roman" w:cs="Times New Roman"/>
          <w:sz w:val="28"/>
          <w:szCs w:val="28"/>
          <w:lang w:val="en-US"/>
          <w14:ligatures w14:val="standardContextual"/>
        </w:rPr>
        <w:t>666</w:t>
      </w:r>
      <w:r w:rsidR="00610F69">
        <w:rPr>
          <w:rFonts w:ascii="Times New Roman" w:hAnsi="Times New Roman" w:cs="Times New Roman"/>
          <w:sz w:val="28"/>
          <w:szCs w:val="28"/>
          <w:lang w:val="en-US"/>
          <w14:ligatures w14:val="standardContextual"/>
        </w:rPr>
        <w:t xml:space="preserve"> p</w:t>
      </w:r>
      <w:r w:rsidRPr="005E463D">
        <w:rPr>
          <w:rFonts w:ascii="Times New Roman" w:hAnsi="Times New Roman" w:cs="Times New Roman"/>
          <w:sz w:val="28"/>
          <w:szCs w:val="28"/>
          <w:lang w:val="kk-KZ"/>
          <w14:ligatures w14:val="standardContextual"/>
        </w:rPr>
        <w:t>.</w:t>
      </w:r>
    </w:p>
    <w:p w14:paraId="404952DB"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178 Mapelli P</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Incerti E</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Fallanca F</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Gianolli L</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Picchio M. Imaging biomarkers in ovarian cancer: the role of </w:t>
      </w:r>
      <w:r w:rsidRPr="005E463D">
        <w:rPr>
          <w:rFonts w:ascii="Times New Roman" w:hAnsi="Times New Roman" w:cs="Times New Roman"/>
          <w:sz w:val="28"/>
          <w:szCs w:val="28"/>
          <w:vertAlign w:val="superscript"/>
          <w:lang w:val="kk-KZ"/>
          <w14:ligatures w14:val="standardContextual"/>
        </w:rPr>
        <w:t>18</w:t>
      </w:r>
      <w:r w:rsidRPr="005E463D">
        <w:rPr>
          <w:rFonts w:ascii="Times New Roman" w:hAnsi="Times New Roman" w:cs="Times New Roman"/>
          <w:sz w:val="28"/>
          <w:szCs w:val="28"/>
          <w:lang w:val="kk-KZ"/>
          <w14:ligatures w14:val="standardContextual"/>
        </w:rPr>
        <w:t xml:space="preserve">F-FDG PET/CT.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The Quarterly Journal of Nuclear Medicine and Molecular Imaging.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16</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60</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2</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93</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102</w:t>
      </w:r>
      <w:r w:rsidRPr="005E463D">
        <w:rPr>
          <w:rFonts w:ascii="Times New Roman" w:hAnsi="Times New Roman" w:cs="Times New Roman"/>
          <w:sz w:val="28"/>
          <w:szCs w:val="28"/>
          <w:lang w:val="kk-KZ"/>
          <w14:ligatures w14:val="standardContextual"/>
        </w:rPr>
        <w:t>.</w:t>
      </w:r>
    </w:p>
    <w:p w14:paraId="57FC794B" w14:textId="01E5CD6C"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 xml:space="preserve">179 Lee Y.J., Kim Y.M., Jung P.S., Lee J.J., Kim J.K., Kim Y.T., et al. Diagnostic value of integrated </w:t>
      </w:r>
      <w:r w:rsidRPr="00407D16">
        <w:rPr>
          <w:rFonts w:ascii="Times New Roman" w:hAnsi="Times New Roman" w:cs="Times New Roman"/>
          <w:sz w:val="28"/>
          <w:szCs w:val="28"/>
          <w:vertAlign w:val="superscript"/>
          <w:lang w:val="kk-KZ"/>
          <w14:ligatures w14:val="standardContextual"/>
        </w:rPr>
        <w:t>18</w:t>
      </w:r>
      <w:r w:rsidRPr="005E463D">
        <w:rPr>
          <w:rFonts w:ascii="Times New Roman" w:hAnsi="Times New Roman" w:cs="Times New Roman"/>
          <w:sz w:val="28"/>
          <w:szCs w:val="28"/>
          <w:lang w:val="kk-KZ"/>
          <w14:ligatures w14:val="standardContextual"/>
        </w:rPr>
        <w:t xml:space="preserve">F-fluoro-2-deoxyglucose positron emission tomography/computed tomography in recurrent epithelial ovarian cancer: accuracy of patient selection for secondary cytoreduction in 134 patients.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Journal of Gynecologic Oncology.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18</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29</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3</w:t>
      </w:r>
      <w:r w:rsidRPr="005E463D">
        <w:rPr>
          <w:rFonts w:ascii="Times New Roman" w:hAnsi="Times New Roman" w:cs="Times New Roman"/>
          <w:sz w:val="28"/>
          <w:szCs w:val="28"/>
          <w:lang w:val="kk-KZ"/>
          <w14:ligatures w14:val="standardContextual"/>
        </w:rPr>
        <w:t xml:space="preserve">. – </w:t>
      </w:r>
      <w:r w:rsidRPr="005E463D">
        <w:rPr>
          <w:rFonts w:ascii="Times New Roman" w:hAnsi="Times New Roman" w:cs="Times New Roman"/>
          <w:sz w:val="28"/>
          <w:szCs w:val="28"/>
          <w:lang w:val="en-US"/>
          <w14:ligatures w14:val="standardContextual"/>
        </w:rPr>
        <w:t>e36</w:t>
      </w:r>
      <w:r w:rsidR="00610F69">
        <w:rPr>
          <w:rFonts w:ascii="Times New Roman" w:hAnsi="Times New Roman" w:cs="Times New Roman"/>
          <w:sz w:val="28"/>
          <w:szCs w:val="28"/>
          <w:lang w:val="en-US"/>
          <w14:ligatures w14:val="standardContextual"/>
        </w:rPr>
        <w:t xml:space="preserve"> p</w:t>
      </w:r>
      <w:r w:rsidRPr="005E463D">
        <w:rPr>
          <w:rFonts w:ascii="Times New Roman" w:hAnsi="Times New Roman" w:cs="Times New Roman"/>
          <w:sz w:val="28"/>
          <w:szCs w:val="28"/>
          <w:lang w:val="kk-KZ"/>
          <w14:ligatures w14:val="standardContextual"/>
        </w:rPr>
        <w:t>.</w:t>
      </w:r>
    </w:p>
    <w:p w14:paraId="0BC61501"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180 Chung 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Kwon 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W</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Kang K</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W</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Park N</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Song Y</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Chung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K</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Prognostic value of preoperative metabolic tumor volume and total lesion glycolysis in patients with epithelial ovarian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Annals of Surgical Oncology.</w:t>
      </w:r>
      <w:r w:rsidRPr="005E463D">
        <w:rPr>
          <w:rFonts w:ascii="Times New Roman" w:hAnsi="Times New Roman" w:cs="Times New Roman"/>
          <w:sz w:val="28"/>
          <w:szCs w:val="28"/>
          <w:lang w:val="en-US"/>
          <w14:ligatures w14:val="standardContextual"/>
        </w:rPr>
        <w:t xml:space="preserve"> -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12</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19</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6</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1966</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1972</w:t>
      </w:r>
      <w:r w:rsidRPr="005E463D">
        <w:rPr>
          <w:rFonts w:ascii="Times New Roman" w:hAnsi="Times New Roman" w:cs="Times New Roman"/>
          <w:sz w:val="28"/>
          <w:szCs w:val="28"/>
          <w:lang w:val="kk-KZ"/>
          <w14:ligatures w14:val="standardContextual"/>
        </w:rPr>
        <w:t>.</w:t>
      </w:r>
    </w:p>
    <w:p w14:paraId="49208A46"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181 Chung 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Kim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W</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Park N</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Song Y</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Cheon G</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J. Prognostic importance of peritoneal lesion-to-primary tumour standardized uptake value ratio in advanced serous epithelial ovarian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European Radiology.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18</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28</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5</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2107</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2114</w:t>
      </w:r>
      <w:r w:rsidRPr="005E463D">
        <w:rPr>
          <w:rFonts w:ascii="Times New Roman" w:hAnsi="Times New Roman" w:cs="Times New Roman"/>
          <w:sz w:val="28"/>
          <w:szCs w:val="28"/>
          <w:lang w:val="kk-KZ"/>
          <w14:ligatures w14:val="standardContextual"/>
        </w:rPr>
        <w:t>.</w:t>
      </w:r>
    </w:p>
    <w:p w14:paraId="00658124" w14:textId="7BA65D3B"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182 Roberts 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Cardenas 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Tedja R. The Role of Intra-Tumoral Heterogeneity and Its Clinical Relevance in Epithelial Ovarian Cancer Recurrence and Metastasis.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Cancers.</w:t>
      </w:r>
      <w:r w:rsidRPr="005E463D">
        <w:rPr>
          <w:rFonts w:ascii="Times New Roman" w:hAnsi="Times New Roman" w:cs="Times New Roman"/>
          <w:sz w:val="28"/>
          <w:szCs w:val="28"/>
          <w:lang w:val="en-US"/>
          <w14:ligatures w14:val="standardContextual"/>
        </w:rPr>
        <w:t xml:space="preserve"> -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19</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11</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8</w:t>
      </w:r>
      <w:r w:rsidRPr="005E463D">
        <w:rPr>
          <w:rFonts w:ascii="Times New Roman" w:hAnsi="Times New Roman" w:cs="Times New Roman"/>
          <w:sz w:val="28"/>
          <w:szCs w:val="28"/>
          <w:lang w:val="kk-KZ"/>
          <w14:ligatures w14:val="standardContextual"/>
        </w:rPr>
        <w:t xml:space="preserve">. – </w:t>
      </w:r>
      <w:r w:rsidRPr="005E463D">
        <w:rPr>
          <w:rFonts w:ascii="Times New Roman" w:hAnsi="Times New Roman" w:cs="Times New Roman"/>
          <w:sz w:val="28"/>
          <w:szCs w:val="28"/>
          <w:lang w:val="en-US"/>
          <w14:ligatures w14:val="standardContextual"/>
        </w:rPr>
        <w:t>1083</w:t>
      </w:r>
      <w:r w:rsidR="00610F69">
        <w:rPr>
          <w:rFonts w:ascii="Times New Roman" w:hAnsi="Times New Roman" w:cs="Times New Roman"/>
          <w:sz w:val="28"/>
          <w:szCs w:val="28"/>
          <w:lang w:val="en-US"/>
          <w14:ligatures w14:val="standardContextual"/>
        </w:rPr>
        <w:t xml:space="preserve"> p</w:t>
      </w:r>
      <w:r w:rsidRPr="005E463D">
        <w:rPr>
          <w:rFonts w:ascii="Times New Roman" w:hAnsi="Times New Roman" w:cs="Times New Roman"/>
          <w:sz w:val="28"/>
          <w:szCs w:val="28"/>
          <w:lang w:val="kk-KZ"/>
          <w14:ligatures w14:val="standardContextual"/>
        </w:rPr>
        <w:t>.</w:t>
      </w:r>
    </w:p>
    <w:p w14:paraId="5117F029"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183 Xi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Li Z</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Guo Q</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Lin W</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Liang X</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Ma L. Prognostic Factors among Brain Metastases in Newly Diagnosed Ovary Cancer: A Large Real-world Study.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Journal of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20</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11</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5</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4625</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4640</w:t>
      </w:r>
      <w:r w:rsidRPr="005E463D">
        <w:rPr>
          <w:rFonts w:ascii="Times New Roman" w:hAnsi="Times New Roman" w:cs="Times New Roman"/>
          <w:sz w:val="28"/>
          <w:szCs w:val="28"/>
          <w:lang w:val="kk-KZ"/>
          <w14:ligatures w14:val="standardContextual"/>
        </w:rPr>
        <w:t>.</w:t>
      </w:r>
    </w:p>
    <w:p w14:paraId="1E652393"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lastRenderedPageBreak/>
        <w:t>184 Benson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B</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Venook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P</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Al-Hawary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Cederquist L</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Chen Y</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Ciombor K</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K</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NCCN Guidelines Insights: Colon Cancer, Version 2.2018.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Journal of the National Comprehensive Cancer Network.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18</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16</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4</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359</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369</w:t>
      </w:r>
      <w:r w:rsidRPr="005E463D">
        <w:rPr>
          <w:rFonts w:ascii="Times New Roman" w:hAnsi="Times New Roman" w:cs="Times New Roman"/>
          <w:sz w:val="28"/>
          <w:szCs w:val="28"/>
          <w:lang w:val="kk-KZ"/>
          <w14:ligatures w14:val="standardContextual"/>
        </w:rPr>
        <w:t>.</w:t>
      </w:r>
    </w:p>
    <w:p w14:paraId="291275A0"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185 Benson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B</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Venook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P</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Al-Hawary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Cederquist L</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Chen Y</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Ciombor K</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K</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Anal Carcinoma, Version 2.2018, NCCN Clinical Practice Guidelines in Oncology.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Journal of the National Comprehensive Cancer Network.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18</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16</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7</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852</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871</w:t>
      </w:r>
      <w:r w:rsidRPr="005E463D">
        <w:rPr>
          <w:rFonts w:ascii="Times New Roman" w:hAnsi="Times New Roman" w:cs="Times New Roman"/>
          <w:sz w:val="28"/>
          <w:szCs w:val="28"/>
          <w:lang w:val="kk-KZ"/>
          <w14:ligatures w14:val="standardContextual"/>
        </w:rPr>
        <w:t>.</w:t>
      </w:r>
    </w:p>
    <w:p w14:paraId="44374FF2"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186 Benson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B</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Venook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P</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Al-Hawary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Cederquist L</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Chen Y</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Ciombor K</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K</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Rectal Cancer, Version 2.2018, NCCN Clinical Practice Guidelines in Oncology.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Journal of the National Comprehensive Cancer Network.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18</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16</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7</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874</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901</w:t>
      </w:r>
      <w:r w:rsidRPr="005E463D">
        <w:rPr>
          <w:rFonts w:ascii="Times New Roman" w:hAnsi="Times New Roman" w:cs="Times New Roman"/>
          <w:sz w:val="28"/>
          <w:szCs w:val="28"/>
          <w:lang w:val="kk-KZ"/>
          <w14:ligatures w14:val="standardContextual"/>
        </w:rPr>
        <w:t>.</w:t>
      </w:r>
    </w:p>
    <w:p w14:paraId="1902C212"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187 Provenzale D</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Ness 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Llor X</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Weiss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Abbadessa B</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Cooper G</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NCCN Guidelines Insights: Colorectal Cancer Screening, Version 2.2020.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Journal of the National Comprehensive Cancer Network.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20</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18</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10</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1312</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1320</w:t>
      </w:r>
      <w:r w:rsidRPr="005E463D">
        <w:rPr>
          <w:rFonts w:ascii="Times New Roman" w:hAnsi="Times New Roman" w:cs="Times New Roman"/>
          <w:sz w:val="28"/>
          <w:szCs w:val="28"/>
          <w:lang w:val="kk-KZ"/>
          <w14:ligatures w14:val="standardContextual"/>
        </w:rPr>
        <w:t>.</w:t>
      </w:r>
    </w:p>
    <w:p w14:paraId="19DBE723"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188 Steele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Chang G</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Hendren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Weiser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Irani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Buie W</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D</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Practice Guideline for the Surveillance of Patients After Curative Treatment of Colon and Rectal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Diseases of the Colon and Rectum.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15</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58</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8</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713</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725</w:t>
      </w:r>
      <w:r w:rsidRPr="005E463D">
        <w:rPr>
          <w:rFonts w:ascii="Times New Roman" w:hAnsi="Times New Roman" w:cs="Times New Roman"/>
          <w:sz w:val="28"/>
          <w:szCs w:val="28"/>
          <w:lang w:val="kk-KZ"/>
          <w14:ligatures w14:val="standardContextual"/>
        </w:rPr>
        <w:t>.</w:t>
      </w:r>
    </w:p>
    <w:p w14:paraId="243EDED7"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189</w:t>
      </w:r>
      <w:r w:rsidRPr="005E463D">
        <w:rPr>
          <w:rFonts w:ascii="Times New Roman" w:hAnsi="Times New Roman" w:cs="Times New Roman"/>
          <w:sz w:val="28"/>
          <w:szCs w:val="28"/>
          <w:lang w:val="en-US"/>
          <w14:ligatures w14:val="standardContextual"/>
        </w:rPr>
        <w:t xml:space="preserve"> Woff E., Hendlisz A., Garcia C., Deleporte A., Delaunoit T., Maréchal R., et al. Monitoring metabolic response using FDG PET-CT during targeted therapy for metastatic colorectal cancer. // European Journal of Nuclear Medicine and Molecular Imaging. -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16</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43</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1792</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1801</w:t>
      </w:r>
      <w:r w:rsidRPr="005E463D">
        <w:rPr>
          <w:rFonts w:ascii="Times New Roman" w:hAnsi="Times New Roman" w:cs="Times New Roman"/>
          <w:sz w:val="28"/>
          <w:szCs w:val="28"/>
          <w:lang w:val="kk-KZ"/>
          <w14:ligatures w14:val="standardContextual"/>
        </w:rPr>
        <w:t>.</w:t>
      </w:r>
    </w:p>
    <w:p w14:paraId="1AF7AFA1"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190 Woff E</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Kehagias P</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Vandeputte 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Ameye L</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Guiot T</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Paesmans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Combining </w:t>
      </w:r>
      <w:r w:rsidRPr="005E463D">
        <w:rPr>
          <w:rFonts w:ascii="Times New Roman" w:hAnsi="Times New Roman" w:cs="Times New Roman"/>
          <w:sz w:val="28"/>
          <w:szCs w:val="28"/>
          <w:vertAlign w:val="superscript"/>
          <w:lang w:val="kk-KZ"/>
          <w14:ligatures w14:val="standardContextual"/>
        </w:rPr>
        <w:t>18</w:t>
      </w:r>
      <w:r w:rsidRPr="005E463D">
        <w:rPr>
          <w:rFonts w:ascii="Times New Roman" w:hAnsi="Times New Roman" w:cs="Times New Roman"/>
          <w:sz w:val="28"/>
          <w:szCs w:val="28"/>
          <w:lang w:val="kk-KZ"/>
          <w14:ligatures w14:val="standardContextual"/>
        </w:rPr>
        <w:t xml:space="preserve">F-FDG PET/CT-Based Metabolically Active Tumor Volume and Circulating Cell-Free DNA Significantly Improves Outcome Prediction in Chemorefractory Metastatic Colorectal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Journal of Nuclear Medicine.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19</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60</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10</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1366</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1372</w:t>
      </w:r>
      <w:r w:rsidRPr="005E463D">
        <w:rPr>
          <w:rFonts w:ascii="Times New Roman" w:hAnsi="Times New Roman" w:cs="Times New Roman"/>
          <w:sz w:val="28"/>
          <w:szCs w:val="28"/>
          <w:lang w:val="kk-KZ"/>
          <w14:ligatures w14:val="standardContextual"/>
        </w:rPr>
        <w:t>.</w:t>
      </w:r>
    </w:p>
    <w:p w14:paraId="2B197EF1" w14:textId="7EE6DA1A"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191 Wen W</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Xuan D</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Hu Y</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Li X</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Liu L</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Xu D. Prognostic value of maximum standard uptake value, metabolic tumor volume, and total lesion glycolysis of positron emission tomography/computed tomography in patients with breast cancer: A systematic review and meta-analysis.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PLoS One.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19</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14</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12</w:t>
      </w:r>
      <w:r w:rsidRPr="005E463D">
        <w:rPr>
          <w:rFonts w:ascii="Times New Roman" w:hAnsi="Times New Roman" w:cs="Times New Roman"/>
          <w:sz w:val="28"/>
          <w:szCs w:val="28"/>
          <w:lang w:val="kk-KZ"/>
          <w14:ligatures w14:val="standardContextual"/>
        </w:rPr>
        <w:t>. – e0225959</w:t>
      </w:r>
      <w:r w:rsidR="00610F69">
        <w:rPr>
          <w:rFonts w:ascii="Times New Roman" w:hAnsi="Times New Roman" w:cs="Times New Roman"/>
          <w:sz w:val="28"/>
          <w:szCs w:val="28"/>
          <w:lang w:val="en-US"/>
          <w14:ligatures w14:val="standardContextual"/>
        </w:rPr>
        <w:t xml:space="preserve"> p</w:t>
      </w:r>
      <w:r w:rsidRPr="005E463D">
        <w:rPr>
          <w:rFonts w:ascii="Times New Roman" w:hAnsi="Times New Roman" w:cs="Times New Roman"/>
          <w:sz w:val="28"/>
          <w:szCs w:val="28"/>
          <w:lang w:val="kk-KZ"/>
          <w14:ligatures w14:val="standardContextual"/>
        </w:rPr>
        <w:t>.</w:t>
      </w:r>
    </w:p>
    <w:p w14:paraId="0C27BA06"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192</w:t>
      </w:r>
      <w:r w:rsidRPr="005E463D">
        <w:rPr>
          <w:rFonts w:ascii="Times New Roman" w:hAnsi="Times New Roman" w:cs="Times New Roman"/>
          <w:sz w:val="28"/>
          <w:szCs w:val="28"/>
          <w:lang w:val="en-US"/>
          <w14:ligatures w14:val="standardContextual"/>
        </w:rPr>
        <w:t xml:space="preserve"> Berger A.K., Lücke S., Abel U., Haag G.M., Grüllich C., Stange A., et al. Early metabolic response in sequential FDG-PET/CT under cetuximab is a predictive marker for clinical response in first-line </w:t>
      </w:r>
      <w:r w:rsidRPr="005E463D">
        <w:rPr>
          <w:rFonts w:ascii="Times New Roman" w:hAnsi="Times New Roman" w:cs="Times New Roman"/>
          <w:sz w:val="28"/>
          <w:szCs w:val="28"/>
          <w:lang w:val="kk-KZ"/>
          <w14:ligatures w14:val="standardContextual"/>
        </w:rPr>
        <w:t xml:space="preserve">metastatic colorectal cancer patients: results of the phase II REMOTUX trial.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British Journal of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18</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119</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2</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170</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175</w:t>
      </w:r>
      <w:r w:rsidRPr="005E463D">
        <w:rPr>
          <w:rFonts w:ascii="Times New Roman" w:hAnsi="Times New Roman" w:cs="Times New Roman"/>
          <w:sz w:val="28"/>
          <w:szCs w:val="28"/>
          <w:lang w:val="kk-KZ"/>
          <w14:ligatures w14:val="standardContextual"/>
        </w:rPr>
        <w:t>.</w:t>
      </w:r>
    </w:p>
    <w:p w14:paraId="6B181CD1"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193 Mayoral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Fernandez-Martinez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Vidal L</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Fuster D</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Aya F</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Pavia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Prognostic value of (18)F-FDG PET/CT volumetric parameters in recurrent epithelial ovarian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Revista Espanola De Medicina Nuclear E Imagen Molecular.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16</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35</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2</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88</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95</w:t>
      </w:r>
      <w:r w:rsidRPr="005E463D">
        <w:rPr>
          <w:rFonts w:ascii="Times New Roman" w:hAnsi="Times New Roman" w:cs="Times New Roman"/>
          <w:sz w:val="28"/>
          <w:szCs w:val="28"/>
          <w:lang w:val="kk-KZ"/>
          <w14:ligatures w14:val="standardContextual"/>
        </w:rPr>
        <w:t>.</w:t>
      </w:r>
    </w:p>
    <w:p w14:paraId="17167750" w14:textId="550B76D0"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194 Xi Y</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Xu P. Global colorectal cancer burden in 2020 and projections to 2040.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Translational Oncology.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21</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14</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10</w:t>
      </w:r>
      <w:r w:rsidRPr="005E463D">
        <w:rPr>
          <w:rFonts w:ascii="Times New Roman" w:hAnsi="Times New Roman" w:cs="Times New Roman"/>
          <w:sz w:val="28"/>
          <w:szCs w:val="28"/>
          <w:lang w:val="kk-KZ"/>
          <w14:ligatures w14:val="standardContextual"/>
        </w:rPr>
        <w:t>. – 101174</w:t>
      </w:r>
      <w:r w:rsidR="00610F69">
        <w:rPr>
          <w:rFonts w:ascii="Times New Roman" w:hAnsi="Times New Roman" w:cs="Times New Roman"/>
          <w:sz w:val="28"/>
          <w:szCs w:val="28"/>
          <w:lang w:val="en-US"/>
          <w14:ligatures w14:val="standardContextual"/>
        </w:rPr>
        <w:t xml:space="preserve"> p</w:t>
      </w:r>
      <w:r w:rsidRPr="005E463D">
        <w:rPr>
          <w:rFonts w:ascii="Times New Roman" w:hAnsi="Times New Roman" w:cs="Times New Roman"/>
          <w:sz w:val="28"/>
          <w:szCs w:val="28"/>
          <w:lang w:val="kk-KZ"/>
          <w14:ligatures w14:val="standardContextual"/>
        </w:rPr>
        <w:t>.</w:t>
      </w:r>
    </w:p>
    <w:p w14:paraId="53EBF56E"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lastRenderedPageBreak/>
        <w:t>195</w:t>
      </w:r>
      <w:r w:rsidRPr="005E463D">
        <w:rPr>
          <w:rFonts w:ascii="Times New Roman" w:hAnsi="Times New Roman" w:cs="Times New Roman"/>
          <w:sz w:val="28"/>
          <w:szCs w:val="28"/>
          <w:lang w:val="en-US"/>
          <w14:ligatures w14:val="standardContextual"/>
        </w:rPr>
        <w:t xml:space="preserve"> Risum S., Loft A., Høgdall C., Berthelsen A.K., Høgdall E., Lundvall L., et al. Standardized FDG uptake as a prognostic variable and as a predictor of incomplete cytoreduction in primary advanced ovarian cancer. // Acta Oncologica. -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11</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50</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3</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415</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419</w:t>
      </w:r>
      <w:r w:rsidRPr="005E463D">
        <w:rPr>
          <w:rFonts w:ascii="Times New Roman" w:hAnsi="Times New Roman" w:cs="Times New Roman"/>
          <w:sz w:val="28"/>
          <w:szCs w:val="28"/>
          <w:lang w:val="kk-KZ"/>
          <w14:ligatures w14:val="standardContextual"/>
        </w:rPr>
        <w:t>.</w:t>
      </w:r>
    </w:p>
    <w:p w14:paraId="1E334DBC"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196 Limei Z</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Yong 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Yan X</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Shuai T</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Jiangyan X</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Zhiqing L. Accuracy of positron emission tomography/computed tomography in the diagnosis and restaging for recurrent ovarian cancer: a meta-analysis.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International Journal of Gynecological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13</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23</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4</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598</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607</w:t>
      </w:r>
      <w:r w:rsidRPr="005E463D">
        <w:rPr>
          <w:rFonts w:ascii="Times New Roman" w:hAnsi="Times New Roman" w:cs="Times New Roman"/>
          <w:sz w:val="28"/>
          <w:szCs w:val="28"/>
          <w:lang w:val="kk-KZ"/>
          <w14:ligatures w14:val="standardContextual"/>
        </w:rPr>
        <w:t>.</w:t>
      </w:r>
    </w:p>
    <w:p w14:paraId="3139F7CB"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197 Fruscio R</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Sina F</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Dolci 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Signorelli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Crivellaro 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Dell’Anna T</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Preoperative </w:t>
      </w:r>
      <w:r w:rsidRPr="00407D16">
        <w:rPr>
          <w:rFonts w:ascii="Times New Roman" w:hAnsi="Times New Roman" w:cs="Times New Roman"/>
          <w:sz w:val="28"/>
          <w:szCs w:val="28"/>
          <w:vertAlign w:val="superscript"/>
          <w:lang w:val="kk-KZ"/>
          <w14:ligatures w14:val="standardContextual"/>
        </w:rPr>
        <w:t>18</w:t>
      </w:r>
      <w:r w:rsidRPr="005E463D">
        <w:rPr>
          <w:rFonts w:ascii="Times New Roman" w:hAnsi="Times New Roman" w:cs="Times New Roman"/>
          <w:sz w:val="28"/>
          <w:szCs w:val="28"/>
          <w:lang w:val="kk-KZ"/>
          <w14:ligatures w14:val="standardContextual"/>
        </w:rPr>
        <w:t xml:space="preserve">F-FDG PET/CT in the management of advanced epithelial ovarian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Gynecologic Oncology.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13</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131</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3</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689</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693</w:t>
      </w:r>
      <w:r w:rsidRPr="005E463D">
        <w:rPr>
          <w:rFonts w:ascii="Times New Roman" w:hAnsi="Times New Roman" w:cs="Times New Roman"/>
          <w:sz w:val="28"/>
          <w:szCs w:val="28"/>
          <w:lang w:val="kk-KZ"/>
          <w14:ligatures w14:val="standardContextual"/>
        </w:rPr>
        <w:t>.</w:t>
      </w:r>
    </w:p>
    <w:p w14:paraId="17E40010"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198 Konishi 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Takehara K</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Kojima A</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Okame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Yamamoto Y</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Shiroyama Y</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Maximum standardized uptake value of fluorodeoxyglucose positron emission tomography/computed tomography is a prognostic factor in ovarian clear cell adenocarcinoma.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International Journal of Gynecological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14</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24</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7</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1190</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1194</w:t>
      </w:r>
    </w:p>
    <w:p w14:paraId="20E32D12"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199 Kim 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Y</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Jeong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Y</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Chong G</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O</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Son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Jung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Kim D</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Quantitative metabolic parameters measured on F-18 FDG PET/CT predict survival after relapse in patients with relapsed epithelial ovarian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Gynecologic Oncology.</w:t>
      </w:r>
      <w:r w:rsidRPr="005E463D">
        <w:rPr>
          <w:rFonts w:ascii="Times New Roman" w:hAnsi="Times New Roman" w:cs="Times New Roman"/>
          <w:sz w:val="28"/>
          <w:szCs w:val="28"/>
          <w:lang w:val="en-US"/>
          <w14:ligatures w14:val="standardContextual"/>
        </w:rPr>
        <w:t xml:space="preserve"> -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15</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136</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3</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498</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504</w:t>
      </w:r>
      <w:r w:rsidRPr="005E463D">
        <w:rPr>
          <w:rFonts w:ascii="Times New Roman" w:hAnsi="Times New Roman" w:cs="Times New Roman"/>
          <w:sz w:val="28"/>
          <w:szCs w:val="28"/>
          <w:lang w:val="kk-KZ"/>
          <w14:ligatures w14:val="standardContextual"/>
        </w:rPr>
        <w:t>.</w:t>
      </w:r>
    </w:p>
    <w:p w14:paraId="4644DB6A"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200 Chong G.Oh</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Jeong S.Y., Lee Y.H., Lee H.J., Lee S.W., Han H.S., et al. The ability of whole-body SUVmax in F-18 FDG PET/CT to predict suboptimal cytoreduction during primary debulking surgery for advanced ovarian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Journal of Ovarian Research.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19</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12</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12</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1-8</w:t>
      </w:r>
      <w:r w:rsidRPr="005E463D">
        <w:rPr>
          <w:rFonts w:ascii="Times New Roman" w:hAnsi="Times New Roman" w:cs="Times New Roman"/>
          <w:sz w:val="28"/>
          <w:szCs w:val="28"/>
          <w:lang w:val="kk-KZ"/>
          <w14:ligatures w14:val="standardContextual"/>
        </w:rPr>
        <w:t>.</w:t>
      </w:r>
    </w:p>
    <w:p w14:paraId="5AA23D1C" w14:textId="024C2D2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201</w:t>
      </w:r>
      <w:r w:rsidRPr="005E463D">
        <w:rPr>
          <w:rFonts w:ascii="Times New Roman" w:hAnsi="Times New Roman" w:cs="Times New Roman"/>
          <w:sz w:val="28"/>
          <w:szCs w:val="28"/>
          <w:lang w:val="en-US"/>
          <w14:ligatures w14:val="standardContextual"/>
        </w:rPr>
        <w:t xml:space="preserve"> Ozis S.E., Soydal C., Akyol C., Can N., Kucuk O.N., Yagcı C., et al. The role of </w:t>
      </w:r>
      <w:r w:rsidRPr="00407D16">
        <w:rPr>
          <w:rFonts w:ascii="Times New Roman" w:hAnsi="Times New Roman" w:cs="Times New Roman"/>
          <w:sz w:val="28"/>
          <w:szCs w:val="28"/>
          <w:vertAlign w:val="superscript"/>
          <w:lang w:val="en-US"/>
          <w14:ligatures w14:val="standardContextual"/>
        </w:rPr>
        <w:t>18</w:t>
      </w:r>
      <w:r w:rsidRPr="005E463D">
        <w:rPr>
          <w:rFonts w:ascii="Times New Roman" w:hAnsi="Times New Roman" w:cs="Times New Roman"/>
          <w:sz w:val="28"/>
          <w:szCs w:val="28"/>
          <w:lang w:val="en-US"/>
          <w14:ligatures w14:val="standardContextual"/>
        </w:rPr>
        <w:t xml:space="preserve">F-fluorodeoxyglucose positron emission tomography/computed tomography in the primary staging of rectal cancer. // World Journal of Surgical Oncology. -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14</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12</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w:t>
      </w:r>
      <w:r w:rsidRPr="005E463D">
        <w:rPr>
          <w:rFonts w:ascii="Times New Roman" w:hAnsi="Times New Roman" w:cs="Times New Roman"/>
          <w:sz w:val="28"/>
          <w:szCs w:val="28"/>
          <w:lang w:val="kk-KZ"/>
          <w14:ligatures w14:val="standardContextual"/>
        </w:rPr>
        <w:t xml:space="preserve">. – </w:t>
      </w:r>
      <w:r w:rsidRPr="005E463D">
        <w:rPr>
          <w:rFonts w:ascii="Times New Roman" w:hAnsi="Times New Roman" w:cs="Times New Roman"/>
          <w:sz w:val="28"/>
          <w:szCs w:val="28"/>
          <w:lang w:val="en-US"/>
          <w14:ligatures w14:val="standardContextual"/>
        </w:rPr>
        <w:t>26</w:t>
      </w:r>
      <w:r w:rsidR="00610F69">
        <w:rPr>
          <w:rFonts w:ascii="Times New Roman" w:hAnsi="Times New Roman" w:cs="Times New Roman"/>
          <w:sz w:val="28"/>
          <w:szCs w:val="28"/>
          <w:lang w:val="en-US"/>
          <w14:ligatures w14:val="standardContextual"/>
        </w:rPr>
        <w:t xml:space="preserve"> p</w:t>
      </w:r>
      <w:r w:rsidRPr="005E463D">
        <w:rPr>
          <w:rFonts w:ascii="Times New Roman" w:hAnsi="Times New Roman" w:cs="Times New Roman"/>
          <w:sz w:val="28"/>
          <w:szCs w:val="28"/>
          <w:lang w:val="kk-KZ"/>
          <w14:ligatures w14:val="standardContextual"/>
        </w:rPr>
        <w:t>.</w:t>
      </w:r>
    </w:p>
    <w:p w14:paraId="1D0F3F94"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202 Ogawa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Itabashi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Kondo C</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Momose M</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Sakai S</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Kameoka S. Prognostic Value of Total Lesion Glycolysis Measured by </w:t>
      </w:r>
      <w:r w:rsidRPr="00407D16">
        <w:rPr>
          <w:rFonts w:ascii="Times New Roman" w:hAnsi="Times New Roman" w:cs="Times New Roman"/>
          <w:sz w:val="28"/>
          <w:szCs w:val="28"/>
          <w:vertAlign w:val="superscript"/>
          <w:lang w:val="kk-KZ"/>
          <w14:ligatures w14:val="standardContextual"/>
        </w:rPr>
        <w:t>18</w:t>
      </w:r>
      <w:r w:rsidRPr="005E463D">
        <w:rPr>
          <w:rFonts w:ascii="Times New Roman" w:hAnsi="Times New Roman" w:cs="Times New Roman"/>
          <w:sz w:val="28"/>
          <w:szCs w:val="28"/>
          <w:lang w:val="kk-KZ"/>
          <w14:ligatures w14:val="standardContextual"/>
        </w:rPr>
        <w:t xml:space="preserve">F-FDG-PET/CT in Patients with Colorectal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Anticancer Research.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15</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35</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6</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3495</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3500</w:t>
      </w:r>
      <w:r w:rsidRPr="005E463D">
        <w:rPr>
          <w:rFonts w:ascii="Times New Roman" w:hAnsi="Times New Roman" w:cs="Times New Roman"/>
          <w:sz w:val="28"/>
          <w:szCs w:val="28"/>
          <w:lang w:val="kk-KZ"/>
          <w14:ligatures w14:val="standardContextual"/>
        </w:rPr>
        <w:t>.</w:t>
      </w:r>
    </w:p>
    <w:p w14:paraId="6D06D386" w14:textId="14D4516E"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203 Kim S.H., Song B.I., Kim B.W., Kim H.W., Won K.S., Bae S.U., et al. Predictive Value of [</w:t>
      </w:r>
      <w:r w:rsidRPr="00407D16">
        <w:rPr>
          <w:rFonts w:ascii="Times New Roman" w:hAnsi="Times New Roman" w:cs="Times New Roman"/>
          <w:sz w:val="28"/>
          <w:szCs w:val="28"/>
          <w:vertAlign w:val="superscript"/>
          <w:lang w:val="kk-KZ"/>
          <w14:ligatures w14:val="standardContextual"/>
        </w:rPr>
        <w:t>18</w:t>
      </w:r>
      <w:r w:rsidRPr="005E463D">
        <w:rPr>
          <w:rFonts w:ascii="Times New Roman" w:hAnsi="Times New Roman" w:cs="Times New Roman"/>
          <w:sz w:val="28"/>
          <w:szCs w:val="28"/>
          <w:lang w:val="kk-KZ"/>
          <w14:ligatures w14:val="standardContextual"/>
        </w:rPr>
        <w:t xml:space="preserve">F]FDG PET/CT for Lymph Node Metastasis in Rectal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Sci</w:t>
      </w:r>
      <w:r w:rsidRPr="005E463D">
        <w:rPr>
          <w:rFonts w:ascii="Times New Roman" w:hAnsi="Times New Roman" w:cs="Times New Roman"/>
          <w:sz w:val="28"/>
          <w:szCs w:val="28"/>
          <w:lang w:val="en-US"/>
          <w14:ligatures w14:val="standardContextual"/>
        </w:rPr>
        <w:t>entific</w:t>
      </w:r>
      <w:r w:rsidRPr="005E463D">
        <w:rPr>
          <w:rFonts w:ascii="Times New Roman" w:hAnsi="Times New Roman" w:cs="Times New Roman"/>
          <w:sz w:val="28"/>
          <w:szCs w:val="28"/>
          <w:lang w:val="kk-KZ"/>
          <w14:ligatures w14:val="standardContextual"/>
        </w:rPr>
        <w:t xml:space="preserve"> Rep</w:t>
      </w:r>
      <w:r w:rsidRPr="005E463D">
        <w:rPr>
          <w:rFonts w:ascii="Times New Roman" w:hAnsi="Times New Roman" w:cs="Times New Roman"/>
          <w:sz w:val="28"/>
          <w:szCs w:val="28"/>
          <w:lang w:val="en-US"/>
          <w14:ligatures w14:val="standardContextual"/>
        </w:rPr>
        <w:t>orts</w:t>
      </w:r>
      <w:r w:rsidRPr="005E463D">
        <w:rPr>
          <w:rFonts w:ascii="Times New Roman" w:hAnsi="Times New Roman" w:cs="Times New Roman"/>
          <w:sz w:val="28"/>
          <w:szCs w:val="28"/>
          <w:lang w:val="kk-KZ"/>
          <w14:ligatures w14:val="standardContextual"/>
        </w:rPr>
        <w:t xml:space="preserve">.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19</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9</w:t>
      </w:r>
      <w:r w:rsidRPr="005E463D">
        <w:rPr>
          <w:rFonts w:ascii="Times New Roman" w:hAnsi="Times New Roman" w:cs="Times New Roman"/>
          <w:sz w:val="28"/>
          <w:szCs w:val="28"/>
          <w:lang w:val="kk-KZ"/>
          <w14:ligatures w14:val="standardContextual"/>
        </w:rPr>
        <w:t xml:space="preserve">. – </w:t>
      </w:r>
      <w:r w:rsidRPr="005E463D">
        <w:rPr>
          <w:rFonts w:ascii="Times New Roman" w:hAnsi="Times New Roman" w:cs="Times New Roman"/>
          <w:sz w:val="28"/>
          <w:szCs w:val="28"/>
          <w:lang w:val="en-US"/>
          <w14:ligatures w14:val="standardContextual"/>
        </w:rPr>
        <w:t>4979</w:t>
      </w:r>
      <w:r w:rsidR="00610F69">
        <w:rPr>
          <w:rFonts w:ascii="Times New Roman" w:hAnsi="Times New Roman" w:cs="Times New Roman"/>
          <w:sz w:val="28"/>
          <w:szCs w:val="28"/>
          <w:lang w:val="en-US"/>
          <w14:ligatures w14:val="standardContextual"/>
        </w:rPr>
        <w:t xml:space="preserve"> p</w:t>
      </w:r>
      <w:r w:rsidRPr="005E463D">
        <w:rPr>
          <w:rFonts w:ascii="Times New Roman" w:hAnsi="Times New Roman" w:cs="Times New Roman"/>
          <w:sz w:val="28"/>
          <w:szCs w:val="28"/>
          <w:lang w:val="kk-KZ"/>
          <w14:ligatures w14:val="standardContextual"/>
        </w:rPr>
        <w:t>.</w:t>
      </w:r>
    </w:p>
    <w:p w14:paraId="39EDB5D0" w14:textId="258568E1"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204 Shi D</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Cai G</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Peng J</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Li D</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Li X</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Xu Y</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 et al. The preoperative SUVmax for </w:t>
      </w:r>
      <w:r w:rsidRPr="005E463D">
        <w:rPr>
          <w:rFonts w:ascii="Times New Roman" w:hAnsi="Times New Roman" w:cs="Times New Roman"/>
          <w:sz w:val="28"/>
          <w:szCs w:val="28"/>
          <w:vertAlign w:val="superscript"/>
          <w:lang w:val="kk-KZ"/>
          <w14:ligatures w14:val="standardContextual"/>
        </w:rPr>
        <w:t>18</w:t>
      </w:r>
      <w:r w:rsidRPr="005E463D">
        <w:rPr>
          <w:rFonts w:ascii="Times New Roman" w:hAnsi="Times New Roman" w:cs="Times New Roman"/>
          <w:sz w:val="28"/>
          <w:szCs w:val="28"/>
          <w:lang w:val="kk-KZ"/>
          <w14:ligatures w14:val="standardContextual"/>
        </w:rPr>
        <w:t xml:space="preserve">F-FDG uptake predicts survival in patients with colorectal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 xml:space="preserve">BMC Cancer. </w:t>
      </w:r>
      <w:r w:rsidRPr="005E463D">
        <w:rPr>
          <w:rFonts w:ascii="Times New Roman" w:hAnsi="Times New Roman" w:cs="Times New Roman"/>
          <w:sz w:val="28"/>
          <w:szCs w:val="28"/>
          <w:lang w:val="en-US"/>
          <w14:ligatures w14:val="standardContextual"/>
        </w:rPr>
        <w:t xml:space="preserve">-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15</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15</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w:t>
      </w:r>
      <w:r w:rsidRPr="005E463D">
        <w:rPr>
          <w:rFonts w:ascii="Times New Roman" w:hAnsi="Times New Roman" w:cs="Times New Roman"/>
          <w:sz w:val="28"/>
          <w:szCs w:val="28"/>
          <w:lang w:val="kk-KZ"/>
          <w14:ligatures w14:val="standardContextual"/>
        </w:rPr>
        <w:t xml:space="preserve">. – </w:t>
      </w:r>
      <w:r w:rsidRPr="005E463D">
        <w:rPr>
          <w:rFonts w:ascii="Times New Roman" w:hAnsi="Times New Roman" w:cs="Times New Roman"/>
          <w:sz w:val="28"/>
          <w:szCs w:val="28"/>
          <w:lang w:val="en-US"/>
          <w14:ligatures w14:val="standardContextual"/>
        </w:rPr>
        <w:t>991</w:t>
      </w:r>
      <w:r w:rsidR="00610F69">
        <w:rPr>
          <w:rFonts w:ascii="Times New Roman" w:hAnsi="Times New Roman" w:cs="Times New Roman"/>
          <w:sz w:val="28"/>
          <w:szCs w:val="28"/>
          <w:lang w:val="en-US"/>
          <w14:ligatures w14:val="standardContextual"/>
        </w:rPr>
        <w:t xml:space="preserve"> p</w:t>
      </w:r>
      <w:r w:rsidRPr="005E463D">
        <w:rPr>
          <w:rFonts w:ascii="Times New Roman" w:hAnsi="Times New Roman" w:cs="Times New Roman"/>
          <w:sz w:val="28"/>
          <w:szCs w:val="28"/>
          <w:lang w:val="kk-KZ"/>
          <w14:ligatures w14:val="standardContextual"/>
        </w:rPr>
        <w:t>.</w:t>
      </w:r>
    </w:p>
    <w:p w14:paraId="6F64C965" w14:textId="77777777" w:rsidR="003131C2" w:rsidRPr="005E463D" w:rsidRDefault="003131C2" w:rsidP="003131C2">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5E463D">
        <w:rPr>
          <w:rFonts w:ascii="Times New Roman" w:hAnsi="Times New Roman" w:cs="Times New Roman"/>
          <w:sz w:val="28"/>
          <w:szCs w:val="28"/>
          <w:lang w:val="kk-KZ"/>
          <w14:ligatures w14:val="standardContextual"/>
        </w:rPr>
        <w:t xml:space="preserve">205 Sokolović E., Cerić T., Cerić Š., Bešlija S., Vegar-Zubović S., Bešlić N., et al. </w:t>
      </w:r>
      <w:r w:rsidRPr="005E463D">
        <w:rPr>
          <w:rFonts w:ascii="Times New Roman" w:hAnsi="Times New Roman" w:cs="Times New Roman"/>
          <w:sz w:val="28"/>
          <w:szCs w:val="28"/>
          <w:lang w:val="en-US"/>
          <w14:ligatures w14:val="standardContextual"/>
        </w:rPr>
        <w:t xml:space="preserve">The Prognostic Value of SUVmax of </w:t>
      </w:r>
      <w:r w:rsidRPr="005E463D">
        <w:rPr>
          <w:rFonts w:ascii="Times New Roman" w:hAnsi="Times New Roman" w:cs="Times New Roman"/>
          <w:sz w:val="28"/>
          <w:szCs w:val="28"/>
          <w:vertAlign w:val="superscript"/>
          <w:lang w:val="en-US"/>
          <w14:ligatures w14:val="standardContextual"/>
        </w:rPr>
        <w:t>18</w:t>
      </w:r>
      <w:r w:rsidRPr="005E463D">
        <w:rPr>
          <w:rFonts w:ascii="Times New Roman" w:hAnsi="Times New Roman" w:cs="Times New Roman"/>
          <w:sz w:val="28"/>
          <w:szCs w:val="28"/>
          <w:lang w:val="en-US"/>
          <w14:ligatures w14:val="standardContextual"/>
        </w:rPr>
        <w:t xml:space="preserve">F-FDG PET/CT in Patients with Metastatic Colorectal Cancer. // Acta Medica Academica. -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20</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49</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1</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8</w:t>
      </w:r>
      <w:r w:rsidRPr="005E463D">
        <w:rPr>
          <w:rFonts w:ascii="Times New Roman" w:hAnsi="Times New Roman" w:cs="Times New Roman"/>
          <w:sz w:val="28"/>
          <w:szCs w:val="28"/>
          <w:lang w:val="kk-KZ"/>
          <w14:ligatures w14:val="standardContextual"/>
        </w:rPr>
        <w:t>.</w:t>
      </w:r>
    </w:p>
    <w:p w14:paraId="52151B57" w14:textId="7BA1E9E9" w:rsidR="003D41FA" w:rsidRPr="003131C2" w:rsidRDefault="003131C2" w:rsidP="003131C2">
      <w:pPr>
        <w:autoSpaceDE w:val="0"/>
        <w:autoSpaceDN w:val="0"/>
        <w:adjustRightInd w:val="0"/>
        <w:spacing w:after="0" w:line="240" w:lineRule="auto"/>
        <w:ind w:firstLine="709"/>
        <w:jc w:val="both"/>
        <w:rPr>
          <w:rFonts w:ascii="Times New Roman" w:eastAsia="Times New Roman" w:hAnsi="Times New Roman" w:cs="Times New Roman"/>
          <w:sz w:val="28"/>
          <w:szCs w:val="28"/>
          <w:lang w:val="en-US" w:eastAsia="ru-RU"/>
        </w:rPr>
      </w:pPr>
      <w:r w:rsidRPr="005E463D">
        <w:rPr>
          <w:rFonts w:ascii="Times New Roman" w:hAnsi="Times New Roman" w:cs="Times New Roman"/>
          <w:sz w:val="28"/>
          <w:szCs w:val="28"/>
          <w:lang w:val="kk-KZ"/>
          <w14:ligatures w14:val="standardContextual"/>
        </w:rPr>
        <w:t>206 Arslan E., Aksoy T., Gürsu R.U., Dursun N., Çakar E., Çermik T</w:t>
      </w:r>
      <w:r w:rsidRPr="005E463D">
        <w:rPr>
          <w:rFonts w:ascii="Times New Roman" w:hAnsi="Times New Roman" w:cs="Times New Roman"/>
          <w:sz w:val="28"/>
          <w:szCs w:val="28"/>
          <w:lang w:val="en-US"/>
          <w14:ligatures w14:val="standardContextual"/>
        </w:rPr>
        <w:t>.</w:t>
      </w:r>
      <w:r w:rsidRPr="005E463D">
        <w:rPr>
          <w:rFonts w:ascii="Times New Roman" w:hAnsi="Times New Roman" w:cs="Times New Roman"/>
          <w:sz w:val="28"/>
          <w:szCs w:val="28"/>
          <w:lang w:val="kk-KZ"/>
          <w14:ligatures w14:val="standardContextual"/>
        </w:rPr>
        <w:t xml:space="preserve">F. </w:t>
      </w:r>
      <w:r w:rsidRPr="005E463D">
        <w:rPr>
          <w:rFonts w:ascii="Times New Roman" w:hAnsi="Times New Roman" w:cs="Times New Roman"/>
          <w:sz w:val="28"/>
          <w:szCs w:val="28"/>
          <w:lang w:val="en-US"/>
          <w14:ligatures w14:val="standardContextual"/>
        </w:rPr>
        <w:t xml:space="preserve">The Prognostic Value of </w:t>
      </w:r>
      <w:r w:rsidRPr="005E463D">
        <w:rPr>
          <w:rFonts w:ascii="Times New Roman" w:hAnsi="Times New Roman" w:cs="Times New Roman"/>
          <w:sz w:val="28"/>
          <w:szCs w:val="28"/>
          <w:vertAlign w:val="superscript"/>
          <w:lang w:val="en-US"/>
          <w14:ligatures w14:val="standardContextual"/>
        </w:rPr>
        <w:t>18</w:t>
      </w:r>
      <w:r w:rsidRPr="005E463D">
        <w:rPr>
          <w:rFonts w:ascii="Times New Roman" w:hAnsi="Times New Roman" w:cs="Times New Roman"/>
          <w:sz w:val="28"/>
          <w:szCs w:val="28"/>
          <w:lang w:val="en-US"/>
          <w14:ligatures w14:val="standardContextual"/>
        </w:rPr>
        <w:t xml:space="preserve">F-FDG PET/CT and KRAS Mutation in Colorectal Cancers. // Molecular Imaging and Radionuclide Therapy. - </w:t>
      </w:r>
      <w:r w:rsidRPr="005E463D">
        <w:rPr>
          <w:rFonts w:ascii="Times New Roman" w:hAnsi="Times New Roman" w:cs="Times New Roman"/>
          <w:sz w:val="28"/>
          <w:szCs w:val="28"/>
          <w:lang w:val="kk-KZ"/>
          <w14:ligatures w14:val="standardContextual"/>
        </w:rPr>
        <w:t>20</w:t>
      </w:r>
      <w:r w:rsidRPr="005E463D">
        <w:rPr>
          <w:rFonts w:ascii="Times New Roman" w:hAnsi="Times New Roman" w:cs="Times New Roman"/>
          <w:sz w:val="28"/>
          <w:szCs w:val="28"/>
          <w:lang w:val="en-US"/>
          <w14:ligatures w14:val="standardContextual"/>
        </w:rPr>
        <w:t>20</w:t>
      </w:r>
      <w:r w:rsidRPr="005E463D">
        <w:rPr>
          <w:rFonts w:ascii="Times New Roman" w:hAnsi="Times New Roman" w:cs="Times New Roman"/>
          <w:sz w:val="28"/>
          <w:szCs w:val="28"/>
          <w:lang w:val="kk-KZ"/>
          <w14:ligatures w14:val="standardContextual"/>
        </w:rPr>
        <w:t xml:space="preserve">. - Vol. </w:t>
      </w:r>
      <w:r w:rsidRPr="005E463D">
        <w:rPr>
          <w:rFonts w:ascii="Times New Roman" w:hAnsi="Times New Roman" w:cs="Times New Roman"/>
          <w:sz w:val="28"/>
          <w:szCs w:val="28"/>
          <w:lang w:val="en-US"/>
          <w14:ligatures w14:val="standardContextual"/>
        </w:rPr>
        <w:t>29</w:t>
      </w:r>
      <w:r w:rsidRPr="005E463D">
        <w:rPr>
          <w:rFonts w:ascii="Times New Roman" w:hAnsi="Times New Roman" w:cs="Times New Roman"/>
          <w:sz w:val="28"/>
          <w:szCs w:val="28"/>
          <w:lang w:val="kk-KZ"/>
          <w14:ligatures w14:val="standardContextual"/>
        </w:rPr>
        <w:t>, №</w:t>
      </w:r>
      <w:r w:rsidRPr="005E463D">
        <w:rPr>
          <w:rFonts w:ascii="Times New Roman" w:hAnsi="Times New Roman" w:cs="Times New Roman"/>
          <w:sz w:val="28"/>
          <w:szCs w:val="28"/>
          <w:lang w:val="en-US"/>
          <w14:ligatures w14:val="standardContextual"/>
        </w:rPr>
        <w:t>1</w:t>
      </w:r>
      <w:r w:rsidRPr="005E463D">
        <w:rPr>
          <w:rFonts w:ascii="Times New Roman" w:hAnsi="Times New Roman" w:cs="Times New Roman"/>
          <w:sz w:val="28"/>
          <w:szCs w:val="28"/>
          <w:lang w:val="kk-KZ"/>
          <w14:ligatures w14:val="standardContextual"/>
        </w:rPr>
        <w:t xml:space="preserve">. – Р. </w:t>
      </w:r>
      <w:r w:rsidRPr="005E463D">
        <w:rPr>
          <w:rFonts w:ascii="Times New Roman" w:hAnsi="Times New Roman" w:cs="Times New Roman"/>
          <w:sz w:val="28"/>
          <w:szCs w:val="28"/>
          <w:lang w:val="en-US"/>
          <w14:ligatures w14:val="standardContextual"/>
        </w:rPr>
        <w:t>17</w:t>
      </w:r>
      <w:r w:rsidRPr="005E463D">
        <w:rPr>
          <w:rFonts w:ascii="Times New Roman" w:hAnsi="Times New Roman" w:cs="Times New Roman"/>
          <w:sz w:val="28"/>
          <w:szCs w:val="28"/>
          <w:lang w:val="kk-KZ"/>
          <w14:ligatures w14:val="standardContextual"/>
        </w:rPr>
        <w:t>–</w:t>
      </w:r>
      <w:r w:rsidRPr="005E463D">
        <w:rPr>
          <w:rFonts w:ascii="Times New Roman" w:hAnsi="Times New Roman" w:cs="Times New Roman"/>
          <w:sz w:val="28"/>
          <w:szCs w:val="28"/>
          <w:lang w:val="en-US"/>
          <w14:ligatures w14:val="standardContextual"/>
        </w:rPr>
        <w:t>20</w:t>
      </w:r>
      <w:r w:rsidRPr="005E463D">
        <w:rPr>
          <w:rFonts w:ascii="Times New Roman" w:hAnsi="Times New Roman" w:cs="Times New Roman"/>
          <w:sz w:val="28"/>
          <w:szCs w:val="28"/>
          <w:lang w:val="kk-KZ"/>
          <w14:ligatures w14:val="standardContextual"/>
        </w:rPr>
        <w:t>.</w:t>
      </w:r>
      <w:r w:rsidR="002E45A2" w:rsidRPr="00F6152F">
        <w:rPr>
          <w:rFonts w:ascii="Times New Roman" w:eastAsia="Times New Roman" w:hAnsi="Times New Roman" w:cs="Times New Roman"/>
          <w:sz w:val="28"/>
          <w:szCs w:val="28"/>
          <w:lang w:eastAsia="ru-RU"/>
        </w:rPr>
        <w:fldChar w:fldCharType="end"/>
      </w:r>
      <w:bookmarkEnd w:id="127"/>
      <w:r w:rsidR="003D41FA" w:rsidRPr="003131C2">
        <w:rPr>
          <w:rFonts w:ascii="Times New Roman" w:eastAsia="Times New Roman" w:hAnsi="Times New Roman" w:cs="Times New Roman"/>
          <w:sz w:val="28"/>
          <w:szCs w:val="28"/>
          <w:lang w:val="en-US" w:eastAsia="ru-RU"/>
        </w:rPr>
        <w:br w:type="page"/>
      </w:r>
    </w:p>
    <w:p w14:paraId="362AC544" w14:textId="4DE66EFC" w:rsidR="000F0776" w:rsidRPr="00A43B9C" w:rsidRDefault="000F0776" w:rsidP="00AE28CD">
      <w:pPr>
        <w:pStyle w:val="1"/>
        <w:spacing w:line="240" w:lineRule="auto"/>
        <w:rPr>
          <w:rFonts w:eastAsia="Times New Roman"/>
          <w:lang w:val="en-US" w:eastAsia="ru-RU"/>
        </w:rPr>
      </w:pPr>
      <w:bookmarkStart w:id="128" w:name="_Toc101861833"/>
      <w:bookmarkStart w:id="129" w:name="_Toc102937634"/>
      <w:r w:rsidRPr="00A43B9C">
        <w:rPr>
          <w:rFonts w:eastAsia="Times New Roman"/>
          <w:lang w:eastAsia="ru-RU"/>
        </w:rPr>
        <w:lastRenderedPageBreak/>
        <w:t>ПРИЛОЖЕНИ</w:t>
      </w:r>
      <w:bookmarkEnd w:id="128"/>
      <w:bookmarkEnd w:id="129"/>
      <w:r w:rsidR="006C79FC" w:rsidRPr="00A43B9C">
        <w:rPr>
          <w:rFonts w:eastAsia="Times New Roman"/>
          <w:lang w:val="en-US" w:eastAsia="ru-RU"/>
        </w:rPr>
        <w:t>E</w:t>
      </w:r>
      <w:r w:rsidR="006C79FC" w:rsidRPr="00A43B9C">
        <w:rPr>
          <w:rFonts w:eastAsia="Times New Roman"/>
          <w:lang w:eastAsia="ru-RU"/>
        </w:rPr>
        <w:t xml:space="preserve"> </w:t>
      </w:r>
      <w:r w:rsidR="006C79FC" w:rsidRPr="00A43B9C">
        <w:rPr>
          <w:rFonts w:eastAsia="Times New Roman"/>
          <w:lang w:val="en-US" w:eastAsia="ru-RU"/>
        </w:rPr>
        <w:t>A</w:t>
      </w:r>
    </w:p>
    <w:p w14:paraId="1C3C8CF2" w14:textId="77777777" w:rsidR="00AE28CD" w:rsidRPr="00A43B9C" w:rsidRDefault="00AE28CD" w:rsidP="00AE28CD">
      <w:pPr>
        <w:spacing w:after="0" w:line="240" w:lineRule="auto"/>
        <w:jc w:val="both"/>
        <w:rPr>
          <w:rFonts w:ascii="Times New Roman" w:hAnsi="Times New Roman" w:cs="Times New Roman"/>
          <w:sz w:val="28"/>
          <w:szCs w:val="28"/>
          <w:lang w:val="en-US" w:eastAsia="ru-RU"/>
        </w:rPr>
      </w:pPr>
    </w:p>
    <w:p w14:paraId="0A1CE8B6" w14:textId="5FB23D40" w:rsidR="006C79FC" w:rsidRPr="00A43B9C" w:rsidRDefault="0016616B" w:rsidP="00CA0D4F">
      <w:pPr>
        <w:spacing w:after="0" w:line="240" w:lineRule="auto"/>
        <w:jc w:val="center"/>
        <w:rPr>
          <w:rFonts w:ascii="Times New Roman" w:hAnsi="Times New Roman" w:cs="Times New Roman"/>
          <w:sz w:val="28"/>
          <w:szCs w:val="28"/>
        </w:rPr>
      </w:pPr>
      <w:r w:rsidRPr="00A43B9C">
        <w:rPr>
          <w:rFonts w:ascii="Times New Roman" w:hAnsi="Times New Roman" w:cs="Times New Roman"/>
          <w:noProof/>
          <w:color w:val="FF0000"/>
          <w:sz w:val="28"/>
          <w:szCs w:val="28"/>
        </w:rPr>
        <w:drawing>
          <wp:inline distT="0" distB="0" distL="0" distR="0" wp14:anchorId="3D6D3484" wp14:editId="041531A1">
            <wp:extent cx="5143500" cy="72009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1">
                      <a:extLst>
                        <a:ext uri="{28A0092B-C50C-407E-A947-70E740481C1C}">
                          <a14:useLocalDpi xmlns:a14="http://schemas.microsoft.com/office/drawing/2010/main" val="0"/>
                        </a:ext>
                      </a:extLst>
                    </a:blip>
                    <a:srcRect l="10141" t="6488" r="3209" b="5931"/>
                    <a:stretch/>
                  </pic:blipFill>
                  <pic:spPr bwMode="auto">
                    <a:xfrm>
                      <a:off x="0" y="0"/>
                      <a:ext cx="5143500" cy="7200900"/>
                    </a:xfrm>
                    <a:prstGeom prst="rect">
                      <a:avLst/>
                    </a:prstGeom>
                    <a:noFill/>
                    <a:ln>
                      <a:noFill/>
                    </a:ln>
                    <a:extLst>
                      <a:ext uri="{53640926-AAD7-44D8-BBD7-CCE9431645EC}">
                        <a14:shadowObscured xmlns:a14="http://schemas.microsoft.com/office/drawing/2010/main"/>
                      </a:ext>
                    </a:extLst>
                  </pic:spPr>
                </pic:pic>
              </a:graphicData>
            </a:graphic>
          </wp:inline>
        </w:drawing>
      </w:r>
    </w:p>
    <w:p w14:paraId="7A52DD04" w14:textId="4894ADAA" w:rsidR="006C79FC" w:rsidRPr="00A43B9C" w:rsidRDefault="00970B97" w:rsidP="006C79FC">
      <w:pPr>
        <w:spacing w:after="0" w:line="240" w:lineRule="auto"/>
        <w:rPr>
          <w:rFonts w:ascii="Times New Roman" w:hAnsi="Times New Roman" w:cs="Times New Roman"/>
          <w:sz w:val="28"/>
          <w:szCs w:val="28"/>
        </w:rPr>
      </w:pPr>
      <w:r w:rsidRPr="00A43B9C">
        <w:rPr>
          <w:rFonts w:ascii="Times New Roman" w:hAnsi="Times New Roman" w:cs="Times New Roman"/>
          <w:noProof/>
          <w:sz w:val="28"/>
          <w:szCs w:val="28"/>
        </w:rPr>
        <w:lastRenderedPageBreak/>
        <w:drawing>
          <wp:inline distT="0" distB="0" distL="0" distR="0" wp14:anchorId="1212620C" wp14:editId="49AB381E">
            <wp:extent cx="5937250" cy="8413750"/>
            <wp:effectExtent l="0" t="0" r="6350" b="635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5937250" cy="8413750"/>
                    </a:xfrm>
                    <a:prstGeom prst="rect">
                      <a:avLst/>
                    </a:prstGeom>
                    <a:noFill/>
                    <a:ln>
                      <a:noFill/>
                    </a:ln>
                  </pic:spPr>
                </pic:pic>
              </a:graphicData>
            </a:graphic>
          </wp:inline>
        </w:drawing>
      </w:r>
    </w:p>
    <w:p w14:paraId="62B252B0" w14:textId="53FCAA45" w:rsidR="006C79FC" w:rsidRPr="00A43B9C" w:rsidRDefault="00970B97" w:rsidP="006C79FC">
      <w:pPr>
        <w:spacing w:after="0" w:line="240" w:lineRule="auto"/>
        <w:rPr>
          <w:rFonts w:ascii="Times New Roman" w:hAnsi="Times New Roman" w:cs="Times New Roman"/>
          <w:color w:val="FF0000"/>
          <w:sz w:val="28"/>
          <w:szCs w:val="28"/>
        </w:rPr>
      </w:pPr>
      <w:r w:rsidRPr="00A43B9C">
        <w:rPr>
          <w:rFonts w:ascii="Times New Roman" w:hAnsi="Times New Roman" w:cs="Times New Roman"/>
          <w:noProof/>
          <w:color w:val="FF0000"/>
          <w:sz w:val="28"/>
          <w:szCs w:val="28"/>
        </w:rPr>
        <w:lastRenderedPageBreak/>
        <w:drawing>
          <wp:inline distT="0" distB="0" distL="0" distR="0" wp14:anchorId="22BA2D4D" wp14:editId="40353345">
            <wp:extent cx="5937250" cy="8350250"/>
            <wp:effectExtent l="0" t="0" r="635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5937250" cy="8350250"/>
                    </a:xfrm>
                    <a:prstGeom prst="rect">
                      <a:avLst/>
                    </a:prstGeom>
                    <a:noFill/>
                    <a:ln>
                      <a:noFill/>
                    </a:ln>
                  </pic:spPr>
                </pic:pic>
              </a:graphicData>
            </a:graphic>
          </wp:inline>
        </w:drawing>
      </w:r>
    </w:p>
    <w:p w14:paraId="3B3BAB44" w14:textId="4C283FFB" w:rsidR="006C79FC" w:rsidRDefault="006C79FC" w:rsidP="006C79FC">
      <w:pPr>
        <w:spacing w:after="0" w:line="240" w:lineRule="auto"/>
        <w:rPr>
          <w:rFonts w:ascii="Times New Roman" w:hAnsi="Times New Roman" w:cs="Times New Roman"/>
          <w:sz w:val="28"/>
          <w:szCs w:val="28"/>
        </w:rPr>
      </w:pPr>
    </w:p>
    <w:p w14:paraId="3EB44A92" w14:textId="4ED25575" w:rsidR="00643A0D" w:rsidRPr="00643A0D" w:rsidRDefault="00643A0D" w:rsidP="006C79FC">
      <w:pPr>
        <w:spacing w:after="0" w:line="240" w:lineRule="auto"/>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43A94F26" wp14:editId="0330D827">
            <wp:extent cx="5937250" cy="7683500"/>
            <wp:effectExtent l="0" t="0" r="635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5937250" cy="7683500"/>
                    </a:xfrm>
                    <a:prstGeom prst="rect">
                      <a:avLst/>
                    </a:prstGeom>
                    <a:noFill/>
                    <a:ln>
                      <a:noFill/>
                    </a:ln>
                  </pic:spPr>
                </pic:pic>
              </a:graphicData>
            </a:graphic>
          </wp:inline>
        </w:drawing>
      </w:r>
    </w:p>
    <w:p w14:paraId="7E4EB69E" w14:textId="3AEEEE3C" w:rsidR="006C79FC" w:rsidRPr="00643A0D" w:rsidRDefault="00643A0D" w:rsidP="006C79FC">
      <w:pPr>
        <w:spacing w:after="0" w:line="240" w:lineRule="auto"/>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02764CF3" wp14:editId="5A77A482">
            <wp:extent cx="5937250" cy="7683500"/>
            <wp:effectExtent l="0" t="0" r="635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5937250" cy="7683500"/>
                    </a:xfrm>
                    <a:prstGeom prst="rect">
                      <a:avLst/>
                    </a:prstGeom>
                    <a:noFill/>
                    <a:ln>
                      <a:noFill/>
                    </a:ln>
                  </pic:spPr>
                </pic:pic>
              </a:graphicData>
            </a:graphic>
          </wp:inline>
        </w:drawing>
      </w:r>
    </w:p>
    <w:p w14:paraId="13D5CD40" w14:textId="035B854D" w:rsidR="00174D09" w:rsidRPr="00643A0D" w:rsidRDefault="00174D09" w:rsidP="006C79FC">
      <w:pPr>
        <w:spacing w:after="0" w:line="240" w:lineRule="auto"/>
        <w:rPr>
          <w:rFonts w:ascii="Times New Roman" w:hAnsi="Times New Roman" w:cs="Times New Roman"/>
          <w:sz w:val="28"/>
          <w:szCs w:val="28"/>
        </w:rPr>
      </w:pPr>
      <w:r w:rsidRPr="00A43B9C">
        <w:rPr>
          <w:rFonts w:ascii="Times New Roman" w:hAnsi="Times New Roman" w:cs="Times New Roman"/>
          <w:color w:val="FF0000"/>
          <w:sz w:val="28"/>
          <w:szCs w:val="28"/>
        </w:rPr>
        <w:br w:type="page"/>
      </w:r>
    </w:p>
    <w:p w14:paraId="10E833E0" w14:textId="1ECEFBC2" w:rsidR="006C79FC" w:rsidRPr="00A43B9C" w:rsidRDefault="006C79FC" w:rsidP="00AE28CD">
      <w:pPr>
        <w:pStyle w:val="1"/>
        <w:spacing w:line="240" w:lineRule="auto"/>
        <w:rPr>
          <w:rFonts w:eastAsia="Times New Roman"/>
          <w:lang w:eastAsia="ru-RU"/>
        </w:rPr>
      </w:pPr>
      <w:r w:rsidRPr="00A43B9C">
        <w:rPr>
          <w:rFonts w:eastAsia="Times New Roman"/>
          <w:lang w:eastAsia="ru-RU"/>
        </w:rPr>
        <w:lastRenderedPageBreak/>
        <w:t>ПРИЛОЖЕНИ</w:t>
      </w:r>
      <w:r w:rsidRPr="00A43B9C">
        <w:rPr>
          <w:rFonts w:eastAsia="Times New Roman"/>
          <w:lang w:val="en-US" w:eastAsia="ru-RU"/>
        </w:rPr>
        <w:t>E</w:t>
      </w:r>
      <w:r w:rsidRPr="00A43B9C">
        <w:rPr>
          <w:rFonts w:eastAsia="Times New Roman"/>
          <w:lang w:eastAsia="ru-RU"/>
        </w:rPr>
        <w:t xml:space="preserve"> </w:t>
      </w:r>
      <w:r w:rsidR="00D84CA0" w:rsidRPr="00A43B9C">
        <w:rPr>
          <w:rFonts w:eastAsia="Times New Roman"/>
          <w:lang w:eastAsia="ru-RU"/>
        </w:rPr>
        <w:t>Б</w:t>
      </w:r>
    </w:p>
    <w:p w14:paraId="059D06F0" w14:textId="77777777" w:rsidR="00AE28CD" w:rsidRPr="00A43B9C" w:rsidRDefault="00AE28CD" w:rsidP="00AE28CD">
      <w:pPr>
        <w:spacing w:after="0" w:line="240" w:lineRule="auto"/>
        <w:jc w:val="both"/>
        <w:rPr>
          <w:rFonts w:ascii="Times New Roman" w:hAnsi="Times New Roman" w:cs="Times New Roman"/>
          <w:sz w:val="28"/>
          <w:szCs w:val="28"/>
          <w:lang w:eastAsia="ru-RU"/>
        </w:rPr>
      </w:pPr>
    </w:p>
    <w:p w14:paraId="1F3D9B97" w14:textId="0D07B417" w:rsidR="001A11F9" w:rsidRPr="00A43B9C" w:rsidRDefault="00FD338B" w:rsidP="00174D09">
      <w:pPr>
        <w:spacing w:after="0" w:line="240" w:lineRule="auto"/>
        <w:jc w:val="center"/>
        <w:rPr>
          <w:rFonts w:ascii="Times New Roman" w:hAnsi="Times New Roman" w:cs="Times New Roman"/>
          <w:b/>
          <w:bCs/>
          <w:sz w:val="28"/>
        </w:rPr>
      </w:pPr>
      <w:r>
        <w:rPr>
          <w:rFonts w:ascii="Times New Roman" w:hAnsi="Times New Roman" w:cs="Times New Roman"/>
          <w:b/>
          <w:bCs/>
          <w:sz w:val="28"/>
          <w:szCs w:val="28"/>
        </w:rPr>
        <w:t>Алгоритм</w:t>
      </w:r>
      <w:r w:rsidR="001A11F9">
        <w:rPr>
          <w:rFonts w:ascii="Times New Roman" w:hAnsi="Times New Roman" w:cs="Times New Roman"/>
          <w:b/>
          <w:bCs/>
          <w:sz w:val="28"/>
          <w:szCs w:val="28"/>
        </w:rPr>
        <w:t xml:space="preserve"> </w:t>
      </w:r>
      <w:r w:rsidR="001A11F9" w:rsidRPr="00C940C5">
        <w:rPr>
          <w:rFonts w:ascii="Times New Roman" w:hAnsi="Times New Roman" w:cs="Times New Roman"/>
          <w:b/>
          <w:bCs/>
          <w:sz w:val="28"/>
          <w:szCs w:val="28"/>
        </w:rPr>
        <w:t xml:space="preserve">применения </w:t>
      </w:r>
      <w:r w:rsidRPr="00FD338B">
        <w:rPr>
          <w:rFonts w:ascii="Times New Roman" w:hAnsi="Times New Roman" w:cs="Times New Roman"/>
          <w:b/>
          <w:bCs/>
          <w:sz w:val="28"/>
          <w:szCs w:val="28"/>
        </w:rPr>
        <w:t xml:space="preserve">прогноза метастазирования брюшины путем измерения уровня накопления </w:t>
      </w:r>
      <w:r w:rsidRPr="0058185A">
        <w:rPr>
          <w:rFonts w:ascii="Times New Roman" w:hAnsi="Times New Roman" w:cs="Times New Roman"/>
          <w:b/>
          <w:bCs/>
          <w:sz w:val="28"/>
          <w:szCs w:val="28"/>
          <w:vertAlign w:val="superscript"/>
        </w:rPr>
        <w:t>18</w:t>
      </w:r>
      <w:r w:rsidRPr="00FD338B">
        <w:rPr>
          <w:rFonts w:ascii="Times New Roman" w:hAnsi="Times New Roman" w:cs="Times New Roman"/>
          <w:b/>
          <w:bCs/>
          <w:sz w:val="28"/>
          <w:szCs w:val="28"/>
        </w:rPr>
        <w:t>F-FDG при ПЭТ/КТ</w:t>
      </w:r>
      <w:r w:rsidR="00051345">
        <w:rPr>
          <w:rFonts w:ascii="Times New Roman" w:hAnsi="Times New Roman" w:cs="Times New Roman"/>
          <w:b/>
          <w:bCs/>
          <w:sz w:val="28"/>
          <w:szCs w:val="28"/>
        </w:rPr>
        <w:t xml:space="preserve"> </w:t>
      </w:r>
      <w:r w:rsidRPr="00FD338B">
        <w:rPr>
          <w:rFonts w:ascii="Times New Roman" w:hAnsi="Times New Roman" w:cs="Times New Roman"/>
          <w:b/>
          <w:bCs/>
          <w:sz w:val="28"/>
          <w:szCs w:val="28"/>
        </w:rPr>
        <w:t>исследовании в висцеральной жировой ткани</w:t>
      </w:r>
    </w:p>
    <w:p w14:paraId="0E349804" w14:textId="0855C6B6" w:rsidR="00174D09" w:rsidRPr="00DC3C78" w:rsidRDefault="001A11F9" w:rsidP="00174D09">
      <w:pPr>
        <w:spacing w:after="0" w:line="240" w:lineRule="auto"/>
        <w:jc w:val="center"/>
        <w:rPr>
          <w:rFonts w:ascii="Times New Roman" w:hAnsi="Times New Roman" w:cs="Times New Roman"/>
          <w:sz w:val="24"/>
          <w:szCs w:val="24"/>
        </w:rPr>
      </w:pPr>
      <w:r>
        <w:rPr>
          <w:rFonts w:ascii="Times New Roman" w:hAnsi="Times New Roman" w:cs="Times New Roman"/>
          <w:noProof/>
          <w:color w:val="FF0000"/>
          <w:sz w:val="24"/>
          <w:szCs w:val="24"/>
        </w:rPr>
        <w:drawing>
          <wp:inline distT="0" distB="0" distL="0" distR="0" wp14:anchorId="169AA3C8" wp14:editId="7393CE14">
            <wp:extent cx="5930265" cy="3340735"/>
            <wp:effectExtent l="0" t="0" r="0" b="0"/>
            <wp:docPr id="18404618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930265" cy="3340735"/>
                    </a:xfrm>
                    <a:prstGeom prst="rect">
                      <a:avLst/>
                    </a:prstGeom>
                    <a:noFill/>
                    <a:ln>
                      <a:noFill/>
                    </a:ln>
                  </pic:spPr>
                </pic:pic>
              </a:graphicData>
            </a:graphic>
          </wp:inline>
        </w:drawing>
      </w:r>
    </w:p>
    <w:p w14:paraId="6169B05B" w14:textId="77777777" w:rsidR="00E15685" w:rsidRPr="00DC3C78" w:rsidRDefault="00E15685" w:rsidP="00174D09">
      <w:pPr>
        <w:spacing w:after="0" w:line="240" w:lineRule="auto"/>
        <w:jc w:val="center"/>
        <w:rPr>
          <w:rFonts w:ascii="Times New Roman" w:hAnsi="Times New Roman" w:cs="Times New Roman"/>
          <w:sz w:val="24"/>
          <w:szCs w:val="24"/>
        </w:rPr>
      </w:pPr>
    </w:p>
    <w:p w14:paraId="76CC0573" w14:textId="25B076BC" w:rsidR="00C84961" w:rsidRPr="00DC3C78" w:rsidRDefault="00C84961" w:rsidP="00C84961">
      <w:pPr>
        <w:spacing w:after="0" w:line="240" w:lineRule="auto"/>
        <w:rPr>
          <w:rFonts w:ascii="Times New Roman" w:hAnsi="Times New Roman" w:cs="Times New Roman"/>
          <w:sz w:val="28"/>
          <w:szCs w:val="28"/>
        </w:rPr>
      </w:pPr>
      <w:r w:rsidRPr="00DC3C78">
        <w:rPr>
          <w:rFonts w:ascii="Times New Roman" w:hAnsi="Times New Roman" w:cs="Times New Roman"/>
          <w:sz w:val="28"/>
          <w:szCs w:val="28"/>
        </w:rPr>
        <w:br w:type="page"/>
      </w:r>
    </w:p>
    <w:p w14:paraId="3563C6BB" w14:textId="5D4C410A" w:rsidR="00C84961" w:rsidRPr="00A43B9C" w:rsidRDefault="00C84961" w:rsidP="00AE28CD">
      <w:pPr>
        <w:pStyle w:val="1"/>
        <w:spacing w:line="240" w:lineRule="auto"/>
        <w:rPr>
          <w:rFonts w:eastAsia="Times New Roman"/>
          <w:lang w:eastAsia="ru-RU"/>
        </w:rPr>
      </w:pPr>
      <w:r w:rsidRPr="00A43B9C">
        <w:rPr>
          <w:rFonts w:eastAsia="Times New Roman"/>
          <w:lang w:eastAsia="ru-RU"/>
        </w:rPr>
        <w:lastRenderedPageBreak/>
        <w:t>ПРИЛОЖЕНИ</w:t>
      </w:r>
      <w:r w:rsidRPr="00A43B9C">
        <w:rPr>
          <w:rFonts w:eastAsia="Times New Roman"/>
          <w:lang w:val="en-US" w:eastAsia="ru-RU"/>
        </w:rPr>
        <w:t>E</w:t>
      </w:r>
      <w:r w:rsidRPr="00A43B9C">
        <w:rPr>
          <w:rFonts w:eastAsia="Times New Roman"/>
          <w:lang w:eastAsia="ru-RU"/>
        </w:rPr>
        <w:t xml:space="preserve"> </w:t>
      </w:r>
      <w:r w:rsidR="00D84CA0" w:rsidRPr="00A43B9C">
        <w:rPr>
          <w:rFonts w:eastAsia="Times New Roman"/>
          <w:lang w:eastAsia="ru-RU"/>
        </w:rPr>
        <w:t>В</w:t>
      </w:r>
    </w:p>
    <w:p w14:paraId="2479A285" w14:textId="26271EE9" w:rsidR="00151301" w:rsidRPr="00A43B9C" w:rsidRDefault="00151301" w:rsidP="00DF51C3">
      <w:pPr>
        <w:spacing w:after="0" w:line="240" w:lineRule="auto"/>
        <w:jc w:val="center"/>
        <w:rPr>
          <w:rFonts w:ascii="Times New Roman" w:hAnsi="Times New Roman" w:cs="Times New Roman"/>
          <w:sz w:val="28"/>
          <w:szCs w:val="28"/>
          <w:lang w:eastAsia="ru-RU"/>
        </w:rPr>
      </w:pPr>
    </w:p>
    <w:p w14:paraId="15F71428" w14:textId="3A55D2CA" w:rsidR="00947A2D" w:rsidRPr="00A43B9C" w:rsidRDefault="00947A2D" w:rsidP="00DF51C3">
      <w:pPr>
        <w:spacing w:after="0" w:line="240" w:lineRule="auto"/>
        <w:jc w:val="center"/>
        <w:rPr>
          <w:rFonts w:ascii="Times New Roman" w:hAnsi="Times New Roman" w:cs="Times New Roman"/>
          <w:sz w:val="28"/>
          <w:szCs w:val="28"/>
          <w:lang w:eastAsia="ru-RU"/>
        </w:rPr>
      </w:pPr>
      <w:r w:rsidRPr="00A43B9C">
        <w:rPr>
          <w:rFonts w:ascii="Times New Roman" w:hAnsi="Times New Roman" w:cs="Times New Roman"/>
          <w:noProof/>
          <w:sz w:val="28"/>
          <w:szCs w:val="28"/>
          <w:lang w:eastAsia="ru-RU"/>
        </w:rPr>
        <w:drawing>
          <wp:inline distT="0" distB="0" distL="0" distR="0" wp14:anchorId="346FB2C4" wp14:editId="3FA3CA6E">
            <wp:extent cx="5935980" cy="8089900"/>
            <wp:effectExtent l="0" t="0" r="7620" b="635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57">
                      <a:extLst>
                        <a:ext uri="{28A0092B-C50C-407E-A947-70E740481C1C}">
                          <a14:useLocalDpi xmlns:a14="http://schemas.microsoft.com/office/drawing/2010/main" val="0"/>
                        </a:ext>
                      </a:extLst>
                    </a:blip>
                    <a:srcRect b="1606"/>
                    <a:stretch/>
                  </pic:blipFill>
                  <pic:spPr bwMode="auto">
                    <a:xfrm>
                      <a:off x="0" y="0"/>
                      <a:ext cx="5935980" cy="8089900"/>
                    </a:xfrm>
                    <a:prstGeom prst="rect">
                      <a:avLst/>
                    </a:prstGeom>
                    <a:noFill/>
                    <a:ln>
                      <a:noFill/>
                    </a:ln>
                    <a:extLst>
                      <a:ext uri="{53640926-AAD7-44D8-BBD7-CCE9431645EC}">
                        <a14:shadowObscured xmlns:a14="http://schemas.microsoft.com/office/drawing/2010/main"/>
                      </a:ext>
                    </a:extLst>
                  </pic:spPr>
                </pic:pic>
              </a:graphicData>
            </a:graphic>
          </wp:inline>
        </w:drawing>
      </w:r>
    </w:p>
    <w:p w14:paraId="098459CA" w14:textId="45D9A071" w:rsidR="00947A2D" w:rsidRPr="00A43B9C" w:rsidRDefault="00947A2D" w:rsidP="00DF51C3">
      <w:pPr>
        <w:spacing w:after="0" w:line="240" w:lineRule="auto"/>
        <w:jc w:val="center"/>
        <w:rPr>
          <w:rFonts w:ascii="Times New Roman" w:hAnsi="Times New Roman" w:cs="Times New Roman"/>
          <w:sz w:val="28"/>
          <w:szCs w:val="28"/>
          <w:lang w:eastAsia="ru-RU"/>
        </w:rPr>
      </w:pPr>
    </w:p>
    <w:p w14:paraId="0ED99E78" w14:textId="4502C164" w:rsidR="00947A2D" w:rsidRPr="00A43B9C" w:rsidRDefault="00947A2D" w:rsidP="00DF51C3">
      <w:pPr>
        <w:spacing w:after="0" w:line="240" w:lineRule="auto"/>
        <w:jc w:val="center"/>
        <w:rPr>
          <w:rFonts w:ascii="Times New Roman" w:hAnsi="Times New Roman" w:cs="Times New Roman"/>
          <w:sz w:val="28"/>
          <w:szCs w:val="28"/>
          <w:lang w:eastAsia="ru-RU"/>
        </w:rPr>
      </w:pPr>
      <w:r w:rsidRPr="00A43B9C">
        <w:rPr>
          <w:rFonts w:ascii="Times New Roman" w:hAnsi="Times New Roman" w:cs="Times New Roman"/>
          <w:noProof/>
          <w:sz w:val="28"/>
          <w:szCs w:val="28"/>
          <w:lang w:eastAsia="ru-RU"/>
        </w:rPr>
        <w:lastRenderedPageBreak/>
        <w:drawing>
          <wp:inline distT="0" distB="0" distL="0" distR="0" wp14:anchorId="44F77AA1" wp14:editId="3A4ADE91">
            <wp:extent cx="5935980" cy="8102600"/>
            <wp:effectExtent l="0" t="0" r="7620"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58">
                      <a:extLst>
                        <a:ext uri="{28A0092B-C50C-407E-A947-70E740481C1C}">
                          <a14:useLocalDpi xmlns:a14="http://schemas.microsoft.com/office/drawing/2010/main" val="0"/>
                        </a:ext>
                      </a:extLst>
                    </a:blip>
                    <a:srcRect b="1452"/>
                    <a:stretch/>
                  </pic:blipFill>
                  <pic:spPr bwMode="auto">
                    <a:xfrm>
                      <a:off x="0" y="0"/>
                      <a:ext cx="5935980" cy="8102600"/>
                    </a:xfrm>
                    <a:prstGeom prst="rect">
                      <a:avLst/>
                    </a:prstGeom>
                    <a:noFill/>
                    <a:ln>
                      <a:noFill/>
                    </a:ln>
                    <a:extLst>
                      <a:ext uri="{53640926-AAD7-44D8-BBD7-CCE9431645EC}">
                        <a14:shadowObscured xmlns:a14="http://schemas.microsoft.com/office/drawing/2010/main"/>
                      </a:ext>
                    </a:extLst>
                  </pic:spPr>
                </pic:pic>
              </a:graphicData>
            </a:graphic>
          </wp:inline>
        </w:drawing>
      </w:r>
    </w:p>
    <w:p w14:paraId="29C3F581" w14:textId="73C692D4" w:rsidR="00151301" w:rsidRPr="00A43B9C" w:rsidRDefault="00151301">
      <w:pPr>
        <w:spacing w:after="160" w:line="259" w:lineRule="auto"/>
        <w:rPr>
          <w:rFonts w:ascii="Times New Roman" w:hAnsi="Times New Roman" w:cs="Times New Roman"/>
          <w:sz w:val="28"/>
          <w:szCs w:val="28"/>
          <w:lang w:eastAsia="ru-RU"/>
        </w:rPr>
      </w:pPr>
      <w:r w:rsidRPr="00A43B9C">
        <w:rPr>
          <w:rFonts w:ascii="Times New Roman" w:hAnsi="Times New Roman" w:cs="Times New Roman"/>
          <w:sz w:val="28"/>
          <w:szCs w:val="28"/>
          <w:lang w:eastAsia="ru-RU"/>
        </w:rPr>
        <w:br w:type="page"/>
      </w:r>
    </w:p>
    <w:p w14:paraId="0EB6A42E" w14:textId="7A59D8E6" w:rsidR="00675353" w:rsidRPr="00A43B9C" w:rsidRDefault="00675353" w:rsidP="00AE28CD">
      <w:pPr>
        <w:pStyle w:val="1"/>
        <w:spacing w:line="240" w:lineRule="auto"/>
        <w:rPr>
          <w:rFonts w:eastAsia="Times New Roman"/>
          <w:lang w:eastAsia="ru-RU"/>
        </w:rPr>
      </w:pPr>
      <w:r w:rsidRPr="00A43B9C">
        <w:rPr>
          <w:rFonts w:eastAsia="Times New Roman"/>
          <w:lang w:eastAsia="ru-RU"/>
        </w:rPr>
        <w:lastRenderedPageBreak/>
        <w:t>ПРИЛОЖЕНИ</w:t>
      </w:r>
      <w:r w:rsidRPr="00A43B9C">
        <w:rPr>
          <w:rFonts w:eastAsia="Times New Roman"/>
          <w:lang w:val="en-US" w:eastAsia="ru-RU"/>
        </w:rPr>
        <w:t>E</w:t>
      </w:r>
      <w:r w:rsidRPr="00A43B9C">
        <w:rPr>
          <w:rFonts w:eastAsia="Times New Roman"/>
          <w:lang w:eastAsia="ru-RU"/>
        </w:rPr>
        <w:t xml:space="preserve"> Г</w:t>
      </w:r>
    </w:p>
    <w:p w14:paraId="63E2DDB3" w14:textId="77777777" w:rsidR="00AE28CD" w:rsidRPr="00A43B9C" w:rsidRDefault="00AE28CD" w:rsidP="00AE28CD">
      <w:pPr>
        <w:spacing w:after="0" w:line="240" w:lineRule="auto"/>
        <w:jc w:val="both"/>
        <w:rPr>
          <w:rFonts w:ascii="Times New Roman" w:hAnsi="Times New Roman" w:cs="Times New Roman"/>
          <w:sz w:val="28"/>
          <w:szCs w:val="28"/>
          <w:lang w:eastAsia="ru-RU"/>
        </w:rPr>
      </w:pPr>
    </w:p>
    <w:p w14:paraId="2844F0B5" w14:textId="5FE5A3D1" w:rsidR="00D959C6" w:rsidRPr="00A43B9C" w:rsidRDefault="00D959C6" w:rsidP="00D959C6">
      <w:pPr>
        <w:rPr>
          <w:lang w:eastAsia="ru-RU"/>
        </w:rPr>
      </w:pPr>
      <w:r w:rsidRPr="00A43B9C">
        <w:rPr>
          <w:rFonts w:ascii="Times New Roman" w:hAnsi="Times New Roman" w:cs="Times New Roman"/>
          <w:noProof/>
          <w:sz w:val="28"/>
          <w:szCs w:val="28"/>
          <w:lang w:eastAsia="ru-RU"/>
        </w:rPr>
        <w:drawing>
          <wp:inline distT="0" distB="0" distL="0" distR="0" wp14:anchorId="78549BE4" wp14:editId="27E7D05A">
            <wp:extent cx="5935980" cy="8389620"/>
            <wp:effectExtent l="0" t="0" r="762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5935980" cy="8389620"/>
                    </a:xfrm>
                    <a:prstGeom prst="rect">
                      <a:avLst/>
                    </a:prstGeom>
                    <a:noFill/>
                    <a:ln>
                      <a:noFill/>
                    </a:ln>
                  </pic:spPr>
                </pic:pic>
              </a:graphicData>
            </a:graphic>
          </wp:inline>
        </w:drawing>
      </w:r>
    </w:p>
    <w:p w14:paraId="35D674B5" w14:textId="55CD7B26" w:rsidR="00D959C6" w:rsidRPr="00A43B9C" w:rsidRDefault="00D959C6" w:rsidP="00D959C6">
      <w:pPr>
        <w:rPr>
          <w:lang w:eastAsia="ru-RU"/>
        </w:rPr>
      </w:pPr>
      <w:r w:rsidRPr="00A43B9C">
        <w:rPr>
          <w:rFonts w:ascii="Times New Roman" w:hAnsi="Times New Roman" w:cs="Times New Roman"/>
          <w:noProof/>
          <w:sz w:val="28"/>
          <w:szCs w:val="28"/>
          <w:lang w:eastAsia="ru-RU"/>
        </w:rPr>
        <w:lastRenderedPageBreak/>
        <w:drawing>
          <wp:inline distT="0" distB="0" distL="0" distR="0" wp14:anchorId="46FA467B" wp14:editId="0FE6E4E5">
            <wp:extent cx="5935980" cy="8389620"/>
            <wp:effectExtent l="0" t="0" r="7620"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5935980" cy="8389620"/>
                    </a:xfrm>
                    <a:prstGeom prst="rect">
                      <a:avLst/>
                    </a:prstGeom>
                    <a:noFill/>
                    <a:ln>
                      <a:noFill/>
                    </a:ln>
                  </pic:spPr>
                </pic:pic>
              </a:graphicData>
            </a:graphic>
          </wp:inline>
        </w:drawing>
      </w:r>
    </w:p>
    <w:p w14:paraId="2B587384" w14:textId="5894CF68" w:rsidR="00675353" w:rsidRPr="00A43B9C" w:rsidRDefault="00D959C6" w:rsidP="00675353">
      <w:pPr>
        <w:spacing w:after="160" w:line="259" w:lineRule="auto"/>
        <w:rPr>
          <w:rFonts w:ascii="Times New Roman" w:hAnsi="Times New Roman" w:cs="Times New Roman"/>
          <w:sz w:val="28"/>
          <w:szCs w:val="28"/>
          <w:lang w:eastAsia="ru-RU"/>
        </w:rPr>
      </w:pPr>
      <w:r w:rsidRPr="00A43B9C">
        <w:rPr>
          <w:rFonts w:ascii="Times New Roman" w:hAnsi="Times New Roman" w:cs="Times New Roman"/>
          <w:noProof/>
          <w:sz w:val="28"/>
          <w:szCs w:val="28"/>
          <w:lang w:eastAsia="ru-RU"/>
        </w:rPr>
        <w:lastRenderedPageBreak/>
        <w:drawing>
          <wp:inline distT="0" distB="0" distL="0" distR="0" wp14:anchorId="703EC2DA" wp14:editId="374FEA93">
            <wp:extent cx="5935980" cy="8389620"/>
            <wp:effectExtent l="0" t="0" r="7620"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5935980" cy="8389620"/>
                    </a:xfrm>
                    <a:prstGeom prst="rect">
                      <a:avLst/>
                    </a:prstGeom>
                    <a:noFill/>
                    <a:ln>
                      <a:noFill/>
                    </a:ln>
                  </pic:spPr>
                </pic:pic>
              </a:graphicData>
            </a:graphic>
          </wp:inline>
        </w:drawing>
      </w:r>
      <w:r w:rsidR="00675353" w:rsidRPr="00A43B9C">
        <w:rPr>
          <w:rFonts w:ascii="Times New Roman" w:hAnsi="Times New Roman" w:cs="Times New Roman"/>
          <w:sz w:val="28"/>
          <w:szCs w:val="28"/>
          <w:lang w:eastAsia="ru-RU"/>
        </w:rPr>
        <w:br w:type="page"/>
      </w:r>
    </w:p>
    <w:p w14:paraId="1D5A8D7E" w14:textId="30F38644" w:rsidR="00675353" w:rsidRPr="00A43B9C" w:rsidRDefault="00675353" w:rsidP="00AE28CD">
      <w:pPr>
        <w:pStyle w:val="1"/>
        <w:spacing w:line="240" w:lineRule="auto"/>
        <w:rPr>
          <w:rFonts w:eastAsia="Times New Roman"/>
          <w:lang w:eastAsia="ru-RU"/>
        </w:rPr>
      </w:pPr>
      <w:r w:rsidRPr="00A43B9C">
        <w:rPr>
          <w:rFonts w:eastAsia="Times New Roman"/>
          <w:lang w:eastAsia="ru-RU"/>
        </w:rPr>
        <w:lastRenderedPageBreak/>
        <w:t>ПРИЛОЖЕНИ</w:t>
      </w:r>
      <w:r w:rsidRPr="00A43B9C">
        <w:rPr>
          <w:rFonts w:eastAsia="Times New Roman"/>
          <w:lang w:val="en-US" w:eastAsia="ru-RU"/>
        </w:rPr>
        <w:t>E</w:t>
      </w:r>
      <w:r w:rsidRPr="00A43B9C">
        <w:rPr>
          <w:rFonts w:eastAsia="Times New Roman"/>
          <w:lang w:eastAsia="ru-RU"/>
        </w:rPr>
        <w:t xml:space="preserve"> Д</w:t>
      </w:r>
    </w:p>
    <w:p w14:paraId="0972A2D1" w14:textId="77777777" w:rsidR="00AE28CD" w:rsidRPr="00A43B9C" w:rsidRDefault="00AE28CD" w:rsidP="00AE28CD">
      <w:pPr>
        <w:spacing w:after="0" w:line="240" w:lineRule="auto"/>
        <w:jc w:val="both"/>
        <w:rPr>
          <w:rFonts w:ascii="Times New Roman" w:hAnsi="Times New Roman" w:cs="Times New Roman"/>
          <w:sz w:val="28"/>
          <w:szCs w:val="28"/>
          <w:lang w:eastAsia="ru-RU"/>
        </w:rPr>
      </w:pPr>
    </w:p>
    <w:p w14:paraId="6CA3A93F" w14:textId="77777777" w:rsidR="002C1D3D" w:rsidRPr="00A43B9C" w:rsidRDefault="002C1D3D" w:rsidP="002C1D3D">
      <w:pPr>
        <w:spacing w:after="160" w:line="259" w:lineRule="auto"/>
        <w:jc w:val="center"/>
        <w:rPr>
          <w:rFonts w:ascii="Times New Roman" w:hAnsi="Times New Roman" w:cs="Times New Roman"/>
          <w:sz w:val="28"/>
          <w:szCs w:val="28"/>
          <w:lang w:eastAsia="ru-RU"/>
        </w:rPr>
      </w:pPr>
      <w:r w:rsidRPr="00A43B9C">
        <w:rPr>
          <w:rFonts w:ascii="Times New Roman" w:hAnsi="Times New Roman" w:cs="Times New Roman"/>
          <w:noProof/>
          <w:sz w:val="28"/>
          <w:szCs w:val="28"/>
          <w:lang w:eastAsia="ru-RU"/>
        </w:rPr>
        <w:drawing>
          <wp:inline distT="0" distB="0" distL="0" distR="0" wp14:anchorId="77B5868D" wp14:editId="4D898577">
            <wp:extent cx="5935980" cy="8397240"/>
            <wp:effectExtent l="0" t="0" r="7620" b="381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935980" cy="8397240"/>
                    </a:xfrm>
                    <a:prstGeom prst="rect">
                      <a:avLst/>
                    </a:prstGeom>
                    <a:noFill/>
                    <a:ln>
                      <a:noFill/>
                    </a:ln>
                  </pic:spPr>
                </pic:pic>
              </a:graphicData>
            </a:graphic>
          </wp:inline>
        </w:drawing>
      </w:r>
    </w:p>
    <w:p w14:paraId="2D5B7E09" w14:textId="293D008D" w:rsidR="002C1D3D" w:rsidRPr="00A43B9C" w:rsidRDefault="002C1D3D" w:rsidP="00675353">
      <w:pPr>
        <w:spacing w:after="160" w:line="259" w:lineRule="auto"/>
        <w:rPr>
          <w:rFonts w:ascii="Times New Roman" w:hAnsi="Times New Roman" w:cs="Times New Roman"/>
          <w:sz w:val="28"/>
          <w:szCs w:val="28"/>
          <w:lang w:eastAsia="ru-RU"/>
        </w:rPr>
      </w:pPr>
      <w:r w:rsidRPr="00A43B9C">
        <w:rPr>
          <w:rFonts w:ascii="Times New Roman" w:hAnsi="Times New Roman" w:cs="Times New Roman"/>
          <w:noProof/>
          <w:sz w:val="28"/>
          <w:szCs w:val="28"/>
          <w:lang w:eastAsia="ru-RU"/>
        </w:rPr>
        <w:lastRenderedPageBreak/>
        <w:drawing>
          <wp:inline distT="0" distB="0" distL="0" distR="0" wp14:anchorId="62570B47" wp14:editId="35F59409">
            <wp:extent cx="5935980" cy="8397240"/>
            <wp:effectExtent l="0" t="0" r="7620" b="381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935980" cy="8397240"/>
                    </a:xfrm>
                    <a:prstGeom prst="rect">
                      <a:avLst/>
                    </a:prstGeom>
                    <a:noFill/>
                    <a:ln>
                      <a:noFill/>
                    </a:ln>
                  </pic:spPr>
                </pic:pic>
              </a:graphicData>
            </a:graphic>
          </wp:inline>
        </w:drawing>
      </w:r>
    </w:p>
    <w:p w14:paraId="363A1240" w14:textId="79EDE2A0" w:rsidR="002C1D3D" w:rsidRPr="00A43B9C" w:rsidRDefault="002C1D3D" w:rsidP="00675353">
      <w:pPr>
        <w:spacing w:after="160" w:line="259" w:lineRule="auto"/>
        <w:rPr>
          <w:rFonts w:ascii="Times New Roman" w:hAnsi="Times New Roman" w:cs="Times New Roman"/>
          <w:sz w:val="28"/>
          <w:szCs w:val="28"/>
          <w:lang w:eastAsia="ru-RU"/>
        </w:rPr>
      </w:pPr>
      <w:r w:rsidRPr="00A43B9C">
        <w:rPr>
          <w:rFonts w:ascii="Times New Roman" w:hAnsi="Times New Roman" w:cs="Times New Roman"/>
          <w:noProof/>
          <w:sz w:val="28"/>
          <w:szCs w:val="28"/>
          <w:lang w:eastAsia="ru-RU"/>
        </w:rPr>
        <w:lastRenderedPageBreak/>
        <w:drawing>
          <wp:inline distT="0" distB="0" distL="0" distR="0" wp14:anchorId="2730510D" wp14:editId="2ED3443F">
            <wp:extent cx="5935980" cy="8397240"/>
            <wp:effectExtent l="0" t="0" r="7620" b="381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935980" cy="8397240"/>
                    </a:xfrm>
                    <a:prstGeom prst="rect">
                      <a:avLst/>
                    </a:prstGeom>
                    <a:noFill/>
                    <a:ln>
                      <a:noFill/>
                    </a:ln>
                  </pic:spPr>
                </pic:pic>
              </a:graphicData>
            </a:graphic>
          </wp:inline>
        </w:drawing>
      </w:r>
    </w:p>
    <w:p w14:paraId="7B545981" w14:textId="71C433B6" w:rsidR="00675353" w:rsidRPr="00A43B9C" w:rsidRDefault="002C1D3D" w:rsidP="00675353">
      <w:pPr>
        <w:spacing w:after="160" w:line="259" w:lineRule="auto"/>
        <w:rPr>
          <w:rFonts w:ascii="Times New Roman" w:hAnsi="Times New Roman" w:cs="Times New Roman"/>
          <w:sz w:val="28"/>
          <w:szCs w:val="28"/>
          <w:lang w:eastAsia="ru-RU"/>
        </w:rPr>
      </w:pPr>
      <w:r w:rsidRPr="00A43B9C">
        <w:rPr>
          <w:rFonts w:ascii="Times New Roman" w:hAnsi="Times New Roman" w:cs="Times New Roman"/>
          <w:noProof/>
          <w:sz w:val="28"/>
          <w:szCs w:val="28"/>
          <w:lang w:eastAsia="ru-RU"/>
        </w:rPr>
        <w:lastRenderedPageBreak/>
        <w:drawing>
          <wp:inline distT="0" distB="0" distL="0" distR="0" wp14:anchorId="4A090937" wp14:editId="67309AD5">
            <wp:extent cx="5935980" cy="8397240"/>
            <wp:effectExtent l="0" t="0" r="7620" b="381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935980" cy="8397240"/>
                    </a:xfrm>
                    <a:prstGeom prst="rect">
                      <a:avLst/>
                    </a:prstGeom>
                    <a:noFill/>
                    <a:ln>
                      <a:noFill/>
                    </a:ln>
                  </pic:spPr>
                </pic:pic>
              </a:graphicData>
            </a:graphic>
          </wp:inline>
        </w:drawing>
      </w:r>
      <w:r w:rsidR="00675353" w:rsidRPr="00A43B9C">
        <w:rPr>
          <w:rFonts w:ascii="Times New Roman" w:hAnsi="Times New Roman" w:cs="Times New Roman"/>
          <w:sz w:val="28"/>
          <w:szCs w:val="28"/>
          <w:lang w:eastAsia="ru-RU"/>
        </w:rPr>
        <w:br w:type="page"/>
      </w:r>
    </w:p>
    <w:p w14:paraId="5DAE316D" w14:textId="76D7C1D1" w:rsidR="00151301" w:rsidRPr="00A43B9C" w:rsidRDefault="00151301" w:rsidP="00AE28CD">
      <w:pPr>
        <w:pStyle w:val="1"/>
        <w:spacing w:line="240" w:lineRule="auto"/>
        <w:rPr>
          <w:rFonts w:eastAsia="Times New Roman"/>
          <w:lang w:eastAsia="ru-RU"/>
        </w:rPr>
      </w:pPr>
      <w:r w:rsidRPr="00A43B9C">
        <w:rPr>
          <w:rFonts w:eastAsia="Times New Roman"/>
          <w:lang w:eastAsia="ru-RU"/>
        </w:rPr>
        <w:lastRenderedPageBreak/>
        <w:t>ПРИЛОЖЕНИ</w:t>
      </w:r>
      <w:r w:rsidRPr="00A43B9C">
        <w:rPr>
          <w:rFonts w:eastAsia="Times New Roman"/>
          <w:lang w:val="en-US" w:eastAsia="ru-RU"/>
        </w:rPr>
        <w:t>E</w:t>
      </w:r>
      <w:r w:rsidRPr="00A43B9C">
        <w:rPr>
          <w:rFonts w:eastAsia="Times New Roman"/>
          <w:lang w:eastAsia="ru-RU"/>
        </w:rPr>
        <w:t xml:space="preserve"> </w:t>
      </w:r>
      <w:r w:rsidR="00675353" w:rsidRPr="00A43B9C">
        <w:rPr>
          <w:rFonts w:eastAsia="Times New Roman"/>
          <w:lang w:eastAsia="ru-RU"/>
        </w:rPr>
        <w:t>Е</w:t>
      </w:r>
    </w:p>
    <w:p w14:paraId="4E3376C5" w14:textId="77777777" w:rsidR="00AE28CD" w:rsidRPr="00A43B9C" w:rsidRDefault="00AE28CD" w:rsidP="00AE28CD">
      <w:pPr>
        <w:spacing w:after="0" w:line="240" w:lineRule="auto"/>
        <w:jc w:val="both"/>
        <w:rPr>
          <w:rFonts w:ascii="Times New Roman" w:hAnsi="Times New Roman" w:cs="Times New Roman"/>
          <w:sz w:val="28"/>
          <w:szCs w:val="28"/>
          <w:lang w:eastAsia="ru-RU"/>
        </w:rPr>
      </w:pPr>
    </w:p>
    <w:p w14:paraId="1D2F3C4F" w14:textId="27A9DBD4" w:rsidR="004A2446" w:rsidRDefault="00151301" w:rsidP="00151301">
      <w:pPr>
        <w:spacing w:after="0" w:line="240" w:lineRule="auto"/>
        <w:jc w:val="center"/>
        <w:rPr>
          <w:rFonts w:ascii="Times New Roman" w:hAnsi="Times New Roman" w:cs="Times New Roman"/>
          <w:sz w:val="28"/>
          <w:szCs w:val="28"/>
          <w:lang w:eastAsia="ru-RU"/>
        </w:rPr>
      </w:pPr>
      <w:r w:rsidRPr="00A43B9C">
        <w:rPr>
          <w:rFonts w:ascii="Times New Roman" w:hAnsi="Times New Roman" w:cs="Times New Roman"/>
          <w:noProof/>
          <w:sz w:val="28"/>
          <w:szCs w:val="28"/>
          <w:lang w:eastAsia="ru-RU"/>
        </w:rPr>
        <w:drawing>
          <wp:inline distT="0" distB="0" distL="0" distR="0" wp14:anchorId="21B100BE" wp14:editId="62D78A1D">
            <wp:extent cx="5935980" cy="7665720"/>
            <wp:effectExtent l="0" t="0" r="762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6">
                      <a:extLst>
                        <a:ext uri="{28A0092B-C50C-407E-A947-70E740481C1C}">
                          <a14:useLocalDpi xmlns:a14="http://schemas.microsoft.com/office/drawing/2010/main" val="0"/>
                        </a:ext>
                      </a:extLst>
                    </a:blip>
                    <a:srcRect b="8711"/>
                    <a:stretch/>
                  </pic:blipFill>
                  <pic:spPr bwMode="auto">
                    <a:xfrm>
                      <a:off x="0" y="0"/>
                      <a:ext cx="5935980" cy="7665720"/>
                    </a:xfrm>
                    <a:prstGeom prst="rect">
                      <a:avLst/>
                    </a:prstGeom>
                    <a:noFill/>
                    <a:ln>
                      <a:noFill/>
                    </a:ln>
                    <a:extLst>
                      <a:ext uri="{53640926-AAD7-44D8-BBD7-CCE9431645EC}">
                        <a14:shadowObscured xmlns:a14="http://schemas.microsoft.com/office/drawing/2010/main"/>
                      </a:ext>
                    </a:extLst>
                  </pic:spPr>
                </pic:pic>
              </a:graphicData>
            </a:graphic>
          </wp:inline>
        </w:drawing>
      </w:r>
      <w:r w:rsidR="004A2446">
        <w:rPr>
          <w:rFonts w:ascii="Times New Roman" w:hAnsi="Times New Roman" w:cs="Times New Roman"/>
          <w:sz w:val="28"/>
          <w:szCs w:val="28"/>
          <w:lang w:eastAsia="ru-RU"/>
        </w:rPr>
        <w:br w:type="page"/>
      </w:r>
    </w:p>
    <w:p w14:paraId="5296FE09" w14:textId="3090FCD7" w:rsidR="00E864AE" w:rsidRDefault="004A2446" w:rsidP="004A2446">
      <w:pPr>
        <w:pStyle w:val="1"/>
        <w:spacing w:line="240" w:lineRule="auto"/>
        <w:rPr>
          <w:rFonts w:eastAsia="Times New Roman"/>
          <w:lang w:eastAsia="ru-RU"/>
        </w:rPr>
      </w:pPr>
      <w:r w:rsidRPr="00A43B9C">
        <w:rPr>
          <w:rFonts w:eastAsia="Times New Roman"/>
          <w:lang w:eastAsia="ru-RU"/>
        </w:rPr>
        <w:lastRenderedPageBreak/>
        <w:t>ПРИЛОЖЕНИ</w:t>
      </w:r>
      <w:r w:rsidRPr="00A43B9C">
        <w:rPr>
          <w:rFonts w:eastAsia="Times New Roman"/>
          <w:lang w:val="en-US" w:eastAsia="ru-RU"/>
        </w:rPr>
        <w:t>E</w:t>
      </w:r>
      <w:r w:rsidRPr="00A43B9C">
        <w:rPr>
          <w:rFonts w:eastAsia="Times New Roman"/>
          <w:lang w:eastAsia="ru-RU"/>
        </w:rPr>
        <w:t xml:space="preserve"> </w:t>
      </w:r>
      <w:r>
        <w:rPr>
          <w:rFonts w:eastAsia="Times New Roman"/>
          <w:lang w:eastAsia="ru-RU"/>
        </w:rPr>
        <w:t>Ж</w:t>
      </w:r>
      <w:r>
        <w:rPr>
          <w:rFonts w:cs="Times New Roman"/>
          <w:noProof/>
          <w:lang w:eastAsia="ru-RU"/>
        </w:rPr>
        <w:drawing>
          <wp:inline distT="0" distB="0" distL="0" distR="0" wp14:anchorId="0C103975" wp14:editId="3626079A">
            <wp:extent cx="5936615" cy="8398510"/>
            <wp:effectExtent l="0" t="0" r="6985" b="254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936615" cy="8398510"/>
                    </a:xfrm>
                    <a:prstGeom prst="rect">
                      <a:avLst/>
                    </a:prstGeom>
                    <a:noFill/>
                    <a:ln>
                      <a:noFill/>
                    </a:ln>
                  </pic:spPr>
                </pic:pic>
              </a:graphicData>
            </a:graphic>
          </wp:inline>
        </w:drawing>
      </w:r>
      <w:r w:rsidRPr="00080FA2">
        <w:rPr>
          <w:noProof/>
        </w:rPr>
        <w:lastRenderedPageBreak/>
        <w:drawing>
          <wp:inline distT="0" distB="0" distL="0" distR="0" wp14:anchorId="4216A85F" wp14:editId="15569A91">
            <wp:extent cx="5936615" cy="8398510"/>
            <wp:effectExtent l="0" t="0" r="6985" b="254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936615" cy="8398510"/>
                    </a:xfrm>
                    <a:prstGeom prst="rect">
                      <a:avLst/>
                    </a:prstGeom>
                    <a:noFill/>
                    <a:ln>
                      <a:noFill/>
                    </a:ln>
                  </pic:spPr>
                </pic:pic>
              </a:graphicData>
            </a:graphic>
          </wp:inline>
        </w:drawing>
      </w:r>
      <w:r w:rsidR="00E864AE">
        <w:rPr>
          <w:rFonts w:eastAsia="Times New Roman"/>
          <w:lang w:eastAsia="ru-RU"/>
        </w:rPr>
        <w:br w:type="page"/>
      </w:r>
    </w:p>
    <w:p w14:paraId="4540A1C4" w14:textId="5A7F5BAB" w:rsidR="004A2446" w:rsidRDefault="00E864AE" w:rsidP="004A2446">
      <w:pPr>
        <w:pStyle w:val="1"/>
        <w:spacing w:line="240" w:lineRule="auto"/>
        <w:rPr>
          <w:rFonts w:eastAsia="Times New Roman"/>
          <w:lang w:eastAsia="ru-RU"/>
        </w:rPr>
      </w:pPr>
      <w:r w:rsidRPr="00A43B9C">
        <w:rPr>
          <w:rFonts w:eastAsia="Times New Roman"/>
          <w:lang w:eastAsia="ru-RU"/>
        </w:rPr>
        <w:lastRenderedPageBreak/>
        <w:t>ПРИЛОЖЕНИ</w:t>
      </w:r>
      <w:r w:rsidRPr="00A43B9C">
        <w:rPr>
          <w:rFonts w:eastAsia="Times New Roman"/>
          <w:lang w:val="en-US" w:eastAsia="ru-RU"/>
        </w:rPr>
        <w:t>E</w:t>
      </w:r>
      <w:r w:rsidRPr="00A43B9C">
        <w:rPr>
          <w:rFonts w:eastAsia="Times New Roman"/>
          <w:lang w:eastAsia="ru-RU"/>
        </w:rPr>
        <w:t xml:space="preserve"> </w:t>
      </w:r>
      <w:r>
        <w:rPr>
          <w:rFonts w:eastAsia="Times New Roman"/>
          <w:lang w:eastAsia="ru-RU"/>
        </w:rPr>
        <w:t>И</w:t>
      </w:r>
    </w:p>
    <w:p w14:paraId="270A1A25" w14:textId="36720E16" w:rsidR="00E864AE" w:rsidRPr="00E864AE" w:rsidRDefault="00E864AE" w:rsidP="00E864AE">
      <w:pPr>
        <w:rPr>
          <w:lang w:eastAsia="ru-RU"/>
        </w:rPr>
      </w:pPr>
      <w:r>
        <w:rPr>
          <w:noProof/>
          <w:lang w:eastAsia="ru-RU"/>
        </w:rPr>
        <w:drawing>
          <wp:inline distT="0" distB="0" distL="0" distR="0" wp14:anchorId="2A104490" wp14:editId="50932F8B">
            <wp:extent cx="5930900" cy="8394700"/>
            <wp:effectExtent l="0" t="0" r="0" b="6350"/>
            <wp:docPr id="4240394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5930900" cy="8394700"/>
                    </a:xfrm>
                    <a:prstGeom prst="rect">
                      <a:avLst/>
                    </a:prstGeom>
                    <a:noFill/>
                    <a:ln>
                      <a:noFill/>
                    </a:ln>
                  </pic:spPr>
                </pic:pic>
              </a:graphicData>
            </a:graphic>
          </wp:inline>
        </w:drawing>
      </w:r>
    </w:p>
    <w:sectPr w:rsidR="00E864AE" w:rsidRPr="00E864AE" w:rsidSect="0048283A">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7FF4A06" w14:textId="77777777" w:rsidR="005441A4" w:rsidRDefault="005441A4" w:rsidP="00772843">
      <w:pPr>
        <w:spacing w:after="0" w:line="240" w:lineRule="auto"/>
      </w:pPr>
      <w:r>
        <w:separator/>
      </w:r>
    </w:p>
  </w:endnote>
  <w:endnote w:type="continuationSeparator" w:id="0">
    <w:p w14:paraId="41548357" w14:textId="77777777" w:rsidR="005441A4" w:rsidRDefault="005441A4" w:rsidP="007728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TimesNewRomanPS-BoldMT">
    <w:altName w:val="MS Mincho"/>
    <w:panose1 w:val="00000000000000000000"/>
    <w:charset w:val="80"/>
    <w:family w:val="auto"/>
    <w:notTrueType/>
    <w:pitch w:val="default"/>
    <w:sig w:usb0="00000201" w:usb1="08070000" w:usb2="00000010" w:usb3="00000000" w:csb0="00020004"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Newton">
    <w:altName w:val="Cambria"/>
    <w:panose1 w:val="00000000000000000000"/>
    <w:charset w:val="CC"/>
    <w:family w:val="roman"/>
    <w:notTrueType/>
    <w:pitch w:val="default"/>
    <w:sig w:usb0="00000201" w:usb1="00000000" w:usb2="00000000" w:usb3="00000000" w:csb0="00000004"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ourier">
    <w:panose1 w:val="02070409020205020404"/>
    <w:charset w:val="00"/>
    <w:family w:val="auto"/>
    <w:pitch w:val="variable"/>
    <w:sig w:usb0="00000003" w:usb1="00000000" w:usb2="00000000" w:usb3="00000000" w:csb0="00000001" w:csb1="00000000"/>
  </w:font>
  <w:font w:name="National Book">
    <w:altName w:val="Calibri"/>
    <w:panose1 w:val="00000000000000000000"/>
    <w:charset w:val="00"/>
    <w:family w:val="swiss"/>
    <w:notTrueType/>
    <w:pitch w:val="default"/>
    <w:sig w:usb0="00000003" w:usb1="00000000" w:usb2="00000000" w:usb3="00000000" w:csb0="00000001" w:csb1="00000000"/>
  </w:font>
  <w:font w:name="National Bold">
    <w:altName w:val="Calibri"/>
    <w:panose1 w:val="00000000000000000000"/>
    <w:charset w:val="00"/>
    <w:family w:val="swiss"/>
    <w:notTrueType/>
    <w:pitch w:val="default"/>
    <w:sig w:usb0="00000003" w:usb1="00000000" w:usb2="00000000" w:usb3="00000000" w:csb0="00000001" w:csb1="00000000"/>
  </w:font>
  <w:font w:name="QuadraatOT">
    <w:altName w:val="QuadraatOT"/>
    <w:panose1 w:val="00000000000000000000"/>
    <w:charset w:val="00"/>
    <w:family w:val="roman"/>
    <w:notTrueType/>
    <w:pitch w:val="default"/>
    <w:sig w:usb0="00000003" w:usb1="00000000" w:usb2="00000000" w:usb3="00000000" w:csb0="00000001" w:csb1="00000000"/>
  </w:font>
  <w:font w:name="Courier New">
    <w:panose1 w:val="02070309020205020404"/>
    <w:charset w:val="CC"/>
    <w:family w:val="modern"/>
    <w:pitch w:val="fixed"/>
    <w:sig w:usb0="E0002EFF" w:usb1="C0007843" w:usb2="00000009" w:usb3="00000000" w:csb0="000001FF" w:csb1="00000000"/>
  </w:font>
  <w:font w:name="TimesNewRomanPSMT">
    <w:altName w:val="Microsoft JhengHei"/>
    <w:panose1 w:val="00000000000000000000"/>
    <w:charset w:val="00"/>
    <w:family w:val="roman"/>
    <w:notTrueType/>
    <w:pitch w:val="default"/>
    <w:sig w:usb0="00000203" w:usb1="08070000" w:usb2="00000010" w:usb3="00000000" w:csb0="00020005" w:csb1="00000000"/>
  </w:font>
  <w:font w:name="Batang">
    <w:altName w:val="바탕"/>
    <w:panose1 w:val="02030600000101010101"/>
    <w:charset w:val="81"/>
    <w:family w:val="roman"/>
    <w:pitch w:val="variable"/>
    <w:sig w:usb0="B00002AF" w:usb1="69D77CFB" w:usb2="00000030" w:usb3="00000000" w:csb0="0008009F" w:csb1="00000000"/>
  </w:font>
  <w:font w:name="NewtonC">
    <w:altName w:val="MS Mincho"/>
    <w:panose1 w:val="00000000000000000000"/>
    <w:charset w:val="80"/>
    <w:family w:val="auto"/>
    <w:notTrueType/>
    <w:pitch w:val="default"/>
    <w:sig w:usb0="00000201" w:usb1="08070000" w:usb2="00000010" w:usb3="00000000" w:csb0="00020004" w:csb1="00000000"/>
  </w:font>
  <w:font w:name="Newton-Regular">
    <w:altName w:val="Yu Gothic"/>
    <w:panose1 w:val="00000000000000000000"/>
    <w:charset w:val="80"/>
    <w:family w:val="auto"/>
    <w:notTrueType/>
    <w:pitch w:val="default"/>
    <w:sig w:usb0="00000001" w:usb1="08070000" w:usb2="00000010" w:usb3="00000000" w:csb0="00020000" w:csb1="00000000"/>
  </w:font>
  <w:font w:name="MinionPro-Regular">
    <w:altName w:val="MS Mincho"/>
    <w:panose1 w:val="00000000000000000000"/>
    <w:charset w:val="80"/>
    <w:family w:val="roman"/>
    <w:notTrueType/>
    <w:pitch w:val="default"/>
    <w:sig w:usb0="00000201" w:usb1="08070000" w:usb2="00000010" w:usb3="00000000" w:csb0="00020004"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18073462"/>
      <w:docPartObj>
        <w:docPartGallery w:val="Page Numbers (Bottom of Page)"/>
        <w:docPartUnique/>
      </w:docPartObj>
    </w:sdtPr>
    <w:sdtEndPr>
      <w:rPr>
        <w:rFonts w:ascii="Times New Roman" w:hAnsi="Times New Roman" w:cs="Times New Roman"/>
        <w:sz w:val="24"/>
        <w:szCs w:val="24"/>
      </w:rPr>
    </w:sdtEndPr>
    <w:sdtContent>
      <w:p w14:paraId="0C134A2F" w14:textId="69E346B9" w:rsidR="00377DCC" w:rsidRPr="00921790" w:rsidRDefault="00377DCC" w:rsidP="00921790">
        <w:pPr>
          <w:pStyle w:val="a7"/>
          <w:jc w:val="center"/>
          <w:rPr>
            <w:rFonts w:ascii="Times New Roman" w:hAnsi="Times New Roman" w:cs="Times New Roman"/>
            <w:sz w:val="24"/>
            <w:szCs w:val="24"/>
          </w:rPr>
        </w:pPr>
        <w:r w:rsidRPr="00921790">
          <w:rPr>
            <w:rFonts w:ascii="Times New Roman" w:hAnsi="Times New Roman" w:cs="Times New Roman"/>
            <w:sz w:val="24"/>
            <w:szCs w:val="24"/>
          </w:rPr>
          <w:fldChar w:fldCharType="begin"/>
        </w:r>
        <w:r w:rsidRPr="00921790">
          <w:rPr>
            <w:rFonts w:ascii="Times New Roman" w:hAnsi="Times New Roman" w:cs="Times New Roman"/>
            <w:sz w:val="24"/>
            <w:szCs w:val="24"/>
          </w:rPr>
          <w:instrText>PAGE   \* MERGEFORMAT</w:instrText>
        </w:r>
        <w:r w:rsidRPr="00921790">
          <w:rPr>
            <w:rFonts w:ascii="Times New Roman" w:hAnsi="Times New Roman" w:cs="Times New Roman"/>
            <w:sz w:val="24"/>
            <w:szCs w:val="24"/>
          </w:rPr>
          <w:fldChar w:fldCharType="separate"/>
        </w:r>
        <w:r>
          <w:rPr>
            <w:rFonts w:ascii="Times New Roman" w:hAnsi="Times New Roman" w:cs="Times New Roman"/>
            <w:noProof/>
            <w:sz w:val="24"/>
            <w:szCs w:val="24"/>
          </w:rPr>
          <w:t>43</w:t>
        </w:r>
        <w:r w:rsidRPr="00921790">
          <w:rPr>
            <w:rFonts w:ascii="Times New Roman" w:hAnsi="Times New Roman" w:cs="Times New Roman"/>
            <w:sz w:val="24"/>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F8C0847" w14:textId="77777777" w:rsidR="005441A4" w:rsidRDefault="005441A4" w:rsidP="00772843">
      <w:pPr>
        <w:spacing w:after="0" w:line="240" w:lineRule="auto"/>
      </w:pPr>
      <w:r>
        <w:separator/>
      </w:r>
    </w:p>
  </w:footnote>
  <w:footnote w:type="continuationSeparator" w:id="0">
    <w:p w14:paraId="7134E5A5" w14:textId="77777777" w:rsidR="005441A4" w:rsidRDefault="005441A4" w:rsidP="0077284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E"/>
    <w:multiLevelType w:val="singleLevel"/>
    <w:tmpl w:val="FB12693A"/>
    <w:lvl w:ilvl="0">
      <w:start w:val="1"/>
      <w:numFmt w:val="decimal"/>
      <w:pStyle w:val="3"/>
      <w:lvlText w:val="%1."/>
      <w:lvlJc w:val="left"/>
      <w:pPr>
        <w:tabs>
          <w:tab w:val="num" w:pos="1080"/>
        </w:tabs>
        <w:ind w:left="1080" w:hanging="360"/>
      </w:pPr>
    </w:lvl>
  </w:abstractNum>
  <w:abstractNum w:abstractNumId="1" w15:restartNumberingAfterBreak="0">
    <w:nsid w:val="FFFFFF7F"/>
    <w:multiLevelType w:val="singleLevel"/>
    <w:tmpl w:val="38441652"/>
    <w:lvl w:ilvl="0">
      <w:start w:val="1"/>
      <w:numFmt w:val="decimal"/>
      <w:pStyle w:val="2"/>
      <w:lvlText w:val="%1."/>
      <w:lvlJc w:val="left"/>
      <w:pPr>
        <w:tabs>
          <w:tab w:val="num" w:pos="720"/>
        </w:tabs>
        <w:ind w:left="720" w:hanging="360"/>
      </w:pPr>
    </w:lvl>
  </w:abstractNum>
  <w:abstractNum w:abstractNumId="2" w15:restartNumberingAfterBreak="0">
    <w:nsid w:val="FFFFFF82"/>
    <w:multiLevelType w:val="singleLevel"/>
    <w:tmpl w:val="F3EAFDEC"/>
    <w:lvl w:ilvl="0">
      <w:start w:val="1"/>
      <w:numFmt w:val="bullet"/>
      <w:pStyle w:val="30"/>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3D1EFFD4"/>
    <w:lvl w:ilvl="0">
      <w:start w:val="1"/>
      <w:numFmt w:val="bullet"/>
      <w:pStyle w:val="20"/>
      <w:lvlText w:val=""/>
      <w:lvlJc w:val="left"/>
      <w:pPr>
        <w:tabs>
          <w:tab w:val="num" w:pos="720"/>
        </w:tabs>
        <w:ind w:left="720" w:hanging="360"/>
      </w:pPr>
      <w:rPr>
        <w:rFonts w:ascii="Symbol" w:hAnsi="Symbol" w:hint="default"/>
      </w:rPr>
    </w:lvl>
  </w:abstractNum>
  <w:abstractNum w:abstractNumId="4" w15:restartNumberingAfterBreak="0">
    <w:nsid w:val="FFFFFF88"/>
    <w:multiLevelType w:val="singleLevel"/>
    <w:tmpl w:val="D0A62B40"/>
    <w:lvl w:ilvl="0">
      <w:start w:val="1"/>
      <w:numFmt w:val="decimal"/>
      <w:pStyle w:val="a"/>
      <w:lvlText w:val="%1."/>
      <w:lvlJc w:val="left"/>
      <w:pPr>
        <w:tabs>
          <w:tab w:val="num" w:pos="360"/>
        </w:tabs>
        <w:ind w:left="360" w:hanging="360"/>
      </w:pPr>
    </w:lvl>
  </w:abstractNum>
  <w:abstractNum w:abstractNumId="5" w15:restartNumberingAfterBreak="0">
    <w:nsid w:val="FFFFFF89"/>
    <w:multiLevelType w:val="singleLevel"/>
    <w:tmpl w:val="29761A62"/>
    <w:lvl w:ilvl="0">
      <w:start w:val="1"/>
      <w:numFmt w:val="bullet"/>
      <w:pStyle w:val="a0"/>
      <w:lvlText w:val=""/>
      <w:lvlJc w:val="left"/>
      <w:pPr>
        <w:tabs>
          <w:tab w:val="num" w:pos="360"/>
        </w:tabs>
        <w:ind w:left="360" w:hanging="360"/>
      </w:pPr>
      <w:rPr>
        <w:rFonts w:ascii="Symbol" w:hAnsi="Symbol" w:hint="default"/>
      </w:rPr>
    </w:lvl>
  </w:abstractNum>
  <w:abstractNum w:abstractNumId="6" w15:restartNumberingAfterBreak="0">
    <w:nsid w:val="0ED24842"/>
    <w:multiLevelType w:val="hybridMultilevel"/>
    <w:tmpl w:val="732CEBA4"/>
    <w:lvl w:ilvl="0" w:tplc="8F16B8C2">
      <w:start w:val="1"/>
      <w:numFmt w:val="decimal"/>
      <w:lvlText w:val="%1."/>
      <w:lvlJc w:val="left"/>
      <w:pPr>
        <w:ind w:left="1129" w:hanging="420"/>
      </w:pPr>
      <w:rPr>
        <w:rFonts w:hint="default"/>
        <w:color w:val="auto"/>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7" w15:restartNumberingAfterBreak="0">
    <w:nsid w:val="144971F1"/>
    <w:multiLevelType w:val="hybridMultilevel"/>
    <w:tmpl w:val="047C5272"/>
    <w:lvl w:ilvl="0" w:tplc="FFFFFFFF">
      <w:start w:val="1"/>
      <w:numFmt w:val="decimal"/>
      <w:lvlText w:val="%1."/>
      <w:lvlJc w:val="left"/>
      <w:pPr>
        <w:ind w:left="1069" w:hanging="360"/>
      </w:pPr>
      <w:rPr>
        <w:rFonts w:eastAsia="TimesNewRomanPS-BoldMT" w:hint="default"/>
        <w:color w:val="auto"/>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8" w15:restartNumberingAfterBreak="0">
    <w:nsid w:val="15395F60"/>
    <w:multiLevelType w:val="hybridMultilevel"/>
    <w:tmpl w:val="3B766AB2"/>
    <w:lvl w:ilvl="0" w:tplc="6C044C48">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9" w15:restartNumberingAfterBreak="0">
    <w:nsid w:val="181C1F47"/>
    <w:multiLevelType w:val="hybridMultilevel"/>
    <w:tmpl w:val="CC429E5A"/>
    <w:lvl w:ilvl="0" w:tplc="1B70EDA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18C326F8"/>
    <w:multiLevelType w:val="hybridMultilevel"/>
    <w:tmpl w:val="4BAC9584"/>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11" w15:restartNumberingAfterBreak="0">
    <w:nsid w:val="1B937AB2"/>
    <w:multiLevelType w:val="hybridMultilevel"/>
    <w:tmpl w:val="AD422FDC"/>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12" w15:restartNumberingAfterBreak="0">
    <w:nsid w:val="1FC451C0"/>
    <w:multiLevelType w:val="hybridMultilevel"/>
    <w:tmpl w:val="D7AEB7D8"/>
    <w:lvl w:ilvl="0" w:tplc="62667B8C">
      <w:start w:val="1"/>
      <w:numFmt w:val="bullet"/>
      <w:lvlText w:val="•"/>
      <w:lvlJc w:val="left"/>
      <w:pPr>
        <w:tabs>
          <w:tab w:val="num" w:pos="720"/>
        </w:tabs>
        <w:ind w:left="720" w:hanging="360"/>
      </w:pPr>
      <w:rPr>
        <w:rFonts w:ascii="Arial" w:hAnsi="Arial" w:hint="default"/>
      </w:rPr>
    </w:lvl>
    <w:lvl w:ilvl="1" w:tplc="4B240B6A" w:tentative="1">
      <w:start w:val="1"/>
      <w:numFmt w:val="bullet"/>
      <w:lvlText w:val="•"/>
      <w:lvlJc w:val="left"/>
      <w:pPr>
        <w:tabs>
          <w:tab w:val="num" w:pos="1440"/>
        </w:tabs>
        <w:ind w:left="1440" w:hanging="360"/>
      </w:pPr>
      <w:rPr>
        <w:rFonts w:ascii="Arial" w:hAnsi="Arial" w:hint="default"/>
      </w:rPr>
    </w:lvl>
    <w:lvl w:ilvl="2" w:tplc="30963034" w:tentative="1">
      <w:start w:val="1"/>
      <w:numFmt w:val="bullet"/>
      <w:lvlText w:val="•"/>
      <w:lvlJc w:val="left"/>
      <w:pPr>
        <w:tabs>
          <w:tab w:val="num" w:pos="2160"/>
        </w:tabs>
        <w:ind w:left="2160" w:hanging="360"/>
      </w:pPr>
      <w:rPr>
        <w:rFonts w:ascii="Arial" w:hAnsi="Arial" w:hint="default"/>
      </w:rPr>
    </w:lvl>
    <w:lvl w:ilvl="3" w:tplc="AAE21B02" w:tentative="1">
      <w:start w:val="1"/>
      <w:numFmt w:val="bullet"/>
      <w:lvlText w:val="•"/>
      <w:lvlJc w:val="left"/>
      <w:pPr>
        <w:tabs>
          <w:tab w:val="num" w:pos="2880"/>
        </w:tabs>
        <w:ind w:left="2880" w:hanging="360"/>
      </w:pPr>
      <w:rPr>
        <w:rFonts w:ascii="Arial" w:hAnsi="Arial" w:hint="default"/>
      </w:rPr>
    </w:lvl>
    <w:lvl w:ilvl="4" w:tplc="86BC802A" w:tentative="1">
      <w:start w:val="1"/>
      <w:numFmt w:val="bullet"/>
      <w:lvlText w:val="•"/>
      <w:lvlJc w:val="left"/>
      <w:pPr>
        <w:tabs>
          <w:tab w:val="num" w:pos="3600"/>
        </w:tabs>
        <w:ind w:left="3600" w:hanging="360"/>
      </w:pPr>
      <w:rPr>
        <w:rFonts w:ascii="Arial" w:hAnsi="Arial" w:hint="default"/>
      </w:rPr>
    </w:lvl>
    <w:lvl w:ilvl="5" w:tplc="33DC02B8" w:tentative="1">
      <w:start w:val="1"/>
      <w:numFmt w:val="bullet"/>
      <w:lvlText w:val="•"/>
      <w:lvlJc w:val="left"/>
      <w:pPr>
        <w:tabs>
          <w:tab w:val="num" w:pos="4320"/>
        </w:tabs>
        <w:ind w:left="4320" w:hanging="360"/>
      </w:pPr>
      <w:rPr>
        <w:rFonts w:ascii="Arial" w:hAnsi="Arial" w:hint="default"/>
      </w:rPr>
    </w:lvl>
    <w:lvl w:ilvl="6" w:tplc="BEE04976" w:tentative="1">
      <w:start w:val="1"/>
      <w:numFmt w:val="bullet"/>
      <w:lvlText w:val="•"/>
      <w:lvlJc w:val="left"/>
      <w:pPr>
        <w:tabs>
          <w:tab w:val="num" w:pos="5040"/>
        </w:tabs>
        <w:ind w:left="5040" w:hanging="360"/>
      </w:pPr>
      <w:rPr>
        <w:rFonts w:ascii="Arial" w:hAnsi="Arial" w:hint="default"/>
      </w:rPr>
    </w:lvl>
    <w:lvl w:ilvl="7" w:tplc="C7128B4A" w:tentative="1">
      <w:start w:val="1"/>
      <w:numFmt w:val="bullet"/>
      <w:lvlText w:val="•"/>
      <w:lvlJc w:val="left"/>
      <w:pPr>
        <w:tabs>
          <w:tab w:val="num" w:pos="5760"/>
        </w:tabs>
        <w:ind w:left="5760" w:hanging="360"/>
      </w:pPr>
      <w:rPr>
        <w:rFonts w:ascii="Arial" w:hAnsi="Arial" w:hint="default"/>
      </w:rPr>
    </w:lvl>
    <w:lvl w:ilvl="8" w:tplc="1ED43244"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253F2B53"/>
    <w:multiLevelType w:val="hybridMultilevel"/>
    <w:tmpl w:val="8B96859E"/>
    <w:lvl w:ilvl="0" w:tplc="A8AEA676">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4" w15:restartNumberingAfterBreak="0">
    <w:nsid w:val="30876349"/>
    <w:multiLevelType w:val="hybridMultilevel"/>
    <w:tmpl w:val="5D109F06"/>
    <w:lvl w:ilvl="0" w:tplc="8ED64592">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5" w15:restartNumberingAfterBreak="0">
    <w:nsid w:val="34F428DD"/>
    <w:multiLevelType w:val="hybridMultilevel"/>
    <w:tmpl w:val="EF16B0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A447BC0"/>
    <w:multiLevelType w:val="hybridMultilevel"/>
    <w:tmpl w:val="AEDCB83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D4957FC"/>
    <w:multiLevelType w:val="hybridMultilevel"/>
    <w:tmpl w:val="4588CBD8"/>
    <w:lvl w:ilvl="0" w:tplc="B8FE7EF0">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8" w15:restartNumberingAfterBreak="0">
    <w:nsid w:val="3F4F7DA1"/>
    <w:multiLevelType w:val="hybridMultilevel"/>
    <w:tmpl w:val="5D109F06"/>
    <w:lvl w:ilvl="0" w:tplc="FFFFFFFF">
      <w:start w:val="1"/>
      <w:numFmt w:val="decimal"/>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19" w15:restartNumberingAfterBreak="0">
    <w:nsid w:val="407A4788"/>
    <w:multiLevelType w:val="hybridMultilevel"/>
    <w:tmpl w:val="996C52AC"/>
    <w:lvl w:ilvl="0" w:tplc="08C6FD6A">
      <w:start w:val="1"/>
      <w:numFmt w:val="decimal"/>
      <w:lvlText w:val="%1."/>
      <w:lvlJc w:val="left"/>
      <w:pPr>
        <w:ind w:left="1069" w:hanging="360"/>
      </w:pPr>
      <w:rPr>
        <w:rFonts w:hint="default"/>
        <w:b w:val="0"/>
        <w:bCs/>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0" w15:restartNumberingAfterBreak="0">
    <w:nsid w:val="458678C0"/>
    <w:multiLevelType w:val="hybridMultilevel"/>
    <w:tmpl w:val="4EC0A03A"/>
    <w:lvl w:ilvl="0" w:tplc="0419000F">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1" w15:restartNumberingAfterBreak="0">
    <w:nsid w:val="4D0A4A1D"/>
    <w:multiLevelType w:val="hybridMultilevel"/>
    <w:tmpl w:val="DA14AC30"/>
    <w:lvl w:ilvl="0" w:tplc="B19A00C4">
      <w:start w:val="1"/>
      <w:numFmt w:val="decimal"/>
      <w:lvlText w:val="%1."/>
      <w:lvlJc w:val="left"/>
      <w:pPr>
        <w:ind w:left="1129" w:hanging="4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15:restartNumberingAfterBreak="0">
    <w:nsid w:val="527469D8"/>
    <w:multiLevelType w:val="hybridMultilevel"/>
    <w:tmpl w:val="1BB8E332"/>
    <w:lvl w:ilvl="0" w:tplc="A72CE21E">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3" w15:restartNumberingAfterBreak="0">
    <w:nsid w:val="53D96614"/>
    <w:multiLevelType w:val="hybridMultilevel"/>
    <w:tmpl w:val="1BB8E33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5C7A0580"/>
    <w:multiLevelType w:val="hybridMultilevel"/>
    <w:tmpl w:val="B76EAF58"/>
    <w:lvl w:ilvl="0" w:tplc="0419000F">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5" w15:restartNumberingAfterBreak="0">
    <w:nsid w:val="626D4D96"/>
    <w:multiLevelType w:val="hybridMultilevel"/>
    <w:tmpl w:val="77AC8C0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65DA16C1"/>
    <w:multiLevelType w:val="hybridMultilevel"/>
    <w:tmpl w:val="390CE88A"/>
    <w:lvl w:ilvl="0" w:tplc="46F8F986">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7" w15:restartNumberingAfterBreak="0">
    <w:nsid w:val="6E631B04"/>
    <w:multiLevelType w:val="hybridMultilevel"/>
    <w:tmpl w:val="1B8086AC"/>
    <w:lvl w:ilvl="0" w:tplc="C5D2ACBC">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8" w15:restartNumberingAfterBreak="0">
    <w:nsid w:val="70B06613"/>
    <w:multiLevelType w:val="hybridMultilevel"/>
    <w:tmpl w:val="85825CEE"/>
    <w:lvl w:ilvl="0" w:tplc="8B328A1A">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9" w15:restartNumberingAfterBreak="0">
    <w:nsid w:val="7943441D"/>
    <w:multiLevelType w:val="hybridMultilevel"/>
    <w:tmpl w:val="047C5272"/>
    <w:lvl w:ilvl="0" w:tplc="5B36B298">
      <w:start w:val="1"/>
      <w:numFmt w:val="decimal"/>
      <w:lvlText w:val="%1."/>
      <w:lvlJc w:val="left"/>
      <w:pPr>
        <w:ind w:left="1069" w:hanging="360"/>
      </w:pPr>
      <w:rPr>
        <w:rFonts w:eastAsia="TimesNewRomanPS-BoldMT" w:hint="default"/>
        <w:color w:val="auto"/>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30" w15:restartNumberingAfterBreak="0">
    <w:nsid w:val="7B7A5A60"/>
    <w:multiLevelType w:val="hybridMultilevel"/>
    <w:tmpl w:val="AD8EAA92"/>
    <w:lvl w:ilvl="0" w:tplc="240C3FF8">
      <w:start w:val="1"/>
      <w:numFmt w:val="bullet"/>
      <w:lvlText w:val="•"/>
      <w:lvlJc w:val="left"/>
      <w:pPr>
        <w:tabs>
          <w:tab w:val="num" w:pos="720"/>
        </w:tabs>
        <w:ind w:left="720" w:hanging="360"/>
      </w:pPr>
      <w:rPr>
        <w:rFonts w:ascii="Arial" w:hAnsi="Arial" w:hint="default"/>
      </w:rPr>
    </w:lvl>
    <w:lvl w:ilvl="1" w:tplc="7026D278" w:tentative="1">
      <w:start w:val="1"/>
      <w:numFmt w:val="bullet"/>
      <w:lvlText w:val="•"/>
      <w:lvlJc w:val="left"/>
      <w:pPr>
        <w:tabs>
          <w:tab w:val="num" w:pos="1440"/>
        </w:tabs>
        <w:ind w:left="1440" w:hanging="360"/>
      </w:pPr>
      <w:rPr>
        <w:rFonts w:ascii="Arial" w:hAnsi="Arial" w:hint="default"/>
      </w:rPr>
    </w:lvl>
    <w:lvl w:ilvl="2" w:tplc="E8800AE8" w:tentative="1">
      <w:start w:val="1"/>
      <w:numFmt w:val="bullet"/>
      <w:lvlText w:val="•"/>
      <w:lvlJc w:val="left"/>
      <w:pPr>
        <w:tabs>
          <w:tab w:val="num" w:pos="2160"/>
        </w:tabs>
        <w:ind w:left="2160" w:hanging="360"/>
      </w:pPr>
      <w:rPr>
        <w:rFonts w:ascii="Arial" w:hAnsi="Arial" w:hint="default"/>
      </w:rPr>
    </w:lvl>
    <w:lvl w:ilvl="3" w:tplc="DA1AC90C" w:tentative="1">
      <w:start w:val="1"/>
      <w:numFmt w:val="bullet"/>
      <w:lvlText w:val="•"/>
      <w:lvlJc w:val="left"/>
      <w:pPr>
        <w:tabs>
          <w:tab w:val="num" w:pos="2880"/>
        </w:tabs>
        <w:ind w:left="2880" w:hanging="360"/>
      </w:pPr>
      <w:rPr>
        <w:rFonts w:ascii="Arial" w:hAnsi="Arial" w:hint="default"/>
      </w:rPr>
    </w:lvl>
    <w:lvl w:ilvl="4" w:tplc="785AA428" w:tentative="1">
      <w:start w:val="1"/>
      <w:numFmt w:val="bullet"/>
      <w:lvlText w:val="•"/>
      <w:lvlJc w:val="left"/>
      <w:pPr>
        <w:tabs>
          <w:tab w:val="num" w:pos="3600"/>
        </w:tabs>
        <w:ind w:left="3600" w:hanging="360"/>
      </w:pPr>
      <w:rPr>
        <w:rFonts w:ascii="Arial" w:hAnsi="Arial" w:hint="default"/>
      </w:rPr>
    </w:lvl>
    <w:lvl w:ilvl="5" w:tplc="396E7B78" w:tentative="1">
      <w:start w:val="1"/>
      <w:numFmt w:val="bullet"/>
      <w:lvlText w:val="•"/>
      <w:lvlJc w:val="left"/>
      <w:pPr>
        <w:tabs>
          <w:tab w:val="num" w:pos="4320"/>
        </w:tabs>
        <w:ind w:left="4320" w:hanging="360"/>
      </w:pPr>
      <w:rPr>
        <w:rFonts w:ascii="Arial" w:hAnsi="Arial" w:hint="default"/>
      </w:rPr>
    </w:lvl>
    <w:lvl w:ilvl="6" w:tplc="05C81AE6" w:tentative="1">
      <w:start w:val="1"/>
      <w:numFmt w:val="bullet"/>
      <w:lvlText w:val="•"/>
      <w:lvlJc w:val="left"/>
      <w:pPr>
        <w:tabs>
          <w:tab w:val="num" w:pos="5040"/>
        </w:tabs>
        <w:ind w:left="5040" w:hanging="360"/>
      </w:pPr>
      <w:rPr>
        <w:rFonts w:ascii="Arial" w:hAnsi="Arial" w:hint="default"/>
      </w:rPr>
    </w:lvl>
    <w:lvl w:ilvl="7" w:tplc="558C585E" w:tentative="1">
      <w:start w:val="1"/>
      <w:numFmt w:val="bullet"/>
      <w:lvlText w:val="•"/>
      <w:lvlJc w:val="left"/>
      <w:pPr>
        <w:tabs>
          <w:tab w:val="num" w:pos="5760"/>
        </w:tabs>
        <w:ind w:left="5760" w:hanging="360"/>
      </w:pPr>
      <w:rPr>
        <w:rFonts w:ascii="Arial" w:hAnsi="Arial" w:hint="default"/>
      </w:rPr>
    </w:lvl>
    <w:lvl w:ilvl="8" w:tplc="8D5EE8D6"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7DF43F20"/>
    <w:multiLevelType w:val="hybridMultilevel"/>
    <w:tmpl w:val="DD407374"/>
    <w:lvl w:ilvl="0" w:tplc="8BA48644">
      <w:start w:val="1"/>
      <w:numFmt w:val="bullet"/>
      <w:lvlText w:val="•"/>
      <w:lvlJc w:val="left"/>
      <w:pPr>
        <w:tabs>
          <w:tab w:val="num" w:pos="720"/>
        </w:tabs>
        <w:ind w:left="720" w:hanging="360"/>
      </w:pPr>
      <w:rPr>
        <w:rFonts w:ascii="Times New Roman" w:hAnsi="Times New Roman" w:hint="default"/>
      </w:rPr>
    </w:lvl>
    <w:lvl w:ilvl="1" w:tplc="7FE60E9C" w:tentative="1">
      <w:start w:val="1"/>
      <w:numFmt w:val="bullet"/>
      <w:lvlText w:val="•"/>
      <w:lvlJc w:val="left"/>
      <w:pPr>
        <w:tabs>
          <w:tab w:val="num" w:pos="1440"/>
        </w:tabs>
        <w:ind w:left="1440" w:hanging="360"/>
      </w:pPr>
      <w:rPr>
        <w:rFonts w:ascii="Times New Roman" w:hAnsi="Times New Roman" w:hint="default"/>
      </w:rPr>
    </w:lvl>
    <w:lvl w:ilvl="2" w:tplc="FB6E3392" w:tentative="1">
      <w:start w:val="1"/>
      <w:numFmt w:val="bullet"/>
      <w:lvlText w:val="•"/>
      <w:lvlJc w:val="left"/>
      <w:pPr>
        <w:tabs>
          <w:tab w:val="num" w:pos="2160"/>
        </w:tabs>
        <w:ind w:left="2160" w:hanging="360"/>
      </w:pPr>
      <w:rPr>
        <w:rFonts w:ascii="Times New Roman" w:hAnsi="Times New Roman" w:hint="default"/>
      </w:rPr>
    </w:lvl>
    <w:lvl w:ilvl="3" w:tplc="E5EEA250" w:tentative="1">
      <w:start w:val="1"/>
      <w:numFmt w:val="bullet"/>
      <w:lvlText w:val="•"/>
      <w:lvlJc w:val="left"/>
      <w:pPr>
        <w:tabs>
          <w:tab w:val="num" w:pos="2880"/>
        </w:tabs>
        <w:ind w:left="2880" w:hanging="360"/>
      </w:pPr>
      <w:rPr>
        <w:rFonts w:ascii="Times New Roman" w:hAnsi="Times New Roman" w:hint="default"/>
      </w:rPr>
    </w:lvl>
    <w:lvl w:ilvl="4" w:tplc="681EC5F6" w:tentative="1">
      <w:start w:val="1"/>
      <w:numFmt w:val="bullet"/>
      <w:lvlText w:val="•"/>
      <w:lvlJc w:val="left"/>
      <w:pPr>
        <w:tabs>
          <w:tab w:val="num" w:pos="3600"/>
        </w:tabs>
        <w:ind w:left="3600" w:hanging="360"/>
      </w:pPr>
      <w:rPr>
        <w:rFonts w:ascii="Times New Roman" w:hAnsi="Times New Roman" w:hint="default"/>
      </w:rPr>
    </w:lvl>
    <w:lvl w:ilvl="5" w:tplc="127C63EE" w:tentative="1">
      <w:start w:val="1"/>
      <w:numFmt w:val="bullet"/>
      <w:lvlText w:val="•"/>
      <w:lvlJc w:val="left"/>
      <w:pPr>
        <w:tabs>
          <w:tab w:val="num" w:pos="4320"/>
        </w:tabs>
        <w:ind w:left="4320" w:hanging="360"/>
      </w:pPr>
      <w:rPr>
        <w:rFonts w:ascii="Times New Roman" w:hAnsi="Times New Roman" w:hint="default"/>
      </w:rPr>
    </w:lvl>
    <w:lvl w:ilvl="6" w:tplc="293437EE" w:tentative="1">
      <w:start w:val="1"/>
      <w:numFmt w:val="bullet"/>
      <w:lvlText w:val="•"/>
      <w:lvlJc w:val="left"/>
      <w:pPr>
        <w:tabs>
          <w:tab w:val="num" w:pos="5040"/>
        </w:tabs>
        <w:ind w:left="5040" w:hanging="360"/>
      </w:pPr>
      <w:rPr>
        <w:rFonts w:ascii="Times New Roman" w:hAnsi="Times New Roman" w:hint="default"/>
      </w:rPr>
    </w:lvl>
    <w:lvl w:ilvl="7" w:tplc="315E6B3C" w:tentative="1">
      <w:start w:val="1"/>
      <w:numFmt w:val="bullet"/>
      <w:lvlText w:val="•"/>
      <w:lvlJc w:val="left"/>
      <w:pPr>
        <w:tabs>
          <w:tab w:val="num" w:pos="5760"/>
        </w:tabs>
        <w:ind w:left="5760" w:hanging="360"/>
      </w:pPr>
      <w:rPr>
        <w:rFonts w:ascii="Times New Roman" w:hAnsi="Times New Roman" w:hint="default"/>
      </w:rPr>
    </w:lvl>
    <w:lvl w:ilvl="8" w:tplc="58DC64DE" w:tentative="1">
      <w:start w:val="1"/>
      <w:numFmt w:val="bullet"/>
      <w:lvlText w:val="•"/>
      <w:lvlJc w:val="left"/>
      <w:pPr>
        <w:tabs>
          <w:tab w:val="num" w:pos="6480"/>
        </w:tabs>
        <w:ind w:left="6480" w:hanging="360"/>
      </w:pPr>
      <w:rPr>
        <w:rFonts w:ascii="Times New Roman" w:hAnsi="Times New Roman" w:hint="default"/>
      </w:rPr>
    </w:lvl>
  </w:abstractNum>
  <w:num w:numId="1" w16cid:durableId="1101602763">
    <w:abstractNumId w:val="5"/>
  </w:num>
  <w:num w:numId="2" w16cid:durableId="927153080">
    <w:abstractNumId w:val="3"/>
  </w:num>
  <w:num w:numId="3" w16cid:durableId="540169181">
    <w:abstractNumId w:val="2"/>
  </w:num>
  <w:num w:numId="4" w16cid:durableId="454833750">
    <w:abstractNumId w:val="4"/>
  </w:num>
  <w:num w:numId="5" w16cid:durableId="216552687">
    <w:abstractNumId w:val="1"/>
  </w:num>
  <w:num w:numId="6" w16cid:durableId="991719518">
    <w:abstractNumId w:val="0"/>
  </w:num>
  <w:num w:numId="7" w16cid:durableId="1132867645">
    <w:abstractNumId w:val="19"/>
  </w:num>
  <w:num w:numId="8" w16cid:durableId="1883786567">
    <w:abstractNumId w:val="28"/>
  </w:num>
  <w:num w:numId="9" w16cid:durableId="490485810">
    <w:abstractNumId w:val="14"/>
  </w:num>
  <w:num w:numId="10" w16cid:durableId="143395378">
    <w:abstractNumId w:val="26"/>
  </w:num>
  <w:num w:numId="11" w16cid:durableId="104690371">
    <w:abstractNumId w:val="22"/>
  </w:num>
  <w:num w:numId="12" w16cid:durableId="24913131">
    <w:abstractNumId w:val="8"/>
  </w:num>
  <w:num w:numId="13" w16cid:durableId="1614170106">
    <w:abstractNumId w:val="29"/>
  </w:num>
  <w:num w:numId="14" w16cid:durableId="1215388065">
    <w:abstractNumId w:val="24"/>
  </w:num>
  <w:num w:numId="15" w16cid:durableId="1136525558">
    <w:abstractNumId w:val="20"/>
  </w:num>
  <w:num w:numId="16" w16cid:durableId="1104034350">
    <w:abstractNumId w:val="17"/>
  </w:num>
  <w:num w:numId="17" w16cid:durableId="1375429091">
    <w:abstractNumId w:val="27"/>
  </w:num>
  <w:num w:numId="18" w16cid:durableId="526917657">
    <w:abstractNumId w:val="13"/>
  </w:num>
  <w:num w:numId="19" w16cid:durableId="80490004">
    <w:abstractNumId w:val="31"/>
  </w:num>
  <w:num w:numId="20" w16cid:durableId="748307741">
    <w:abstractNumId w:val="18"/>
  </w:num>
  <w:num w:numId="21" w16cid:durableId="929628404">
    <w:abstractNumId w:val="11"/>
  </w:num>
  <w:num w:numId="22" w16cid:durableId="1929189528">
    <w:abstractNumId w:val="6"/>
  </w:num>
  <w:num w:numId="23" w16cid:durableId="1292785774">
    <w:abstractNumId w:val="7"/>
  </w:num>
  <w:num w:numId="24" w16cid:durableId="1046106750">
    <w:abstractNumId w:val="23"/>
  </w:num>
  <w:num w:numId="25" w16cid:durableId="116996947">
    <w:abstractNumId w:val="10"/>
  </w:num>
  <w:num w:numId="26" w16cid:durableId="1242642574">
    <w:abstractNumId w:val="9"/>
  </w:num>
  <w:num w:numId="27" w16cid:durableId="418016759">
    <w:abstractNumId w:val="21"/>
  </w:num>
  <w:num w:numId="28" w16cid:durableId="1543438414">
    <w:abstractNumId w:val="25"/>
  </w:num>
  <w:num w:numId="29" w16cid:durableId="2050957201">
    <w:abstractNumId w:val="16"/>
  </w:num>
  <w:num w:numId="30" w16cid:durableId="763722542">
    <w:abstractNumId w:val="15"/>
  </w:num>
  <w:num w:numId="31" w16cid:durableId="1348560821">
    <w:abstractNumId w:val="12"/>
  </w:num>
  <w:num w:numId="32" w16cid:durableId="2112315928">
    <w:abstractNumId w:val="3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activeWritingStyle w:appName="MSWord" w:lang="ru-RU" w:vendorID="64" w:dllVersion="6" w:nlCheck="1" w:checkStyle="0"/>
  <w:activeWritingStyle w:appName="MSWord" w:lang="en-US" w:vendorID="64" w:dllVersion="6" w:nlCheck="1" w:checkStyle="0"/>
  <w:activeWritingStyle w:appName="MSWord" w:lang="ru-RU" w:vendorID="64" w:dllVersion="4096" w:nlCheck="1" w:checkStyle="0"/>
  <w:activeWritingStyle w:appName="MSWord" w:lang="en-US" w:vendorID="64" w:dllVersion="4096" w:nlCheck="1" w:checkStyle="0"/>
  <w:activeWritingStyle w:appName="MSWord" w:lang="ru-RU" w:vendorID="64" w:dllVersion="0" w:nlCheck="1" w:checkStyle="0"/>
  <w:activeWritingStyle w:appName="MSWord" w:lang="en-US" w:vendorID="64" w:dllVersion="0" w:nlCheck="1" w:checkStyle="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D0A6C"/>
    <w:rsid w:val="00000353"/>
    <w:rsid w:val="0000211C"/>
    <w:rsid w:val="000048BD"/>
    <w:rsid w:val="00006C4D"/>
    <w:rsid w:val="00010DBF"/>
    <w:rsid w:val="000114D6"/>
    <w:rsid w:val="000123EF"/>
    <w:rsid w:val="00016E33"/>
    <w:rsid w:val="000170A7"/>
    <w:rsid w:val="000206E1"/>
    <w:rsid w:val="0002311E"/>
    <w:rsid w:val="000238C8"/>
    <w:rsid w:val="00025941"/>
    <w:rsid w:val="00027A74"/>
    <w:rsid w:val="00031FBC"/>
    <w:rsid w:val="000334C4"/>
    <w:rsid w:val="000374FD"/>
    <w:rsid w:val="000402BF"/>
    <w:rsid w:val="00040E82"/>
    <w:rsid w:val="00045B12"/>
    <w:rsid w:val="00051345"/>
    <w:rsid w:val="0005290C"/>
    <w:rsid w:val="000534CE"/>
    <w:rsid w:val="00054633"/>
    <w:rsid w:val="0005535B"/>
    <w:rsid w:val="00056333"/>
    <w:rsid w:val="00056E11"/>
    <w:rsid w:val="000606FD"/>
    <w:rsid w:val="00060997"/>
    <w:rsid w:val="00061BA9"/>
    <w:rsid w:val="000621DD"/>
    <w:rsid w:val="00062429"/>
    <w:rsid w:val="00063503"/>
    <w:rsid w:val="000648E2"/>
    <w:rsid w:val="000660A3"/>
    <w:rsid w:val="00075B22"/>
    <w:rsid w:val="00077B5F"/>
    <w:rsid w:val="00077C46"/>
    <w:rsid w:val="00080E81"/>
    <w:rsid w:val="00080FA2"/>
    <w:rsid w:val="0008288A"/>
    <w:rsid w:val="00082D53"/>
    <w:rsid w:val="000852A7"/>
    <w:rsid w:val="00085885"/>
    <w:rsid w:val="00086051"/>
    <w:rsid w:val="000874C1"/>
    <w:rsid w:val="00087A8F"/>
    <w:rsid w:val="000906ED"/>
    <w:rsid w:val="00093E79"/>
    <w:rsid w:val="00093F12"/>
    <w:rsid w:val="00095412"/>
    <w:rsid w:val="00095495"/>
    <w:rsid w:val="00095552"/>
    <w:rsid w:val="00097193"/>
    <w:rsid w:val="000A27A0"/>
    <w:rsid w:val="000A32F0"/>
    <w:rsid w:val="000A332E"/>
    <w:rsid w:val="000A510E"/>
    <w:rsid w:val="000A532A"/>
    <w:rsid w:val="000A5C04"/>
    <w:rsid w:val="000A6437"/>
    <w:rsid w:val="000A69C1"/>
    <w:rsid w:val="000A6F86"/>
    <w:rsid w:val="000B0305"/>
    <w:rsid w:val="000B192F"/>
    <w:rsid w:val="000B36D6"/>
    <w:rsid w:val="000B6935"/>
    <w:rsid w:val="000B6CAC"/>
    <w:rsid w:val="000B7AAE"/>
    <w:rsid w:val="000C0251"/>
    <w:rsid w:val="000C2EC5"/>
    <w:rsid w:val="000C3F8A"/>
    <w:rsid w:val="000C6CBF"/>
    <w:rsid w:val="000D2780"/>
    <w:rsid w:val="000D3C19"/>
    <w:rsid w:val="000D508F"/>
    <w:rsid w:val="000E04EA"/>
    <w:rsid w:val="000E18A2"/>
    <w:rsid w:val="000E2A12"/>
    <w:rsid w:val="000E6333"/>
    <w:rsid w:val="000E6538"/>
    <w:rsid w:val="000F053B"/>
    <w:rsid w:val="000F0776"/>
    <w:rsid w:val="000F6C1B"/>
    <w:rsid w:val="000F71AA"/>
    <w:rsid w:val="000F72E4"/>
    <w:rsid w:val="000F7450"/>
    <w:rsid w:val="000F7CD4"/>
    <w:rsid w:val="00100462"/>
    <w:rsid w:val="00101272"/>
    <w:rsid w:val="00101C5B"/>
    <w:rsid w:val="0010281A"/>
    <w:rsid w:val="00102EE2"/>
    <w:rsid w:val="00105031"/>
    <w:rsid w:val="00112995"/>
    <w:rsid w:val="00112B01"/>
    <w:rsid w:val="001141BC"/>
    <w:rsid w:val="00114795"/>
    <w:rsid w:val="00116350"/>
    <w:rsid w:val="00121E9D"/>
    <w:rsid w:val="00125072"/>
    <w:rsid w:val="00125314"/>
    <w:rsid w:val="00133257"/>
    <w:rsid w:val="00142AAC"/>
    <w:rsid w:val="0014310F"/>
    <w:rsid w:val="0014452B"/>
    <w:rsid w:val="00146565"/>
    <w:rsid w:val="00150973"/>
    <w:rsid w:val="001510CB"/>
    <w:rsid w:val="00151301"/>
    <w:rsid w:val="00152985"/>
    <w:rsid w:val="00153531"/>
    <w:rsid w:val="0015734D"/>
    <w:rsid w:val="0016072F"/>
    <w:rsid w:val="00162F5B"/>
    <w:rsid w:val="00163C20"/>
    <w:rsid w:val="00163C72"/>
    <w:rsid w:val="00164F60"/>
    <w:rsid w:val="0016585B"/>
    <w:rsid w:val="00165900"/>
    <w:rsid w:val="0016610B"/>
    <w:rsid w:val="0016616B"/>
    <w:rsid w:val="00171191"/>
    <w:rsid w:val="00174D09"/>
    <w:rsid w:val="001753A7"/>
    <w:rsid w:val="001769E6"/>
    <w:rsid w:val="00184001"/>
    <w:rsid w:val="0018432B"/>
    <w:rsid w:val="00185C8F"/>
    <w:rsid w:val="001871C9"/>
    <w:rsid w:val="0019604F"/>
    <w:rsid w:val="0019618F"/>
    <w:rsid w:val="00196908"/>
    <w:rsid w:val="00196E25"/>
    <w:rsid w:val="001A0532"/>
    <w:rsid w:val="001A0B89"/>
    <w:rsid w:val="001A11F9"/>
    <w:rsid w:val="001A1D98"/>
    <w:rsid w:val="001A4BAE"/>
    <w:rsid w:val="001A6F98"/>
    <w:rsid w:val="001A73CC"/>
    <w:rsid w:val="001A76A4"/>
    <w:rsid w:val="001A7EDA"/>
    <w:rsid w:val="001B6E58"/>
    <w:rsid w:val="001C0B77"/>
    <w:rsid w:val="001C1E3C"/>
    <w:rsid w:val="001C23BA"/>
    <w:rsid w:val="001C3B22"/>
    <w:rsid w:val="001C40D1"/>
    <w:rsid w:val="001C587A"/>
    <w:rsid w:val="001C6451"/>
    <w:rsid w:val="001D0D41"/>
    <w:rsid w:val="001D1022"/>
    <w:rsid w:val="001D33E2"/>
    <w:rsid w:val="001D34DA"/>
    <w:rsid w:val="001D35B5"/>
    <w:rsid w:val="001D6CE7"/>
    <w:rsid w:val="001D72FC"/>
    <w:rsid w:val="001D7E76"/>
    <w:rsid w:val="001E3FAE"/>
    <w:rsid w:val="001E420C"/>
    <w:rsid w:val="001E5B8C"/>
    <w:rsid w:val="001E63F1"/>
    <w:rsid w:val="001E7698"/>
    <w:rsid w:val="001F007B"/>
    <w:rsid w:val="001F5E60"/>
    <w:rsid w:val="001F616E"/>
    <w:rsid w:val="00200BE5"/>
    <w:rsid w:val="00200D44"/>
    <w:rsid w:val="0020110A"/>
    <w:rsid w:val="00202F2B"/>
    <w:rsid w:val="002033EA"/>
    <w:rsid w:val="0020468E"/>
    <w:rsid w:val="0020533C"/>
    <w:rsid w:val="00205CB7"/>
    <w:rsid w:val="00206FD1"/>
    <w:rsid w:val="0021367F"/>
    <w:rsid w:val="00216007"/>
    <w:rsid w:val="00220005"/>
    <w:rsid w:val="0022349A"/>
    <w:rsid w:val="00226B5C"/>
    <w:rsid w:val="00227231"/>
    <w:rsid w:val="002275A2"/>
    <w:rsid w:val="002316DB"/>
    <w:rsid w:val="0023182A"/>
    <w:rsid w:val="00240180"/>
    <w:rsid w:val="0024048B"/>
    <w:rsid w:val="00242576"/>
    <w:rsid w:val="0024258A"/>
    <w:rsid w:val="002437EE"/>
    <w:rsid w:val="00243F47"/>
    <w:rsid w:val="002464E4"/>
    <w:rsid w:val="00251916"/>
    <w:rsid w:val="00252597"/>
    <w:rsid w:val="00252824"/>
    <w:rsid w:val="00252AC9"/>
    <w:rsid w:val="002552EF"/>
    <w:rsid w:val="002553C3"/>
    <w:rsid w:val="00256183"/>
    <w:rsid w:val="00256C9D"/>
    <w:rsid w:val="00256F31"/>
    <w:rsid w:val="00261705"/>
    <w:rsid w:val="00263562"/>
    <w:rsid w:val="002636FE"/>
    <w:rsid w:val="00263C1B"/>
    <w:rsid w:val="00267046"/>
    <w:rsid w:val="00270617"/>
    <w:rsid w:val="0027148A"/>
    <w:rsid w:val="00272A89"/>
    <w:rsid w:val="00277A36"/>
    <w:rsid w:val="002803D8"/>
    <w:rsid w:val="0028124D"/>
    <w:rsid w:val="0028145A"/>
    <w:rsid w:val="00281697"/>
    <w:rsid w:val="002836CC"/>
    <w:rsid w:val="002843A9"/>
    <w:rsid w:val="00290AA2"/>
    <w:rsid w:val="00292863"/>
    <w:rsid w:val="00292F02"/>
    <w:rsid w:val="00294877"/>
    <w:rsid w:val="00295362"/>
    <w:rsid w:val="00297661"/>
    <w:rsid w:val="002A1668"/>
    <w:rsid w:val="002A1A50"/>
    <w:rsid w:val="002A3420"/>
    <w:rsid w:val="002C0068"/>
    <w:rsid w:val="002C1D3D"/>
    <w:rsid w:val="002C2CCA"/>
    <w:rsid w:val="002C3553"/>
    <w:rsid w:val="002C5E87"/>
    <w:rsid w:val="002C6721"/>
    <w:rsid w:val="002C7694"/>
    <w:rsid w:val="002D1619"/>
    <w:rsid w:val="002D389C"/>
    <w:rsid w:val="002D7BBC"/>
    <w:rsid w:val="002E0731"/>
    <w:rsid w:val="002E19CF"/>
    <w:rsid w:val="002E28EB"/>
    <w:rsid w:val="002E3655"/>
    <w:rsid w:val="002E45A2"/>
    <w:rsid w:val="002E5A0C"/>
    <w:rsid w:val="002E5A22"/>
    <w:rsid w:val="002E6B50"/>
    <w:rsid w:val="002E7A0B"/>
    <w:rsid w:val="002F078D"/>
    <w:rsid w:val="002F1CEB"/>
    <w:rsid w:val="002F2006"/>
    <w:rsid w:val="002F4615"/>
    <w:rsid w:val="0030034F"/>
    <w:rsid w:val="00301119"/>
    <w:rsid w:val="003018CE"/>
    <w:rsid w:val="00301C2E"/>
    <w:rsid w:val="00302EA8"/>
    <w:rsid w:val="00303540"/>
    <w:rsid w:val="00303695"/>
    <w:rsid w:val="00303C3D"/>
    <w:rsid w:val="00303CC1"/>
    <w:rsid w:val="00311C89"/>
    <w:rsid w:val="003123D9"/>
    <w:rsid w:val="00313061"/>
    <w:rsid w:val="003131C2"/>
    <w:rsid w:val="003136DF"/>
    <w:rsid w:val="00314BDA"/>
    <w:rsid w:val="00314C52"/>
    <w:rsid w:val="00315BDB"/>
    <w:rsid w:val="00316240"/>
    <w:rsid w:val="00317118"/>
    <w:rsid w:val="00320AA8"/>
    <w:rsid w:val="003235EF"/>
    <w:rsid w:val="0032429A"/>
    <w:rsid w:val="003274AB"/>
    <w:rsid w:val="00333169"/>
    <w:rsid w:val="00334271"/>
    <w:rsid w:val="003348EE"/>
    <w:rsid w:val="0033500B"/>
    <w:rsid w:val="0033562D"/>
    <w:rsid w:val="00336C46"/>
    <w:rsid w:val="003447F3"/>
    <w:rsid w:val="00345562"/>
    <w:rsid w:val="00350759"/>
    <w:rsid w:val="00350B72"/>
    <w:rsid w:val="00351047"/>
    <w:rsid w:val="0035160F"/>
    <w:rsid w:val="00351D40"/>
    <w:rsid w:val="003523FB"/>
    <w:rsid w:val="00353E41"/>
    <w:rsid w:val="003549B5"/>
    <w:rsid w:val="003556BF"/>
    <w:rsid w:val="00355757"/>
    <w:rsid w:val="00361C60"/>
    <w:rsid w:val="00361DDD"/>
    <w:rsid w:val="00362068"/>
    <w:rsid w:val="00362965"/>
    <w:rsid w:val="003704EC"/>
    <w:rsid w:val="00371991"/>
    <w:rsid w:val="00372E4F"/>
    <w:rsid w:val="0037404B"/>
    <w:rsid w:val="00374EA4"/>
    <w:rsid w:val="003752DC"/>
    <w:rsid w:val="00377773"/>
    <w:rsid w:val="00377DCC"/>
    <w:rsid w:val="003804E4"/>
    <w:rsid w:val="00380E2C"/>
    <w:rsid w:val="003818B3"/>
    <w:rsid w:val="00383BBE"/>
    <w:rsid w:val="003844C6"/>
    <w:rsid w:val="003874DA"/>
    <w:rsid w:val="003903EF"/>
    <w:rsid w:val="00391693"/>
    <w:rsid w:val="00391CED"/>
    <w:rsid w:val="00393507"/>
    <w:rsid w:val="00395B35"/>
    <w:rsid w:val="0039678B"/>
    <w:rsid w:val="00397447"/>
    <w:rsid w:val="003A1CFB"/>
    <w:rsid w:val="003A1F16"/>
    <w:rsid w:val="003A239D"/>
    <w:rsid w:val="003A5B51"/>
    <w:rsid w:val="003A60C4"/>
    <w:rsid w:val="003A68B6"/>
    <w:rsid w:val="003A6D65"/>
    <w:rsid w:val="003B07F1"/>
    <w:rsid w:val="003B3B5B"/>
    <w:rsid w:val="003B4B8D"/>
    <w:rsid w:val="003B5DD4"/>
    <w:rsid w:val="003B66D6"/>
    <w:rsid w:val="003C22F7"/>
    <w:rsid w:val="003C3E23"/>
    <w:rsid w:val="003C445E"/>
    <w:rsid w:val="003C4A92"/>
    <w:rsid w:val="003C68DB"/>
    <w:rsid w:val="003D066C"/>
    <w:rsid w:val="003D0C73"/>
    <w:rsid w:val="003D237E"/>
    <w:rsid w:val="003D2EEF"/>
    <w:rsid w:val="003D41FA"/>
    <w:rsid w:val="003D495E"/>
    <w:rsid w:val="003D63AD"/>
    <w:rsid w:val="003E097F"/>
    <w:rsid w:val="003E10D9"/>
    <w:rsid w:val="003E27F6"/>
    <w:rsid w:val="003E35F6"/>
    <w:rsid w:val="003E3D13"/>
    <w:rsid w:val="003E4A29"/>
    <w:rsid w:val="003E57FA"/>
    <w:rsid w:val="003E7246"/>
    <w:rsid w:val="003F0A73"/>
    <w:rsid w:val="003F2E99"/>
    <w:rsid w:val="003F382D"/>
    <w:rsid w:val="003F439D"/>
    <w:rsid w:val="003F63EF"/>
    <w:rsid w:val="003F677C"/>
    <w:rsid w:val="003F6F6A"/>
    <w:rsid w:val="003F790F"/>
    <w:rsid w:val="00410A3D"/>
    <w:rsid w:val="004226EF"/>
    <w:rsid w:val="00422F61"/>
    <w:rsid w:val="00422F8C"/>
    <w:rsid w:val="0042358B"/>
    <w:rsid w:val="004240CE"/>
    <w:rsid w:val="00426E10"/>
    <w:rsid w:val="00436813"/>
    <w:rsid w:val="004413BC"/>
    <w:rsid w:val="00441AA0"/>
    <w:rsid w:val="0044205F"/>
    <w:rsid w:val="00446A37"/>
    <w:rsid w:val="004479E0"/>
    <w:rsid w:val="00450839"/>
    <w:rsid w:val="00451963"/>
    <w:rsid w:val="00452443"/>
    <w:rsid w:val="004533C7"/>
    <w:rsid w:val="004536D1"/>
    <w:rsid w:val="00453A9B"/>
    <w:rsid w:val="00455ECE"/>
    <w:rsid w:val="0046142C"/>
    <w:rsid w:val="004619B7"/>
    <w:rsid w:val="0046232A"/>
    <w:rsid w:val="00463107"/>
    <w:rsid w:val="00465BDF"/>
    <w:rsid w:val="00466453"/>
    <w:rsid w:val="00467688"/>
    <w:rsid w:val="004721E9"/>
    <w:rsid w:val="0047393C"/>
    <w:rsid w:val="00482050"/>
    <w:rsid w:val="0048283A"/>
    <w:rsid w:val="004828D1"/>
    <w:rsid w:val="004872EE"/>
    <w:rsid w:val="004875FC"/>
    <w:rsid w:val="004907FF"/>
    <w:rsid w:val="00490BD2"/>
    <w:rsid w:val="004910F4"/>
    <w:rsid w:val="004936D5"/>
    <w:rsid w:val="00493AE7"/>
    <w:rsid w:val="00494682"/>
    <w:rsid w:val="00494AFE"/>
    <w:rsid w:val="00496E88"/>
    <w:rsid w:val="00497752"/>
    <w:rsid w:val="004A075E"/>
    <w:rsid w:val="004A1334"/>
    <w:rsid w:val="004A2446"/>
    <w:rsid w:val="004A691D"/>
    <w:rsid w:val="004A7B76"/>
    <w:rsid w:val="004B11D3"/>
    <w:rsid w:val="004B1729"/>
    <w:rsid w:val="004B180E"/>
    <w:rsid w:val="004B1F41"/>
    <w:rsid w:val="004B20DD"/>
    <w:rsid w:val="004B39FE"/>
    <w:rsid w:val="004B6507"/>
    <w:rsid w:val="004B6A18"/>
    <w:rsid w:val="004B7430"/>
    <w:rsid w:val="004C062F"/>
    <w:rsid w:val="004C080C"/>
    <w:rsid w:val="004C1EE4"/>
    <w:rsid w:val="004C7DE5"/>
    <w:rsid w:val="004D1B38"/>
    <w:rsid w:val="004D52AC"/>
    <w:rsid w:val="004D58DC"/>
    <w:rsid w:val="004D5A79"/>
    <w:rsid w:val="004D5D0F"/>
    <w:rsid w:val="004E061B"/>
    <w:rsid w:val="004E3AB2"/>
    <w:rsid w:val="004E5A5F"/>
    <w:rsid w:val="004E5C79"/>
    <w:rsid w:val="004E6C8D"/>
    <w:rsid w:val="004F1730"/>
    <w:rsid w:val="004F1C8E"/>
    <w:rsid w:val="004F1F78"/>
    <w:rsid w:val="004F20A1"/>
    <w:rsid w:val="004F7742"/>
    <w:rsid w:val="004F7B23"/>
    <w:rsid w:val="005016FE"/>
    <w:rsid w:val="005032B1"/>
    <w:rsid w:val="005034C6"/>
    <w:rsid w:val="00505181"/>
    <w:rsid w:val="00506F16"/>
    <w:rsid w:val="00507679"/>
    <w:rsid w:val="0051081F"/>
    <w:rsid w:val="00510CB2"/>
    <w:rsid w:val="00515173"/>
    <w:rsid w:val="005153BA"/>
    <w:rsid w:val="00520778"/>
    <w:rsid w:val="005214EB"/>
    <w:rsid w:val="005237CD"/>
    <w:rsid w:val="005278EC"/>
    <w:rsid w:val="00530D3B"/>
    <w:rsid w:val="00530DF5"/>
    <w:rsid w:val="00531EB4"/>
    <w:rsid w:val="00533051"/>
    <w:rsid w:val="00533F3C"/>
    <w:rsid w:val="0053447F"/>
    <w:rsid w:val="00534586"/>
    <w:rsid w:val="00536329"/>
    <w:rsid w:val="005365DD"/>
    <w:rsid w:val="00541095"/>
    <w:rsid w:val="00541E46"/>
    <w:rsid w:val="00544057"/>
    <w:rsid w:val="005441A4"/>
    <w:rsid w:val="00544224"/>
    <w:rsid w:val="005447F1"/>
    <w:rsid w:val="005454FA"/>
    <w:rsid w:val="005502C9"/>
    <w:rsid w:val="00553881"/>
    <w:rsid w:val="00553E9D"/>
    <w:rsid w:val="00553EC5"/>
    <w:rsid w:val="00556A77"/>
    <w:rsid w:val="00557A8A"/>
    <w:rsid w:val="0056137B"/>
    <w:rsid w:val="00565F87"/>
    <w:rsid w:val="005734CC"/>
    <w:rsid w:val="00575F5E"/>
    <w:rsid w:val="0057645C"/>
    <w:rsid w:val="005766D6"/>
    <w:rsid w:val="0058185A"/>
    <w:rsid w:val="0058242D"/>
    <w:rsid w:val="00586C93"/>
    <w:rsid w:val="005900FC"/>
    <w:rsid w:val="00592B32"/>
    <w:rsid w:val="00593D79"/>
    <w:rsid w:val="00595CB0"/>
    <w:rsid w:val="00596C28"/>
    <w:rsid w:val="005A051A"/>
    <w:rsid w:val="005A272C"/>
    <w:rsid w:val="005B17D4"/>
    <w:rsid w:val="005B35D7"/>
    <w:rsid w:val="005B3AEC"/>
    <w:rsid w:val="005B4ED9"/>
    <w:rsid w:val="005C0A38"/>
    <w:rsid w:val="005C1463"/>
    <w:rsid w:val="005C2294"/>
    <w:rsid w:val="005C2E73"/>
    <w:rsid w:val="005C3C3F"/>
    <w:rsid w:val="005C528B"/>
    <w:rsid w:val="005C579D"/>
    <w:rsid w:val="005C692C"/>
    <w:rsid w:val="005D17A4"/>
    <w:rsid w:val="005D4816"/>
    <w:rsid w:val="005D5546"/>
    <w:rsid w:val="005D5AF3"/>
    <w:rsid w:val="005D7138"/>
    <w:rsid w:val="005E4D65"/>
    <w:rsid w:val="005E6113"/>
    <w:rsid w:val="005E677C"/>
    <w:rsid w:val="005E7848"/>
    <w:rsid w:val="005F2401"/>
    <w:rsid w:val="005F7B17"/>
    <w:rsid w:val="00603E8D"/>
    <w:rsid w:val="00604B71"/>
    <w:rsid w:val="00605B19"/>
    <w:rsid w:val="00607EED"/>
    <w:rsid w:val="00610F69"/>
    <w:rsid w:val="00612A57"/>
    <w:rsid w:val="00613689"/>
    <w:rsid w:val="00613E1D"/>
    <w:rsid w:val="00613E21"/>
    <w:rsid w:val="00614BB4"/>
    <w:rsid w:val="006154A8"/>
    <w:rsid w:val="006207B7"/>
    <w:rsid w:val="006208E5"/>
    <w:rsid w:val="00626AD4"/>
    <w:rsid w:val="00627A7C"/>
    <w:rsid w:val="00630C65"/>
    <w:rsid w:val="00630FD9"/>
    <w:rsid w:val="006339F9"/>
    <w:rsid w:val="00634442"/>
    <w:rsid w:val="006406AA"/>
    <w:rsid w:val="00642849"/>
    <w:rsid w:val="00642D5A"/>
    <w:rsid w:val="0064342B"/>
    <w:rsid w:val="00643A0D"/>
    <w:rsid w:val="006447BF"/>
    <w:rsid w:val="00645396"/>
    <w:rsid w:val="006456C6"/>
    <w:rsid w:val="00646DC5"/>
    <w:rsid w:val="006473FD"/>
    <w:rsid w:val="0065641D"/>
    <w:rsid w:val="00657EE9"/>
    <w:rsid w:val="00660F44"/>
    <w:rsid w:val="0066340D"/>
    <w:rsid w:val="006638A5"/>
    <w:rsid w:val="006646F1"/>
    <w:rsid w:val="00667B07"/>
    <w:rsid w:val="00667B3B"/>
    <w:rsid w:val="00670231"/>
    <w:rsid w:val="00671D3B"/>
    <w:rsid w:val="00671F1E"/>
    <w:rsid w:val="00675353"/>
    <w:rsid w:val="006757B4"/>
    <w:rsid w:val="00675F9C"/>
    <w:rsid w:val="00676870"/>
    <w:rsid w:val="00677963"/>
    <w:rsid w:val="006802DA"/>
    <w:rsid w:val="00682298"/>
    <w:rsid w:val="00683BD6"/>
    <w:rsid w:val="00686FD7"/>
    <w:rsid w:val="006908BE"/>
    <w:rsid w:val="0069259F"/>
    <w:rsid w:val="00693395"/>
    <w:rsid w:val="00694449"/>
    <w:rsid w:val="006A1018"/>
    <w:rsid w:val="006A22C6"/>
    <w:rsid w:val="006A36FC"/>
    <w:rsid w:val="006A5265"/>
    <w:rsid w:val="006A58B6"/>
    <w:rsid w:val="006A6350"/>
    <w:rsid w:val="006A6503"/>
    <w:rsid w:val="006B1078"/>
    <w:rsid w:val="006B2042"/>
    <w:rsid w:val="006B457F"/>
    <w:rsid w:val="006B75CE"/>
    <w:rsid w:val="006C0C2E"/>
    <w:rsid w:val="006C3E40"/>
    <w:rsid w:val="006C4DC7"/>
    <w:rsid w:val="006C6897"/>
    <w:rsid w:val="006C79FC"/>
    <w:rsid w:val="006D0A6C"/>
    <w:rsid w:val="006D0C22"/>
    <w:rsid w:val="006D363C"/>
    <w:rsid w:val="006D47DD"/>
    <w:rsid w:val="006D5A91"/>
    <w:rsid w:val="006D5CC0"/>
    <w:rsid w:val="006D6032"/>
    <w:rsid w:val="006D7085"/>
    <w:rsid w:val="006E0425"/>
    <w:rsid w:val="006E1ADA"/>
    <w:rsid w:val="006E2E0F"/>
    <w:rsid w:val="006E342A"/>
    <w:rsid w:val="006E680A"/>
    <w:rsid w:val="006E6AAC"/>
    <w:rsid w:val="006F0767"/>
    <w:rsid w:val="006F1039"/>
    <w:rsid w:val="006F2480"/>
    <w:rsid w:val="006F2C9E"/>
    <w:rsid w:val="006F3353"/>
    <w:rsid w:val="006F5FCD"/>
    <w:rsid w:val="006F6995"/>
    <w:rsid w:val="006F6C78"/>
    <w:rsid w:val="0070075D"/>
    <w:rsid w:val="007021F0"/>
    <w:rsid w:val="0070457C"/>
    <w:rsid w:val="00705BA5"/>
    <w:rsid w:val="00706890"/>
    <w:rsid w:val="00710D5C"/>
    <w:rsid w:val="00711882"/>
    <w:rsid w:val="00712E05"/>
    <w:rsid w:val="007144C7"/>
    <w:rsid w:val="00714AA0"/>
    <w:rsid w:val="00715452"/>
    <w:rsid w:val="007217A6"/>
    <w:rsid w:val="00722433"/>
    <w:rsid w:val="00724257"/>
    <w:rsid w:val="00725243"/>
    <w:rsid w:val="00725ABA"/>
    <w:rsid w:val="00725AE3"/>
    <w:rsid w:val="00726854"/>
    <w:rsid w:val="00730C91"/>
    <w:rsid w:val="00731312"/>
    <w:rsid w:val="0073495B"/>
    <w:rsid w:val="00735517"/>
    <w:rsid w:val="0073620A"/>
    <w:rsid w:val="00740FB4"/>
    <w:rsid w:val="00742539"/>
    <w:rsid w:val="007427BA"/>
    <w:rsid w:val="00742EE4"/>
    <w:rsid w:val="0074344A"/>
    <w:rsid w:val="007446D6"/>
    <w:rsid w:val="0074556F"/>
    <w:rsid w:val="00745E85"/>
    <w:rsid w:val="007470EF"/>
    <w:rsid w:val="007528E8"/>
    <w:rsid w:val="007544B6"/>
    <w:rsid w:val="00754839"/>
    <w:rsid w:val="00754B92"/>
    <w:rsid w:val="0075659D"/>
    <w:rsid w:val="00760A1A"/>
    <w:rsid w:val="00761E6F"/>
    <w:rsid w:val="00763299"/>
    <w:rsid w:val="007636C1"/>
    <w:rsid w:val="00763D97"/>
    <w:rsid w:val="00763F0C"/>
    <w:rsid w:val="00764616"/>
    <w:rsid w:val="00770E0A"/>
    <w:rsid w:val="007716F0"/>
    <w:rsid w:val="00772843"/>
    <w:rsid w:val="00773AAD"/>
    <w:rsid w:val="007750D3"/>
    <w:rsid w:val="00775E99"/>
    <w:rsid w:val="0077696C"/>
    <w:rsid w:val="00777C9A"/>
    <w:rsid w:val="007812F4"/>
    <w:rsid w:val="007825DC"/>
    <w:rsid w:val="00783A3B"/>
    <w:rsid w:val="00783E7B"/>
    <w:rsid w:val="007843A9"/>
    <w:rsid w:val="007856D3"/>
    <w:rsid w:val="00785CFD"/>
    <w:rsid w:val="00786926"/>
    <w:rsid w:val="00787063"/>
    <w:rsid w:val="007875C6"/>
    <w:rsid w:val="00787967"/>
    <w:rsid w:val="00794C4A"/>
    <w:rsid w:val="00794E06"/>
    <w:rsid w:val="007950EB"/>
    <w:rsid w:val="00796BCF"/>
    <w:rsid w:val="007A37BA"/>
    <w:rsid w:val="007A6613"/>
    <w:rsid w:val="007B1136"/>
    <w:rsid w:val="007B1791"/>
    <w:rsid w:val="007B3652"/>
    <w:rsid w:val="007B3CF9"/>
    <w:rsid w:val="007C0512"/>
    <w:rsid w:val="007C2B3B"/>
    <w:rsid w:val="007D11AE"/>
    <w:rsid w:val="007D3713"/>
    <w:rsid w:val="007D443B"/>
    <w:rsid w:val="007D6E7A"/>
    <w:rsid w:val="007E1C7A"/>
    <w:rsid w:val="007E27ED"/>
    <w:rsid w:val="007E2D2F"/>
    <w:rsid w:val="007E4204"/>
    <w:rsid w:val="007E74A4"/>
    <w:rsid w:val="007F20FF"/>
    <w:rsid w:val="007F2576"/>
    <w:rsid w:val="007F530A"/>
    <w:rsid w:val="007F7218"/>
    <w:rsid w:val="00801030"/>
    <w:rsid w:val="008014FB"/>
    <w:rsid w:val="0080176F"/>
    <w:rsid w:val="00801D6F"/>
    <w:rsid w:val="00803CFE"/>
    <w:rsid w:val="00803E9D"/>
    <w:rsid w:val="00807C61"/>
    <w:rsid w:val="00812A65"/>
    <w:rsid w:val="00813484"/>
    <w:rsid w:val="00816AEC"/>
    <w:rsid w:val="00817CE6"/>
    <w:rsid w:val="00820F93"/>
    <w:rsid w:val="0082173A"/>
    <w:rsid w:val="00821AA7"/>
    <w:rsid w:val="00821C28"/>
    <w:rsid w:val="00821EB6"/>
    <w:rsid w:val="00823D47"/>
    <w:rsid w:val="00824607"/>
    <w:rsid w:val="00825215"/>
    <w:rsid w:val="00825AA4"/>
    <w:rsid w:val="00833DE9"/>
    <w:rsid w:val="00834DAA"/>
    <w:rsid w:val="008361B5"/>
    <w:rsid w:val="00840146"/>
    <w:rsid w:val="00840F81"/>
    <w:rsid w:val="00843A58"/>
    <w:rsid w:val="0084470D"/>
    <w:rsid w:val="00844822"/>
    <w:rsid w:val="00844918"/>
    <w:rsid w:val="008458AA"/>
    <w:rsid w:val="00847FBE"/>
    <w:rsid w:val="008518E0"/>
    <w:rsid w:val="00853FC0"/>
    <w:rsid w:val="00854A53"/>
    <w:rsid w:val="00860F19"/>
    <w:rsid w:val="00862147"/>
    <w:rsid w:val="008649D4"/>
    <w:rsid w:val="00867000"/>
    <w:rsid w:val="00867268"/>
    <w:rsid w:val="00870555"/>
    <w:rsid w:val="00870926"/>
    <w:rsid w:val="00870C32"/>
    <w:rsid w:val="0087101C"/>
    <w:rsid w:val="0087506D"/>
    <w:rsid w:val="0087599B"/>
    <w:rsid w:val="0088011E"/>
    <w:rsid w:val="00882C9C"/>
    <w:rsid w:val="00885366"/>
    <w:rsid w:val="00885F08"/>
    <w:rsid w:val="00887919"/>
    <w:rsid w:val="0089012E"/>
    <w:rsid w:val="0089415B"/>
    <w:rsid w:val="008A03C8"/>
    <w:rsid w:val="008A1074"/>
    <w:rsid w:val="008A143D"/>
    <w:rsid w:val="008A22FE"/>
    <w:rsid w:val="008A2EAA"/>
    <w:rsid w:val="008A41A9"/>
    <w:rsid w:val="008A6538"/>
    <w:rsid w:val="008A77D8"/>
    <w:rsid w:val="008A7BF9"/>
    <w:rsid w:val="008B0FBB"/>
    <w:rsid w:val="008B7DC0"/>
    <w:rsid w:val="008C14BD"/>
    <w:rsid w:val="008C3DFB"/>
    <w:rsid w:val="008C641A"/>
    <w:rsid w:val="008D0771"/>
    <w:rsid w:val="008D09DD"/>
    <w:rsid w:val="008D0A7E"/>
    <w:rsid w:val="008D0D2E"/>
    <w:rsid w:val="008D0EB0"/>
    <w:rsid w:val="008D1DBA"/>
    <w:rsid w:val="008D38B6"/>
    <w:rsid w:val="008D404B"/>
    <w:rsid w:val="008D4A5E"/>
    <w:rsid w:val="008D542E"/>
    <w:rsid w:val="008E0472"/>
    <w:rsid w:val="008E1F1F"/>
    <w:rsid w:val="008E32E0"/>
    <w:rsid w:val="008E3C87"/>
    <w:rsid w:val="008E6715"/>
    <w:rsid w:val="008F0399"/>
    <w:rsid w:val="008F07B5"/>
    <w:rsid w:val="008F33DC"/>
    <w:rsid w:val="008F67F8"/>
    <w:rsid w:val="009017E7"/>
    <w:rsid w:val="0091037C"/>
    <w:rsid w:val="00915BBB"/>
    <w:rsid w:val="00916CFF"/>
    <w:rsid w:val="00917EA1"/>
    <w:rsid w:val="00921790"/>
    <w:rsid w:val="0092566F"/>
    <w:rsid w:val="009268B0"/>
    <w:rsid w:val="009307C9"/>
    <w:rsid w:val="0093109C"/>
    <w:rsid w:val="0094038A"/>
    <w:rsid w:val="00940626"/>
    <w:rsid w:val="00940631"/>
    <w:rsid w:val="0094095C"/>
    <w:rsid w:val="00942E49"/>
    <w:rsid w:val="00942FF6"/>
    <w:rsid w:val="00943765"/>
    <w:rsid w:val="00943F91"/>
    <w:rsid w:val="00947A2D"/>
    <w:rsid w:val="0095322A"/>
    <w:rsid w:val="0095376F"/>
    <w:rsid w:val="0095428E"/>
    <w:rsid w:val="00955200"/>
    <w:rsid w:val="00967DA2"/>
    <w:rsid w:val="00970B97"/>
    <w:rsid w:val="0097135F"/>
    <w:rsid w:val="0097628C"/>
    <w:rsid w:val="00980631"/>
    <w:rsid w:val="00981D39"/>
    <w:rsid w:val="009825CD"/>
    <w:rsid w:val="00983CE8"/>
    <w:rsid w:val="0098578A"/>
    <w:rsid w:val="009858A7"/>
    <w:rsid w:val="00992DA7"/>
    <w:rsid w:val="0099349A"/>
    <w:rsid w:val="00994EC4"/>
    <w:rsid w:val="00995E5C"/>
    <w:rsid w:val="009A561E"/>
    <w:rsid w:val="009A791E"/>
    <w:rsid w:val="009B14F6"/>
    <w:rsid w:val="009B1CF5"/>
    <w:rsid w:val="009B2375"/>
    <w:rsid w:val="009B23CE"/>
    <w:rsid w:val="009B2EAD"/>
    <w:rsid w:val="009B4A3A"/>
    <w:rsid w:val="009B6EB8"/>
    <w:rsid w:val="009B7FD0"/>
    <w:rsid w:val="009C1D29"/>
    <w:rsid w:val="009C2AEF"/>
    <w:rsid w:val="009C4C38"/>
    <w:rsid w:val="009C5FDC"/>
    <w:rsid w:val="009D1282"/>
    <w:rsid w:val="009D2EB5"/>
    <w:rsid w:val="009D3796"/>
    <w:rsid w:val="009D3910"/>
    <w:rsid w:val="009D447E"/>
    <w:rsid w:val="009D4E7B"/>
    <w:rsid w:val="009D6B41"/>
    <w:rsid w:val="009D71BC"/>
    <w:rsid w:val="009D73C3"/>
    <w:rsid w:val="009D7E22"/>
    <w:rsid w:val="009E0EB8"/>
    <w:rsid w:val="009E3213"/>
    <w:rsid w:val="009F21DF"/>
    <w:rsid w:val="009F439C"/>
    <w:rsid w:val="009F4599"/>
    <w:rsid w:val="00A00AA1"/>
    <w:rsid w:val="00A0114C"/>
    <w:rsid w:val="00A04E05"/>
    <w:rsid w:val="00A10517"/>
    <w:rsid w:val="00A10884"/>
    <w:rsid w:val="00A10B52"/>
    <w:rsid w:val="00A11FAC"/>
    <w:rsid w:val="00A120D6"/>
    <w:rsid w:val="00A13250"/>
    <w:rsid w:val="00A15245"/>
    <w:rsid w:val="00A16A15"/>
    <w:rsid w:val="00A17D44"/>
    <w:rsid w:val="00A21347"/>
    <w:rsid w:val="00A22D0D"/>
    <w:rsid w:val="00A22DDF"/>
    <w:rsid w:val="00A2332B"/>
    <w:rsid w:val="00A246D2"/>
    <w:rsid w:val="00A26D48"/>
    <w:rsid w:val="00A27B02"/>
    <w:rsid w:val="00A3050F"/>
    <w:rsid w:val="00A31ACB"/>
    <w:rsid w:val="00A32843"/>
    <w:rsid w:val="00A338A4"/>
    <w:rsid w:val="00A34471"/>
    <w:rsid w:val="00A35AE0"/>
    <w:rsid w:val="00A369C2"/>
    <w:rsid w:val="00A374D7"/>
    <w:rsid w:val="00A37C1D"/>
    <w:rsid w:val="00A43B9C"/>
    <w:rsid w:val="00A4405E"/>
    <w:rsid w:val="00A448AA"/>
    <w:rsid w:val="00A4596B"/>
    <w:rsid w:val="00A4608C"/>
    <w:rsid w:val="00A47EA8"/>
    <w:rsid w:val="00A50E27"/>
    <w:rsid w:val="00A50E37"/>
    <w:rsid w:val="00A53258"/>
    <w:rsid w:val="00A5434B"/>
    <w:rsid w:val="00A564C6"/>
    <w:rsid w:val="00A60B31"/>
    <w:rsid w:val="00A70A3C"/>
    <w:rsid w:val="00A71535"/>
    <w:rsid w:val="00A72448"/>
    <w:rsid w:val="00A725B1"/>
    <w:rsid w:val="00A729AC"/>
    <w:rsid w:val="00A75E97"/>
    <w:rsid w:val="00A775B6"/>
    <w:rsid w:val="00A8025B"/>
    <w:rsid w:val="00A8224C"/>
    <w:rsid w:val="00A82579"/>
    <w:rsid w:val="00A85288"/>
    <w:rsid w:val="00A86127"/>
    <w:rsid w:val="00A86AD2"/>
    <w:rsid w:val="00A87573"/>
    <w:rsid w:val="00A9028C"/>
    <w:rsid w:val="00A9441B"/>
    <w:rsid w:val="00A950A7"/>
    <w:rsid w:val="00A95898"/>
    <w:rsid w:val="00A96120"/>
    <w:rsid w:val="00A96BCF"/>
    <w:rsid w:val="00AA063E"/>
    <w:rsid w:val="00AA29C5"/>
    <w:rsid w:val="00AA4B46"/>
    <w:rsid w:val="00AA52D4"/>
    <w:rsid w:val="00AB0BE3"/>
    <w:rsid w:val="00AB0F39"/>
    <w:rsid w:val="00AB116D"/>
    <w:rsid w:val="00AB1274"/>
    <w:rsid w:val="00AB2535"/>
    <w:rsid w:val="00AB2AC2"/>
    <w:rsid w:val="00AB50B4"/>
    <w:rsid w:val="00AB51B0"/>
    <w:rsid w:val="00AB675E"/>
    <w:rsid w:val="00AB6E4B"/>
    <w:rsid w:val="00AB7088"/>
    <w:rsid w:val="00AC2093"/>
    <w:rsid w:val="00AC2714"/>
    <w:rsid w:val="00AC3215"/>
    <w:rsid w:val="00AC7DC6"/>
    <w:rsid w:val="00AD0792"/>
    <w:rsid w:val="00AD1B53"/>
    <w:rsid w:val="00AD25D5"/>
    <w:rsid w:val="00AD295B"/>
    <w:rsid w:val="00AD2BF2"/>
    <w:rsid w:val="00AD3696"/>
    <w:rsid w:val="00AD3BB1"/>
    <w:rsid w:val="00AD4BBB"/>
    <w:rsid w:val="00AD77AB"/>
    <w:rsid w:val="00AE2307"/>
    <w:rsid w:val="00AE28CD"/>
    <w:rsid w:val="00AE2A07"/>
    <w:rsid w:val="00AE3687"/>
    <w:rsid w:val="00AE514B"/>
    <w:rsid w:val="00AE544D"/>
    <w:rsid w:val="00AE7C97"/>
    <w:rsid w:val="00AF0775"/>
    <w:rsid w:val="00AF2B53"/>
    <w:rsid w:val="00AF415E"/>
    <w:rsid w:val="00AF4F60"/>
    <w:rsid w:val="00AF7B38"/>
    <w:rsid w:val="00B00C52"/>
    <w:rsid w:val="00B016A2"/>
    <w:rsid w:val="00B018DB"/>
    <w:rsid w:val="00B03308"/>
    <w:rsid w:val="00B143C2"/>
    <w:rsid w:val="00B14FDE"/>
    <w:rsid w:val="00B164B5"/>
    <w:rsid w:val="00B166FA"/>
    <w:rsid w:val="00B168BC"/>
    <w:rsid w:val="00B169C3"/>
    <w:rsid w:val="00B171EC"/>
    <w:rsid w:val="00B2124C"/>
    <w:rsid w:val="00B22A07"/>
    <w:rsid w:val="00B2555F"/>
    <w:rsid w:val="00B25E66"/>
    <w:rsid w:val="00B30AFF"/>
    <w:rsid w:val="00B317D3"/>
    <w:rsid w:val="00B32406"/>
    <w:rsid w:val="00B336CA"/>
    <w:rsid w:val="00B342B7"/>
    <w:rsid w:val="00B3676D"/>
    <w:rsid w:val="00B43514"/>
    <w:rsid w:val="00B44EF9"/>
    <w:rsid w:val="00B46227"/>
    <w:rsid w:val="00B522BB"/>
    <w:rsid w:val="00B52631"/>
    <w:rsid w:val="00B539E4"/>
    <w:rsid w:val="00B53F7B"/>
    <w:rsid w:val="00B53FA4"/>
    <w:rsid w:val="00B5459F"/>
    <w:rsid w:val="00B553BC"/>
    <w:rsid w:val="00B6075E"/>
    <w:rsid w:val="00B6431F"/>
    <w:rsid w:val="00B6556B"/>
    <w:rsid w:val="00B66E18"/>
    <w:rsid w:val="00B674B1"/>
    <w:rsid w:val="00B67A8D"/>
    <w:rsid w:val="00B702CA"/>
    <w:rsid w:val="00B7247C"/>
    <w:rsid w:val="00B72A3A"/>
    <w:rsid w:val="00B740F7"/>
    <w:rsid w:val="00B76709"/>
    <w:rsid w:val="00B771B5"/>
    <w:rsid w:val="00B82DBA"/>
    <w:rsid w:val="00B83D62"/>
    <w:rsid w:val="00B8720C"/>
    <w:rsid w:val="00B87CF9"/>
    <w:rsid w:val="00B942C0"/>
    <w:rsid w:val="00B95D5A"/>
    <w:rsid w:val="00B9622A"/>
    <w:rsid w:val="00B979BB"/>
    <w:rsid w:val="00BA0735"/>
    <w:rsid w:val="00BA0EC4"/>
    <w:rsid w:val="00BA2DA0"/>
    <w:rsid w:val="00BA6A18"/>
    <w:rsid w:val="00BA75B1"/>
    <w:rsid w:val="00BB08B3"/>
    <w:rsid w:val="00BB1E25"/>
    <w:rsid w:val="00BB5EF5"/>
    <w:rsid w:val="00BB697D"/>
    <w:rsid w:val="00BC113C"/>
    <w:rsid w:val="00BC17A0"/>
    <w:rsid w:val="00BC23DB"/>
    <w:rsid w:val="00BC3ECE"/>
    <w:rsid w:val="00BC75BD"/>
    <w:rsid w:val="00BD2854"/>
    <w:rsid w:val="00BD2E76"/>
    <w:rsid w:val="00BD65CE"/>
    <w:rsid w:val="00BD7130"/>
    <w:rsid w:val="00BD76C5"/>
    <w:rsid w:val="00BE0ADD"/>
    <w:rsid w:val="00BE318E"/>
    <w:rsid w:val="00BE40BB"/>
    <w:rsid w:val="00BE4559"/>
    <w:rsid w:val="00BE565F"/>
    <w:rsid w:val="00BE5DFD"/>
    <w:rsid w:val="00BE6F17"/>
    <w:rsid w:val="00BE7C69"/>
    <w:rsid w:val="00BF0309"/>
    <w:rsid w:val="00BF1BDB"/>
    <w:rsid w:val="00BF3A53"/>
    <w:rsid w:val="00C06682"/>
    <w:rsid w:val="00C10496"/>
    <w:rsid w:val="00C10B74"/>
    <w:rsid w:val="00C124D5"/>
    <w:rsid w:val="00C17BF2"/>
    <w:rsid w:val="00C20F87"/>
    <w:rsid w:val="00C21BAA"/>
    <w:rsid w:val="00C24071"/>
    <w:rsid w:val="00C259F8"/>
    <w:rsid w:val="00C3096A"/>
    <w:rsid w:val="00C31036"/>
    <w:rsid w:val="00C34D64"/>
    <w:rsid w:val="00C35F90"/>
    <w:rsid w:val="00C36F14"/>
    <w:rsid w:val="00C40B6D"/>
    <w:rsid w:val="00C41379"/>
    <w:rsid w:val="00C41AB9"/>
    <w:rsid w:val="00C42852"/>
    <w:rsid w:val="00C47B1D"/>
    <w:rsid w:val="00C51133"/>
    <w:rsid w:val="00C539C7"/>
    <w:rsid w:val="00C53B4E"/>
    <w:rsid w:val="00C53EE7"/>
    <w:rsid w:val="00C55894"/>
    <w:rsid w:val="00C57712"/>
    <w:rsid w:val="00C605BB"/>
    <w:rsid w:val="00C63313"/>
    <w:rsid w:val="00C70378"/>
    <w:rsid w:val="00C716BD"/>
    <w:rsid w:val="00C733C2"/>
    <w:rsid w:val="00C7359B"/>
    <w:rsid w:val="00C81AE7"/>
    <w:rsid w:val="00C83F72"/>
    <w:rsid w:val="00C84961"/>
    <w:rsid w:val="00C84B00"/>
    <w:rsid w:val="00C8583E"/>
    <w:rsid w:val="00C85B6C"/>
    <w:rsid w:val="00C86F34"/>
    <w:rsid w:val="00C90EFC"/>
    <w:rsid w:val="00C911FB"/>
    <w:rsid w:val="00C91528"/>
    <w:rsid w:val="00C95D50"/>
    <w:rsid w:val="00C96750"/>
    <w:rsid w:val="00C97DA9"/>
    <w:rsid w:val="00CA0D4F"/>
    <w:rsid w:val="00CA1A7B"/>
    <w:rsid w:val="00CA3004"/>
    <w:rsid w:val="00CA399F"/>
    <w:rsid w:val="00CA44CE"/>
    <w:rsid w:val="00CA4B85"/>
    <w:rsid w:val="00CA5B6E"/>
    <w:rsid w:val="00CB5CDF"/>
    <w:rsid w:val="00CC1660"/>
    <w:rsid w:val="00CC2008"/>
    <w:rsid w:val="00CC40A6"/>
    <w:rsid w:val="00CC502D"/>
    <w:rsid w:val="00CC606C"/>
    <w:rsid w:val="00CD222F"/>
    <w:rsid w:val="00CD22A4"/>
    <w:rsid w:val="00CD3C0B"/>
    <w:rsid w:val="00CD632C"/>
    <w:rsid w:val="00CD7C27"/>
    <w:rsid w:val="00CE06A7"/>
    <w:rsid w:val="00CE2A81"/>
    <w:rsid w:val="00CE3E0D"/>
    <w:rsid w:val="00CE4114"/>
    <w:rsid w:val="00CE4E98"/>
    <w:rsid w:val="00CF188E"/>
    <w:rsid w:val="00CF1D93"/>
    <w:rsid w:val="00CF270F"/>
    <w:rsid w:val="00CF336A"/>
    <w:rsid w:val="00CF3A9A"/>
    <w:rsid w:val="00CF5804"/>
    <w:rsid w:val="00CF5FD1"/>
    <w:rsid w:val="00CF634B"/>
    <w:rsid w:val="00CF664F"/>
    <w:rsid w:val="00CF6D3F"/>
    <w:rsid w:val="00CF7D5F"/>
    <w:rsid w:val="00D01232"/>
    <w:rsid w:val="00D02BE3"/>
    <w:rsid w:val="00D05214"/>
    <w:rsid w:val="00D101F2"/>
    <w:rsid w:val="00D10459"/>
    <w:rsid w:val="00D12261"/>
    <w:rsid w:val="00D12688"/>
    <w:rsid w:val="00D1282F"/>
    <w:rsid w:val="00D128B6"/>
    <w:rsid w:val="00D12CD6"/>
    <w:rsid w:val="00D13CCF"/>
    <w:rsid w:val="00D141BE"/>
    <w:rsid w:val="00D15440"/>
    <w:rsid w:val="00D20893"/>
    <w:rsid w:val="00D20BFC"/>
    <w:rsid w:val="00D23561"/>
    <w:rsid w:val="00D248EB"/>
    <w:rsid w:val="00D2490E"/>
    <w:rsid w:val="00D26255"/>
    <w:rsid w:val="00D262B6"/>
    <w:rsid w:val="00D27EF3"/>
    <w:rsid w:val="00D313E4"/>
    <w:rsid w:val="00D31988"/>
    <w:rsid w:val="00D3312D"/>
    <w:rsid w:val="00D3420D"/>
    <w:rsid w:val="00D3456F"/>
    <w:rsid w:val="00D35D6D"/>
    <w:rsid w:val="00D35E11"/>
    <w:rsid w:val="00D40E9A"/>
    <w:rsid w:val="00D41C3D"/>
    <w:rsid w:val="00D41F41"/>
    <w:rsid w:val="00D43A14"/>
    <w:rsid w:val="00D43B65"/>
    <w:rsid w:val="00D46F72"/>
    <w:rsid w:val="00D4746F"/>
    <w:rsid w:val="00D52298"/>
    <w:rsid w:val="00D52D05"/>
    <w:rsid w:val="00D52E0C"/>
    <w:rsid w:val="00D530FD"/>
    <w:rsid w:val="00D5685F"/>
    <w:rsid w:val="00D5692A"/>
    <w:rsid w:val="00D604D7"/>
    <w:rsid w:val="00D61025"/>
    <w:rsid w:val="00D61648"/>
    <w:rsid w:val="00D63031"/>
    <w:rsid w:val="00D6330E"/>
    <w:rsid w:val="00D637F0"/>
    <w:rsid w:val="00D64A3A"/>
    <w:rsid w:val="00D6557A"/>
    <w:rsid w:val="00D65895"/>
    <w:rsid w:val="00D66846"/>
    <w:rsid w:val="00D675C3"/>
    <w:rsid w:val="00D7373B"/>
    <w:rsid w:val="00D741DE"/>
    <w:rsid w:val="00D75EE5"/>
    <w:rsid w:val="00D770DE"/>
    <w:rsid w:val="00D77A61"/>
    <w:rsid w:val="00D818BB"/>
    <w:rsid w:val="00D83043"/>
    <w:rsid w:val="00D83994"/>
    <w:rsid w:val="00D83B46"/>
    <w:rsid w:val="00D84CA0"/>
    <w:rsid w:val="00D85264"/>
    <w:rsid w:val="00D90208"/>
    <w:rsid w:val="00D9588B"/>
    <w:rsid w:val="00D959C6"/>
    <w:rsid w:val="00DA2C53"/>
    <w:rsid w:val="00DB01E1"/>
    <w:rsid w:val="00DB30AD"/>
    <w:rsid w:val="00DB4B0F"/>
    <w:rsid w:val="00DB7271"/>
    <w:rsid w:val="00DB7C06"/>
    <w:rsid w:val="00DC209B"/>
    <w:rsid w:val="00DC3C78"/>
    <w:rsid w:val="00DC445B"/>
    <w:rsid w:val="00DC4648"/>
    <w:rsid w:val="00DC48A6"/>
    <w:rsid w:val="00DC492A"/>
    <w:rsid w:val="00DC5AC2"/>
    <w:rsid w:val="00DD2154"/>
    <w:rsid w:val="00DD2246"/>
    <w:rsid w:val="00DD2C0F"/>
    <w:rsid w:val="00DD646F"/>
    <w:rsid w:val="00DD78AE"/>
    <w:rsid w:val="00DE3EC4"/>
    <w:rsid w:val="00DE4712"/>
    <w:rsid w:val="00DE5F4E"/>
    <w:rsid w:val="00DE62CB"/>
    <w:rsid w:val="00DE7880"/>
    <w:rsid w:val="00DF11D0"/>
    <w:rsid w:val="00DF299C"/>
    <w:rsid w:val="00DF2F73"/>
    <w:rsid w:val="00DF46C3"/>
    <w:rsid w:val="00DF4B02"/>
    <w:rsid w:val="00DF4DA9"/>
    <w:rsid w:val="00DF4E9E"/>
    <w:rsid w:val="00DF51C3"/>
    <w:rsid w:val="00E00447"/>
    <w:rsid w:val="00E00D42"/>
    <w:rsid w:val="00E0242B"/>
    <w:rsid w:val="00E04EF3"/>
    <w:rsid w:val="00E0794E"/>
    <w:rsid w:val="00E10D1A"/>
    <w:rsid w:val="00E11C40"/>
    <w:rsid w:val="00E152C0"/>
    <w:rsid w:val="00E15685"/>
    <w:rsid w:val="00E15A0F"/>
    <w:rsid w:val="00E20CD1"/>
    <w:rsid w:val="00E21F07"/>
    <w:rsid w:val="00E2205E"/>
    <w:rsid w:val="00E2344B"/>
    <w:rsid w:val="00E25388"/>
    <w:rsid w:val="00E2580E"/>
    <w:rsid w:val="00E25E21"/>
    <w:rsid w:val="00E27D35"/>
    <w:rsid w:val="00E3116C"/>
    <w:rsid w:val="00E3402C"/>
    <w:rsid w:val="00E36C46"/>
    <w:rsid w:val="00E401B9"/>
    <w:rsid w:val="00E43895"/>
    <w:rsid w:val="00E45A02"/>
    <w:rsid w:val="00E45A5E"/>
    <w:rsid w:val="00E46B54"/>
    <w:rsid w:val="00E50700"/>
    <w:rsid w:val="00E55AE2"/>
    <w:rsid w:val="00E569A4"/>
    <w:rsid w:val="00E60417"/>
    <w:rsid w:val="00E60C45"/>
    <w:rsid w:val="00E65B30"/>
    <w:rsid w:val="00E6641E"/>
    <w:rsid w:val="00E66C39"/>
    <w:rsid w:val="00E671E8"/>
    <w:rsid w:val="00E67E23"/>
    <w:rsid w:val="00E706A5"/>
    <w:rsid w:val="00E70DC0"/>
    <w:rsid w:val="00E71BAD"/>
    <w:rsid w:val="00E72437"/>
    <w:rsid w:val="00E75961"/>
    <w:rsid w:val="00E768D3"/>
    <w:rsid w:val="00E76B60"/>
    <w:rsid w:val="00E770C0"/>
    <w:rsid w:val="00E771A1"/>
    <w:rsid w:val="00E81502"/>
    <w:rsid w:val="00E83B8B"/>
    <w:rsid w:val="00E846D4"/>
    <w:rsid w:val="00E864AE"/>
    <w:rsid w:val="00E86A5E"/>
    <w:rsid w:val="00E870D5"/>
    <w:rsid w:val="00E916B6"/>
    <w:rsid w:val="00E91A58"/>
    <w:rsid w:val="00E92B99"/>
    <w:rsid w:val="00E940CA"/>
    <w:rsid w:val="00E95B7A"/>
    <w:rsid w:val="00E95EA8"/>
    <w:rsid w:val="00E96563"/>
    <w:rsid w:val="00E96DD1"/>
    <w:rsid w:val="00E97609"/>
    <w:rsid w:val="00E976E4"/>
    <w:rsid w:val="00E97D9E"/>
    <w:rsid w:val="00EA0BB0"/>
    <w:rsid w:val="00EA427F"/>
    <w:rsid w:val="00EA5E8C"/>
    <w:rsid w:val="00EA63F3"/>
    <w:rsid w:val="00EB036E"/>
    <w:rsid w:val="00EB0788"/>
    <w:rsid w:val="00EB0A77"/>
    <w:rsid w:val="00EB12D7"/>
    <w:rsid w:val="00EB577A"/>
    <w:rsid w:val="00EB65C9"/>
    <w:rsid w:val="00EB676A"/>
    <w:rsid w:val="00EB72ED"/>
    <w:rsid w:val="00EB7EF7"/>
    <w:rsid w:val="00EC05FC"/>
    <w:rsid w:val="00EC326F"/>
    <w:rsid w:val="00EC4431"/>
    <w:rsid w:val="00EC5B31"/>
    <w:rsid w:val="00ED0994"/>
    <w:rsid w:val="00ED1D46"/>
    <w:rsid w:val="00ED1F81"/>
    <w:rsid w:val="00ED2BA3"/>
    <w:rsid w:val="00EE276E"/>
    <w:rsid w:val="00EE3479"/>
    <w:rsid w:val="00EE444C"/>
    <w:rsid w:val="00EF2976"/>
    <w:rsid w:val="00EF2A06"/>
    <w:rsid w:val="00EF35DE"/>
    <w:rsid w:val="00EF3A69"/>
    <w:rsid w:val="00EF7C89"/>
    <w:rsid w:val="00EF7DDA"/>
    <w:rsid w:val="00F00280"/>
    <w:rsid w:val="00F07E73"/>
    <w:rsid w:val="00F106B9"/>
    <w:rsid w:val="00F11F05"/>
    <w:rsid w:val="00F1584D"/>
    <w:rsid w:val="00F15CE7"/>
    <w:rsid w:val="00F15F64"/>
    <w:rsid w:val="00F170E7"/>
    <w:rsid w:val="00F23B93"/>
    <w:rsid w:val="00F24ACB"/>
    <w:rsid w:val="00F311D9"/>
    <w:rsid w:val="00F31465"/>
    <w:rsid w:val="00F31541"/>
    <w:rsid w:val="00F31735"/>
    <w:rsid w:val="00F33C0A"/>
    <w:rsid w:val="00F33DA4"/>
    <w:rsid w:val="00F33F0D"/>
    <w:rsid w:val="00F35D89"/>
    <w:rsid w:val="00F35F73"/>
    <w:rsid w:val="00F367A4"/>
    <w:rsid w:val="00F406A0"/>
    <w:rsid w:val="00F4471D"/>
    <w:rsid w:val="00F45435"/>
    <w:rsid w:val="00F46FFC"/>
    <w:rsid w:val="00F4733A"/>
    <w:rsid w:val="00F47B14"/>
    <w:rsid w:val="00F50C32"/>
    <w:rsid w:val="00F50D11"/>
    <w:rsid w:val="00F51855"/>
    <w:rsid w:val="00F5324B"/>
    <w:rsid w:val="00F54341"/>
    <w:rsid w:val="00F56232"/>
    <w:rsid w:val="00F57F32"/>
    <w:rsid w:val="00F6152F"/>
    <w:rsid w:val="00F63246"/>
    <w:rsid w:val="00F65065"/>
    <w:rsid w:val="00F65BE0"/>
    <w:rsid w:val="00F66010"/>
    <w:rsid w:val="00F6678E"/>
    <w:rsid w:val="00F67CFD"/>
    <w:rsid w:val="00F67F49"/>
    <w:rsid w:val="00F702AD"/>
    <w:rsid w:val="00F71057"/>
    <w:rsid w:val="00F73217"/>
    <w:rsid w:val="00F739E4"/>
    <w:rsid w:val="00F76CF1"/>
    <w:rsid w:val="00F778E2"/>
    <w:rsid w:val="00F77A45"/>
    <w:rsid w:val="00F810DF"/>
    <w:rsid w:val="00F83616"/>
    <w:rsid w:val="00F843BE"/>
    <w:rsid w:val="00F865C3"/>
    <w:rsid w:val="00F87FE6"/>
    <w:rsid w:val="00F90783"/>
    <w:rsid w:val="00F92893"/>
    <w:rsid w:val="00F93294"/>
    <w:rsid w:val="00F95EF7"/>
    <w:rsid w:val="00F97B64"/>
    <w:rsid w:val="00FA0469"/>
    <w:rsid w:val="00FA33C1"/>
    <w:rsid w:val="00FA33FC"/>
    <w:rsid w:val="00FA43CF"/>
    <w:rsid w:val="00FA6AF1"/>
    <w:rsid w:val="00FB52B2"/>
    <w:rsid w:val="00FC1958"/>
    <w:rsid w:val="00FC452F"/>
    <w:rsid w:val="00FC49AE"/>
    <w:rsid w:val="00FC70BE"/>
    <w:rsid w:val="00FD1564"/>
    <w:rsid w:val="00FD19DD"/>
    <w:rsid w:val="00FD27B4"/>
    <w:rsid w:val="00FD338B"/>
    <w:rsid w:val="00FD4DBE"/>
    <w:rsid w:val="00FD5BB7"/>
    <w:rsid w:val="00FD5F23"/>
    <w:rsid w:val="00FD69A6"/>
    <w:rsid w:val="00FD7DDC"/>
    <w:rsid w:val="00FE03D6"/>
    <w:rsid w:val="00FE67CF"/>
    <w:rsid w:val="00FE7204"/>
    <w:rsid w:val="00FF0ACA"/>
    <w:rsid w:val="00FF1D30"/>
    <w:rsid w:val="00FF23AE"/>
    <w:rsid w:val="00FF4BDB"/>
    <w:rsid w:val="00FF615B"/>
    <w:rsid w:val="00FF648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D4BDA3"/>
  <w15:chartTrackingRefBased/>
  <w15:docId w15:val="{2F9690F3-E66B-41B9-A3B7-50C9E293CC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DD646F"/>
    <w:pPr>
      <w:spacing w:after="200" w:line="276" w:lineRule="auto"/>
    </w:pPr>
  </w:style>
  <w:style w:type="paragraph" w:styleId="1">
    <w:name w:val="heading 1"/>
    <w:basedOn w:val="a1"/>
    <w:next w:val="a1"/>
    <w:link w:val="10"/>
    <w:uiPriority w:val="9"/>
    <w:qFormat/>
    <w:rsid w:val="00772843"/>
    <w:pPr>
      <w:keepNext/>
      <w:keepLines/>
      <w:spacing w:after="0"/>
      <w:jc w:val="center"/>
      <w:outlineLvl w:val="0"/>
    </w:pPr>
    <w:rPr>
      <w:rFonts w:ascii="Times New Roman" w:eastAsiaTheme="majorEastAsia" w:hAnsi="Times New Roman" w:cstheme="majorBidi"/>
      <w:b/>
      <w:bCs/>
      <w:sz w:val="28"/>
      <w:szCs w:val="28"/>
    </w:rPr>
  </w:style>
  <w:style w:type="paragraph" w:styleId="21">
    <w:name w:val="heading 2"/>
    <w:basedOn w:val="a1"/>
    <w:next w:val="a1"/>
    <w:link w:val="22"/>
    <w:uiPriority w:val="9"/>
    <w:unhideWhenUsed/>
    <w:qFormat/>
    <w:rsid w:val="00D2625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1">
    <w:name w:val="heading 3"/>
    <w:basedOn w:val="a1"/>
    <w:next w:val="a1"/>
    <w:link w:val="32"/>
    <w:uiPriority w:val="9"/>
    <w:unhideWhenUsed/>
    <w:qFormat/>
    <w:rsid w:val="00D26255"/>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1"/>
    <w:next w:val="a1"/>
    <w:link w:val="40"/>
    <w:uiPriority w:val="9"/>
    <w:unhideWhenUsed/>
    <w:qFormat/>
    <w:rsid w:val="00D26255"/>
    <w:pPr>
      <w:keepNext/>
      <w:keepLines/>
      <w:spacing w:before="200" w:after="0" w:line="360" w:lineRule="auto"/>
      <w:outlineLvl w:val="3"/>
    </w:pPr>
    <w:rPr>
      <w:rFonts w:asciiTheme="majorHAnsi" w:eastAsiaTheme="majorEastAsia" w:hAnsiTheme="majorHAnsi" w:cstheme="majorBidi"/>
      <w:b/>
      <w:bCs/>
      <w:i/>
      <w:iCs/>
      <w:color w:val="4472C4" w:themeColor="accent1"/>
      <w:lang w:val="en-US"/>
    </w:rPr>
  </w:style>
  <w:style w:type="paragraph" w:styleId="5">
    <w:name w:val="heading 5"/>
    <w:basedOn w:val="a1"/>
    <w:next w:val="a1"/>
    <w:link w:val="50"/>
    <w:uiPriority w:val="9"/>
    <w:semiHidden/>
    <w:unhideWhenUsed/>
    <w:qFormat/>
    <w:rsid w:val="00D26255"/>
    <w:pPr>
      <w:keepNext/>
      <w:keepLines/>
      <w:spacing w:before="200" w:after="0" w:line="360" w:lineRule="auto"/>
      <w:outlineLvl w:val="4"/>
    </w:pPr>
    <w:rPr>
      <w:rFonts w:asciiTheme="majorHAnsi" w:eastAsiaTheme="majorEastAsia" w:hAnsiTheme="majorHAnsi" w:cstheme="majorBidi"/>
      <w:color w:val="1F3763" w:themeColor="accent1" w:themeShade="7F"/>
      <w:lang w:val="en-US"/>
    </w:rPr>
  </w:style>
  <w:style w:type="paragraph" w:styleId="6">
    <w:name w:val="heading 6"/>
    <w:basedOn w:val="a1"/>
    <w:next w:val="a1"/>
    <w:link w:val="60"/>
    <w:uiPriority w:val="9"/>
    <w:semiHidden/>
    <w:unhideWhenUsed/>
    <w:qFormat/>
    <w:rsid w:val="00D26255"/>
    <w:pPr>
      <w:keepNext/>
      <w:keepLines/>
      <w:spacing w:before="200" w:after="0" w:line="360" w:lineRule="auto"/>
      <w:outlineLvl w:val="5"/>
    </w:pPr>
    <w:rPr>
      <w:rFonts w:asciiTheme="majorHAnsi" w:eastAsiaTheme="majorEastAsia" w:hAnsiTheme="majorHAnsi" w:cstheme="majorBidi"/>
      <w:i/>
      <w:iCs/>
      <w:color w:val="1F3763" w:themeColor="accent1" w:themeShade="7F"/>
      <w:lang w:val="en-US"/>
    </w:rPr>
  </w:style>
  <w:style w:type="paragraph" w:styleId="7">
    <w:name w:val="heading 7"/>
    <w:basedOn w:val="a1"/>
    <w:next w:val="a1"/>
    <w:link w:val="70"/>
    <w:uiPriority w:val="9"/>
    <w:semiHidden/>
    <w:unhideWhenUsed/>
    <w:qFormat/>
    <w:rsid w:val="00D26255"/>
    <w:pPr>
      <w:keepNext/>
      <w:keepLines/>
      <w:spacing w:before="200" w:after="0" w:line="360" w:lineRule="auto"/>
      <w:outlineLvl w:val="6"/>
    </w:pPr>
    <w:rPr>
      <w:rFonts w:asciiTheme="majorHAnsi" w:eastAsiaTheme="majorEastAsia" w:hAnsiTheme="majorHAnsi" w:cstheme="majorBidi"/>
      <w:i/>
      <w:iCs/>
      <w:color w:val="404040" w:themeColor="text1" w:themeTint="BF"/>
      <w:lang w:val="en-US"/>
    </w:rPr>
  </w:style>
  <w:style w:type="paragraph" w:styleId="8">
    <w:name w:val="heading 8"/>
    <w:basedOn w:val="a1"/>
    <w:next w:val="a1"/>
    <w:link w:val="80"/>
    <w:uiPriority w:val="9"/>
    <w:semiHidden/>
    <w:unhideWhenUsed/>
    <w:qFormat/>
    <w:rsid w:val="00D26255"/>
    <w:pPr>
      <w:keepNext/>
      <w:keepLines/>
      <w:spacing w:before="200" w:after="0" w:line="360" w:lineRule="auto"/>
      <w:outlineLvl w:val="7"/>
    </w:pPr>
    <w:rPr>
      <w:rFonts w:asciiTheme="majorHAnsi" w:eastAsiaTheme="majorEastAsia" w:hAnsiTheme="majorHAnsi" w:cstheme="majorBidi"/>
      <w:color w:val="4472C4" w:themeColor="accent1"/>
      <w:sz w:val="20"/>
      <w:szCs w:val="20"/>
      <w:lang w:val="en-US"/>
    </w:rPr>
  </w:style>
  <w:style w:type="paragraph" w:styleId="9">
    <w:name w:val="heading 9"/>
    <w:basedOn w:val="a1"/>
    <w:next w:val="a1"/>
    <w:link w:val="90"/>
    <w:uiPriority w:val="9"/>
    <w:semiHidden/>
    <w:unhideWhenUsed/>
    <w:qFormat/>
    <w:rsid w:val="00D26255"/>
    <w:pPr>
      <w:keepNext/>
      <w:keepLines/>
      <w:spacing w:before="200" w:after="0" w:line="360" w:lineRule="auto"/>
      <w:outlineLvl w:val="8"/>
    </w:pPr>
    <w:rPr>
      <w:rFonts w:asciiTheme="majorHAnsi" w:eastAsiaTheme="majorEastAsia" w:hAnsiTheme="majorHAnsi" w:cstheme="majorBidi"/>
      <w:i/>
      <w:iCs/>
      <w:color w:val="404040" w:themeColor="text1" w:themeTint="BF"/>
      <w:sz w:val="20"/>
      <w:szCs w:val="20"/>
      <w:lang w:val="en-US"/>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1"/>
    <w:link w:val="a6"/>
    <w:uiPriority w:val="99"/>
    <w:unhideWhenUsed/>
    <w:rsid w:val="00772843"/>
    <w:pPr>
      <w:tabs>
        <w:tab w:val="center" w:pos="4677"/>
        <w:tab w:val="right" w:pos="9355"/>
      </w:tabs>
      <w:spacing w:after="0" w:line="240" w:lineRule="auto"/>
    </w:pPr>
  </w:style>
  <w:style w:type="character" w:customStyle="1" w:styleId="a6">
    <w:name w:val="Верхний колонтитул Знак"/>
    <w:basedOn w:val="a2"/>
    <w:link w:val="a5"/>
    <w:uiPriority w:val="99"/>
    <w:rsid w:val="00772843"/>
    <w:rPr>
      <w:lang w:val="ru-RU"/>
    </w:rPr>
  </w:style>
  <w:style w:type="paragraph" w:styleId="a7">
    <w:name w:val="footer"/>
    <w:basedOn w:val="a1"/>
    <w:link w:val="a8"/>
    <w:uiPriority w:val="99"/>
    <w:unhideWhenUsed/>
    <w:rsid w:val="00772843"/>
    <w:pPr>
      <w:tabs>
        <w:tab w:val="center" w:pos="4677"/>
        <w:tab w:val="right" w:pos="9355"/>
      </w:tabs>
      <w:spacing w:after="0" w:line="240" w:lineRule="auto"/>
    </w:pPr>
  </w:style>
  <w:style w:type="character" w:customStyle="1" w:styleId="a8">
    <w:name w:val="Нижний колонтитул Знак"/>
    <w:basedOn w:val="a2"/>
    <w:link w:val="a7"/>
    <w:uiPriority w:val="99"/>
    <w:rsid w:val="00772843"/>
    <w:rPr>
      <w:lang w:val="ru-RU"/>
    </w:rPr>
  </w:style>
  <w:style w:type="character" w:customStyle="1" w:styleId="10">
    <w:name w:val="Заголовок 1 Знак"/>
    <w:basedOn w:val="a2"/>
    <w:link w:val="1"/>
    <w:uiPriority w:val="9"/>
    <w:rsid w:val="00772843"/>
    <w:rPr>
      <w:rFonts w:ascii="Times New Roman" w:eastAsiaTheme="majorEastAsia" w:hAnsi="Times New Roman" w:cstheme="majorBidi"/>
      <w:b/>
      <w:bCs/>
      <w:sz w:val="28"/>
      <w:szCs w:val="28"/>
      <w:lang w:val="ru-RU"/>
    </w:rPr>
  </w:style>
  <w:style w:type="character" w:styleId="a9">
    <w:name w:val="Hyperlink"/>
    <w:basedOn w:val="a2"/>
    <w:uiPriority w:val="99"/>
    <w:unhideWhenUsed/>
    <w:rsid w:val="00772843"/>
    <w:rPr>
      <w:color w:val="0563C1" w:themeColor="hyperlink"/>
      <w:u w:val="single"/>
    </w:rPr>
  </w:style>
  <w:style w:type="paragraph" w:styleId="aa">
    <w:name w:val="List Paragraph"/>
    <w:basedOn w:val="a1"/>
    <w:link w:val="ab"/>
    <w:uiPriority w:val="34"/>
    <w:qFormat/>
    <w:rsid w:val="00772843"/>
    <w:pPr>
      <w:ind w:left="720"/>
      <w:contextualSpacing/>
    </w:pPr>
  </w:style>
  <w:style w:type="paragraph" w:styleId="ac">
    <w:name w:val="Normal (Web)"/>
    <w:basedOn w:val="a1"/>
    <w:uiPriority w:val="99"/>
    <w:unhideWhenUsed/>
    <w:rsid w:val="00772843"/>
    <w:rPr>
      <w:rFonts w:ascii="Times New Roman" w:hAnsi="Times New Roman" w:cs="Times New Roman"/>
      <w:sz w:val="24"/>
      <w:szCs w:val="24"/>
    </w:rPr>
  </w:style>
  <w:style w:type="character" w:customStyle="1" w:styleId="hl">
    <w:name w:val="hl"/>
    <w:basedOn w:val="a2"/>
    <w:rsid w:val="00772843"/>
  </w:style>
  <w:style w:type="character" w:customStyle="1" w:styleId="22">
    <w:name w:val="Заголовок 2 Знак"/>
    <w:basedOn w:val="a2"/>
    <w:link w:val="21"/>
    <w:uiPriority w:val="9"/>
    <w:rsid w:val="00D26255"/>
    <w:rPr>
      <w:rFonts w:asciiTheme="majorHAnsi" w:eastAsiaTheme="majorEastAsia" w:hAnsiTheme="majorHAnsi" w:cstheme="majorBidi"/>
      <w:color w:val="2F5496" w:themeColor="accent1" w:themeShade="BF"/>
      <w:sz w:val="26"/>
      <w:szCs w:val="26"/>
      <w:lang w:val="ru-RU"/>
    </w:rPr>
  </w:style>
  <w:style w:type="character" w:customStyle="1" w:styleId="32">
    <w:name w:val="Заголовок 3 Знак"/>
    <w:basedOn w:val="a2"/>
    <w:link w:val="31"/>
    <w:uiPriority w:val="9"/>
    <w:rsid w:val="00D26255"/>
    <w:rPr>
      <w:rFonts w:asciiTheme="majorHAnsi" w:eastAsiaTheme="majorEastAsia" w:hAnsiTheme="majorHAnsi" w:cstheme="majorBidi"/>
      <w:color w:val="1F3763" w:themeColor="accent1" w:themeShade="7F"/>
      <w:sz w:val="24"/>
      <w:szCs w:val="24"/>
      <w:lang w:val="ru-RU"/>
    </w:rPr>
  </w:style>
  <w:style w:type="table" w:styleId="ad">
    <w:name w:val="Table Grid"/>
    <w:basedOn w:val="a3"/>
    <w:uiPriority w:val="39"/>
    <w:rsid w:val="00D262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e">
    <w:name w:val="Основной текст_"/>
    <w:basedOn w:val="a2"/>
    <w:link w:val="36"/>
    <w:rsid w:val="00D26255"/>
    <w:rPr>
      <w:rFonts w:ascii="Times New Roman" w:eastAsia="Times New Roman" w:hAnsi="Times New Roman" w:cs="Times New Roman"/>
      <w:sz w:val="27"/>
      <w:szCs w:val="27"/>
      <w:shd w:val="clear" w:color="auto" w:fill="FFFFFF"/>
    </w:rPr>
  </w:style>
  <w:style w:type="paragraph" w:customStyle="1" w:styleId="36">
    <w:name w:val="Основной текст36"/>
    <w:basedOn w:val="a1"/>
    <w:link w:val="ae"/>
    <w:rsid w:val="00D26255"/>
    <w:pPr>
      <w:shd w:val="clear" w:color="auto" w:fill="FFFFFF"/>
      <w:spacing w:after="0" w:line="0" w:lineRule="atLeast"/>
      <w:ind w:hanging="3620"/>
    </w:pPr>
    <w:rPr>
      <w:rFonts w:ascii="Times New Roman" w:eastAsia="Times New Roman" w:hAnsi="Times New Roman" w:cs="Times New Roman"/>
      <w:sz w:val="27"/>
      <w:szCs w:val="27"/>
    </w:rPr>
  </w:style>
  <w:style w:type="paragraph" w:styleId="af">
    <w:name w:val="TOC Heading"/>
    <w:basedOn w:val="1"/>
    <w:next w:val="a1"/>
    <w:link w:val="af0"/>
    <w:uiPriority w:val="39"/>
    <w:unhideWhenUsed/>
    <w:qFormat/>
    <w:rsid w:val="00D26255"/>
    <w:pPr>
      <w:spacing w:before="240" w:line="259" w:lineRule="auto"/>
      <w:jc w:val="left"/>
      <w:outlineLvl w:val="9"/>
    </w:pPr>
    <w:rPr>
      <w:rFonts w:asciiTheme="majorHAnsi" w:hAnsiTheme="majorHAnsi"/>
      <w:b w:val="0"/>
      <w:bCs w:val="0"/>
      <w:color w:val="2F5496" w:themeColor="accent1" w:themeShade="BF"/>
      <w:sz w:val="32"/>
      <w:szCs w:val="32"/>
    </w:rPr>
  </w:style>
  <w:style w:type="paragraph" w:styleId="11">
    <w:name w:val="toc 1"/>
    <w:basedOn w:val="a1"/>
    <w:next w:val="a1"/>
    <w:autoRedefine/>
    <w:uiPriority w:val="39"/>
    <w:unhideWhenUsed/>
    <w:rsid w:val="00D26255"/>
    <w:pPr>
      <w:spacing w:after="100"/>
    </w:pPr>
  </w:style>
  <w:style w:type="paragraph" w:styleId="23">
    <w:name w:val="toc 2"/>
    <w:basedOn w:val="a1"/>
    <w:next w:val="a1"/>
    <w:autoRedefine/>
    <w:uiPriority w:val="39"/>
    <w:unhideWhenUsed/>
    <w:rsid w:val="00D26255"/>
    <w:pPr>
      <w:spacing w:after="100"/>
      <w:ind w:left="220"/>
    </w:pPr>
  </w:style>
  <w:style w:type="paragraph" w:styleId="33">
    <w:name w:val="toc 3"/>
    <w:basedOn w:val="a1"/>
    <w:next w:val="a1"/>
    <w:autoRedefine/>
    <w:uiPriority w:val="39"/>
    <w:unhideWhenUsed/>
    <w:rsid w:val="00D26255"/>
    <w:pPr>
      <w:spacing w:after="100"/>
      <w:ind w:left="440"/>
    </w:pPr>
  </w:style>
  <w:style w:type="paragraph" w:customStyle="1" w:styleId="Default">
    <w:name w:val="Default"/>
    <w:rsid w:val="00D26255"/>
    <w:pPr>
      <w:autoSpaceDE w:val="0"/>
      <w:autoSpaceDN w:val="0"/>
      <w:adjustRightInd w:val="0"/>
      <w:spacing w:after="0" w:line="240" w:lineRule="auto"/>
    </w:pPr>
    <w:rPr>
      <w:rFonts w:ascii="Newton" w:hAnsi="Newton" w:cs="Newton"/>
      <w:color w:val="000000"/>
      <w:sz w:val="24"/>
      <w:szCs w:val="24"/>
    </w:rPr>
  </w:style>
  <w:style w:type="paragraph" w:customStyle="1" w:styleId="p">
    <w:name w:val="p"/>
    <w:basedOn w:val="a1"/>
    <w:rsid w:val="00D2625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40">
    <w:name w:val="Заголовок 4 Знак"/>
    <w:basedOn w:val="a2"/>
    <w:link w:val="4"/>
    <w:uiPriority w:val="9"/>
    <w:rsid w:val="00D26255"/>
    <w:rPr>
      <w:rFonts w:asciiTheme="majorHAnsi" w:eastAsiaTheme="majorEastAsia" w:hAnsiTheme="majorHAnsi" w:cstheme="majorBidi"/>
      <w:b/>
      <w:bCs/>
      <w:i/>
      <w:iCs/>
      <w:color w:val="4472C4" w:themeColor="accent1"/>
      <w:lang w:val="en-US"/>
    </w:rPr>
  </w:style>
  <w:style w:type="character" w:customStyle="1" w:styleId="50">
    <w:name w:val="Заголовок 5 Знак"/>
    <w:basedOn w:val="a2"/>
    <w:link w:val="5"/>
    <w:uiPriority w:val="9"/>
    <w:semiHidden/>
    <w:rsid w:val="00D26255"/>
    <w:rPr>
      <w:rFonts w:asciiTheme="majorHAnsi" w:eastAsiaTheme="majorEastAsia" w:hAnsiTheme="majorHAnsi" w:cstheme="majorBidi"/>
      <w:color w:val="1F3763" w:themeColor="accent1" w:themeShade="7F"/>
      <w:lang w:val="en-US"/>
    </w:rPr>
  </w:style>
  <w:style w:type="character" w:customStyle="1" w:styleId="60">
    <w:name w:val="Заголовок 6 Знак"/>
    <w:basedOn w:val="a2"/>
    <w:link w:val="6"/>
    <w:uiPriority w:val="9"/>
    <w:semiHidden/>
    <w:rsid w:val="00D26255"/>
    <w:rPr>
      <w:rFonts w:asciiTheme="majorHAnsi" w:eastAsiaTheme="majorEastAsia" w:hAnsiTheme="majorHAnsi" w:cstheme="majorBidi"/>
      <w:i/>
      <w:iCs/>
      <w:color w:val="1F3763" w:themeColor="accent1" w:themeShade="7F"/>
      <w:lang w:val="en-US"/>
    </w:rPr>
  </w:style>
  <w:style w:type="character" w:customStyle="1" w:styleId="70">
    <w:name w:val="Заголовок 7 Знак"/>
    <w:basedOn w:val="a2"/>
    <w:link w:val="7"/>
    <w:uiPriority w:val="9"/>
    <w:semiHidden/>
    <w:rsid w:val="00D26255"/>
    <w:rPr>
      <w:rFonts w:asciiTheme="majorHAnsi" w:eastAsiaTheme="majorEastAsia" w:hAnsiTheme="majorHAnsi" w:cstheme="majorBidi"/>
      <w:i/>
      <w:iCs/>
      <w:color w:val="404040" w:themeColor="text1" w:themeTint="BF"/>
      <w:lang w:val="en-US"/>
    </w:rPr>
  </w:style>
  <w:style w:type="character" w:customStyle="1" w:styleId="80">
    <w:name w:val="Заголовок 8 Знак"/>
    <w:basedOn w:val="a2"/>
    <w:link w:val="8"/>
    <w:uiPriority w:val="9"/>
    <w:semiHidden/>
    <w:rsid w:val="00D26255"/>
    <w:rPr>
      <w:rFonts w:asciiTheme="majorHAnsi" w:eastAsiaTheme="majorEastAsia" w:hAnsiTheme="majorHAnsi" w:cstheme="majorBidi"/>
      <w:color w:val="4472C4" w:themeColor="accent1"/>
      <w:sz w:val="20"/>
      <w:szCs w:val="20"/>
      <w:lang w:val="en-US"/>
    </w:rPr>
  </w:style>
  <w:style w:type="character" w:customStyle="1" w:styleId="90">
    <w:name w:val="Заголовок 9 Знак"/>
    <w:basedOn w:val="a2"/>
    <w:link w:val="9"/>
    <w:uiPriority w:val="9"/>
    <w:semiHidden/>
    <w:rsid w:val="00D26255"/>
    <w:rPr>
      <w:rFonts w:asciiTheme="majorHAnsi" w:eastAsiaTheme="majorEastAsia" w:hAnsiTheme="majorHAnsi" w:cstheme="majorBidi"/>
      <w:i/>
      <w:iCs/>
      <w:color w:val="404040" w:themeColor="text1" w:themeTint="BF"/>
      <w:sz w:val="20"/>
      <w:szCs w:val="20"/>
      <w:lang w:val="en-US"/>
    </w:rPr>
  </w:style>
  <w:style w:type="paragraph" w:styleId="af1">
    <w:name w:val="endnote text"/>
    <w:basedOn w:val="a1"/>
    <w:link w:val="af2"/>
    <w:uiPriority w:val="99"/>
    <w:semiHidden/>
    <w:unhideWhenUsed/>
    <w:rsid w:val="00D26255"/>
    <w:pPr>
      <w:spacing w:after="0" w:line="240" w:lineRule="auto"/>
    </w:pPr>
    <w:rPr>
      <w:sz w:val="20"/>
      <w:szCs w:val="20"/>
    </w:rPr>
  </w:style>
  <w:style w:type="character" w:customStyle="1" w:styleId="af2">
    <w:name w:val="Текст концевой сноски Знак"/>
    <w:basedOn w:val="a2"/>
    <w:link w:val="af1"/>
    <w:uiPriority w:val="99"/>
    <w:semiHidden/>
    <w:rsid w:val="00D26255"/>
    <w:rPr>
      <w:sz w:val="20"/>
      <w:szCs w:val="20"/>
      <w:lang w:val="ru-RU"/>
    </w:rPr>
  </w:style>
  <w:style w:type="character" w:styleId="af3">
    <w:name w:val="endnote reference"/>
    <w:basedOn w:val="a2"/>
    <w:uiPriority w:val="99"/>
    <w:semiHidden/>
    <w:unhideWhenUsed/>
    <w:rsid w:val="00D26255"/>
    <w:rPr>
      <w:vertAlign w:val="superscript"/>
    </w:rPr>
  </w:style>
  <w:style w:type="paragraph" w:styleId="af4">
    <w:name w:val="Balloon Text"/>
    <w:basedOn w:val="a1"/>
    <w:link w:val="af5"/>
    <w:uiPriority w:val="99"/>
    <w:semiHidden/>
    <w:unhideWhenUsed/>
    <w:rsid w:val="00D26255"/>
    <w:pPr>
      <w:spacing w:after="0" w:line="240" w:lineRule="auto"/>
    </w:pPr>
    <w:rPr>
      <w:rFonts w:ascii="Tahoma" w:hAnsi="Tahoma" w:cs="Tahoma"/>
      <w:sz w:val="16"/>
      <w:szCs w:val="16"/>
    </w:rPr>
  </w:style>
  <w:style w:type="character" w:customStyle="1" w:styleId="af5">
    <w:name w:val="Текст выноски Знак"/>
    <w:basedOn w:val="a2"/>
    <w:link w:val="af4"/>
    <w:uiPriority w:val="99"/>
    <w:semiHidden/>
    <w:rsid w:val="00D26255"/>
    <w:rPr>
      <w:rFonts w:ascii="Tahoma" w:hAnsi="Tahoma" w:cs="Tahoma"/>
      <w:sz w:val="16"/>
      <w:szCs w:val="16"/>
      <w:lang w:val="ru-RU"/>
    </w:rPr>
  </w:style>
  <w:style w:type="table" w:customStyle="1" w:styleId="12">
    <w:name w:val="Сетка таблицы1"/>
    <w:basedOn w:val="a3"/>
    <w:next w:val="ad"/>
    <w:uiPriority w:val="59"/>
    <w:rsid w:val="00D262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Сетка таблицы2"/>
    <w:basedOn w:val="a3"/>
    <w:next w:val="ad"/>
    <w:uiPriority w:val="59"/>
    <w:rsid w:val="00D262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
    <w:name w:val="Сетка таблицы3"/>
    <w:basedOn w:val="a3"/>
    <w:next w:val="ad"/>
    <w:uiPriority w:val="59"/>
    <w:rsid w:val="00D262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3"/>
    <w:next w:val="ad"/>
    <w:uiPriority w:val="59"/>
    <w:rsid w:val="00D262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2"/>
    <w:rsid w:val="00D26255"/>
  </w:style>
  <w:style w:type="paragraph" w:styleId="af6">
    <w:name w:val="Body Text"/>
    <w:basedOn w:val="a1"/>
    <w:link w:val="af7"/>
    <w:uiPriority w:val="99"/>
    <w:unhideWhenUsed/>
    <w:rsid w:val="00D26255"/>
    <w:pPr>
      <w:spacing w:after="120" w:line="240" w:lineRule="auto"/>
    </w:pPr>
    <w:rPr>
      <w:rFonts w:ascii="Times New Roman" w:eastAsia="SimSun" w:hAnsi="Times New Roman" w:cs="Times New Roman"/>
      <w:sz w:val="24"/>
      <w:szCs w:val="24"/>
      <w:lang w:val="x-none" w:eastAsia="zh-CN"/>
    </w:rPr>
  </w:style>
  <w:style w:type="character" w:customStyle="1" w:styleId="af7">
    <w:name w:val="Основной текст Знак"/>
    <w:basedOn w:val="a2"/>
    <w:link w:val="af6"/>
    <w:uiPriority w:val="99"/>
    <w:rsid w:val="00D26255"/>
    <w:rPr>
      <w:rFonts w:ascii="Times New Roman" w:eastAsia="SimSun" w:hAnsi="Times New Roman" w:cs="Times New Roman"/>
      <w:sz w:val="24"/>
      <w:szCs w:val="24"/>
      <w:lang w:val="x-none" w:eastAsia="zh-CN"/>
    </w:rPr>
  </w:style>
  <w:style w:type="character" w:styleId="af8">
    <w:name w:val="FollowedHyperlink"/>
    <w:basedOn w:val="a2"/>
    <w:uiPriority w:val="99"/>
    <w:semiHidden/>
    <w:unhideWhenUsed/>
    <w:rsid w:val="00D26255"/>
    <w:rPr>
      <w:color w:val="954F72" w:themeColor="followedHyperlink"/>
      <w:u w:val="single"/>
    </w:rPr>
  </w:style>
  <w:style w:type="character" w:styleId="af9">
    <w:name w:val="annotation reference"/>
    <w:basedOn w:val="a2"/>
    <w:uiPriority w:val="99"/>
    <w:semiHidden/>
    <w:unhideWhenUsed/>
    <w:rsid w:val="00D26255"/>
    <w:rPr>
      <w:sz w:val="16"/>
      <w:szCs w:val="16"/>
    </w:rPr>
  </w:style>
  <w:style w:type="paragraph" w:styleId="afa">
    <w:name w:val="annotation text"/>
    <w:basedOn w:val="a1"/>
    <w:link w:val="afb"/>
    <w:uiPriority w:val="99"/>
    <w:unhideWhenUsed/>
    <w:rsid w:val="00D26255"/>
    <w:pPr>
      <w:spacing w:line="240" w:lineRule="auto"/>
    </w:pPr>
    <w:rPr>
      <w:sz w:val="20"/>
      <w:szCs w:val="20"/>
    </w:rPr>
  </w:style>
  <w:style w:type="character" w:customStyle="1" w:styleId="afb">
    <w:name w:val="Текст примечания Знак"/>
    <w:basedOn w:val="a2"/>
    <w:link w:val="afa"/>
    <w:uiPriority w:val="99"/>
    <w:rsid w:val="00D26255"/>
    <w:rPr>
      <w:sz w:val="20"/>
      <w:szCs w:val="20"/>
      <w:lang w:val="ru-RU"/>
    </w:rPr>
  </w:style>
  <w:style w:type="paragraph" w:styleId="afc">
    <w:name w:val="annotation subject"/>
    <w:basedOn w:val="afa"/>
    <w:next w:val="afa"/>
    <w:link w:val="afd"/>
    <w:uiPriority w:val="99"/>
    <w:semiHidden/>
    <w:unhideWhenUsed/>
    <w:rsid w:val="00D26255"/>
    <w:rPr>
      <w:b/>
      <w:bCs/>
    </w:rPr>
  </w:style>
  <w:style w:type="character" w:customStyle="1" w:styleId="afd">
    <w:name w:val="Тема примечания Знак"/>
    <w:basedOn w:val="afb"/>
    <w:link w:val="afc"/>
    <w:uiPriority w:val="99"/>
    <w:semiHidden/>
    <w:rsid w:val="00D26255"/>
    <w:rPr>
      <w:b/>
      <w:bCs/>
      <w:sz w:val="20"/>
      <w:szCs w:val="20"/>
      <w:lang w:val="ru-RU"/>
    </w:rPr>
  </w:style>
  <w:style w:type="paragraph" w:styleId="afe">
    <w:name w:val="Revision"/>
    <w:hidden/>
    <w:uiPriority w:val="99"/>
    <w:semiHidden/>
    <w:rsid w:val="00D26255"/>
    <w:pPr>
      <w:spacing w:after="0" w:line="240" w:lineRule="auto"/>
    </w:pPr>
  </w:style>
  <w:style w:type="table" w:customStyle="1" w:styleId="110">
    <w:name w:val="Сетка таблицы11"/>
    <w:basedOn w:val="a3"/>
    <w:next w:val="ad"/>
    <w:uiPriority w:val="59"/>
    <w:rsid w:val="00D262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1">
    <w:name w:val="s1"/>
    <w:rsid w:val="00D26255"/>
    <w:rPr>
      <w:rFonts w:ascii="Times New Roman" w:hAnsi="Times New Roman" w:cs="Times New Roman" w:hint="default"/>
      <w:b/>
      <w:bCs/>
      <w:i w:val="0"/>
      <w:iCs w:val="0"/>
      <w:strike w:val="0"/>
      <w:dstrike w:val="0"/>
      <w:color w:val="000000"/>
      <w:sz w:val="20"/>
      <w:szCs w:val="20"/>
      <w:u w:val="none"/>
      <w:effect w:val="none"/>
    </w:rPr>
  </w:style>
  <w:style w:type="character" w:customStyle="1" w:styleId="42">
    <w:name w:val="Основной текст (4)_"/>
    <w:basedOn w:val="a2"/>
    <w:link w:val="43"/>
    <w:rsid w:val="00D26255"/>
    <w:rPr>
      <w:rFonts w:ascii="Times New Roman" w:eastAsia="Times New Roman" w:hAnsi="Times New Roman" w:cs="Times New Roman"/>
      <w:sz w:val="8"/>
      <w:szCs w:val="8"/>
      <w:shd w:val="clear" w:color="auto" w:fill="FFFFFF"/>
    </w:rPr>
  </w:style>
  <w:style w:type="paragraph" w:customStyle="1" w:styleId="43">
    <w:name w:val="Основной текст (4)"/>
    <w:basedOn w:val="a1"/>
    <w:link w:val="42"/>
    <w:rsid w:val="00D26255"/>
    <w:pPr>
      <w:shd w:val="clear" w:color="auto" w:fill="FFFFFF"/>
      <w:spacing w:after="0" w:line="0" w:lineRule="atLeast"/>
      <w:jc w:val="both"/>
    </w:pPr>
    <w:rPr>
      <w:rFonts w:ascii="Times New Roman" w:eastAsia="Times New Roman" w:hAnsi="Times New Roman" w:cs="Times New Roman"/>
      <w:sz w:val="8"/>
      <w:szCs w:val="8"/>
    </w:rPr>
  </w:style>
  <w:style w:type="character" w:customStyle="1" w:styleId="13">
    <w:name w:val="Неразрешенное упоминание1"/>
    <w:basedOn w:val="a2"/>
    <w:uiPriority w:val="99"/>
    <w:semiHidden/>
    <w:unhideWhenUsed/>
    <w:rsid w:val="00D26255"/>
    <w:rPr>
      <w:color w:val="605E5C"/>
      <w:shd w:val="clear" w:color="auto" w:fill="E1DFDD"/>
    </w:rPr>
  </w:style>
  <w:style w:type="character" w:customStyle="1" w:styleId="25">
    <w:name w:val="Неразрешенное упоминание2"/>
    <w:basedOn w:val="a2"/>
    <w:uiPriority w:val="99"/>
    <w:semiHidden/>
    <w:unhideWhenUsed/>
    <w:rsid w:val="00D26255"/>
    <w:rPr>
      <w:color w:val="605E5C"/>
      <w:shd w:val="clear" w:color="auto" w:fill="E1DFDD"/>
    </w:rPr>
  </w:style>
  <w:style w:type="character" w:customStyle="1" w:styleId="35">
    <w:name w:val="Неразрешенное упоминание3"/>
    <w:basedOn w:val="a2"/>
    <w:uiPriority w:val="99"/>
    <w:semiHidden/>
    <w:unhideWhenUsed/>
    <w:rsid w:val="00D26255"/>
    <w:rPr>
      <w:color w:val="605E5C"/>
      <w:shd w:val="clear" w:color="auto" w:fill="E1DFDD"/>
    </w:rPr>
  </w:style>
  <w:style w:type="paragraph" w:styleId="aff">
    <w:name w:val="No Spacing"/>
    <w:uiPriority w:val="1"/>
    <w:qFormat/>
    <w:rsid w:val="00D26255"/>
    <w:pPr>
      <w:spacing w:after="0" w:line="240" w:lineRule="auto"/>
    </w:pPr>
    <w:rPr>
      <w:rFonts w:eastAsiaTheme="minorEastAsia"/>
      <w:lang w:val="en-US"/>
    </w:rPr>
  </w:style>
  <w:style w:type="paragraph" w:styleId="aff0">
    <w:name w:val="Title"/>
    <w:basedOn w:val="a1"/>
    <w:next w:val="a1"/>
    <w:link w:val="aff1"/>
    <w:uiPriority w:val="10"/>
    <w:qFormat/>
    <w:rsid w:val="00D26255"/>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lang w:val="en-US"/>
    </w:rPr>
  </w:style>
  <w:style w:type="character" w:customStyle="1" w:styleId="aff1">
    <w:name w:val="Заголовок Знак"/>
    <w:basedOn w:val="a2"/>
    <w:link w:val="aff0"/>
    <w:uiPriority w:val="10"/>
    <w:rsid w:val="00D26255"/>
    <w:rPr>
      <w:rFonts w:asciiTheme="majorHAnsi" w:eastAsiaTheme="majorEastAsia" w:hAnsiTheme="majorHAnsi" w:cstheme="majorBidi"/>
      <w:color w:val="323E4F" w:themeColor="text2" w:themeShade="BF"/>
      <w:spacing w:val="5"/>
      <w:kern w:val="28"/>
      <w:sz w:val="52"/>
      <w:szCs w:val="52"/>
      <w:lang w:val="en-US"/>
    </w:rPr>
  </w:style>
  <w:style w:type="paragraph" w:styleId="aff2">
    <w:name w:val="Subtitle"/>
    <w:basedOn w:val="a1"/>
    <w:next w:val="a1"/>
    <w:link w:val="aff3"/>
    <w:uiPriority w:val="11"/>
    <w:qFormat/>
    <w:rsid w:val="00D26255"/>
    <w:pPr>
      <w:numPr>
        <w:ilvl w:val="1"/>
      </w:numPr>
      <w:spacing w:after="0" w:line="360" w:lineRule="auto"/>
    </w:pPr>
    <w:rPr>
      <w:rFonts w:asciiTheme="majorHAnsi" w:eastAsiaTheme="majorEastAsia" w:hAnsiTheme="majorHAnsi" w:cstheme="majorBidi"/>
      <w:i/>
      <w:iCs/>
      <w:color w:val="4472C4" w:themeColor="accent1"/>
      <w:spacing w:val="15"/>
      <w:sz w:val="24"/>
      <w:szCs w:val="24"/>
      <w:lang w:val="en-US"/>
    </w:rPr>
  </w:style>
  <w:style w:type="character" w:customStyle="1" w:styleId="aff3">
    <w:name w:val="Подзаголовок Знак"/>
    <w:basedOn w:val="a2"/>
    <w:link w:val="aff2"/>
    <w:uiPriority w:val="11"/>
    <w:rsid w:val="00D26255"/>
    <w:rPr>
      <w:rFonts w:asciiTheme="majorHAnsi" w:eastAsiaTheme="majorEastAsia" w:hAnsiTheme="majorHAnsi" w:cstheme="majorBidi"/>
      <w:i/>
      <w:iCs/>
      <w:color w:val="4472C4" w:themeColor="accent1"/>
      <w:spacing w:val="15"/>
      <w:sz w:val="24"/>
      <w:szCs w:val="24"/>
      <w:lang w:val="en-US"/>
    </w:rPr>
  </w:style>
  <w:style w:type="paragraph" w:styleId="26">
    <w:name w:val="Body Text 2"/>
    <w:basedOn w:val="a1"/>
    <w:link w:val="27"/>
    <w:uiPriority w:val="99"/>
    <w:unhideWhenUsed/>
    <w:rsid w:val="00D26255"/>
    <w:pPr>
      <w:spacing w:after="120" w:line="480" w:lineRule="auto"/>
    </w:pPr>
    <w:rPr>
      <w:rFonts w:ascii="Times New Roman" w:eastAsiaTheme="minorEastAsia" w:hAnsi="Times New Roman"/>
      <w:lang w:val="en-US"/>
    </w:rPr>
  </w:style>
  <w:style w:type="character" w:customStyle="1" w:styleId="27">
    <w:name w:val="Основной текст 2 Знак"/>
    <w:basedOn w:val="a2"/>
    <w:link w:val="26"/>
    <w:uiPriority w:val="99"/>
    <w:rsid w:val="00D26255"/>
    <w:rPr>
      <w:rFonts w:ascii="Times New Roman" w:eastAsiaTheme="minorEastAsia" w:hAnsi="Times New Roman"/>
      <w:lang w:val="en-US"/>
    </w:rPr>
  </w:style>
  <w:style w:type="paragraph" w:styleId="37">
    <w:name w:val="Body Text 3"/>
    <w:basedOn w:val="a1"/>
    <w:link w:val="38"/>
    <w:uiPriority w:val="99"/>
    <w:unhideWhenUsed/>
    <w:rsid w:val="00D26255"/>
    <w:pPr>
      <w:spacing w:after="120" w:line="360" w:lineRule="auto"/>
    </w:pPr>
    <w:rPr>
      <w:rFonts w:ascii="Times New Roman" w:eastAsiaTheme="minorEastAsia" w:hAnsi="Times New Roman"/>
      <w:sz w:val="16"/>
      <w:szCs w:val="16"/>
      <w:lang w:val="en-US"/>
    </w:rPr>
  </w:style>
  <w:style w:type="character" w:customStyle="1" w:styleId="38">
    <w:name w:val="Основной текст 3 Знак"/>
    <w:basedOn w:val="a2"/>
    <w:link w:val="37"/>
    <w:uiPriority w:val="99"/>
    <w:rsid w:val="00D26255"/>
    <w:rPr>
      <w:rFonts w:ascii="Times New Roman" w:eastAsiaTheme="minorEastAsia" w:hAnsi="Times New Roman"/>
      <w:sz w:val="16"/>
      <w:szCs w:val="16"/>
      <w:lang w:val="en-US"/>
    </w:rPr>
  </w:style>
  <w:style w:type="paragraph" w:styleId="aff4">
    <w:name w:val="List"/>
    <w:basedOn w:val="a1"/>
    <w:uiPriority w:val="99"/>
    <w:unhideWhenUsed/>
    <w:rsid w:val="00D26255"/>
    <w:pPr>
      <w:spacing w:after="0" w:line="360" w:lineRule="auto"/>
      <w:ind w:left="360" w:hanging="360"/>
      <w:contextualSpacing/>
    </w:pPr>
    <w:rPr>
      <w:rFonts w:ascii="Times New Roman" w:eastAsiaTheme="minorEastAsia" w:hAnsi="Times New Roman"/>
      <w:lang w:val="en-US"/>
    </w:rPr>
  </w:style>
  <w:style w:type="paragraph" w:styleId="28">
    <w:name w:val="List 2"/>
    <w:basedOn w:val="a1"/>
    <w:uiPriority w:val="99"/>
    <w:unhideWhenUsed/>
    <w:rsid w:val="00D26255"/>
    <w:pPr>
      <w:spacing w:after="0" w:line="360" w:lineRule="auto"/>
      <w:ind w:left="720" w:hanging="360"/>
      <w:contextualSpacing/>
    </w:pPr>
    <w:rPr>
      <w:rFonts w:ascii="Times New Roman" w:eastAsiaTheme="minorEastAsia" w:hAnsi="Times New Roman"/>
      <w:lang w:val="en-US"/>
    </w:rPr>
  </w:style>
  <w:style w:type="paragraph" w:styleId="39">
    <w:name w:val="List 3"/>
    <w:basedOn w:val="a1"/>
    <w:uiPriority w:val="99"/>
    <w:unhideWhenUsed/>
    <w:rsid w:val="00D26255"/>
    <w:pPr>
      <w:spacing w:after="0" w:line="360" w:lineRule="auto"/>
      <w:ind w:left="1080" w:hanging="360"/>
      <w:contextualSpacing/>
    </w:pPr>
    <w:rPr>
      <w:rFonts w:ascii="Times New Roman" w:eastAsiaTheme="minorEastAsia" w:hAnsi="Times New Roman"/>
      <w:lang w:val="en-US"/>
    </w:rPr>
  </w:style>
  <w:style w:type="paragraph" w:styleId="a0">
    <w:name w:val="List Bullet"/>
    <w:basedOn w:val="a1"/>
    <w:uiPriority w:val="99"/>
    <w:unhideWhenUsed/>
    <w:rsid w:val="00D26255"/>
    <w:pPr>
      <w:numPr>
        <w:numId w:val="1"/>
      </w:numPr>
      <w:spacing w:after="0" w:line="360" w:lineRule="auto"/>
      <w:contextualSpacing/>
    </w:pPr>
    <w:rPr>
      <w:rFonts w:ascii="Times New Roman" w:eastAsiaTheme="minorEastAsia" w:hAnsi="Times New Roman"/>
      <w:lang w:val="en-US"/>
    </w:rPr>
  </w:style>
  <w:style w:type="paragraph" w:styleId="20">
    <w:name w:val="List Bullet 2"/>
    <w:basedOn w:val="a1"/>
    <w:uiPriority w:val="99"/>
    <w:unhideWhenUsed/>
    <w:rsid w:val="00D26255"/>
    <w:pPr>
      <w:numPr>
        <w:numId w:val="2"/>
      </w:numPr>
      <w:spacing w:after="0" w:line="360" w:lineRule="auto"/>
      <w:contextualSpacing/>
    </w:pPr>
    <w:rPr>
      <w:rFonts w:ascii="Times New Roman" w:eastAsiaTheme="minorEastAsia" w:hAnsi="Times New Roman"/>
      <w:lang w:val="en-US"/>
    </w:rPr>
  </w:style>
  <w:style w:type="paragraph" w:styleId="30">
    <w:name w:val="List Bullet 3"/>
    <w:basedOn w:val="a1"/>
    <w:uiPriority w:val="99"/>
    <w:unhideWhenUsed/>
    <w:rsid w:val="00D26255"/>
    <w:pPr>
      <w:numPr>
        <w:numId w:val="3"/>
      </w:numPr>
      <w:spacing w:after="0" w:line="360" w:lineRule="auto"/>
      <w:contextualSpacing/>
    </w:pPr>
    <w:rPr>
      <w:rFonts w:ascii="Times New Roman" w:eastAsiaTheme="minorEastAsia" w:hAnsi="Times New Roman"/>
      <w:lang w:val="en-US"/>
    </w:rPr>
  </w:style>
  <w:style w:type="paragraph" w:styleId="a">
    <w:name w:val="List Number"/>
    <w:basedOn w:val="a1"/>
    <w:uiPriority w:val="99"/>
    <w:unhideWhenUsed/>
    <w:rsid w:val="00D26255"/>
    <w:pPr>
      <w:numPr>
        <w:numId w:val="4"/>
      </w:numPr>
      <w:spacing w:after="0" w:line="360" w:lineRule="auto"/>
      <w:contextualSpacing/>
    </w:pPr>
    <w:rPr>
      <w:rFonts w:ascii="Times New Roman" w:eastAsiaTheme="minorEastAsia" w:hAnsi="Times New Roman"/>
      <w:lang w:val="en-US"/>
    </w:rPr>
  </w:style>
  <w:style w:type="paragraph" w:styleId="2">
    <w:name w:val="List Number 2"/>
    <w:basedOn w:val="a1"/>
    <w:uiPriority w:val="99"/>
    <w:unhideWhenUsed/>
    <w:rsid w:val="00D26255"/>
    <w:pPr>
      <w:numPr>
        <w:numId w:val="5"/>
      </w:numPr>
      <w:spacing w:after="0" w:line="360" w:lineRule="auto"/>
      <w:contextualSpacing/>
    </w:pPr>
    <w:rPr>
      <w:rFonts w:ascii="Times New Roman" w:eastAsiaTheme="minorEastAsia" w:hAnsi="Times New Roman"/>
      <w:lang w:val="en-US"/>
    </w:rPr>
  </w:style>
  <w:style w:type="paragraph" w:styleId="3">
    <w:name w:val="List Number 3"/>
    <w:basedOn w:val="a1"/>
    <w:uiPriority w:val="99"/>
    <w:unhideWhenUsed/>
    <w:rsid w:val="00D26255"/>
    <w:pPr>
      <w:numPr>
        <w:numId w:val="6"/>
      </w:numPr>
      <w:spacing w:after="0" w:line="360" w:lineRule="auto"/>
      <w:contextualSpacing/>
    </w:pPr>
    <w:rPr>
      <w:rFonts w:ascii="Times New Roman" w:eastAsiaTheme="minorEastAsia" w:hAnsi="Times New Roman"/>
      <w:lang w:val="en-US"/>
    </w:rPr>
  </w:style>
  <w:style w:type="paragraph" w:styleId="aff5">
    <w:name w:val="List Continue"/>
    <w:basedOn w:val="a1"/>
    <w:uiPriority w:val="99"/>
    <w:unhideWhenUsed/>
    <w:rsid w:val="00D26255"/>
    <w:pPr>
      <w:spacing w:after="120" w:line="360" w:lineRule="auto"/>
      <w:ind w:left="360"/>
      <w:contextualSpacing/>
    </w:pPr>
    <w:rPr>
      <w:rFonts w:ascii="Times New Roman" w:eastAsiaTheme="minorEastAsia" w:hAnsi="Times New Roman"/>
      <w:lang w:val="en-US"/>
    </w:rPr>
  </w:style>
  <w:style w:type="paragraph" w:styleId="29">
    <w:name w:val="List Continue 2"/>
    <w:basedOn w:val="a1"/>
    <w:uiPriority w:val="99"/>
    <w:unhideWhenUsed/>
    <w:rsid w:val="00D26255"/>
    <w:pPr>
      <w:spacing w:after="120" w:line="360" w:lineRule="auto"/>
      <w:ind w:left="720"/>
      <w:contextualSpacing/>
    </w:pPr>
    <w:rPr>
      <w:rFonts w:ascii="Times New Roman" w:eastAsiaTheme="minorEastAsia" w:hAnsi="Times New Roman"/>
      <w:lang w:val="en-US"/>
    </w:rPr>
  </w:style>
  <w:style w:type="paragraph" w:styleId="3a">
    <w:name w:val="List Continue 3"/>
    <w:basedOn w:val="a1"/>
    <w:uiPriority w:val="99"/>
    <w:unhideWhenUsed/>
    <w:rsid w:val="00D26255"/>
    <w:pPr>
      <w:spacing w:after="120" w:line="360" w:lineRule="auto"/>
      <w:ind w:left="1080"/>
      <w:contextualSpacing/>
    </w:pPr>
    <w:rPr>
      <w:rFonts w:ascii="Times New Roman" w:eastAsiaTheme="minorEastAsia" w:hAnsi="Times New Roman"/>
      <w:lang w:val="en-US"/>
    </w:rPr>
  </w:style>
  <w:style w:type="paragraph" w:styleId="aff6">
    <w:name w:val="macro"/>
    <w:link w:val="aff7"/>
    <w:uiPriority w:val="99"/>
    <w:unhideWhenUsed/>
    <w:rsid w:val="00D26255"/>
    <w:pPr>
      <w:tabs>
        <w:tab w:val="left" w:pos="576"/>
        <w:tab w:val="left" w:pos="1152"/>
        <w:tab w:val="left" w:pos="1728"/>
        <w:tab w:val="left" w:pos="2304"/>
        <w:tab w:val="left" w:pos="2880"/>
        <w:tab w:val="left" w:pos="3456"/>
        <w:tab w:val="left" w:pos="4032"/>
      </w:tabs>
      <w:spacing w:after="200" w:line="276" w:lineRule="auto"/>
    </w:pPr>
    <w:rPr>
      <w:rFonts w:ascii="Courier" w:eastAsiaTheme="minorEastAsia" w:hAnsi="Courier"/>
      <w:sz w:val="20"/>
      <w:szCs w:val="20"/>
      <w:lang w:val="en-US"/>
    </w:rPr>
  </w:style>
  <w:style w:type="character" w:customStyle="1" w:styleId="aff7">
    <w:name w:val="Текст макроса Знак"/>
    <w:basedOn w:val="a2"/>
    <w:link w:val="aff6"/>
    <w:uiPriority w:val="99"/>
    <w:rsid w:val="00D26255"/>
    <w:rPr>
      <w:rFonts w:ascii="Courier" w:eastAsiaTheme="minorEastAsia" w:hAnsi="Courier"/>
      <w:sz w:val="20"/>
      <w:szCs w:val="20"/>
      <w:lang w:val="en-US"/>
    </w:rPr>
  </w:style>
  <w:style w:type="paragraph" w:styleId="2a">
    <w:name w:val="Quote"/>
    <w:basedOn w:val="a1"/>
    <w:next w:val="a1"/>
    <w:link w:val="2b"/>
    <w:uiPriority w:val="29"/>
    <w:qFormat/>
    <w:rsid w:val="00D26255"/>
    <w:pPr>
      <w:spacing w:after="0" w:line="360" w:lineRule="auto"/>
    </w:pPr>
    <w:rPr>
      <w:rFonts w:ascii="Times New Roman" w:eastAsiaTheme="minorEastAsia" w:hAnsi="Times New Roman"/>
      <w:i/>
      <w:iCs/>
      <w:color w:val="000000" w:themeColor="text1"/>
      <w:lang w:val="en-US"/>
    </w:rPr>
  </w:style>
  <w:style w:type="character" w:customStyle="1" w:styleId="2b">
    <w:name w:val="Цитата 2 Знак"/>
    <w:basedOn w:val="a2"/>
    <w:link w:val="2a"/>
    <w:uiPriority w:val="29"/>
    <w:rsid w:val="00D26255"/>
    <w:rPr>
      <w:rFonts w:ascii="Times New Roman" w:eastAsiaTheme="minorEastAsia" w:hAnsi="Times New Roman"/>
      <w:i/>
      <w:iCs/>
      <w:color w:val="000000" w:themeColor="text1"/>
      <w:lang w:val="en-US"/>
    </w:rPr>
  </w:style>
  <w:style w:type="character" w:styleId="aff8">
    <w:name w:val="Strong"/>
    <w:basedOn w:val="a2"/>
    <w:uiPriority w:val="22"/>
    <w:qFormat/>
    <w:rsid w:val="00D26255"/>
    <w:rPr>
      <w:b/>
      <w:bCs/>
    </w:rPr>
  </w:style>
  <w:style w:type="character" w:styleId="aff9">
    <w:name w:val="Emphasis"/>
    <w:basedOn w:val="a2"/>
    <w:uiPriority w:val="20"/>
    <w:qFormat/>
    <w:rsid w:val="00D26255"/>
    <w:rPr>
      <w:i/>
      <w:iCs/>
    </w:rPr>
  </w:style>
  <w:style w:type="paragraph" w:styleId="affa">
    <w:name w:val="Intense Quote"/>
    <w:basedOn w:val="a1"/>
    <w:next w:val="a1"/>
    <w:link w:val="affb"/>
    <w:uiPriority w:val="30"/>
    <w:qFormat/>
    <w:rsid w:val="00D26255"/>
    <w:pPr>
      <w:pBdr>
        <w:bottom w:val="single" w:sz="4" w:space="4" w:color="4472C4" w:themeColor="accent1"/>
      </w:pBdr>
      <w:spacing w:before="200" w:after="280" w:line="360" w:lineRule="auto"/>
      <w:ind w:left="936" w:right="936"/>
    </w:pPr>
    <w:rPr>
      <w:rFonts w:ascii="Times New Roman" w:eastAsiaTheme="minorEastAsia" w:hAnsi="Times New Roman"/>
      <w:b/>
      <w:bCs/>
      <w:i/>
      <w:iCs/>
      <w:color w:val="4472C4" w:themeColor="accent1"/>
      <w:lang w:val="en-US"/>
    </w:rPr>
  </w:style>
  <w:style w:type="character" w:customStyle="1" w:styleId="affb">
    <w:name w:val="Выделенная цитата Знак"/>
    <w:basedOn w:val="a2"/>
    <w:link w:val="affa"/>
    <w:uiPriority w:val="30"/>
    <w:rsid w:val="00D26255"/>
    <w:rPr>
      <w:rFonts w:ascii="Times New Roman" w:eastAsiaTheme="minorEastAsia" w:hAnsi="Times New Roman"/>
      <w:b/>
      <w:bCs/>
      <w:i/>
      <w:iCs/>
      <w:color w:val="4472C4" w:themeColor="accent1"/>
      <w:lang w:val="en-US"/>
    </w:rPr>
  </w:style>
  <w:style w:type="character" w:styleId="affc">
    <w:name w:val="Subtle Emphasis"/>
    <w:basedOn w:val="a2"/>
    <w:uiPriority w:val="19"/>
    <w:qFormat/>
    <w:rsid w:val="00D26255"/>
    <w:rPr>
      <w:i/>
      <w:iCs/>
      <w:color w:val="808080" w:themeColor="text1" w:themeTint="7F"/>
    </w:rPr>
  </w:style>
  <w:style w:type="character" w:styleId="affd">
    <w:name w:val="Intense Emphasis"/>
    <w:basedOn w:val="a2"/>
    <w:uiPriority w:val="21"/>
    <w:qFormat/>
    <w:rsid w:val="00D26255"/>
    <w:rPr>
      <w:b/>
      <w:bCs/>
      <w:i/>
      <w:iCs/>
      <w:color w:val="4472C4" w:themeColor="accent1"/>
    </w:rPr>
  </w:style>
  <w:style w:type="character" w:styleId="affe">
    <w:name w:val="Subtle Reference"/>
    <w:basedOn w:val="a2"/>
    <w:uiPriority w:val="31"/>
    <w:qFormat/>
    <w:rsid w:val="00D26255"/>
    <w:rPr>
      <w:smallCaps/>
      <w:color w:val="ED7D31" w:themeColor="accent2"/>
      <w:u w:val="single"/>
    </w:rPr>
  </w:style>
  <w:style w:type="character" w:styleId="afff">
    <w:name w:val="Intense Reference"/>
    <w:basedOn w:val="a2"/>
    <w:uiPriority w:val="32"/>
    <w:qFormat/>
    <w:rsid w:val="00D26255"/>
    <w:rPr>
      <w:b/>
      <w:bCs/>
      <w:smallCaps/>
      <w:color w:val="ED7D31" w:themeColor="accent2"/>
      <w:spacing w:val="5"/>
      <w:u w:val="single"/>
    </w:rPr>
  </w:style>
  <w:style w:type="character" w:styleId="afff0">
    <w:name w:val="Book Title"/>
    <w:basedOn w:val="a2"/>
    <w:uiPriority w:val="33"/>
    <w:qFormat/>
    <w:rsid w:val="00D26255"/>
    <w:rPr>
      <w:b/>
      <w:bCs/>
      <w:smallCaps/>
      <w:spacing w:val="5"/>
    </w:rPr>
  </w:style>
  <w:style w:type="paragraph" w:styleId="afff1">
    <w:name w:val="Bibliography"/>
    <w:basedOn w:val="a1"/>
    <w:next w:val="a1"/>
    <w:uiPriority w:val="37"/>
    <w:unhideWhenUsed/>
    <w:rsid w:val="00A11FAC"/>
    <w:pPr>
      <w:spacing w:after="240" w:line="240" w:lineRule="auto"/>
    </w:pPr>
  </w:style>
  <w:style w:type="paragraph" w:customStyle="1" w:styleId="14">
    <w:name w:val="Стиль1"/>
    <w:basedOn w:val="af"/>
    <w:link w:val="15"/>
    <w:qFormat/>
    <w:rsid w:val="001E420C"/>
    <w:pPr>
      <w:spacing w:before="0"/>
      <w:jc w:val="both"/>
    </w:pPr>
    <w:rPr>
      <w:rFonts w:ascii="Times New Roman" w:hAnsi="Times New Roman"/>
      <w:color w:val="auto"/>
      <w:sz w:val="28"/>
    </w:rPr>
  </w:style>
  <w:style w:type="character" w:customStyle="1" w:styleId="44">
    <w:name w:val="Неразрешенное упоминание4"/>
    <w:basedOn w:val="a2"/>
    <w:uiPriority w:val="99"/>
    <w:semiHidden/>
    <w:unhideWhenUsed/>
    <w:rsid w:val="00FF1D30"/>
    <w:rPr>
      <w:color w:val="605E5C"/>
      <w:shd w:val="clear" w:color="auto" w:fill="E1DFDD"/>
    </w:rPr>
  </w:style>
  <w:style w:type="character" w:customStyle="1" w:styleId="af0">
    <w:name w:val="Заголовок оглавления Знак"/>
    <w:basedOn w:val="10"/>
    <w:link w:val="af"/>
    <w:uiPriority w:val="39"/>
    <w:rsid w:val="001E420C"/>
    <w:rPr>
      <w:rFonts w:asciiTheme="majorHAnsi" w:eastAsiaTheme="majorEastAsia" w:hAnsiTheme="majorHAnsi" w:cstheme="majorBidi"/>
      <w:b w:val="0"/>
      <w:bCs w:val="0"/>
      <w:color w:val="2F5496" w:themeColor="accent1" w:themeShade="BF"/>
      <w:sz w:val="32"/>
      <w:szCs w:val="32"/>
      <w:lang w:val="ru-RU"/>
    </w:rPr>
  </w:style>
  <w:style w:type="character" w:customStyle="1" w:styleId="15">
    <w:name w:val="Стиль1 Знак"/>
    <w:basedOn w:val="af0"/>
    <w:link w:val="14"/>
    <w:rsid w:val="001E420C"/>
    <w:rPr>
      <w:rFonts w:ascii="Times New Roman" w:eastAsiaTheme="majorEastAsia" w:hAnsi="Times New Roman" w:cstheme="majorBidi"/>
      <w:b w:val="0"/>
      <w:bCs w:val="0"/>
      <w:color w:val="2F5496" w:themeColor="accent1" w:themeShade="BF"/>
      <w:sz w:val="28"/>
      <w:szCs w:val="32"/>
      <w:lang w:val="ru-RU"/>
    </w:rPr>
  </w:style>
  <w:style w:type="character" w:customStyle="1" w:styleId="element-citation">
    <w:name w:val="element-citation"/>
    <w:basedOn w:val="a2"/>
    <w:rsid w:val="00565F87"/>
  </w:style>
  <w:style w:type="character" w:customStyle="1" w:styleId="ref-journal">
    <w:name w:val="ref-journal"/>
    <w:basedOn w:val="a2"/>
    <w:rsid w:val="00565F87"/>
  </w:style>
  <w:style w:type="character" w:customStyle="1" w:styleId="ref-vol">
    <w:name w:val="ref-vol"/>
    <w:basedOn w:val="a2"/>
    <w:rsid w:val="00565F87"/>
  </w:style>
  <w:style w:type="character" w:customStyle="1" w:styleId="nowrap">
    <w:name w:val="nowrap"/>
    <w:basedOn w:val="a2"/>
    <w:rsid w:val="00565F87"/>
  </w:style>
  <w:style w:type="character" w:customStyle="1" w:styleId="mixed-citation">
    <w:name w:val="mixed-citation"/>
    <w:basedOn w:val="a2"/>
    <w:rsid w:val="00565F87"/>
  </w:style>
  <w:style w:type="character" w:customStyle="1" w:styleId="ref-title">
    <w:name w:val="ref-title"/>
    <w:basedOn w:val="a2"/>
    <w:rsid w:val="00565F87"/>
  </w:style>
  <w:style w:type="character" w:customStyle="1" w:styleId="shorttext">
    <w:name w:val="short_text"/>
    <w:basedOn w:val="a2"/>
    <w:rsid w:val="00565F87"/>
  </w:style>
  <w:style w:type="paragraph" w:customStyle="1" w:styleId="tabletitle">
    <w:name w:val="tabletitle"/>
    <w:basedOn w:val="a1"/>
    <w:rsid w:val="00565F8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opispoleabz">
    <w:name w:val="opis_pole_abz"/>
    <w:basedOn w:val="a1"/>
    <w:rsid w:val="00565F8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okr">
    <w:name w:val="sokr"/>
    <w:basedOn w:val="a2"/>
    <w:rsid w:val="00565F87"/>
  </w:style>
  <w:style w:type="paragraph" w:customStyle="1" w:styleId="Pa5">
    <w:name w:val="Pa5"/>
    <w:basedOn w:val="Default"/>
    <w:next w:val="Default"/>
    <w:uiPriority w:val="99"/>
    <w:rsid w:val="00565F87"/>
    <w:pPr>
      <w:spacing w:line="171" w:lineRule="atLeast"/>
    </w:pPr>
    <w:rPr>
      <w:rFonts w:ascii="National Book" w:eastAsiaTheme="minorEastAsia" w:hAnsi="National Book" w:cstheme="minorBidi"/>
      <w:color w:val="auto"/>
      <w:lang w:eastAsia="ru-RU"/>
    </w:rPr>
  </w:style>
  <w:style w:type="character" w:customStyle="1" w:styleId="A70">
    <w:name w:val="A7"/>
    <w:uiPriority w:val="99"/>
    <w:rsid w:val="00565F87"/>
    <w:rPr>
      <w:rFonts w:cs="National Bold"/>
      <w:b/>
      <w:bCs/>
      <w:color w:val="221E1F"/>
      <w:sz w:val="12"/>
      <w:szCs w:val="12"/>
    </w:rPr>
  </w:style>
  <w:style w:type="character" w:customStyle="1" w:styleId="c-article-referencescounter">
    <w:name w:val="c-article-references__counter"/>
    <w:basedOn w:val="a2"/>
    <w:rsid w:val="00565F87"/>
  </w:style>
  <w:style w:type="paragraph" w:customStyle="1" w:styleId="c-article-referencestext">
    <w:name w:val="c-article-references__text"/>
    <w:basedOn w:val="a1"/>
    <w:rsid w:val="00565F8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it">
    <w:name w:val="cit"/>
    <w:basedOn w:val="a2"/>
    <w:rsid w:val="00565F87"/>
  </w:style>
  <w:style w:type="character" w:customStyle="1" w:styleId="citation-doi">
    <w:name w:val="citation-doi"/>
    <w:basedOn w:val="a2"/>
    <w:rsid w:val="00565F87"/>
  </w:style>
  <w:style w:type="character" w:customStyle="1" w:styleId="secondary-date">
    <w:name w:val="secondary-date"/>
    <w:basedOn w:val="a2"/>
    <w:rsid w:val="00565F87"/>
  </w:style>
  <w:style w:type="character" w:customStyle="1" w:styleId="period">
    <w:name w:val="period"/>
    <w:basedOn w:val="a2"/>
    <w:rsid w:val="00565F87"/>
  </w:style>
  <w:style w:type="character" w:customStyle="1" w:styleId="mi">
    <w:name w:val="mi"/>
    <w:basedOn w:val="a2"/>
    <w:rsid w:val="00565F87"/>
  </w:style>
  <w:style w:type="character" w:customStyle="1" w:styleId="mo">
    <w:name w:val="mo"/>
    <w:basedOn w:val="a2"/>
    <w:rsid w:val="00565F87"/>
  </w:style>
  <w:style w:type="paragraph" w:styleId="afff2">
    <w:name w:val="caption"/>
    <w:basedOn w:val="a1"/>
    <w:next w:val="a1"/>
    <w:uiPriority w:val="35"/>
    <w:semiHidden/>
    <w:unhideWhenUsed/>
    <w:qFormat/>
    <w:rsid w:val="00565F87"/>
    <w:pPr>
      <w:spacing w:after="0" w:line="240" w:lineRule="auto"/>
    </w:pPr>
    <w:rPr>
      <w:rFonts w:ascii="Times New Roman" w:eastAsiaTheme="minorEastAsia" w:hAnsi="Times New Roman"/>
      <w:b/>
      <w:bCs/>
      <w:color w:val="4472C4" w:themeColor="accent1"/>
      <w:sz w:val="18"/>
      <w:szCs w:val="18"/>
      <w:lang w:val="en-US" w:eastAsia="ru-RU"/>
    </w:rPr>
  </w:style>
  <w:style w:type="table" w:styleId="afff3">
    <w:name w:val="Light Shading"/>
    <w:basedOn w:val="a3"/>
    <w:uiPriority w:val="60"/>
    <w:rsid w:val="00565F87"/>
    <w:pPr>
      <w:spacing w:after="0" w:line="240" w:lineRule="auto"/>
    </w:pPr>
    <w:rPr>
      <w:rFonts w:eastAsiaTheme="minorEastAsia"/>
      <w:color w:val="000000" w:themeColor="text1" w:themeShade="BF"/>
      <w:lang w:val="en-US"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
    <w:name w:val="Light Shading Accent 1"/>
    <w:basedOn w:val="a3"/>
    <w:uiPriority w:val="60"/>
    <w:rsid w:val="00565F87"/>
    <w:pPr>
      <w:spacing w:after="0" w:line="240" w:lineRule="auto"/>
    </w:pPr>
    <w:rPr>
      <w:rFonts w:eastAsiaTheme="minorEastAsia"/>
      <w:color w:val="2F5496" w:themeColor="accent1" w:themeShade="BF"/>
      <w:lang w:val="en-US" w:eastAsia="ru-RU"/>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styleId="-2">
    <w:name w:val="Light Shading Accent 2"/>
    <w:basedOn w:val="a3"/>
    <w:uiPriority w:val="60"/>
    <w:rsid w:val="00565F87"/>
    <w:pPr>
      <w:spacing w:after="0" w:line="240" w:lineRule="auto"/>
    </w:pPr>
    <w:rPr>
      <w:rFonts w:eastAsiaTheme="minorEastAsia"/>
      <w:color w:val="C45911" w:themeColor="accent2" w:themeShade="BF"/>
      <w:lang w:val="en-US" w:eastAsia="ru-RU"/>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3">
    <w:name w:val="Light Shading Accent 3"/>
    <w:basedOn w:val="a3"/>
    <w:uiPriority w:val="60"/>
    <w:rsid w:val="00565F87"/>
    <w:pPr>
      <w:spacing w:after="0" w:line="240" w:lineRule="auto"/>
    </w:pPr>
    <w:rPr>
      <w:rFonts w:eastAsiaTheme="minorEastAsia"/>
      <w:color w:val="7B7B7B" w:themeColor="accent3" w:themeShade="BF"/>
      <w:lang w:val="en-US" w:eastAsia="ru-RU"/>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4">
    <w:name w:val="Light Shading Accent 4"/>
    <w:basedOn w:val="a3"/>
    <w:uiPriority w:val="60"/>
    <w:rsid w:val="00565F87"/>
    <w:pPr>
      <w:spacing w:after="0" w:line="240" w:lineRule="auto"/>
    </w:pPr>
    <w:rPr>
      <w:rFonts w:eastAsiaTheme="minorEastAsia"/>
      <w:color w:val="BF8F00" w:themeColor="accent4" w:themeShade="BF"/>
      <w:lang w:val="en-US" w:eastAsia="ru-RU"/>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5">
    <w:name w:val="Light Shading Accent 5"/>
    <w:basedOn w:val="a3"/>
    <w:uiPriority w:val="60"/>
    <w:rsid w:val="00565F87"/>
    <w:pPr>
      <w:spacing w:after="0" w:line="240" w:lineRule="auto"/>
    </w:pPr>
    <w:rPr>
      <w:rFonts w:eastAsiaTheme="minorEastAsia"/>
      <w:color w:val="2E74B5" w:themeColor="accent5" w:themeShade="BF"/>
      <w:lang w:val="en-US" w:eastAsia="ru-RU"/>
    </w:rPr>
    <w:tblPr>
      <w:tblStyleRowBandSize w:val="1"/>
      <w:tblStyleColBandSize w:val="1"/>
      <w:tblBorders>
        <w:top w:val="single" w:sz="8" w:space="0" w:color="5B9BD5" w:themeColor="accent5"/>
        <w:bottom w:val="single" w:sz="8" w:space="0" w:color="5B9BD5" w:themeColor="accent5"/>
      </w:tblBorders>
    </w:tblPr>
    <w:tblStylePr w:type="fir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la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left w:val="nil"/>
          <w:right w:val="nil"/>
          <w:insideH w:val="nil"/>
          <w:insideV w:val="nil"/>
        </w:tcBorders>
        <w:shd w:val="clear" w:color="auto" w:fill="D6E6F4" w:themeFill="accent5" w:themeFillTint="3F"/>
      </w:tcPr>
    </w:tblStylePr>
  </w:style>
  <w:style w:type="table" w:styleId="-6">
    <w:name w:val="Light Shading Accent 6"/>
    <w:basedOn w:val="a3"/>
    <w:uiPriority w:val="60"/>
    <w:rsid w:val="00565F87"/>
    <w:pPr>
      <w:spacing w:after="0" w:line="240" w:lineRule="auto"/>
    </w:pPr>
    <w:rPr>
      <w:rFonts w:eastAsiaTheme="minorEastAsia"/>
      <w:color w:val="538135" w:themeColor="accent6" w:themeShade="BF"/>
      <w:lang w:val="en-US" w:eastAsia="ru-RU"/>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styleId="afff4">
    <w:name w:val="Light List"/>
    <w:basedOn w:val="a3"/>
    <w:uiPriority w:val="61"/>
    <w:rsid w:val="00565F87"/>
    <w:pPr>
      <w:spacing w:after="0" w:line="240" w:lineRule="auto"/>
    </w:pPr>
    <w:rPr>
      <w:rFonts w:eastAsiaTheme="minorEastAsia"/>
      <w:lang w:val="en-US" w:eastAsia="ru-RU"/>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10">
    <w:name w:val="Light List Accent 1"/>
    <w:basedOn w:val="a3"/>
    <w:uiPriority w:val="61"/>
    <w:rsid w:val="00565F87"/>
    <w:pPr>
      <w:spacing w:after="0" w:line="240" w:lineRule="auto"/>
    </w:pPr>
    <w:rPr>
      <w:rFonts w:eastAsiaTheme="minorEastAsia"/>
      <w:lang w:val="en-US" w:eastAsia="ru-RU"/>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20">
    <w:name w:val="Light List Accent 2"/>
    <w:basedOn w:val="a3"/>
    <w:uiPriority w:val="61"/>
    <w:rsid w:val="00565F87"/>
    <w:pPr>
      <w:spacing w:after="0" w:line="240" w:lineRule="auto"/>
    </w:pPr>
    <w:rPr>
      <w:rFonts w:eastAsiaTheme="minorEastAsia"/>
      <w:lang w:val="en-US" w:eastAsia="ru-RU"/>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30">
    <w:name w:val="Light List Accent 3"/>
    <w:basedOn w:val="a3"/>
    <w:uiPriority w:val="61"/>
    <w:rsid w:val="00565F87"/>
    <w:pPr>
      <w:spacing w:after="0" w:line="240" w:lineRule="auto"/>
    </w:pPr>
    <w:rPr>
      <w:rFonts w:eastAsiaTheme="minorEastAsia"/>
      <w:lang w:val="en-US" w:eastAsia="ru-RU"/>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40">
    <w:name w:val="Light List Accent 4"/>
    <w:basedOn w:val="a3"/>
    <w:uiPriority w:val="61"/>
    <w:rsid w:val="00565F87"/>
    <w:pPr>
      <w:spacing w:after="0" w:line="240" w:lineRule="auto"/>
    </w:pPr>
    <w:rPr>
      <w:rFonts w:eastAsiaTheme="minorEastAsia"/>
      <w:lang w:val="en-US" w:eastAsia="ru-RU"/>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50">
    <w:name w:val="Light List Accent 5"/>
    <w:basedOn w:val="a3"/>
    <w:uiPriority w:val="61"/>
    <w:rsid w:val="00565F87"/>
    <w:pPr>
      <w:spacing w:after="0" w:line="240" w:lineRule="auto"/>
    </w:pPr>
    <w:rPr>
      <w:rFonts w:eastAsiaTheme="minorEastAsia"/>
      <w:lang w:val="en-US" w:eastAsia="ru-RU"/>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pPr>
        <w:spacing w:before="0" w:after="0" w:line="240" w:lineRule="auto"/>
      </w:pPr>
      <w:rPr>
        <w:b/>
        <w:bCs/>
        <w:color w:val="FFFFFF" w:themeColor="background1"/>
      </w:rPr>
      <w:tblPr/>
      <w:tcPr>
        <w:shd w:val="clear" w:color="auto" w:fill="5B9BD5" w:themeFill="accent5"/>
      </w:tcPr>
    </w:tblStylePr>
    <w:tblStylePr w:type="lastRow">
      <w:pPr>
        <w:spacing w:before="0" w:after="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table" w:styleId="-60">
    <w:name w:val="Light List Accent 6"/>
    <w:basedOn w:val="a3"/>
    <w:uiPriority w:val="61"/>
    <w:rsid w:val="00565F87"/>
    <w:pPr>
      <w:spacing w:after="0" w:line="240" w:lineRule="auto"/>
    </w:pPr>
    <w:rPr>
      <w:rFonts w:eastAsiaTheme="minorEastAsia"/>
      <w:lang w:val="en-US" w:eastAsia="ru-RU"/>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afff5">
    <w:name w:val="Light Grid"/>
    <w:basedOn w:val="a3"/>
    <w:uiPriority w:val="62"/>
    <w:rsid w:val="00565F87"/>
    <w:pPr>
      <w:spacing w:after="0" w:line="240" w:lineRule="auto"/>
    </w:pPr>
    <w:rPr>
      <w:rFonts w:eastAsiaTheme="minorEastAsia"/>
      <w:lang w:val="en-US" w:eastAsia="ru-RU"/>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11">
    <w:name w:val="Light Grid Accent 1"/>
    <w:basedOn w:val="a3"/>
    <w:uiPriority w:val="62"/>
    <w:rsid w:val="00565F87"/>
    <w:pPr>
      <w:spacing w:after="0" w:line="240" w:lineRule="auto"/>
    </w:pPr>
    <w:rPr>
      <w:rFonts w:eastAsiaTheme="minorEastAsia"/>
      <w:lang w:val="en-US" w:eastAsia="ru-RU"/>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table" w:styleId="-21">
    <w:name w:val="Light Grid Accent 2"/>
    <w:basedOn w:val="a3"/>
    <w:uiPriority w:val="62"/>
    <w:rsid w:val="00565F87"/>
    <w:pPr>
      <w:spacing w:after="0" w:line="240" w:lineRule="auto"/>
    </w:pPr>
    <w:rPr>
      <w:rFonts w:eastAsiaTheme="minorEastAsia"/>
      <w:lang w:val="en-US" w:eastAsia="ru-RU"/>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31">
    <w:name w:val="Light Grid Accent 3"/>
    <w:basedOn w:val="a3"/>
    <w:uiPriority w:val="62"/>
    <w:rsid w:val="00565F87"/>
    <w:pPr>
      <w:spacing w:after="0" w:line="240" w:lineRule="auto"/>
    </w:pPr>
    <w:rPr>
      <w:rFonts w:eastAsiaTheme="minorEastAsia"/>
      <w:lang w:val="en-US" w:eastAsia="ru-RU"/>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41">
    <w:name w:val="Light Grid Accent 4"/>
    <w:basedOn w:val="a3"/>
    <w:uiPriority w:val="62"/>
    <w:rsid w:val="00565F87"/>
    <w:pPr>
      <w:spacing w:after="0" w:line="240" w:lineRule="auto"/>
    </w:pPr>
    <w:rPr>
      <w:rFonts w:eastAsiaTheme="minorEastAsia"/>
      <w:lang w:val="en-US" w:eastAsia="ru-RU"/>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51">
    <w:name w:val="Light Grid Accent 5"/>
    <w:basedOn w:val="a3"/>
    <w:uiPriority w:val="62"/>
    <w:rsid w:val="00565F87"/>
    <w:pPr>
      <w:spacing w:after="0" w:line="240" w:lineRule="auto"/>
    </w:pPr>
    <w:rPr>
      <w:rFonts w:eastAsiaTheme="minorEastAsia"/>
      <w:lang w:val="en-US" w:eastAsia="ru-RU"/>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table" w:styleId="-61">
    <w:name w:val="Light Grid Accent 6"/>
    <w:basedOn w:val="a3"/>
    <w:uiPriority w:val="62"/>
    <w:rsid w:val="00565F87"/>
    <w:pPr>
      <w:spacing w:after="0" w:line="240" w:lineRule="auto"/>
    </w:pPr>
    <w:rPr>
      <w:rFonts w:eastAsiaTheme="minorEastAsia"/>
      <w:lang w:val="en-US" w:eastAsia="ru-RU"/>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16">
    <w:name w:val="Medium Shading 1"/>
    <w:basedOn w:val="a3"/>
    <w:uiPriority w:val="63"/>
    <w:rsid w:val="00565F87"/>
    <w:pPr>
      <w:spacing w:after="0" w:line="240" w:lineRule="auto"/>
    </w:pPr>
    <w:rPr>
      <w:rFonts w:eastAsiaTheme="minorEastAsia"/>
      <w:lang w:val="en-US" w:eastAsia="ru-RU"/>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1-1">
    <w:name w:val="Medium Shading 1 Accent 1"/>
    <w:basedOn w:val="a3"/>
    <w:uiPriority w:val="63"/>
    <w:rsid w:val="00565F87"/>
    <w:pPr>
      <w:spacing w:after="0" w:line="240" w:lineRule="auto"/>
    </w:pPr>
    <w:rPr>
      <w:rFonts w:eastAsiaTheme="minorEastAsia"/>
      <w:lang w:val="en-US" w:eastAsia="ru-RU"/>
    </w:r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0" w:after="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0" w:after="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table" w:styleId="1-2">
    <w:name w:val="Medium Shading 1 Accent 2"/>
    <w:basedOn w:val="a3"/>
    <w:uiPriority w:val="63"/>
    <w:rsid w:val="00565F87"/>
    <w:pPr>
      <w:spacing w:after="0" w:line="240" w:lineRule="auto"/>
    </w:pPr>
    <w:rPr>
      <w:rFonts w:eastAsiaTheme="minorEastAsia"/>
      <w:lang w:val="en-US" w:eastAsia="ru-RU"/>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1-3">
    <w:name w:val="Medium Shading 1 Accent 3"/>
    <w:basedOn w:val="a3"/>
    <w:uiPriority w:val="63"/>
    <w:rsid w:val="00565F87"/>
    <w:pPr>
      <w:spacing w:after="0" w:line="240" w:lineRule="auto"/>
    </w:pPr>
    <w:rPr>
      <w:rFonts w:eastAsiaTheme="minorEastAsia"/>
      <w:lang w:val="en-US" w:eastAsia="ru-RU"/>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1-4">
    <w:name w:val="Medium Shading 1 Accent 4"/>
    <w:basedOn w:val="a3"/>
    <w:uiPriority w:val="63"/>
    <w:rsid w:val="00565F87"/>
    <w:pPr>
      <w:spacing w:after="0" w:line="240" w:lineRule="auto"/>
    </w:pPr>
    <w:rPr>
      <w:rFonts w:eastAsiaTheme="minorEastAsia"/>
      <w:lang w:val="en-US" w:eastAsia="ru-RU"/>
    </w:r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1-5">
    <w:name w:val="Medium Shading 1 Accent 5"/>
    <w:basedOn w:val="a3"/>
    <w:uiPriority w:val="63"/>
    <w:rsid w:val="00565F87"/>
    <w:pPr>
      <w:spacing w:after="0" w:line="240" w:lineRule="auto"/>
    </w:pPr>
    <w:rPr>
      <w:rFonts w:eastAsiaTheme="minorEastAsia"/>
      <w:lang w:val="en-US" w:eastAsia="ru-RU"/>
    </w:rPr>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tblBorders>
    </w:tblPr>
    <w:tblStylePr w:type="firstRow">
      <w:pPr>
        <w:spacing w:before="0" w:after="0" w:line="240" w:lineRule="auto"/>
      </w:pPr>
      <w:rPr>
        <w:b/>
        <w:bCs/>
        <w:color w:val="FFFFFF" w:themeColor="background1"/>
      </w:rPr>
      <w:tblPr/>
      <w:tcPr>
        <w:tc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shd w:val="clear" w:color="auto" w:fill="5B9BD5" w:themeFill="accent5"/>
      </w:tcPr>
    </w:tblStylePr>
    <w:tblStylePr w:type="lastRow">
      <w:pPr>
        <w:spacing w:before="0" w:after="0" w:line="240" w:lineRule="auto"/>
      </w:pPr>
      <w:rPr>
        <w:b/>
        <w:bCs/>
      </w:rPr>
      <w:tblPr/>
      <w:tcPr>
        <w:tcBorders>
          <w:top w:val="double" w:sz="6"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5" w:themeFillTint="3F"/>
      </w:tcPr>
    </w:tblStylePr>
    <w:tblStylePr w:type="band1Horz">
      <w:tblPr/>
      <w:tcPr>
        <w:tcBorders>
          <w:insideH w:val="nil"/>
          <w:insideV w:val="nil"/>
        </w:tcBorders>
        <w:shd w:val="clear" w:color="auto" w:fill="D6E6F4" w:themeFill="accent5" w:themeFillTint="3F"/>
      </w:tcPr>
    </w:tblStylePr>
    <w:tblStylePr w:type="band2Horz">
      <w:tblPr/>
      <w:tcPr>
        <w:tcBorders>
          <w:insideH w:val="nil"/>
          <w:insideV w:val="nil"/>
        </w:tcBorders>
      </w:tcPr>
    </w:tblStylePr>
  </w:style>
  <w:style w:type="table" w:styleId="1-6">
    <w:name w:val="Medium Shading 1 Accent 6"/>
    <w:basedOn w:val="a3"/>
    <w:uiPriority w:val="63"/>
    <w:rsid w:val="00565F87"/>
    <w:pPr>
      <w:spacing w:after="0" w:line="240" w:lineRule="auto"/>
    </w:pPr>
    <w:rPr>
      <w:rFonts w:eastAsiaTheme="minorEastAsia"/>
      <w:lang w:val="en-US" w:eastAsia="ru-RU"/>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2c">
    <w:name w:val="Medium Shading 2"/>
    <w:basedOn w:val="a3"/>
    <w:uiPriority w:val="64"/>
    <w:rsid w:val="00565F87"/>
    <w:pPr>
      <w:spacing w:after="0" w:line="240" w:lineRule="auto"/>
    </w:pPr>
    <w:rPr>
      <w:rFonts w:eastAsiaTheme="minorEastAsia"/>
      <w:lang w:val="en-US"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1">
    <w:name w:val="Medium Shading 2 Accent 1"/>
    <w:basedOn w:val="a3"/>
    <w:uiPriority w:val="64"/>
    <w:rsid w:val="00565F87"/>
    <w:pPr>
      <w:spacing w:after="0" w:line="240" w:lineRule="auto"/>
    </w:pPr>
    <w:rPr>
      <w:rFonts w:eastAsiaTheme="minorEastAsia"/>
      <w:lang w:val="en-US"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1"/>
      </w:tcPr>
    </w:tblStylePr>
    <w:tblStylePr w:type="lastCol">
      <w:rPr>
        <w:b/>
        <w:bCs/>
        <w:color w:val="FFFFFF" w:themeColor="background1"/>
      </w:rPr>
      <w:tblPr/>
      <w:tcPr>
        <w:tcBorders>
          <w:left w:val="nil"/>
          <w:right w:val="nil"/>
          <w:insideH w:val="nil"/>
          <w:insideV w:val="nil"/>
        </w:tcBorders>
        <w:shd w:val="clear" w:color="auto" w:fill="4472C4"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2">
    <w:name w:val="Medium Shading 2 Accent 2"/>
    <w:basedOn w:val="a3"/>
    <w:uiPriority w:val="64"/>
    <w:rsid w:val="00565F87"/>
    <w:pPr>
      <w:spacing w:after="0" w:line="240" w:lineRule="auto"/>
    </w:pPr>
    <w:rPr>
      <w:rFonts w:eastAsiaTheme="minorEastAsia"/>
      <w:lang w:val="en-US"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3">
    <w:name w:val="Medium Shading 2 Accent 3"/>
    <w:basedOn w:val="a3"/>
    <w:uiPriority w:val="64"/>
    <w:rsid w:val="00565F87"/>
    <w:pPr>
      <w:spacing w:after="0" w:line="240" w:lineRule="auto"/>
    </w:pPr>
    <w:rPr>
      <w:rFonts w:eastAsiaTheme="minorEastAsia"/>
      <w:lang w:val="en-US"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4">
    <w:name w:val="Medium Shading 2 Accent 4"/>
    <w:basedOn w:val="a3"/>
    <w:uiPriority w:val="64"/>
    <w:rsid w:val="00565F87"/>
    <w:pPr>
      <w:spacing w:after="0" w:line="240" w:lineRule="auto"/>
    </w:pPr>
    <w:rPr>
      <w:rFonts w:eastAsiaTheme="minorEastAsia"/>
      <w:lang w:val="en-US"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5">
    <w:name w:val="Medium Shading 2 Accent 5"/>
    <w:basedOn w:val="a3"/>
    <w:uiPriority w:val="64"/>
    <w:rsid w:val="00565F87"/>
    <w:pPr>
      <w:spacing w:after="0" w:line="240" w:lineRule="auto"/>
    </w:pPr>
    <w:rPr>
      <w:rFonts w:eastAsiaTheme="minorEastAsia"/>
      <w:lang w:val="en-US"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5"/>
      </w:tcPr>
    </w:tblStylePr>
    <w:tblStylePr w:type="lastCol">
      <w:rPr>
        <w:b/>
        <w:bCs/>
        <w:color w:val="FFFFFF" w:themeColor="background1"/>
      </w:rPr>
      <w:tblPr/>
      <w:tcPr>
        <w:tcBorders>
          <w:left w:val="nil"/>
          <w:right w:val="nil"/>
          <w:insideH w:val="nil"/>
          <w:insideV w:val="nil"/>
        </w:tcBorders>
        <w:shd w:val="clear" w:color="auto" w:fill="5B9BD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6">
    <w:name w:val="Medium Shading 2 Accent 6"/>
    <w:basedOn w:val="a3"/>
    <w:uiPriority w:val="64"/>
    <w:rsid w:val="00565F87"/>
    <w:pPr>
      <w:spacing w:after="0" w:line="240" w:lineRule="auto"/>
    </w:pPr>
    <w:rPr>
      <w:rFonts w:eastAsiaTheme="minorEastAsia"/>
      <w:lang w:val="en-US"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17">
    <w:name w:val="Medium List 1"/>
    <w:basedOn w:val="a3"/>
    <w:uiPriority w:val="65"/>
    <w:rsid w:val="00565F87"/>
    <w:pPr>
      <w:spacing w:after="0" w:line="240" w:lineRule="auto"/>
    </w:pPr>
    <w:rPr>
      <w:rFonts w:eastAsiaTheme="minorEastAsia"/>
      <w:color w:val="000000" w:themeColor="text1"/>
      <w:lang w:val="en-US" w:eastAsia="ru-RU"/>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1-10">
    <w:name w:val="Medium List 1 Accent 1"/>
    <w:basedOn w:val="a3"/>
    <w:uiPriority w:val="65"/>
    <w:rsid w:val="00565F87"/>
    <w:pPr>
      <w:spacing w:after="0" w:line="240" w:lineRule="auto"/>
    </w:pPr>
    <w:rPr>
      <w:rFonts w:eastAsiaTheme="minorEastAsia"/>
      <w:color w:val="000000" w:themeColor="text1"/>
      <w:lang w:val="en-US" w:eastAsia="ru-RU"/>
    </w:rPr>
    <w:tblPr>
      <w:tblStyleRowBandSize w:val="1"/>
      <w:tblStyleColBandSize w:val="1"/>
      <w:tblBorders>
        <w:top w:val="single" w:sz="8" w:space="0" w:color="4472C4" w:themeColor="accent1"/>
        <w:bottom w:val="single" w:sz="8" w:space="0" w:color="4472C4" w:themeColor="accent1"/>
      </w:tblBorders>
    </w:tblPr>
    <w:tblStylePr w:type="firstRow">
      <w:rPr>
        <w:rFonts w:asciiTheme="majorHAnsi" w:eastAsiaTheme="majorEastAsia" w:hAnsiTheme="majorHAnsi" w:cstheme="majorBidi"/>
      </w:rPr>
      <w:tblPr/>
      <w:tcPr>
        <w:tcBorders>
          <w:top w:val="nil"/>
          <w:bottom w:val="single" w:sz="8" w:space="0" w:color="4472C4" w:themeColor="accent1"/>
        </w:tcBorders>
      </w:tcPr>
    </w:tblStylePr>
    <w:tblStylePr w:type="lastRow">
      <w:rPr>
        <w:b/>
        <w:bCs/>
        <w:color w:val="44546A" w:themeColor="text2"/>
      </w:rPr>
      <w:tblPr/>
      <w:tcPr>
        <w:tcBorders>
          <w:top w:val="single" w:sz="8" w:space="0" w:color="4472C4" w:themeColor="accent1"/>
          <w:bottom w:val="single" w:sz="8" w:space="0" w:color="4472C4" w:themeColor="accent1"/>
        </w:tcBorders>
      </w:tcPr>
    </w:tblStylePr>
    <w:tblStylePr w:type="firstCol">
      <w:rPr>
        <w:b/>
        <w:bCs/>
      </w:rPr>
    </w:tblStylePr>
    <w:tblStylePr w:type="lastCol">
      <w:rPr>
        <w:b/>
        <w:bCs/>
      </w:rPr>
      <w:tblPr/>
      <w:tcPr>
        <w:tcBorders>
          <w:top w:val="single" w:sz="8" w:space="0" w:color="4472C4" w:themeColor="accent1"/>
          <w:bottom w:val="single" w:sz="8" w:space="0" w:color="4472C4" w:themeColor="accent1"/>
        </w:tcBorders>
      </w:tcPr>
    </w:tblStylePr>
    <w:tblStylePr w:type="band1Vert">
      <w:tblPr/>
      <w:tcPr>
        <w:shd w:val="clear" w:color="auto" w:fill="D0DBF0" w:themeFill="accent1" w:themeFillTint="3F"/>
      </w:tcPr>
    </w:tblStylePr>
    <w:tblStylePr w:type="band1Horz">
      <w:tblPr/>
      <w:tcPr>
        <w:shd w:val="clear" w:color="auto" w:fill="D0DBF0" w:themeFill="accent1" w:themeFillTint="3F"/>
      </w:tcPr>
    </w:tblStylePr>
  </w:style>
  <w:style w:type="table" w:styleId="1-20">
    <w:name w:val="Medium List 1 Accent 2"/>
    <w:basedOn w:val="a3"/>
    <w:uiPriority w:val="65"/>
    <w:rsid w:val="00565F87"/>
    <w:pPr>
      <w:spacing w:after="0" w:line="240" w:lineRule="auto"/>
    </w:pPr>
    <w:rPr>
      <w:rFonts w:eastAsiaTheme="minorEastAsia"/>
      <w:color w:val="000000" w:themeColor="text1"/>
      <w:lang w:val="en-US" w:eastAsia="ru-RU"/>
    </w:rPr>
    <w:tblPr>
      <w:tblStyleRowBandSize w:val="1"/>
      <w:tblStyleColBandSize w:val="1"/>
      <w:tblBorders>
        <w:top w:val="single" w:sz="8" w:space="0" w:color="ED7D31" w:themeColor="accent2"/>
        <w:bottom w:val="single" w:sz="8" w:space="0" w:color="ED7D31" w:themeColor="accent2"/>
      </w:tblBorders>
    </w:tblPr>
    <w:tblStylePr w:type="firstRow">
      <w:rPr>
        <w:rFonts w:asciiTheme="majorHAnsi" w:eastAsiaTheme="majorEastAsia" w:hAnsiTheme="majorHAnsi" w:cstheme="majorBidi"/>
      </w:rPr>
      <w:tblPr/>
      <w:tcPr>
        <w:tcBorders>
          <w:top w:val="nil"/>
          <w:bottom w:val="single" w:sz="8" w:space="0" w:color="ED7D31" w:themeColor="accent2"/>
        </w:tcBorders>
      </w:tcPr>
    </w:tblStylePr>
    <w:tblStylePr w:type="lastRow">
      <w:rPr>
        <w:b/>
        <w:bCs/>
        <w:color w:val="44546A" w:themeColor="text2"/>
      </w:rPr>
      <w:tblPr/>
      <w:tcPr>
        <w:tcBorders>
          <w:top w:val="single" w:sz="8" w:space="0" w:color="ED7D31" w:themeColor="accent2"/>
          <w:bottom w:val="single" w:sz="8" w:space="0" w:color="ED7D31" w:themeColor="accent2"/>
        </w:tcBorders>
      </w:tcPr>
    </w:tblStylePr>
    <w:tblStylePr w:type="firstCol">
      <w:rPr>
        <w:b/>
        <w:bCs/>
      </w:rPr>
    </w:tblStylePr>
    <w:tblStylePr w:type="lastCol">
      <w:rPr>
        <w:b/>
        <w:bCs/>
      </w:rPr>
      <w:tblPr/>
      <w:tcPr>
        <w:tcBorders>
          <w:top w:val="single" w:sz="8" w:space="0" w:color="ED7D31" w:themeColor="accent2"/>
          <w:bottom w:val="single" w:sz="8" w:space="0" w:color="ED7D31" w:themeColor="accent2"/>
        </w:tcBorders>
      </w:tcPr>
    </w:tblStylePr>
    <w:tblStylePr w:type="band1Vert">
      <w:tblPr/>
      <w:tcPr>
        <w:shd w:val="clear" w:color="auto" w:fill="FADECB" w:themeFill="accent2" w:themeFillTint="3F"/>
      </w:tcPr>
    </w:tblStylePr>
    <w:tblStylePr w:type="band1Horz">
      <w:tblPr/>
      <w:tcPr>
        <w:shd w:val="clear" w:color="auto" w:fill="FADECB" w:themeFill="accent2" w:themeFillTint="3F"/>
      </w:tcPr>
    </w:tblStylePr>
  </w:style>
  <w:style w:type="table" w:styleId="1-30">
    <w:name w:val="Medium List 1 Accent 3"/>
    <w:basedOn w:val="a3"/>
    <w:uiPriority w:val="65"/>
    <w:rsid w:val="00565F87"/>
    <w:pPr>
      <w:spacing w:after="0" w:line="240" w:lineRule="auto"/>
    </w:pPr>
    <w:rPr>
      <w:rFonts w:eastAsiaTheme="minorEastAsia"/>
      <w:color w:val="000000" w:themeColor="text1"/>
      <w:lang w:val="en-US" w:eastAsia="ru-RU"/>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1-40">
    <w:name w:val="Medium List 1 Accent 4"/>
    <w:basedOn w:val="a3"/>
    <w:uiPriority w:val="65"/>
    <w:rsid w:val="00565F87"/>
    <w:pPr>
      <w:spacing w:after="0" w:line="240" w:lineRule="auto"/>
    </w:pPr>
    <w:rPr>
      <w:rFonts w:eastAsiaTheme="minorEastAsia"/>
      <w:color w:val="000000" w:themeColor="text1"/>
      <w:lang w:val="en-US" w:eastAsia="ru-RU"/>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1-50">
    <w:name w:val="Medium List 1 Accent 5"/>
    <w:basedOn w:val="a3"/>
    <w:uiPriority w:val="65"/>
    <w:rsid w:val="00565F87"/>
    <w:pPr>
      <w:spacing w:after="0" w:line="240" w:lineRule="auto"/>
    </w:pPr>
    <w:rPr>
      <w:rFonts w:eastAsiaTheme="minorEastAsia"/>
      <w:color w:val="000000" w:themeColor="text1"/>
      <w:lang w:val="en-US" w:eastAsia="ru-RU"/>
    </w:rPr>
    <w:tblPr>
      <w:tblStyleRowBandSize w:val="1"/>
      <w:tblStyleColBandSize w:val="1"/>
      <w:tblBorders>
        <w:top w:val="single" w:sz="8" w:space="0" w:color="5B9BD5" w:themeColor="accent5"/>
        <w:bottom w:val="single" w:sz="8" w:space="0" w:color="5B9BD5" w:themeColor="accent5"/>
      </w:tblBorders>
    </w:tblPr>
    <w:tblStylePr w:type="firstRow">
      <w:rPr>
        <w:rFonts w:asciiTheme="majorHAnsi" w:eastAsiaTheme="majorEastAsia" w:hAnsiTheme="majorHAnsi" w:cstheme="majorBidi"/>
      </w:rPr>
      <w:tblPr/>
      <w:tcPr>
        <w:tcBorders>
          <w:top w:val="nil"/>
          <w:bottom w:val="single" w:sz="8" w:space="0" w:color="5B9BD5" w:themeColor="accent5"/>
        </w:tcBorders>
      </w:tcPr>
    </w:tblStylePr>
    <w:tblStylePr w:type="lastRow">
      <w:rPr>
        <w:b/>
        <w:bCs/>
        <w:color w:val="44546A" w:themeColor="text2"/>
      </w:rPr>
      <w:tblPr/>
      <w:tcPr>
        <w:tcBorders>
          <w:top w:val="single" w:sz="8" w:space="0" w:color="5B9BD5" w:themeColor="accent5"/>
          <w:bottom w:val="single" w:sz="8" w:space="0" w:color="5B9BD5" w:themeColor="accent5"/>
        </w:tcBorders>
      </w:tcPr>
    </w:tblStylePr>
    <w:tblStylePr w:type="firstCol">
      <w:rPr>
        <w:b/>
        <w:bCs/>
      </w:rPr>
    </w:tblStylePr>
    <w:tblStylePr w:type="lastCol">
      <w:rPr>
        <w:b/>
        <w:bCs/>
      </w:rPr>
      <w:tblPr/>
      <w:tcPr>
        <w:tcBorders>
          <w:top w:val="single" w:sz="8" w:space="0" w:color="5B9BD5" w:themeColor="accent5"/>
          <w:bottom w:val="single" w:sz="8" w:space="0" w:color="5B9BD5" w:themeColor="accent5"/>
        </w:tcBorders>
      </w:tcPr>
    </w:tblStylePr>
    <w:tblStylePr w:type="band1Vert">
      <w:tblPr/>
      <w:tcPr>
        <w:shd w:val="clear" w:color="auto" w:fill="D6E6F4" w:themeFill="accent5" w:themeFillTint="3F"/>
      </w:tcPr>
    </w:tblStylePr>
    <w:tblStylePr w:type="band1Horz">
      <w:tblPr/>
      <w:tcPr>
        <w:shd w:val="clear" w:color="auto" w:fill="D6E6F4" w:themeFill="accent5" w:themeFillTint="3F"/>
      </w:tcPr>
    </w:tblStylePr>
  </w:style>
  <w:style w:type="table" w:styleId="1-60">
    <w:name w:val="Medium List 1 Accent 6"/>
    <w:basedOn w:val="a3"/>
    <w:uiPriority w:val="65"/>
    <w:rsid w:val="00565F87"/>
    <w:pPr>
      <w:spacing w:after="0" w:line="240" w:lineRule="auto"/>
    </w:pPr>
    <w:rPr>
      <w:rFonts w:eastAsiaTheme="minorEastAsia"/>
      <w:color w:val="000000" w:themeColor="text1"/>
      <w:lang w:val="en-US" w:eastAsia="ru-RU"/>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2d">
    <w:name w:val="Medium List 2"/>
    <w:basedOn w:val="a3"/>
    <w:uiPriority w:val="66"/>
    <w:rsid w:val="00565F87"/>
    <w:pPr>
      <w:spacing w:after="0" w:line="240" w:lineRule="auto"/>
    </w:pPr>
    <w:rPr>
      <w:rFonts w:asciiTheme="majorHAnsi" w:eastAsiaTheme="majorEastAsia" w:hAnsiTheme="majorHAnsi" w:cstheme="majorBidi"/>
      <w:color w:val="000000" w:themeColor="text1"/>
      <w:lang w:val="en-US" w:eastAsia="ru-RU"/>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2-10">
    <w:name w:val="Medium List 2 Accent 1"/>
    <w:basedOn w:val="a3"/>
    <w:uiPriority w:val="66"/>
    <w:rsid w:val="00565F87"/>
    <w:pPr>
      <w:spacing w:after="0" w:line="240" w:lineRule="auto"/>
    </w:pPr>
    <w:rPr>
      <w:rFonts w:asciiTheme="majorHAnsi" w:eastAsiaTheme="majorEastAsia" w:hAnsiTheme="majorHAnsi" w:cstheme="majorBidi"/>
      <w:color w:val="000000" w:themeColor="text1"/>
      <w:lang w:val="en-US" w:eastAsia="ru-RU"/>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rPr>
        <w:sz w:val="24"/>
        <w:szCs w:val="24"/>
      </w:rPr>
      <w:tblPr/>
      <w:tcPr>
        <w:tcBorders>
          <w:top w:val="nil"/>
          <w:left w:val="nil"/>
          <w:bottom w:val="single" w:sz="24" w:space="0" w:color="4472C4" w:themeColor="accent1"/>
          <w:right w:val="nil"/>
          <w:insideH w:val="nil"/>
          <w:insideV w:val="nil"/>
        </w:tcBorders>
        <w:shd w:val="clear" w:color="auto" w:fill="FFFFFF" w:themeFill="background1"/>
      </w:tcPr>
    </w:tblStylePr>
    <w:tblStylePr w:type="lastRow">
      <w:tblPr/>
      <w:tcPr>
        <w:tcBorders>
          <w:top w:val="single" w:sz="8" w:space="0" w:color="4472C4"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1"/>
          <w:insideH w:val="nil"/>
          <w:insideV w:val="nil"/>
        </w:tcBorders>
        <w:shd w:val="clear" w:color="auto" w:fill="FFFFFF" w:themeFill="background1"/>
      </w:tcPr>
    </w:tblStylePr>
    <w:tblStylePr w:type="lastCol">
      <w:tblPr/>
      <w:tcPr>
        <w:tcBorders>
          <w:top w:val="nil"/>
          <w:left w:val="single" w:sz="8" w:space="0" w:color="4472C4"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top w:val="nil"/>
          <w:bottom w:val="nil"/>
          <w:insideH w:val="nil"/>
          <w:insideV w:val="nil"/>
        </w:tcBorders>
        <w:shd w:val="clear" w:color="auto" w:fill="D0DBF0"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2-20">
    <w:name w:val="Medium List 2 Accent 2"/>
    <w:basedOn w:val="a3"/>
    <w:uiPriority w:val="66"/>
    <w:rsid w:val="00565F87"/>
    <w:pPr>
      <w:spacing w:after="0" w:line="240" w:lineRule="auto"/>
    </w:pPr>
    <w:rPr>
      <w:rFonts w:asciiTheme="majorHAnsi" w:eastAsiaTheme="majorEastAsia" w:hAnsiTheme="majorHAnsi" w:cstheme="majorBidi"/>
      <w:color w:val="000000" w:themeColor="text1"/>
      <w:lang w:val="en-US" w:eastAsia="ru-RU"/>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rPr>
        <w:sz w:val="24"/>
        <w:szCs w:val="24"/>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tblPr/>
      <w:tcPr>
        <w:tcBorders>
          <w:top w:val="single" w:sz="8" w:space="0" w:color="ED7D31"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7D31" w:themeColor="accent2"/>
          <w:insideH w:val="nil"/>
          <w:insideV w:val="nil"/>
        </w:tcBorders>
        <w:shd w:val="clear" w:color="auto" w:fill="FFFFFF" w:themeFill="background1"/>
      </w:tcPr>
    </w:tblStylePr>
    <w:tblStylePr w:type="lastCol">
      <w:tblPr/>
      <w:tcPr>
        <w:tcBorders>
          <w:top w:val="nil"/>
          <w:left w:val="single" w:sz="8" w:space="0" w:color="ED7D3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top w:val="nil"/>
          <w:bottom w:val="nil"/>
          <w:insideH w:val="nil"/>
          <w:insideV w:val="nil"/>
        </w:tcBorders>
        <w:shd w:val="clear" w:color="auto" w:fill="FADECB"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2-30">
    <w:name w:val="Medium List 2 Accent 3"/>
    <w:basedOn w:val="a3"/>
    <w:uiPriority w:val="66"/>
    <w:rsid w:val="00565F87"/>
    <w:pPr>
      <w:spacing w:after="0" w:line="240" w:lineRule="auto"/>
    </w:pPr>
    <w:rPr>
      <w:rFonts w:asciiTheme="majorHAnsi" w:eastAsiaTheme="majorEastAsia" w:hAnsiTheme="majorHAnsi" w:cstheme="majorBidi"/>
      <w:color w:val="000000" w:themeColor="text1"/>
      <w:lang w:val="en-US" w:eastAsia="ru-RU"/>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single" w:sz="8" w:space="0" w:color="A5A5A5"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2-40">
    <w:name w:val="Medium List 2 Accent 4"/>
    <w:basedOn w:val="a3"/>
    <w:uiPriority w:val="66"/>
    <w:rsid w:val="00565F87"/>
    <w:pPr>
      <w:spacing w:after="0" w:line="240" w:lineRule="auto"/>
    </w:pPr>
    <w:rPr>
      <w:rFonts w:asciiTheme="majorHAnsi" w:eastAsiaTheme="majorEastAsia" w:hAnsiTheme="majorHAnsi" w:cstheme="majorBidi"/>
      <w:color w:val="000000" w:themeColor="text1"/>
      <w:lang w:val="en-US" w:eastAsia="ru-RU"/>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single" w:sz="8" w:space="0" w:color="FFC00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2-50">
    <w:name w:val="Medium List 2 Accent 5"/>
    <w:basedOn w:val="a3"/>
    <w:uiPriority w:val="66"/>
    <w:rsid w:val="00565F87"/>
    <w:pPr>
      <w:spacing w:after="0" w:line="240" w:lineRule="auto"/>
    </w:pPr>
    <w:rPr>
      <w:rFonts w:asciiTheme="majorHAnsi" w:eastAsiaTheme="majorEastAsia" w:hAnsiTheme="majorHAnsi" w:cstheme="majorBidi"/>
      <w:color w:val="000000" w:themeColor="text1"/>
      <w:lang w:val="en-US" w:eastAsia="ru-RU"/>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rPr>
        <w:sz w:val="24"/>
        <w:szCs w:val="24"/>
      </w:rPr>
      <w:tblPr/>
      <w:tcPr>
        <w:tcBorders>
          <w:top w:val="nil"/>
          <w:left w:val="nil"/>
          <w:bottom w:val="single" w:sz="24" w:space="0" w:color="5B9BD5" w:themeColor="accent5"/>
          <w:right w:val="nil"/>
          <w:insideH w:val="nil"/>
          <w:insideV w:val="nil"/>
        </w:tcBorders>
        <w:shd w:val="clear" w:color="auto" w:fill="FFFFFF" w:themeFill="background1"/>
      </w:tcPr>
    </w:tblStylePr>
    <w:tblStylePr w:type="lastRow">
      <w:tblPr/>
      <w:tcPr>
        <w:tcBorders>
          <w:top w:val="single" w:sz="8" w:space="0" w:color="5B9BD5"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5"/>
          <w:insideH w:val="nil"/>
          <w:insideV w:val="nil"/>
        </w:tcBorders>
        <w:shd w:val="clear" w:color="auto" w:fill="FFFFFF" w:themeFill="background1"/>
      </w:tcPr>
    </w:tblStylePr>
    <w:tblStylePr w:type="lastCol">
      <w:tblPr/>
      <w:tcPr>
        <w:tcBorders>
          <w:top w:val="nil"/>
          <w:left w:val="single" w:sz="8" w:space="0" w:color="5B9BD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top w:val="nil"/>
          <w:bottom w:val="nil"/>
          <w:insideH w:val="nil"/>
          <w:insideV w:val="nil"/>
        </w:tcBorders>
        <w:shd w:val="clear" w:color="auto" w:fill="D6E6F4"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2-60">
    <w:name w:val="Medium List 2 Accent 6"/>
    <w:basedOn w:val="a3"/>
    <w:uiPriority w:val="66"/>
    <w:rsid w:val="00565F87"/>
    <w:pPr>
      <w:spacing w:after="0" w:line="240" w:lineRule="auto"/>
    </w:pPr>
    <w:rPr>
      <w:rFonts w:asciiTheme="majorHAnsi" w:eastAsiaTheme="majorEastAsia" w:hAnsiTheme="majorHAnsi" w:cstheme="majorBidi"/>
      <w:color w:val="000000" w:themeColor="text1"/>
      <w:lang w:val="en-US" w:eastAsia="ru-RU"/>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single" w:sz="8" w:space="0" w:color="70AD47"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18">
    <w:name w:val="Medium Grid 1"/>
    <w:basedOn w:val="a3"/>
    <w:uiPriority w:val="67"/>
    <w:rsid w:val="00565F87"/>
    <w:pPr>
      <w:spacing w:after="0" w:line="240" w:lineRule="auto"/>
    </w:pPr>
    <w:rPr>
      <w:rFonts w:eastAsiaTheme="minorEastAsia"/>
      <w:lang w:val="en-US" w:eastAsia="ru-RU"/>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11">
    <w:name w:val="Medium Grid 1 Accent 1"/>
    <w:basedOn w:val="a3"/>
    <w:uiPriority w:val="67"/>
    <w:rsid w:val="00565F87"/>
    <w:pPr>
      <w:spacing w:after="0" w:line="240" w:lineRule="auto"/>
    </w:pPr>
    <w:rPr>
      <w:rFonts w:eastAsiaTheme="minorEastAsia"/>
      <w:lang w:val="en-US" w:eastAsia="ru-RU"/>
    </w:r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insideV w:val="single" w:sz="8" w:space="0" w:color="7295D2" w:themeColor="accent1" w:themeTint="BF"/>
      </w:tblBorders>
    </w:tblPr>
    <w:tcPr>
      <w:shd w:val="clear" w:color="auto" w:fill="D0DBF0" w:themeFill="accent1" w:themeFillTint="3F"/>
    </w:tcPr>
    <w:tblStylePr w:type="firstRow">
      <w:rPr>
        <w:b/>
        <w:bCs/>
      </w:rPr>
    </w:tblStylePr>
    <w:tblStylePr w:type="lastRow">
      <w:rPr>
        <w:b/>
        <w:bCs/>
      </w:rPr>
      <w:tblPr/>
      <w:tcPr>
        <w:tcBorders>
          <w:top w:val="single" w:sz="18" w:space="0" w:color="7295D2" w:themeColor="accent1" w:themeTint="BF"/>
        </w:tcBorders>
      </w:tcPr>
    </w:tblStylePr>
    <w:tblStylePr w:type="firstCol">
      <w:rPr>
        <w:b/>
        <w:bCs/>
      </w:rPr>
    </w:tblStylePr>
    <w:tblStylePr w:type="lastCol">
      <w:rPr>
        <w:b/>
        <w:bCs/>
      </w:r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styleId="1-21">
    <w:name w:val="Medium Grid 1 Accent 2"/>
    <w:basedOn w:val="a3"/>
    <w:uiPriority w:val="67"/>
    <w:rsid w:val="00565F87"/>
    <w:pPr>
      <w:spacing w:after="0" w:line="240" w:lineRule="auto"/>
    </w:pPr>
    <w:rPr>
      <w:rFonts w:eastAsiaTheme="minorEastAsia"/>
      <w:lang w:val="en-US" w:eastAsia="ru-RU"/>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1-31">
    <w:name w:val="Medium Grid 1 Accent 3"/>
    <w:basedOn w:val="a3"/>
    <w:uiPriority w:val="67"/>
    <w:rsid w:val="00565F87"/>
    <w:pPr>
      <w:spacing w:after="0" w:line="240" w:lineRule="auto"/>
    </w:pPr>
    <w:rPr>
      <w:rFonts w:eastAsiaTheme="minorEastAsia"/>
      <w:lang w:val="en-US" w:eastAsia="ru-RU"/>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1-41">
    <w:name w:val="Medium Grid 1 Accent 4"/>
    <w:basedOn w:val="a3"/>
    <w:uiPriority w:val="67"/>
    <w:rsid w:val="00565F87"/>
    <w:pPr>
      <w:spacing w:after="0" w:line="240" w:lineRule="auto"/>
    </w:pPr>
    <w:rPr>
      <w:rFonts w:eastAsiaTheme="minorEastAsia"/>
      <w:lang w:val="en-US" w:eastAsia="ru-RU"/>
    </w:r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1-51">
    <w:name w:val="Medium Grid 1 Accent 5"/>
    <w:basedOn w:val="a3"/>
    <w:uiPriority w:val="67"/>
    <w:rsid w:val="00565F87"/>
    <w:pPr>
      <w:spacing w:after="0" w:line="240" w:lineRule="auto"/>
    </w:pPr>
    <w:rPr>
      <w:rFonts w:eastAsiaTheme="minorEastAsia"/>
      <w:lang w:val="en-US" w:eastAsia="ru-RU"/>
    </w:rPr>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insideV w:val="single" w:sz="8" w:space="0" w:color="84B3DF" w:themeColor="accent5" w:themeTint="BF"/>
      </w:tblBorders>
    </w:tblPr>
    <w:tcPr>
      <w:shd w:val="clear" w:color="auto" w:fill="D6E6F4" w:themeFill="accent5" w:themeFillTint="3F"/>
    </w:tcPr>
    <w:tblStylePr w:type="firstRow">
      <w:rPr>
        <w:b/>
        <w:bCs/>
      </w:rPr>
    </w:tblStylePr>
    <w:tblStylePr w:type="lastRow">
      <w:rPr>
        <w:b/>
        <w:bCs/>
      </w:rPr>
      <w:tblPr/>
      <w:tcPr>
        <w:tcBorders>
          <w:top w:val="single" w:sz="18" w:space="0" w:color="84B3DF" w:themeColor="accent5" w:themeTint="BF"/>
        </w:tcBorders>
      </w:tcPr>
    </w:tblStylePr>
    <w:tblStylePr w:type="firstCol">
      <w:rPr>
        <w:b/>
        <w:bCs/>
      </w:rPr>
    </w:tblStylePr>
    <w:tblStylePr w:type="lastCol">
      <w:rPr>
        <w:b/>
        <w:bCs/>
      </w:rPr>
    </w:tblStylePr>
    <w:tblStylePr w:type="band1Vert">
      <w:tblPr/>
      <w:tcPr>
        <w:shd w:val="clear" w:color="auto" w:fill="ADCCEA" w:themeFill="accent5" w:themeFillTint="7F"/>
      </w:tcPr>
    </w:tblStylePr>
    <w:tblStylePr w:type="band1Horz">
      <w:tblPr/>
      <w:tcPr>
        <w:shd w:val="clear" w:color="auto" w:fill="ADCCEA" w:themeFill="accent5" w:themeFillTint="7F"/>
      </w:tcPr>
    </w:tblStylePr>
  </w:style>
  <w:style w:type="table" w:styleId="1-61">
    <w:name w:val="Medium Grid 1 Accent 6"/>
    <w:basedOn w:val="a3"/>
    <w:uiPriority w:val="67"/>
    <w:rsid w:val="00565F87"/>
    <w:pPr>
      <w:spacing w:after="0" w:line="240" w:lineRule="auto"/>
    </w:pPr>
    <w:rPr>
      <w:rFonts w:eastAsiaTheme="minorEastAsia"/>
      <w:lang w:val="en-US" w:eastAsia="ru-RU"/>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2e">
    <w:name w:val="Medium Grid 2"/>
    <w:basedOn w:val="a3"/>
    <w:uiPriority w:val="68"/>
    <w:rsid w:val="00565F87"/>
    <w:pPr>
      <w:spacing w:after="0" w:line="240" w:lineRule="auto"/>
    </w:pPr>
    <w:rPr>
      <w:rFonts w:asciiTheme="majorHAnsi" w:eastAsiaTheme="majorEastAsia" w:hAnsiTheme="majorHAnsi" w:cstheme="majorBidi"/>
      <w:color w:val="000000" w:themeColor="text1"/>
      <w:lang w:val="en-US" w:eastAsia="ru-RU"/>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2-11">
    <w:name w:val="Medium Grid 2 Accent 1"/>
    <w:basedOn w:val="a3"/>
    <w:uiPriority w:val="68"/>
    <w:rsid w:val="00565F87"/>
    <w:pPr>
      <w:spacing w:after="0" w:line="240" w:lineRule="auto"/>
    </w:pPr>
    <w:rPr>
      <w:rFonts w:asciiTheme="majorHAnsi" w:eastAsiaTheme="majorEastAsia" w:hAnsiTheme="majorHAnsi" w:cstheme="majorBidi"/>
      <w:color w:val="000000" w:themeColor="text1"/>
      <w:lang w:val="en-US" w:eastAsia="ru-RU"/>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cPr>
      <w:shd w:val="clear" w:color="auto" w:fill="D0DBF0" w:themeFill="accent1" w:themeFillTint="3F"/>
    </w:tcPr>
    <w:tblStylePr w:type="firstRow">
      <w:rPr>
        <w:b/>
        <w:bCs/>
        <w:color w:val="000000" w:themeColor="text1"/>
      </w:rPr>
      <w:tblPr/>
      <w:tcPr>
        <w:shd w:val="clear" w:color="auto" w:fill="ECF1F9"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2F3" w:themeFill="accent1" w:themeFillTint="33"/>
      </w:tcPr>
    </w:tblStylePr>
    <w:tblStylePr w:type="band1Vert">
      <w:tblPr/>
      <w:tcPr>
        <w:shd w:val="clear" w:color="auto" w:fill="A1B8E1" w:themeFill="accent1" w:themeFillTint="7F"/>
      </w:tcPr>
    </w:tblStylePr>
    <w:tblStylePr w:type="band1Horz">
      <w:tblPr/>
      <w:tcPr>
        <w:tcBorders>
          <w:insideH w:val="single" w:sz="6" w:space="0" w:color="4472C4" w:themeColor="accent1"/>
          <w:insideV w:val="single" w:sz="6" w:space="0" w:color="4472C4" w:themeColor="accent1"/>
        </w:tcBorders>
        <w:shd w:val="clear" w:color="auto" w:fill="A1B8E1" w:themeFill="accent1" w:themeFillTint="7F"/>
      </w:tcPr>
    </w:tblStylePr>
    <w:tblStylePr w:type="nwCell">
      <w:tblPr/>
      <w:tcPr>
        <w:shd w:val="clear" w:color="auto" w:fill="FFFFFF" w:themeFill="background1"/>
      </w:tcPr>
    </w:tblStylePr>
  </w:style>
  <w:style w:type="table" w:styleId="2-21">
    <w:name w:val="Medium Grid 2 Accent 2"/>
    <w:basedOn w:val="a3"/>
    <w:uiPriority w:val="68"/>
    <w:rsid w:val="00565F87"/>
    <w:pPr>
      <w:spacing w:after="0" w:line="240" w:lineRule="auto"/>
    </w:pPr>
    <w:rPr>
      <w:rFonts w:asciiTheme="majorHAnsi" w:eastAsiaTheme="majorEastAsia" w:hAnsiTheme="majorHAnsi" w:cstheme="majorBidi"/>
      <w:color w:val="000000" w:themeColor="text1"/>
      <w:lang w:val="en-US" w:eastAsia="ru-RU"/>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styleId="2-31">
    <w:name w:val="Medium Grid 2 Accent 3"/>
    <w:basedOn w:val="a3"/>
    <w:uiPriority w:val="68"/>
    <w:rsid w:val="00565F87"/>
    <w:pPr>
      <w:spacing w:after="0" w:line="240" w:lineRule="auto"/>
    </w:pPr>
    <w:rPr>
      <w:rFonts w:asciiTheme="majorHAnsi" w:eastAsiaTheme="majorEastAsia" w:hAnsiTheme="majorHAnsi" w:cstheme="majorBidi"/>
      <w:color w:val="000000" w:themeColor="text1"/>
      <w:lang w:val="en-US" w:eastAsia="ru-RU"/>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2-41">
    <w:name w:val="Medium Grid 2 Accent 4"/>
    <w:basedOn w:val="a3"/>
    <w:uiPriority w:val="68"/>
    <w:rsid w:val="00565F87"/>
    <w:pPr>
      <w:spacing w:after="0" w:line="240" w:lineRule="auto"/>
    </w:pPr>
    <w:rPr>
      <w:rFonts w:asciiTheme="majorHAnsi" w:eastAsiaTheme="majorEastAsia" w:hAnsiTheme="majorHAnsi" w:cstheme="majorBidi"/>
      <w:color w:val="000000" w:themeColor="text1"/>
      <w:lang w:val="en-US" w:eastAsia="ru-RU"/>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000000" w:themeColor="text1"/>
      </w:rPr>
      <w:tblPr/>
      <w:tcPr>
        <w:shd w:val="clear" w:color="auto" w:fill="FFF8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2-51">
    <w:name w:val="Medium Grid 2 Accent 5"/>
    <w:basedOn w:val="a3"/>
    <w:uiPriority w:val="68"/>
    <w:rsid w:val="00565F87"/>
    <w:pPr>
      <w:spacing w:after="0" w:line="240" w:lineRule="auto"/>
    </w:pPr>
    <w:rPr>
      <w:rFonts w:asciiTheme="majorHAnsi" w:eastAsiaTheme="majorEastAsia" w:hAnsiTheme="majorHAnsi" w:cstheme="majorBidi"/>
      <w:color w:val="000000" w:themeColor="text1"/>
      <w:lang w:val="en-US" w:eastAsia="ru-RU"/>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cPr>
      <w:shd w:val="clear" w:color="auto" w:fill="D6E6F4" w:themeFill="accent5" w:themeFillTint="3F"/>
    </w:tcPr>
    <w:tblStylePr w:type="firstRow">
      <w:rPr>
        <w:b/>
        <w:bCs/>
        <w:color w:val="000000" w:themeColor="text1"/>
      </w:rPr>
      <w:tblPr/>
      <w:tcPr>
        <w:shd w:val="clear" w:color="auto" w:fill="EEF5FB"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5" w:themeFillTint="33"/>
      </w:tcPr>
    </w:tblStylePr>
    <w:tblStylePr w:type="band1Vert">
      <w:tblPr/>
      <w:tcPr>
        <w:shd w:val="clear" w:color="auto" w:fill="ADCCEA" w:themeFill="accent5" w:themeFillTint="7F"/>
      </w:tcPr>
    </w:tblStylePr>
    <w:tblStylePr w:type="band1Horz">
      <w:tblPr/>
      <w:tcPr>
        <w:tcBorders>
          <w:insideH w:val="single" w:sz="6" w:space="0" w:color="5B9BD5" w:themeColor="accent5"/>
          <w:insideV w:val="single" w:sz="6" w:space="0" w:color="5B9BD5" w:themeColor="accent5"/>
        </w:tcBorders>
        <w:shd w:val="clear" w:color="auto" w:fill="ADCCEA" w:themeFill="accent5" w:themeFillTint="7F"/>
      </w:tcPr>
    </w:tblStylePr>
    <w:tblStylePr w:type="nwCell">
      <w:tblPr/>
      <w:tcPr>
        <w:shd w:val="clear" w:color="auto" w:fill="FFFFFF" w:themeFill="background1"/>
      </w:tcPr>
    </w:tblStylePr>
  </w:style>
  <w:style w:type="table" w:styleId="2-61">
    <w:name w:val="Medium Grid 2 Accent 6"/>
    <w:basedOn w:val="a3"/>
    <w:uiPriority w:val="68"/>
    <w:rsid w:val="00565F87"/>
    <w:pPr>
      <w:spacing w:after="0" w:line="240" w:lineRule="auto"/>
    </w:pPr>
    <w:rPr>
      <w:rFonts w:asciiTheme="majorHAnsi" w:eastAsiaTheme="majorEastAsia" w:hAnsiTheme="majorHAnsi" w:cstheme="majorBidi"/>
      <w:color w:val="000000" w:themeColor="text1"/>
      <w:lang w:val="en-US" w:eastAsia="ru-RU"/>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table" w:styleId="3b">
    <w:name w:val="Medium Grid 3"/>
    <w:basedOn w:val="a3"/>
    <w:uiPriority w:val="69"/>
    <w:rsid w:val="00565F87"/>
    <w:pPr>
      <w:spacing w:after="0" w:line="240" w:lineRule="auto"/>
    </w:pPr>
    <w:rPr>
      <w:rFonts w:eastAsiaTheme="minorEastAsia"/>
      <w:lang w:val="en-US" w:eastAsia="ru-R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3-1">
    <w:name w:val="Medium Grid 3 Accent 1"/>
    <w:basedOn w:val="a3"/>
    <w:uiPriority w:val="69"/>
    <w:rsid w:val="00565F87"/>
    <w:pPr>
      <w:spacing w:after="0" w:line="240" w:lineRule="auto"/>
    </w:pPr>
    <w:rPr>
      <w:rFonts w:eastAsiaTheme="minorEastAsia"/>
      <w:lang w:val="en-US" w:eastAsia="ru-R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1" w:themeFillTint="7F"/>
      </w:tcPr>
    </w:tblStylePr>
  </w:style>
  <w:style w:type="table" w:styleId="3-2">
    <w:name w:val="Medium Grid 3 Accent 2"/>
    <w:basedOn w:val="a3"/>
    <w:uiPriority w:val="69"/>
    <w:rsid w:val="00565F87"/>
    <w:pPr>
      <w:spacing w:after="0" w:line="240" w:lineRule="auto"/>
    </w:pPr>
    <w:rPr>
      <w:rFonts w:eastAsiaTheme="minorEastAsia"/>
      <w:lang w:val="en-US" w:eastAsia="ru-R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3-3">
    <w:name w:val="Medium Grid 3 Accent 3"/>
    <w:basedOn w:val="a3"/>
    <w:uiPriority w:val="69"/>
    <w:rsid w:val="00565F87"/>
    <w:pPr>
      <w:spacing w:after="0" w:line="240" w:lineRule="auto"/>
    </w:pPr>
    <w:rPr>
      <w:rFonts w:eastAsiaTheme="minorEastAsia"/>
      <w:lang w:val="en-US" w:eastAsia="ru-R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3-4">
    <w:name w:val="Medium Grid 3 Accent 4"/>
    <w:basedOn w:val="a3"/>
    <w:uiPriority w:val="69"/>
    <w:rsid w:val="00565F87"/>
    <w:pPr>
      <w:spacing w:after="0" w:line="240" w:lineRule="auto"/>
    </w:pPr>
    <w:rPr>
      <w:rFonts w:eastAsiaTheme="minorEastAsia"/>
      <w:lang w:val="en-US" w:eastAsia="ru-R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3-5">
    <w:name w:val="Medium Grid 3 Accent 5"/>
    <w:basedOn w:val="a3"/>
    <w:uiPriority w:val="69"/>
    <w:rsid w:val="00565F87"/>
    <w:pPr>
      <w:spacing w:after="0" w:line="240" w:lineRule="auto"/>
    </w:pPr>
    <w:rPr>
      <w:rFonts w:eastAsiaTheme="minorEastAsia"/>
      <w:lang w:val="en-US" w:eastAsia="ru-R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5" w:themeFillTint="7F"/>
      </w:tcPr>
    </w:tblStylePr>
  </w:style>
  <w:style w:type="table" w:styleId="3-6">
    <w:name w:val="Medium Grid 3 Accent 6"/>
    <w:basedOn w:val="a3"/>
    <w:uiPriority w:val="69"/>
    <w:rsid w:val="00565F87"/>
    <w:pPr>
      <w:spacing w:after="0" w:line="240" w:lineRule="auto"/>
    </w:pPr>
    <w:rPr>
      <w:rFonts w:eastAsiaTheme="minorEastAsia"/>
      <w:lang w:val="en-US" w:eastAsia="ru-R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afff6">
    <w:name w:val="Dark List"/>
    <w:basedOn w:val="a3"/>
    <w:uiPriority w:val="70"/>
    <w:rsid w:val="00565F87"/>
    <w:pPr>
      <w:spacing w:after="0" w:line="240" w:lineRule="auto"/>
    </w:pPr>
    <w:rPr>
      <w:rFonts w:eastAsiaTheme="minorEastAsia"/>
      <w:color w:val="FFFFFF" w:themeColor="background1"/>
      <w:lang w:val="en-US" w:eastAsia="ru-RU"/>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12">
    <w:name w:val="Dark List Accent 1"/>
    <w:basedOn w:val="a3"/>
    <w:uiPriority w:val="70"/>
    <w:rsid w:val="00565F87"/>
    <w:pPr>
      <w:spacing w:after="0" w:line="240" w:lineRule="auto"/>
    </w:pPr>
    <w:rPr>
      <w:rFonts w:eastAsiaTheme="minorEastAsia"/>
      <w:color w:val="FFFFFF" w:themeColor="background1"/>
      <w:lang w:val="en-US" w:eastAsia="ru-RU"/>
    </w:rPr>
    <w:tblPr>
      <w:tblStyleRowBandSize w:val="1"/>
      <w:tblStyleColBandSize w:val="1"/>
    </w:tblPr>
    <w:tcPr>
      <w:shd w:val="clear" w:color="auto" w:fill="4472C4"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1" w:themeFillShade="BF"/>
      </w:tcPr>
    </w:tblStylePr>
    <w:tblStylePr w:type="band1Vert">
      <w:tblPr/>
      <w:tcPr>
        <w:tcBorders>
          <w:top w:val="nil"/>
          <w:left w:val="nil"/>
          <w:bottom w:val="nil"/>
          <w:right w:val="nil"/>
          <w:insideH w:val="nil"/>
          <w:insideV w:val="nil"/>
        </w:tcBorders>
        <w:shd w:val="clear" w:color="auto" w:fill="2F5496" w:themeFill="accent1" w:themeFillShade="BF"/>
      </w:tcPr>
    </w:tblStylePr>
    <w:tblStylePr w:type="band1Horz">
      <w:tblPr/>
      <w:tcPr>
        <w:tcBorders>
          <w:top w:val="nil"/>
          <w:left w:val="nil"/>
          <w:bottom w:val="nil"/>
          <w:right w:val="nil"/>
          <w:insideH w:val="nil"/>
          <w:insideV w:val="nil"/>
        </w:tcBorders>
        <w:shd w:val="clear" w:color="auto" w:fill="2F5496" w:themeFill="accent1" w:themeFillShade="BF"/>
      </w:tcPr>
    </w:tblStylePr>
  </w:style>
  <w:style w:type="table" w:styleId="-22">
    <w:name w:val="Dark List Accent 2"/>
    <w:basedOn w:val="a3"/>
    <w:uiPriority w:val="70"/>
    <w:rsid w:val="00565F87"/>
    <w:pPr>
      <w:spacing w:after="0" w:line="240" w:lineRule="auto"/>
    </w:pPr>
    <w:rPr>
      <w:rFonts w:eastAsiaTheme="minorEastAsia"/>
      <w:color w:val="FFFFFF" w:themeColor="background1"/>
      <w:lang w:val="en-US" w:eastAsia="ru-RU"/>
    </w:rPr>
    <w:tblPr>
      <w:tblStyleRowBandSize w:val="1"/>
      <w:tblStyleColBandSize w:val="1"/>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styleId="-32">
    <w:name w:val="Dark List Accent 3"/>
    <w:basedOn w:val="a3"/>
    <w:uiPriority w:val="70"/>
    <w:rsid w:val="00565F87"/>
    <w:pPr>
      <w:spacing w:after="0" w:line="240" w:lineRule="auto"/>
    </w:pPr>
    <w:rPr>
      <w:rFonts w:eastAsiaTheme="minorEastAsia"/>
      <w:color w:val="FFFFFF" w:themeColor="background1"/>
      <w:lang w:val="en-US" w:eastAsia="ru-RU"/>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42">
    <w:name w:val="Dark List Accent 4"/>
    <w:basedOn w:val="a3"/>
    <w:uiPriority w:val="70"/>
    <w:rsid w:val="00565F87"/>
    <w:pPr>
      <w:spacing w:after="0" w:line="240" w:lineRule="auto"/>
    </w:pPr>
    <w:rPr>
      <w:rFonts w:eastAsiaTheme="minorEastAsia"/>
      <w:color w:val="FFFFFF" w:themeColor="background1"/>
      <w:lang w:val="en-US" w:eastAsia="ru-RU"/>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52">
    <w:name w:val="Dark List Accent 5"/>
    <w:basedOn w:val="a3"/>
    <w:uiPriority w:val="70"/>
    <w:rsid w:val="00565F87"/>
    <w:pPr>
      <w:spacing w:after="0" w:line="240" w:lineRule="auto"/>
    </w:pPr>
    <w:rPr>
      <w:rFonts w:eastAsiaTheme="minorEastAsia"/>
      <w:color w:val="FFFFFF" w:themeColor="background1"/>
      <w:lang w:val="en-US" w:eastAsia="ru-RU"/>
    </w:rPr>
    <w:tblPr>
      <w:tblStyleRowBandSize w:val="1"/>
      <w:tblStyleColBandSize w:val="1"/>
    </w:tblPr>
    <w:tcPr>
      <w:shd w:val="clear" w:color="auto" w:fill="5B9BD5"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5" w:themeFillShade="BF"/>
      </w:tcPr>
    </w:tblStylePr>
    <w:tblStylePr w:type="band1Vert">
      <w:tblPr/>
      <w:tcPr>
        <w:tcBorders>
          <w:top w:val="nil"/>
          <w:left w:val="nil"/>
          <w:bottom w:val="nil"/>
          <w:right w:val="nil"/>
          <w:insideH w:val="nil"/>
          <w:insideV w:val="nil"/>
        </w:tcBorders>
        <w:shd w:val="clear" w:color="auto" w:fill="2E74B5" w:themeFill="accent5" w:themeFillShade="BF"/>
      </w:tcPr>
    </w:tblStylePr>
    <w:tblStylePr w:type="band1Horz">
      <w:tblPr/>
      <w:tcPr>
        <w:tcBorders>
          <w:top w:val="nil"/>
          <w:left w:val="nil"/>
          <w:bottom w:val="nil"/>
          <w:right w:val="nil"/>
          <w:insideH w:val="nil"/>
          <w:insideV w:val="nil"/>
        </w:tcBorders>
        <w:shd w:val="clear" w:color="auto" w:fill="2E74B5" w:themeFill="accent5" w:themeFillShade="BF"/>
      </w:tcPr>
    </w:tblStylePr>
  </w:style>
  <w:style w:type="table" w:styleId="-62">
    <w:name w:val="Dark List Accent 6"/>
    <w:basedOn w:val="a3"/>
    <w:uiPriority w:val="70"/>
    <w:rsid w:val="00565F87"/>
    <w:pPr>
      <w:spacing w:after="0" w:line="240" w:lineRule="auto"/>
    </w:pPr>
    <w:rPr>
      <w:rFonts w:eastAsiaTheme="minorEastAsia"/>
      <w:color w:val="FFFFFF" w:themeColor="background1"/>
      <w:lang w:val="en-US" w:eastAsia="ru-RU"/>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table" w:styleId="afff7">
    <w:name w:val="Colorful Shading"/>
    <w:basedOn w:val="a3"/>
    <w:uiPriority w:val="71"/>
    <w:rsid w:val="00565F87"/>
    <w:pPr>
      <w:spacing w:after="0" w:line="240" w:lineRule="auto"/>
    </w:pPr>
    <w:rPr>
      <w:rFonts w:eastAsiaTheme="minorEastAsia"/>
      <w:color w:val="000000" w:themeColor="text1"/>
      <w:lang w:val="en-US" w:eastAsia="ru-RU"/>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13">
    <w:name w:val="Colorful Shading Accent 1"/>
    <w:basedOn w:val="a3"/>
    <w:uiPriority w:val="71"/>
    <w:rsid w:val="00565F87"/>
    <w:pPr>
      <w:spacing w:after="0" w:line="240" w:lineRule="auto"/>
    </w:pPr>
    <w:rPr>
      <w:rFonts w:eastAsiaTheme="minorEastAsia"/>
      <w:color w:val="000000" w:themeColor="text1"/>
      <w:lang w:val="en-US" w:eastAsia="ru-RU"/>
    </w:rPr>
    <w:tblPr>
      <w:tblStyleRowBandSize w:val="1"/>
      <w:tblStyleColBandSize w:val="1"/>
      <w:tblBorders>
        <w:top w:val="single" w:sz="24" w:space="0" w:color="ED7D31" w:themeColor="accent2"/>
        <w:left w:val="single" w:sz="4" w:space="0" w:color="4472C4" w:themeColor="accent1"/>
        <w:bottom w:val="single" w:sz="4" w:space="0" w:color="4472C4" w:themeColor="accent1"/>
        <w:right w:val="single" w:sz="4" w:space="0" w:color="4472C4" w:themeColor="accent1"/>
        <w:insideH w:val="single" w:sz="4" w:space="0" w:color="FFFFFF" w:themeColor="background1"/>
        <w:insideV w:val="single" w:sz="4" w:space="0" w:color="FFFFFF" w:themeColor="background1"/>
      </w:tblBorders>
    </w:tblPr>
    <w:tcPr>
      <w:shd w:val="clear" w:color="auto" w:fill="ECF1F9"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1" w:themeFillShade="99"/>
      </w:tcPr>
    </w:tblStylePr>
    <w:tblStylePr w:type="firstCol">
      <w:rPr>
        <w:color w:val="FFFFFF" w:themeColor="background1"/>
      </w:rPr>
      <w:tblPr/>
      <w:tcPr>
        <w:tcBorders>
          <w:top w:val="nil"/>
          <w:left w:val="nil"/>
          <w:bottom w:val="nil"/>
          <w:right w:val="nil"/>
          <w:insideH w:val="single" w:sz="4" w:space="0" w:color="264378" w:themeColor="accent1" w:themeShade="99"/>
          <w:insideV w:val="nil"/>
        </w:tcBorders>
        <w:shd w:val="clear" w:color="auto" w:fill="264378"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1" w:themeFillShade="99"/>
      </w:tcPr>
    </w:tblStylePr>
    <w:tblStylePr w:type="band1Vert">
      <w:tblPr/>
      <w:tcPr>
        <w:shd w:val="clear" w:color="auto" w:fill="B4C6E7" w:themeFill="accent1" w:themeFillTint="66"/>
      </w:tcPr>
    </w:tblStylePr>
    <w:tblStylePr w:type="band1Horz">
      <w:tblPr/>
      <w:tcPr>
        <w:shd w:val="clear" w:color="auto" w:fill="A1B8E1" w:themeFill="accent1" w:themeFillTint="7F"/>
      </w:tcPr>
    </w:tblStylePr>
    <w:tblStylePr w:type="neCell">
      <w:rPr>
        <w:color w:val="000000" w:themeColor="text1"/>
      </w:rPr>
    </w:tblStylePr>
    <w:tblStylePr w:type="nwCell">
      <w:rPr>
        <w:color w:val="000000" w:themeColor="text1"/>
      </w:rPr>
    </w:tblStylePr>
  </w:style>
  <w:style w:type="table" w:styleId="-23">
    <w:name w:val="Colorful Shading Accent 2"/>
    <w:basedOn w:val="a3"/>
    <w:uiPriority w:val="71"/>
    <w:rsid w:val="00565F87"/>
    <w:pPr>
      <w:spacing w:after="0" w:line="240" w:lineRule="auto"/>
    </w:pPr>
    <w:rPr>
      <w:rFonts w:eastAsiaTheme="minorEastAsia"/>
      <w:color w:val="000000" w:themeColor="text1"/>
      <w:lang w:val="en-US" w:eastAsia="ru-RU"/>
    </w:rPr>
    <w:tblPr>
      <w:tblStyleRowBandSize w:val="1"/>
      <w:tblStyleColBandSize w:val="1"/>
      <w:tblBorders>
        <w:top w:val="single" w:sz="24" w:space="0" w:color="ED7D31" w:themeColor="accent2"/>
        <w:left w:val="single" w:sz="4" w:space="0" w:color="ED7D31" w:themeColor="accent2"/>
        <w:bottom w:val="single" w:sz="4" w:space="0" w:color="ED7D31" w:themeColor="accent2"/>
        <w:right w:val="single" w:sz="4" w:space="0" w:color="ED7D31" w:themeColor="accent2"/>
        <w:insideH w:val="single" w:sz="4" w:space="0" w:color="FFFFFF" w:themeColor="background1"/>
        <w:insideV w:val="single" w:sz="4" w:space="0" w:color="FFFFFF" w:themeColor="background1"/>
      </w:tblBorders>
    </w:tblPr>
    <w:tcPr>
      <w:shd w:val="clear" w:color="auto" w:fill="FDF2EA" w:themeFill="accent2"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D470D" w:themeFill="accent2" w:themeFillShade="99"/>
      </w:tcPr>
    </w:tblStylePr>
    <w:tblStylePr w:type="firstCol">
      <w:rPr>
        <w:color w:val="FFFFFF" w:themeColor="background1"/>
      </w:rPr>
      <w:tblPr/>
      <w:tcPr>
        <w:tcBorders>
          <w:top w:val="nil"/>
          <w:left w:val="nil"/>
          <w:bottom w:val="nil"/>
          <w:right w:val="nil"/>
          <w:insideH w:val="single" w:sz="4" w:space="0" w:color="9D470D" w:themeColor="accent2" w:themeShade="99"/>
          <w:insideV w:val="nil"/>
        </w:tcBorders>
        <w:shd w:val="clear" w:color="auto" w:fill="9D470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D470D" w:themeFill="accent2" w:themeFillShade="99"/>
      </w:tcPr>
    </w:tblStylePr>
    <w:tblStylePr w:type="band1Vert">
      <w:tblPr/>
      <w:tcPr>
        <w:shd w:val="clear" w:color="auto" w:fill="F7CAAC" w:themeFill="accent2" w:themeFillTint="66"/>
      </w:tcPr>
    </w:tblStylePr>
    <w:tblStylePr w:type="band1Horz">
      <w:tblPr/>
      <w:tcPr>
        <w:shd w:val="clear" w:color="auto" w:fill="F6BE98" w:themeFill="accent2" w:themeFillTint="7F"/>
      </w:tcPr>
    </w:tblStylePr>
    <w:tblStylePr w:type="neCell">
      <w:rPr>
        <w:color w:val="000000" w:themeColor="text1"/>
      </w:rPr>
    </w:tblStylePr>
    <w:tblStylePr w:type="nwCell">
      <w:rPr>
        <w:color w:val="000000" w:themeColor="text1"/>
      </w:rPr>
    </w:tblStylePr>
  </w:style>
  <w:style w:type="table" w:styleId="-33">
    <w:name w:val="Colorful Shading Accent 3"/>
    <w:basedOn w:val="a3"/>
    <w:uiPriority w:val="71"/>
    <w:rsid w:val="00565F87"/>
    <w:pPr>
      <w:spacing w:after="0" w:line="240" w:lineRule="auto"/>
    </w:pPr>
    <w:rPr>
      <w:rFonts w:eastAsiaTheme="minorEastAsia"/>
      <w:color w:val="000000" w:themeColor="text1"/>
      <w:lang w:val="en-US" w:eastAsia="ru-RU"/>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43">
    <w:name w:val="Colorful Shading Accent 4"/>
    <w:basedOn w:val="a3"/>
    <w:uiPriority w:val="71"/>
    <w:rsid w:val="00565F87"/>
    <w:pPr>
      <w:spacing w:after="0" w:line="240" w:lineRule="auto"/>
    </w:pPr>
    <w:rPr>
      <w:rFonts w:eastAsiaTheme="minorEastAsia"/>
      <w:color w:val="000000" w:themeColor="text1"/>
      <w:lang w:val="en-US" w:eastAsia="ru-RU"/>
    </w:rPr>
    <w:tblPr>
      <w:tblStyleRowBandSize w:val="1"/>
      <w:tblStyleColBandSize w:val="1"/>
      <w:tblBorders>
        <w:top w:val="single" w:sz="24" w:space="0" w:color="A5A5A5"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000000" w:themeColor="text1"/>
      </w:rPr>
    </w:tblStylePr>
    <w:tblStylePr w:type="nwCell">
      <w:rPr>
        <w:color w:val="000000" w:themeColor="text1"/>
      </w:rPr>
    </w:tblStylePr>
  </w:style>
  <w:style w:type="table" w:styleId="-53">
    <w:name w:val="Colorful Shading Accent 5"/>
    <w:basedOn w:val="a3"/>
    <w:uiPriority w:val="71"/>
    <w:rsid w:val="00565F87"/>
    <w:pPr>
      <w:spacing w:after="0" w:line="240" w:lineRule="auto"/>
    </w:pPr>
    <w:rPr>
      <w:rFonts w:eastAsiaTheme="minorEastAsia"/>
      <w:color w:val="000000" w:themeColor="text1"/>
      <w:lang w:val="en-US" w:eastAsia="ru-RU"/>
    </w:rPr>
    <w:tblPr>
      <w:tblStyleRowBandSize w:val="1"/>
      <w:tblStyleColBandSize w:val="1"/>
      <w:tblBorders>
        <w:top w:val="single" w:sz="24" w:space="0" w:color="70AD47" w:themeColor="accent6"/>
        <w:left w:val="single" w:sz="4" w:space="0" w:color="5B9BD5" w:themeColor="accent5"/>
        <w:bottom w:val="single" w:sz="4" w:space="0" w:color="5B9BD5" w:themeColor="accent5"/>
        <w:right w:val="single" w:sz="4" w:space="0" w:color="5B9BD5" w:themeColor="accent5"/>
        <w:insideH w:val="single" w:sz="4" w:space="0" w:color="FFFFFF" w:themeColor="background1"/>
        <w:insideV w:val="single" w:sz="4" w:space="0" w:color="FFFFFF" w:themeColor="background1"/>
      </w:tblBorders>
    </w:tblPr>
    <w:tcPr>
      <w:shd w:val="clear" w:color="auto" w:fill="EEF5FB"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5" w:themeFillShade="99"/>
      </w:tcPr>
    </w:tblStylePr>
    <w:tblStylePr w:type="firstCol">
      <w:rPr>
        <w:color w:val="FFFFFF" w:themeColor="background1"/>
      </w:rPr>
      <w:tblPr/>
      <w:tcPr>
        <w:tcBorders>
          <w:top w:val="nil"/>
          <w:left w:val="nil"/>
          <w:bottom w:val="nil"/>
          <w:right w:val="nil"/>
          <w:insideH w:val="single" w:sz="4" w:space="0" w:color="255D91" w:themeColor="accent5" w:themeShade="99"/>
          <w:insideV w:val="nil"/>
        </w:tcBorders>
        <w:shd w:val="clear" w:color="auto" w:fill="255D91"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5" w:themeFillShade="99"/>
      </w:tcPr>
    </w:tblStylePr>
    <w:tblStylePr w:type="band1Vert">
      <w:tblPr/>
      <w:tcPr>
        <w:shd w:val="clear" w:color="auto" w:fill="BDD6EE" w:themeFill="accent5" w:themeFillTint="66"/>
      </w:tcPr>
    </w:tblStylePr>
    <w:tblStylePr w:type="band1Horz">
      <w:tblPr/>
      <w:tcPr>
        <w:shd w:val="clear" w:color="auto" w:fill="ADCCEA" w:themeFill="accent5" w:themeFillTint="7F"/>
      </w:tcPr>
    </w:tblStylePr>
    <w:tblStylePr w:type="neCell">
      <w:rPr>
        <w:color w:val="000000" w:themeColor="text1"/>
      </w:rPr>
    </w:tblStylePr>
    <w:tblStylePr w:type="nwCell">
      <w:rPr>
        <w:color w:val="000000" w:themeColor="text1"/>
      </w:rPr>
    </w:tblStylePr>
  </w:style>
  <w:style w:type="table" w:styleId="-63">
    <w:name w:val="Colorful Shading Accent 6"/>
    <w:basedOn w:val="a3"/>
    <w:uiPriority w:val="71"/>
    <w:rsid w:val="00565F87"/>
    <w:pPr>
      <w:spacing w:after="0" w:line="240" w:lineRule="auto"/>
    </w:pPr>
    <w:rPr>
      <w:rFonts w:eastAsiaTheme="minorEastAsia"/>
      <w:color w:val="000000" w:themeColor="text1"/>
      <w:lang w:val="en-US" w:eastAsia="ru-RU"/>
    </w:rPr>
    <w:tblPr>
      <w:tblStyleRowBandSize w:val="1"/>
      <w:tblStyleColBandSize w:val="1"/>
      <w:tblBorders>
        <w:top w:val="single" w:sz="24" w:space="0" w:color="5B9BD5"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5B9BD5"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table" w:styleId="afff8">
    <w:name w:val="Colorful List"/>
    <w:basedOn w:val="a3"/>
    <w:uiPriority w:val="72"/>
    <w:rsid w:val="00565F87"/>
    <w:pPr>
      <w:spacing w:after="0" w:line="240" w:lineRule="auto"/>
    </w:pPr>
    <w:rPr>
      <w:rFonts w:eastAsiaTheme="minorEastAsia"/>
      <w:color w:val="000000" w:themeColor="text1"/>
      <w:lang w:val="en-US" w:eastAsia="ru-RU"/>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14">
    <w:name w:val="Colorful List Accent 1"/>
    <w:basedOn w:val="a3"/>
    <w:uiPriority w:val="72"/>
    <w:rsid w:val="00565F87"/>
    <w:pPr>
      <w:spacing w:after="0" w:line="240" w:lineRule="auto"/>
    </w:pPr>
    <w:rPr>
      <w:rFonts w:eastAsiaTheme="minorEastAsia"/>
      <w:color w:val="000000" w:themeColor="text1"/>
      <w:lang w:val="en-US" w:eastAsia="ru-RU"/>
    </w:rPr>
    <w:tblPr>
      <w:tblStyleRowBandSize w:val="1"/>
      <w:tblStyleColBandSize w:val="1"/>
    </w:tblPr>
    <w:tcPr>
      <w:shd w:val="clear" w:color="auto" w:fill="ECF1F9"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table" w:styleId="-24">
    <w:name w:val="Colorful List Accent 2"/>
    <w:basedOn w:val="a3"/>
    <w:uiPriority w:val="72"/>
    <w:rsid w:val="00565F87"/>
    <w:pPr>
      <w:spacing w:after="0" w:line="240" w:lineRule="auto"/>
    </w:pPr>
    <w:rPr>
      <w:rFonts w:eastAsiaTheme="minorEastAsia"/>
      <w:color w:val="000000" w:themeColor="text1"/>
      <w:lang w:val="en-US" w:eastAsia="ru-RU"/>
    </w:rPr>
    <w:tblPr>
      <w:tblStyleRowBandSize w:val="1"/>
      <w:tblStyleColBandSize w:val="1"/>
    </w:tblPr>
    <w:tcPr>
      <w:shd w:val="clear" w:color="auto" w:fill="FDF2EA" w:themeFill="accent2"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hemeFill="accent2" w:themeFillTint="3F"/>
      </w:tcPr>
    </w:tblStylePr>
    <w:tblStylePr w:type="band1Horz">
      <w:tblPr/>
      <w:tcPr>
        <w:shd w:val="clear" w:color="auto" w:fill="FBE4D5" w:themeFill="accent2" w:themeFillTint="33"/>
      </w:tcPr>
    </w:tblStylePr>
  </w:style>
  <w:style w:type="table" w:styleId="-34">
    <w:name w:val="Colorful List Accent 3"/>
    <w:basedOn w:val="a3"/>
    <w:uiPriority w:val="72"/>
    <w:rsid w:val="00565F87"/>
    <w:pPr>
      <w:spacing w:after="0" w:line="240" w:lineRule="auto"/>
    </w:pPr>
    <w:rPr>
      <w:rFonts w:eastAsiaTheme="minorEastAsia"/>
      <w:color w:val="000000" w:themeColor="text1"/>
      <w:lang w:val="en-US" w:eastAsia="ru-RU"/>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44">
    <w:name w:val="Colorful List Accent 4"/>
    <w:basedOn w:val="a3"/>
    <w:uiPriority w:val="72"/>
    <w:rsid w:val="00565F87"/>
    <w:pPr>
      <w:spacing w:after="0" w:line="240" w:lineRule="auto"/>
    </w:pPr>
    <w:rPr>
      <w:rFonts w:eastAsiaTheme="minorEastAsia"/>
      <w:color w:val="000000" w:themeColor="text1"/>
      <w:lang w:val="en-US" w:eastAsia="ru-RU"/>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54">
    <w:name w:val="Colorful List Accent 5"/>
    <w:basedOn w:val="a3"/>
    <w:uiPriority w:val="72"/>
    <w:rsid w:val="00565F87"/>
    <w:pPr>
      <w:spacing w:after="0" w:line="240" w:lineRule="auto"/>
    </w:pPr>
    <w:rPr>
      <w:rFonts w:eastAsiaTheme="minorEastAsia"/>
      <w:color w:val="000000" w:themeColor="text1"/>
      <w:lang w:val="en-US" w:eastAsia="ru-RU"/>
    </w:rPr>
    <w:tblPr>
      <w:tblStyleRowBandSize w:val="1"/>
      <w:tblStyleColBandSize w:val="1"/>
    </w:tblPr>
    <w:tcPr>
      <w:shd w:val="clear" w:color="auto" w:fill="EEF5FB"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5" w:themeFillTint="3F"/>
      </w:tcPr>
    </w:tblStylePr>
    <w:tblStylePr w:type="band1Horz">
      <w:tblPr/>
      <w:tcPr>
        <w:shd w:val="clear" w:color="auto" w:fill="DEEAF6" w:themeFill="accent5" w:themeFillTint="33"/>
      </w:tcPr>
    </w:tblStylePr>
  </w:style>
  <w:style w:type="table" w:styleId="-64">
    <w:name w:val="Colorful List Accent 6"/>
    <w:basedOn w:val="a3"/>
    <w:uiPriority w:val="72"/>
    <w:rsid w:val="00565F87"/>
    <w:pPr>
      <w:spacing w:after="0" w:line="240" w:lineRule="auto"/>
    </w:pPr>
    <w:rPr>
      <w:rFonts w:eastAsiaTheme="minorEastAsia"/>
      <w:color w:val="000000" w:themeColor="text1"/>
      <w:lang w:val="en-US" w:eastAsia="ru-RU"/>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17CC1" w:themeFill="accent5" w:themeFillShade="CC"/>
      </w:tcPr>
    </w:tblStylePr>
    <w:tblStylePr w:type="lastRow">
      <w:rPr>
        <w:b/>
        <w:bCs/>
        <w:color w:val="317CC1"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afff9">
    <w:name w:val="Colorful Grid"/>
    <w:basedOn w:val="a3"/>
    <w:uiPriority w:val="73"/>
    <w:rsid w:val="00565F87"/>
    <w:pPr>
      <w:spacing w:after="0" w:line="240" w:lineRule="auto"/>
    </w:pPr>
    <w:rPr>
      <w:rFonts w:eastAsiaTheme="minorEastAsia"/>
      <w:color w:val="000000" w:themeColor="text1"/>
      <w:lang w:val="en-US" w:eastAsia="ru-RU"/>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5">
    <w:name w:val="Colorful Grid Accent 1"/>
    <w:basedOn w:val="a3"/>
    <w:uiPriority w:val="73"/>
    <w:rsid w:val="00565F87"/>
    <w:pPr>
      <w:spacing w:after="0" w:line="240" w:lineRule="auto"/>
    </w:pPr>
    <w:rPr>
      <w:rFonts w:eastAsiaTheme="minorEastAsia"/>
      <w:color w:val="000000" w:themeColor="text1"/>
      <w:lang w:val="en-US" w:eastAsia="ru-RU"/>
    </w:rPr>
    <w:tblPr>
      <w:tblStyleRowBandSize w:val="1"/>
      <w:tblStyleColBandSize w:val="1"/>
      <w:tblBorders>
        <w:insideH w:val="single" w:sz="4" w:space="0" w:color="FFFFFF" w:themeColor="background1"/>
      </w:tblBorders>
    </w:tblPr>
    <w:tcPr>
      <w:shd w:val="clear" w:color="auto" w:fill="D9E2F3" w:themeFill="accent1" w:themeFillTint="33"/>
    </w:tcPr>
    <w:tblStylePr w:type="firstRow">
      <w:rPr>
        <w:b/>
        <w:bCs/>
      </w:rPr>
      <w:tblPr/>
      <w:tcPr>
        <w:shd w:val="clear" w:color="auto" w:fill="B4C6E7" w:themeFill="accent1" w:themeFillTint="66"/>
      </w:tcPr>
    </w:tblStylePr>
    <w:tblStylePr w:type="lastRow">
      <w:rPr>
        <w:b/>
        <w:bCs/>
        <w:color w:val="000000" w:themeColor="text1"/>
      </w:rPr>
      <w:tblPr/>
      <w:tcPr>
        <w:shd w:val="clear" w:color="auto" w:fill="B4C6E7" w:themeFill="accent1" w:themeFillTint="66"/>
      </w:tcPr>
    </w:tblStylePr>
    <w:tblStylePr w:type="firstCol">
      <w:rPr>
        <w:color w:val="FFFFFF" w:themeColor="background1"/>
      </w:rPr>
      <w:tblPr/>
      <w:tcPr>
        <w:shd w:val="clear" w:color="auto" w:fill="2F5496" w:themeFill="accent1" w:themeFillShade="BF"/>
      </w:tcPr>
    </w:tblStylePr>
    <w:tblStylePr w:type="lastCol">
      <w:rPr>
        <w:color w:val="FFFFFF" w:themeColor="background1"/>
      </w:rPr>
      <w:tblPr/>
      <w:tcPr>
        <w:shd w:val="clear" w:color="auto" w:fill="2F5496" w:themeFill="accent1" w:themeFillShade="BF"/>
      </w:tc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styleId="-25">
    <w:name w:val="Colorful Grid Accent 2"/>
    <w:basedOn w:val="a3"/>
    <w:uiPriority w:val="73"/>
    <w:rsid w:val="00565F87"/>
    <w:pPr>
      <w:spacing w:after="0" w:line="240" w:lineRule="auto"/>
    </w:pPr>
    <w:rPr>
      <w:rFonts w:eastAsiaTheme="minorEastAsia"/>
      <w:color w:val="000000" w:themeColor="text1"/>
      <w:lang w:val="en-US" w:eastAsia="ru-RU"/>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35">
    <w:name w:val="Colorful Grid Accent 3"/>
    <w:basedOn w:val="a3"/>
    <w:uiPriority w:val="73"/>
    <w:rsid w:val="00565F87"/>
    <w:pPr>
      <w:spacing w:after="0" w:line="240" w:lineRule="auto"/>
    </w:pPr>
    <w:rPr>
      <w:rFonts w:eastAsiaTheme="minorEastAsia"/>
      <w:color w:val="000000" w:themeColor="text1"/>
      <w:lang w:val="en-US" w:eastAsia="ru-RU"/>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45">
    <w:name w:val="Colorful Grid Accent 4"/>
    <w:basedOn w:val="a3"/>
    <w:uiPriority w:val="73"/>
    <w:rsid w:val="00565F87"/>
    <w:pPr>
      <w:spacing w:after="0" w:line="240" w:lineRule="auto"/>
    </w:pPr>
    <w:rPr>
      <w:rFonts w:eastAsiaTheme="minorEastAsia"/>
      <w:color w:val="000000" w:themeColor="text1"/>
      <w:lang w:val="en-US" w:eastAsia="ru-RU"/>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55">
    <w:name w:val="Colorful Grid Accent 5"/>
    <w:basedOn w:val="a3"/>
    <w:uiPriority w:val="73"/>
    <w:rsid w:val="00565F87"/>
    <w:pPr>
      <w:spacing w:after="0" w:line="240" w:lineRule="auto"/>
    </w:pPr>
    <w:rPr>
      <w:rFonts w:eastAsiaTheme="minorEastAsia"/>
      <w:color w:val="000000" w:themeColor="text1"/>
      <w:lang w:val="en-US" w:eastAsia="ru-RU"/>
    </w:rPr>
    <w:tblPr>
      <w:tblStyleRowBandSize w:val="1"/>
      <w:tblStyleColBandSize w:val="1"/>
      <w:tblBorders>
        <w:insideH w:val="single" w:sz="4" w:space="0" w:color="FFFFFF" w:themeColor="background1"/>
      </w:tblBorders>
    </w:tblPr>
    <w:tcPr>
      <w:shd w:val="clear" w:color="auto" w:fill="DEEAF6" w:themeFill="accent5" w:themeFillTint="33"/>
    </w:tcPr>
    <w:tblStylePr w:type="firstRow">
      <w:rPr>
        <w:b/>
        <w:bCs/>
      </w:rPr>
      <w:tblPr/>
      <w:tcPr>
        <w:shd w:val="clear" w:color="auto" w:fill="BDD6EE" w:themeFill="accent5" w:themeFillTint="66"/>
      </w:tcPr>
    </w:tblStylePr>
    <w:tblStylePr w:type="lastRow">
      <w:rPr>
        <w:b/>
        <w:bCs/>
        <w:color w:val="000000" w:themeColor="text1"/>
      </w:rPr>
      <w:tblPr/>
      <w:tcPr>
        <w:shd w:val="clear" w:color="auto" w:fill="BDD6EE" w:themeFill="accent5" w:themeFillTint="66"/>
      </w:tcPr>
    </w:tblStylePr>
    <w:tblStylePr w:type="firstCol">
      <w:rPr>
        <w:color w:val="FFFFFF" w:themeColor="background1"/>
      </w:rPr>
      <w:tblPr/>
      <w:tcPr>
        <w:shd w:val="clear" w:color="auto" w:fill="2E74B5" w:themeFill="accent5" w:themeFillShade="BF"/>
      </w:tcPr>
    </w:tblStylePr>
    <w:tblStylePr w:type="lastCol">
      <w:rPr>
        <w:color w:val="FFFFFF" w:themeColor="background1"/>
      </w:rPr>
      <w:tblPr/>
      <w:tcPr>
        <w:shd w:val="clear" w:color="auto" w:fill="2E74B5" w:themeFill="accent5" w:themeFillShade="BF"/>
      </w:tcPr>
    </w:tblStylePr>
    <w:tblStylePr w:type="band1Vert">
      <w:tblPr/>
      <w:tcPr>
        <w:shd w:val="clear" w:color="auto" w:fill="ADCCEA" w:themeFill="accent5" w:themeFillTint="7F"/>
      </w:tcPr>
    </w:tblStylePr>
    <w:tblStylePr w:type="band1Horz">
      <w:tblPr/>
      <w:tcPr>
        <w:shd w:val="clear" w:color="auto" w:fill="ADCCEA" w:themeFill="accent5" w:themeFillTint="7F"/>
      </w:tcPr>
    </w:tblStylePr>
  </w:style>
  <w:style w:type="table" w:styleId="-65">
    <w:name w:val="Colorful Grid Accent 6"/>
    <w:basedOn w:val="a3"/>
    <w:uiPriority w:val="73"/>
    <w:rsid w:val="00565F87"/>
    <w:pPr>
      <w:spacing w:after="0" w:line="240" w:lineRule="auto"/>
    </w:pPr>
    <w:rPr>
      <w:rFonts w:eastAsiaTheme="minorEastAsia"/>
      <w:color w:val="000000" w:themeColor="text1"/>
      <w:lang w:val="en-US" w:eastAsia="ru-RU"/>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character" w:customStyle="1" w:styleId="ab">
    <w:name w:val="Абзац списка Знак"/>
    <w:link w:val="aa"/>
    <w:uiPriority w:val="34"/>
    <w:locked/>
    <w:rsid w:val="00565F87"/>
    <w:rPr>
      <w:lang w:val="ru-RU"/>
    </w:rPr>
  </w:style>
  <w:style w:type="character" w:customStyle="1" w:styleId="A30">
    <w:name w:val="A3"/>
    <w:uiPriority w:val="99"/>
    <w:rsid w:val="00565F87"/>
    <w:rPr>
      <w:rFonts w:cs="QuadraatOT"/>
      <w:color w:val="221E1F"/>
      <w:sz w:val="11"/>
      <w:szCs w:val="11"/>
    </w:rPr>
  </w:style>
  <w:style w:type="paragraph" w:customStyle="1" w:styleId="msonormalmrcssattr">
    <w:name w:val="msonormal_mr_css_attr"/>
    <w:basedOn w:val="a1"/>
    <w:rsid w:val="00565F8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ar">
    <w:name w:val="par"/>
    <w:basedOn w:val="a1"/>
    <w:rsid w:val="00565F8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text">
    <w:name w:val="text"/>
    <w:basedOn w:val="a2"/>
    <w:rsid w:val="00C24071"/>
  </w:style>
  <w:style w:type="paragraph" w:customStyle="1" w:styleId="contributor">
    <w:name w:val="contributor"/>
    <w:basedOn w:val="a1"/>
    <w:rsid w:val="00C2407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ame">
    <w:name w:val="name"/>
    <w:basedOn w:val="a2"/>
    <w:rsid w:val="00C24071"/>
  </w:style>
  <w:style w:type="paragraph" w:styleId="HTML">
    <w:name w:val="HTML Preformatted"/>
    <w:basedOn w:val="a1"/>
    <w:link w:val="HTML0"/>
    <w:uiPriority w:val="99"/>
    <w:unhideWhenUsed/>
    <w:rsid w:val="00D658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2"/>
    <w:link w:val="HTML"/>
    <w:uiPriority w:val="99"/>
    <w:rsid w:val="00D65895"/>
    <w:rPr>
      <w:rFonts w:ascii="Courier New" w:eastAsia="Times New Roman" w:hAnsi="Courier New" w:cs="Courier New"/>
      <w:sz w:val="20"/>
      <w:szCs w:val="20"/>
      <w:lang w:eastAsia="ru-RU"/>
    </w:rPr>
  </w:style>
  <w:style w:type="character" w:customStyle="1" w:styleId="y2iqfc">
    <w:name w:val="y2iqfc"/>
    <w:basedOn w:val="a2"/>
    <w:rsid w:val="00D65895"/>
  </w:style>
  <w:style w:type="character" w:styleId="afffa">
    <w:name w:val="Unresolved Mention"/>
    <w:basedOn w:val="a2"/>
    <w:uiPriority w:val="99"/>
    <w:semiHidden/>
    <w:unhideWhenUsed/>
    <w:rsid w:val="003131C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5052576">
      <w:bodyDiv w:val="1"/>
      <w:marLeft w:val="0"/>
      <w:marRight w:val="0"/>
      <w:marTop w:val="0"/>
      <w:marBottom w:val="0"/>
      <w:divBdr>
        <w:top w:val="none" w:sz="0" w:space="0" w:color="auto"/>
        <w:left w:val="none" w:sz="0" w:space="0" w:color="auto"/>
        <w:bottom w:val="none" w:sz="0" w:space="0" w:color="auto"/>
        <w:right w:val="none" w:sz="0" w:space="0" w:color="auto"/>
      </w:divBdr>
    </w:div>
    <w:div w:id="125588391">
      <w:bodyDiv w:val="1"/>
      <w:marLeft w:val="0"/>
      <w:marRight w:val="0"/>
      <w:marTop w:val="0"/>
      <w:marBottom w:val="0"/>
      <w:divBdr>
        <w:top w:val="none" w:sz="0" w:space="0" w:color="auto"/>
        <w:left w:val="none" w:sz="0" w:space="0" w:color="auto"/>
        <w:bottom w:val="none" w:sz="0" w:space="0" w:color="auto"/>
        <w:right w:val="none" w:sz="0" w:space="0" w:color="auto"/>
      </w:divBdr>
      <w:divsChild>
        <w:div w:id="859658877">
          <w:marLeft w:val="0"/>
          <w:marRight w:val="0"/>
          <w:marTop w:val="0"/>
          <w:marBottom w:val="0"/>
          <w:divBdr>
            <w:top w:val="none" w:sz="0" w:space="0" w:color="auto"/>
            <w:left w:val="none" w:sz="0" w:space="0" w:color="auto"/>
            <w:bottom w:val="none" w:sz="0" w:space="0" w:color="auto"/>
            <w:right w:val="none" w:sz="0" w:space="0" w:color="auto"/>
          </w:divBdr>
        </w:div>
      </w:divsChild>
    </w:div>
    <w:div w:id="168374313">
      <w:bodyDiv w:val="1"/>
      <w:marLeft w:val="0"/>
      <w:marRight w:val="0"/>
      <w:marTop w:val="0"/>
      <w:marBottom w:val="0"/>
      <w:divBdr>
        <w:top w:val="none" w:sz="0" w:space="0" w:color="auto"/>
        <w:left w:val="none" w:sz="0" w:space="0" w:color="auto"/>
        <w:bottom w:val="none" w:sz="0" w:space="0" w:color="auto"/>
        <w:right w:val="none" w:sz="0" w:space="0" w:color="auto"/>
      </w:divBdr>
    </w:div>
    <w:div w:id="174274991">
      <w:bodyDiv w:val="1"/>
      <w:marLeft w:val="0"/>
      <w:marRight w:val="0"/>
      <w:marTop w:val="0"/>
      <w:marBottom w:val="0"/>
      <w:divBdr>
        <w:top w:val="none" w:sz="0" w:space="0" w:color="auto"/>
        <w:left w:val="none" w:sz="0" w:space="0" w:color="auto"/>
        <w:bottom w:val="none" w:sz="0" w:space="0" w:color="auto"/>
        <w:right w:val="none" w:sz="0" w:space="0" w:color="auto"/>
      </w:divBdr>
      <w:divsChild>
        <w:div w:id="884561760">
          <w:marLeft w:val="360"/>
          <w:marRight w:val="0"/>
          <w:marTop w:val="200"/>
          <w:marBottom w:val="200"/>
          <w:divBdr>
            <w:top w:val="none" w:sz="0" w:space="0" w:color="auto"/>
            <w:left w:val="none" w:sz="0" w:space="0" w:color="auto"/>
            <w:bottom w:val="none" w:sz="0" w:space="0" w:color="auto"/>
            <w:right w:val="none" w:sz="0" w:space="0" w:color="auto"/>
          </w:divBdr>
        </w:div>
        <w:div w:id="903219832">
          <w:marLeft w:val="360"/>
          <w:marRight w:val="0"/>
          <w:marTop w:val="200"/>
          <w:marBottom w:val="200"/>
          <w:divBdr>
            <w:top w:val="none" w:sz="0" w:space="0" w:color="auto"/>
            <w:left w:val="none" w:sz="0" w:space="0" w:color="auto"/>
            <w:bottom w:val="none" w:sz="0" w:space="0" w:color="auto"/>
            <w:right w:val="none" w:sz="0" w:space="0" w:color="auto"/>
          </w:divBdr>
        </w:div>
        <w:div w:id="1902058782">
          <w:marLeft w:val="360"/>
          <w:marRight w:val="0"/>
          <w:marTop w:val="200"/>
          <w:marBottom w:val="200"/>
          <w:divBdr>
            <w:top w:val="none" w:sz="0" w:space="0" w:color="auto"/>
            <w:left w:val="none" w:sz="0" w:space="0" w:color="auto"/>
            <w:bottom w:val="none" w:sz="0" w:space="0" w:color="auto"/>
            <w:right w:val="none" w:sz="0" w:space="0" w:color="auto"/>
          </w:divBdr>
        </w:div>
      </w:divsChild>
    </w:div>
    <w:div w:id="191501691">
      <w:bodyDiv w:val="1"/>
      <w:marLeft w:val="0"/>
      <w:marRight w:val="0"/>
      <w:marTop w:val="0"/>
      <w:marBottom w:val="0"/>
      <w:divBdr>
        <w:top w:val="none" w:sz="0" w:space="0" w:color="auto"/>
        <w:left w:val="none" w:sz="0" w:space="0" w:color="auto"/>
        <w:bottom w:val="none" w:sz="0" w:space="0" w:color="auto"/>
        <w:right w:val="none" w:sz="0" w:space="0" w:color="auto"/>
      </w:divBdr>
    </w:div>
    <w:div w:id="277761287">
      <w:bodyDiv w:val="1"/>
      <w:marLeft w:val="0"/>
      <w:marRight w:val="0"/>
      <w:marTop w:val="0"/>
      <w:marBottom w:val="0"/>
      <w:divBdr>
        <w:top w:val="none" w:sz="0" w:space="0" w:color="auto"/>
        <w:left w:val="none" w:sz="0" w:space="0" w:color="auto"/>
        <w:bottom w:val="none" w:sz="0" w:space="0" w:color="auto"/>
        <w:right w:val="none" w:sz="0" w:space="0" w:color="auto"/>
      </w:divBdr>
    </w:div>
    <w:div w:id="689570858">
      <w:bodyDiv w:val="1"/>
      <w:marLeft w:val="0"/>
      <w:marRight w:val="0"/>
      <w:marTop w:val="0"/>
      <w:marBottom w:val="0"/>
      <w:divBdr>
        <w:top w:val="none" w:sz="0" w:space="0" w:color="auto"/>
        <w:left w:val="none" w:sz="0" w:space="0" w:color="auto"/>
        <w:bottom w:val="none" w:sz="0" w:space="0" w:color="auto"/>
        <w:right w:val="none" w:sz="0" w:space="0" w:color="auto"/>
      </w:divBdr>
    </w:div>
    <w:div w:id="862208402">
      <w:bodyDiv w:val="1"/>
      <w:marLeft w:val="0"/>
      <w:marRight w:val="0"/>
      <w:marTop w:val="0"/>
      <w:marBottom w:val="0"/>
      <w:divBdr>
        <w:top w:val="none" w:sz="0" w:space="0" w:color="auto"/>
        <w:left w:val="none" w:sz="0" w:space="0" w:color="auto"/>
        <w:bottom w:val="none" w:sz="0" w:space="0" w:color="auto"/>
        <w:right w:val="none" w:sz="0" w:space="0" w:color="auto"/>
      </w:divBdr>
      <w:divsChild>
        <w:div w:id="1805197019">
          <w:marLeft w:val="360"/>
          <w:marRight w:val="0"/>
          <w:marTop w:val="200"/>
          <w:marBottom w:val="160"/>
          <w:divBdr>
            <w:top w:val="none" w:sz="0" w:space="0" w:color="auto"/>
            <w:left w:val="none" w:sz="0" w:space="0" w:color="auto"/>
            <w:bottom w:val="none" w:sz="0" w:space="0" w:color="auto"/>
            <w:right w:val="none" w:sz="0" w:space="0" w:color="auto"/>
          </w:divBdr>
        </w:div>
        <w:div w:id="2111195042">
          <w:marLeft w:val="360"/>
          <w:marRight w:val="0"/>
          <w:marTop w:val="200"/>
          <w:marBottom w:val="160"/>
          <w:divBdr>
            <w:top w:val="none" w:sz="0" w:space="0" w:color="auto"/>
            <w:left w:val="none" w:sz="0" w:space="0" w:color="auto"/>
            <w:bottom w:val="none" w:sz="0" w:space="0" w:color="auto"/>
            <w:right w:val="none" w:sz="0" w:space="0" w:color="auto"/>
          </w:divBdr>
        </w:div>
        <w:div w:id="587420802">
          <w:marLeft w:val="360"/>
          <w:marRight w:val="0"/>
          <w:marTop w:val="200"/>
          <w:marBottom w:val="160"/>
          <w:divBdr>
            <w:top w:val="none" w:sz="0" w:space="0" w:color="auto"/>
            <w:left w:val="none" w:sz="0" w:space="0" w:color="auto"/>
            <w:bottom w:val="none" w:sz="0" w:space="0" w:color="auto"/>
            <w:right w:val="none" w:sz="0" w:space="0" w:color="auto"/>
          </w:divBdr>
        </w:div>
      </w:divsChild>
    </w:div>
    <w:div w:id="1058213320">
      <w:bodyDiv w:val="1"/>
      <w:marLeft w:val="0"/>
      <w:marRight w:val="0"/>
      <w:marTop w:val="0"/>
      <w:marBottom w:val="0"/>
      <w:divBdr>
        <w:top w:val="none" w:sz="0" w:space="0" w:color="auto"/>
        <w:left w:val="none" w:sz="0" w:space="0" w:color="auto"/>
        <w:bottom w:val="none" w:sz="0" w:space="0" w:color="auto"/>
        <w:right w:val="none" w:sz="0" w:space="0" w:color="auto"/>
      </w:divBdr>
    </w:div>
    <w:div w:id="1157574202">
      <w:bodyDiv w:val="1"/>
      <w:marLeft w:val="0"/>
      <w:marRight w:val="0"/>
      <w:marTop w:val="0"/>
      <w:marBottom w:val="0"/>
      <w:divBdr>
        <w:top w:val="none" w:sz="0" w:space="0" w:color="auto"/>
        <w:left w:val="none" w:sz="0" w:space="0" w:color="auto"/>
        <w:bottom w:val="none" w:sz="0" w:space="0" w:color="auto"/>
        <w:right w:val="none" w:sz="0" w:space="0" w:color="auto"/>
      </w:divBdr>
    </w:div>
    <w:div w:id="1216626967">
      <w:bodyDiv w:val="1"/>
      <w:marLeft w:val="0"/>
      <w:marRight w:val="0"/>
      <w:marTop w:val="0"/>
      <w:marBottom w:val="0"/>
      <w:divBdr>
        <w:top w:val="none" w:sz="0" w:space="0" w:color="auto"/>
        <w:left w:val="none" w:sz="0" w:space="0" w:color="auto"/>
        <w:bottom w:val="none" w:sz="0" w:space="0" w:color="auto"/>
        <w:right w:val="none" w:sz="0" w:space="0" w:color="auto"/>
      </w:divBdr>
    </w:div>
    <w:div w:id="1370762496">
      <w:bodyDiv w:val="1"/>
      <w:marLeft w:val="0"/>
      <w:marRight w:val="0"/>
      <w:marTop w:val="0"/>
      <w:marBottom w:val="0"/>
      <w:divBdr>
        <w:top w:val="none" w:sz="0" w:space="0" w:color="auto"/>
        <w:left w:val="none" w:sz="0" w:space="0" w:color="auto"/>
        <w:bottom w:val="none" w:sz="0" w:space="0" w:color="auto"/>
        <w:right w:val="none" w:sz="0" w:space="0" w:color="auto"/>
      </w:divBdr>
      <w:divsChild>
        <w:div w:id="1530609505">
          <w:marLeft w:val="0"/>
          <w:marRight w:val="0"/>
          <w:marTop w:val="0"/>
          <w:marBottom w:val="0"/>
          <w:divBdr>
            <w:top w:val="none" w:sz="0" w:space="0" w:color="auto"/>
            <w:left w:val="none" w:sz="0" w:space="0" w:color="auto"/>
            <w:bottom w:val="none" w:sz="0" w:space="0" w:color="auto"/>
            <w:right w:val="none" w:sz="0" w:space="0" w:color="auto"/>
          </w:divBdr>
        </w:div>
        <w:div w:id="1035038166">
          <w:marLeft w:val="0"/>
          <w:marRight w:val="0"/>
          <w:marTop w:val="0"/>
          <w:marBottom w:val="0"/>
          <w:divBdr>
            <w:top w:val="none" w:sz="0" w:space="0" w:color="auto"/>
            <w:left w:val="none" w:sz="0" w:space="0" w:color="auto"/>
            <w:bottom w:val="none" w:sz="0" w:space="0" w:color="auto"/>
            <w:right w:val="none" w:sz="0" w:space="0" w:color="auto"/>
          </w:divBdr>
          <w:divsChild>
            <w:div w:id="1054505654">
              <w:marLeft w:val="0"/>
              <w:marRight w:val="165"/>
              <w:marTop w:val="150"/>
              <w:marBottom w:val="0"/>
              <w:divBdr>
                <w:top w:val="none" w:sz="0" w:space="0" w:color="auto"/>
                <w:left w:val="none" w:sz="0" w:space="0" w:color="auto"/>
                <w:bottom w:val="none" w:sz="0" w:space="0" w:color="auto"/>
                <w:right w:val="none" w:sz="0" w:space="0" w:color="auto"/>
              </w:divBdr>
              <w:divsChild>
                <w:div w:id="928197830">
                  <w:marLeft w:val="0"/>
                  <w:marRight w:val="0"/>
                  <w:marTop w:val="0"/>
                  <w:marBottom w:val="0"/>
                  <w:divBdr>
                    <w:top w:val="none" w:sz="0" w:space="0" w:color="auto"/>
                    <w:left w:val="none" w:sz="0" w:space="0" w:color="auto"/>
                    <w:bottom w:val="none" w:sz="0" w:space="0" w:color="auto"/>
                    <w:right w:val="none" w:sz="0" w:space="0" w:color="auto"/>
                  </w:divBdr>
                  <w:divsChild>
                    <w:div w:id="44108468">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3115965">
      <w:bodyDiv w:val="1"/>
      <w:marLeft w:val="0"/>
      <w:marRight w:val="0"/>
      <w:marTop w:val="0"/>
      <w:marBottom w:val="0"/>
      <w:divBdr>
        <w:top w:val="none" w:sz="0" w:space="0" w:color="auto"/>
        <w:left w:val="none" w:sz="0" w:space="0" w:color="auto"/>
        <w:bottom w:val="none" w:sz="0" w:space="0" w:color="auto"/>
        <w:right w:val="none" w:sz="0" w:space="0" w:color="auto"/>
      </w:divBdr>
    </w:div>
    <w:div w:id="1379428126">
      <w:bodyDiv w:val="1"/>
      <w:marLeft w:val="0"/>
      <w:marRight w:val="0"/>
      <w:marTop w:val="0"/>
      <w:marBottom w:val="0"/>
      <w:divBdr>
        <w:top w:val="none" w:sz="0" w:space="0" w:color="auto"/>
        <w:left w:val="none" w:sz="0" w:space="0" w:color="auto"/>
        <w:bottom w:val="none" w:sz="0" w:space="0" w:color="auto"/>
        <w:right w:val="none" w:sz="0" w:space="0" w:color="auto"/>
      </w:divBdr>
    </w:div>
    <w:div w:id="1410694058">
      <w:bodyDiv w:val="1"/>
      <w:marLeft w:val="0"/>
      <w:marRight w:val="0"/>
      <w:marTop w:val="0"/>
      <w:marBottom w:val="0"/>
      <w:divBdr>
        <w:top w:val="none" w:sz="0" w:space="0" w:color="auto"/>
        <w:left w:val="none" w:sz="0" w:space="0" w:color="auto"/>
        <w:bottom w:val="none" w:sz="0" w:space="0" w:color="auto"/>
        <w:right w:val="none" w:sz="0" w:space="0" w:color="auto"/>
      </w:divBdr>
      <w:divsChild>
        <w:div w:id="972908727">
          <w:marLeft w:val="0"/>
          <w:marRight w:val="0"/>
          <w:marTop w:val="0"/>
          <w:marBottom w:val="0"/>
          <w:divBdr>
            <w:top w:val="none" w:sz="0" w:space="0" w:color="auto"/>
            <w:left w:val="none" w:sz="0" w:space="0" w:color="auto"/>
            <w:bottom w:val="none" w:sz="0" w:space="0" w:color="auto"/>
            <w:right w:val="none" w:sz="0" w:space="0" w:color="auto"/>
          </w:divBdr>
        </w:div>
        <w:div w:id="953366671">
          <w:marLeft w:val="0"/>
          <w:marRight w:val="0"/>
          <w:marTop w:val="0"/>
          <w:marBottom w:val="0"/>
          <w:divBdr>
            <w:top w:val="none" w:sz="0" w:space="0" w:color="auto"/>
            <w:left w:val="none" w:sz="0" w:space="0" w:color="auto"/>
            <w:bottom w:val="none" w:sz="0" w:space="0" w:color="auto"/>
            <w:right w:val="none" w:sz="0" w:space="0" w:color="auto"/>
          </w:divBdr>
          <w:divsChild>
            <w:div w:id="2055537162">
              <w:marLeft w:val="0"/>
              <w:marRight w:val="165"/>
              <w:marTop w:val="150"/>
              <w:marBottom w:val="0"/>
              <w:divBdr>
                <w:top w:val="none" w:sz="0" w:space="0" w:color="auto"/>
                <w:left w:val="none" w:sz="0" w:space="0" w:color="auto"/>
                <w:bottom w:val="none" w:sz="0" w:space="0" w:color="auto"/>
                <w:right w:val="none" w:sz="0" w:space="0" w:color="auto"/>
              </w:divBdr>
              <w:divsChild>
                <w:div w:id="659433494">
                  <w:marLeft w:val="0"/>
                  <w:marRight w:val="0"/>
                  <w:marTop w:val="0"/>
                  <w:marBottom w:val="0"/>
                  <w:divBdr>
                    <w:top w:val="none" w:sz="0" w:space="0" w:color="auto"/>
                    <w:left w:val="none" w:sz="0" w:space="0" w:color="auto"/>
                    <w:bottom w:val="none" w:sz="0" w:space="0" w:color="auto"/>
                    <w:right w:val="none" w:sz="0" w:space="0" w:color="auto"/>
                  </w:divBdr>
                  <w:divsChild>
                    <w:div w:id="1517959460">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1028006">
      <w:bodyDiv w:val="1"/>
      <w:marLeft w:val="0"/>
      <w:marRight w:val="0"/>
      <w:marTop w:val="0"/>
      <w:marBottom w:val="0"/>
      <w:divBdr>
        <w:top w:val="none" w:sz="0" w:space="0" w:color="auto"/>
        <w:left w:val="none" w:sz="0" w:space="0" w:color="auto"/>
        <w:bottom w:val="none" w:sz="0" w:space="0" w:color="auto"/>
        <w:right w:val="none" w:sz="0" w:space="0" w:color="auto"/>
      </w:divBdr>
      <w:divsChild>
        <w:div w:id="814688199">
          <w:marLeft w:val="0"/>
          <w:marRight w:val="0"/>
          <w:marTop w:val="0"/>
          <w:marBottom w:val="0"/>
          <w:divBdr>
            <w:top w:val="none" w:sz="0" w:space="0" w:color="auto"/>
            <w:left w:val="none" w:sz="0" w:space="0" w:color="auto"/>
            <w:bottom w:val="none" w:sz="0" w:space="0" w:color="auto"/>
            <w:right w:val="none" w:sz="0" w:space="0" w:color="auto"/>
          </w:divBdr>
        </w:div>
        <w:div w:id="1758401860">
          <w:marLeft w:val="0"/>
          <w:marRight w:val="0"/>
          <w:marTop w:val="0"/>
          <w:marBottom w:val="0"/>
          <w:divBdr>
            <w:top w:val="none" w:sz="0" w:space="0" w:color="auto"/>
            <w:left w:val="none" w:sz="0" w:space="0" w:color="auto"/>
            <w:bottom w:val="none" w:sz="0" w:space="0" w:color="auto"/>
            <w:right w:val="none" w:sz="0" w:space="0" w:color="auto"/>
          </w:divBdr>
          <w:divsChild>
            <w:div w:id="1508322990">
              <w:marLeft w:val="0"/>
              <w:marRight w:val="165"/>
              <w:marTop w:val="150"/>
              <w:marBottom w:val="0"/>
              <w:divBdr>
                <w:top w:val="none" w:sz="0" w:space="0" w:color="auto"/>
                <w:left w:val="none" w:sz="0" w:space="0" w:color="auto"/>
                <w:bottom w:val="none" w:sz="0" w:space="0" w:color="auto"/>
                <w:right w:val="none" w:sz="0" w:space="0" w:color="auto"/>
              </w:divBdr>
              <w:divsChild>
                <w:div w:id="955868776">
                  <w:marLeft w:val="0"/>
                  <w:marRight w:val="0"/>
                  <w:marTop w:val="0"/>
                  <w:marBottom w:val="0"/>
                  <w:divBdr>
                    <w:top w:val="none" w:sz="0" w:space="0" w:color="auto"/>
                    <w:left w:val="none" w:sz="0" w:space="0" w:color="auto"/>
                    <w:bottom w:val="none" w:sz="0" w:space="0" w:color="auto"/>
                    <w:right w:val="none" w:sz="0" w:space="0" w:color="auto"/>
                  </w:divBdr>
                  <w:divsChild>
                    <w:div w:id="42676289">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1643728">
      <w:bodyDiv w:val="1"/>
      <w:marLeft w:val="0"/>
      <w:marRight w:val="0"/>
      <w:marTop w:val="0"/>
      <w:marBottom w:val="0"/>
      <w:divBdr>
        <w:top w:val="none" w:sz="0" w:space="0" w:color="auto"/>
        <w:left w:val="none" w:sz="0" w:space="0" w:color="auto"/>
        <w:bottom w:val="none" w:sz="0" w:space="0" w:color="auto"/>
        <w:right w:val="none" w:sz="0" w:space="0" w:color="auto"/>
      </w:divBdr>
    </w:div>
    <w:div w:id="1667902274">
      <w:bodyDiv w:val="1"/>
      <w:marLeft w:val="0"/>
      <w:marRight w:val="0"/>
      <w:marTop w:val="0"/>
      <w:marBottom w:val="0"/>
      <w:divBdr>
        <w:top w:val="none" w:sz="0" w:space="0" w:color="auto"/>
        <w:left w:val="none" w:sz="0" w:space="0" w:color="auto"/>
        <w:bottom w:val="none" w:sz="0" w:space="0" w:color="auto"/>
        <w:right w:val="none" w:sz="0" w:space="0" w:color="auto"/>
      </w:divBdr>
    </w:div>
    <w:div w:id="1761831104">
      <w:bodyDiv w:val="1"/>
      <w:marLeft w:val="0"/>
      <w:marRight w:val="0"/>
      <w:marTop w:val="0"/>
      <w:marBottom w:val="0"/>
      <w:divBdr>
        <w:top w:val="none" w:sz="0" w:space="0" w:color="auto"/>
        <w:left w:val="none" w:sz="0" w:space="0" w:color="auto"/>
        <w:bottom w:val="none" w:sz="0" w:space="0" w:color="auto"/>
        <w:right w:val="none" w:sz="0" w:space="0" w:color="auto"/>
      </w:divBdr>
    </w:div>
    <w:div w:id="1824004809">
      <w:bodyDiv w:val="1"/>
      <w:marLeft w:val="0"/>
      <w:marRight w:val="0"/>
      <w:marTop w:val="0"/>
      <w:marBottom w:val="0"/>
      <w:divBdr>
        <w:top w:val="none" w:sz="0" w:space="0" w:color="auto"/>
        <w:left w:val="none" w:sz="0" w:space="0" w:color="auto"/>
        <w:bottom w:val="none" w:sz="0" w:space="0" w:color="auto"/>
        <w:right w:val="none" w:sz="0" w:space="0" w:color="auto"/>
      </w:divBdr>
      <w:divsChild>
        <w:div w:id="376971222">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2.png"/><Relationship Id="rId299" Type="http://schemas.microsoft.com/office/2014/relationships/chartEx" Target="charts/chartEx102.xml"/><Relationship Id="rId303" Type="http://schemas.microsoft.com/office/2014/relationships/chartEx" Target="charts/chartEx104.xml"/><Relationship Id="rId21" Type="http://schemas.openxmlformats.org/officeDocument/2006/relationships/chart" Target="charts/chart12.xml"/><Relationship Id="rId42" Type="http://schemas.microsoft.com/office/2014/relationships/chartEx" Target="charts/chartEx1.xml"/><Relationship Id="rId63" Type="http://schemas.openxmlformats.org/officeDocument/2006/relationships/image" Target="media/image25.png"/><Relationship Id="rId84" Type="http://schemas.microsoft.com/office/2014/relationships/chartEx" Target="charts/chartEx20.xml"/><Relationship Id="rId138" Type="http://schemas.openxmlformats.org/officeDocument/2006/relationships/image" Target="media/image58.png"/><Relationship Id="rId159" Type="http://schemas.openxmlformats.org/officeDocument/2006/relationships/image" Target="media/image75.png"/><Relationship Id="rId324" Type="http://schemas.openxmlformats.org/officeDocument/2006/relationships/image" Target="media/image151.png"/><Relationship Id="rId345" Type="http://schemas.openxmlformats.org/officeDocument/2006/relationships/hyperlink" Target="https://www.gynecologiconcology-online.net/article/S0090-8258(13)01198-0/fulltext" TargetMode="External"/><Relationship Id="rId366" Type="http://schemas.openxmlformats.org/officeDocument/2006/relationships/image" Target="media/image187.jpeg"/><Relationship Id="rId170" Type="http://schemas.microsoft.com/office/2014/relationships/chartEx" Target="charts/chartEx47.xml"/><Relationship Id="rId191" Type="http://schemas.openxmlformats.org/officeDocument/2006/relationships/image" Target="media/image861.png"/><Relationship Id="rId205" Type="http://schemas.openxmlformats.org/officeDocument/2006/relationships/image" Target="media/image100.png"/><Relationship Id="rId226" Type="http://schemas.microsoft.com/office/2014/relationships/chartEx" Target="charts/chartEx74.xml"/><Relationship Id="rId107" Type="http://schemas.openxmlformats.org/officeDocument/2006/relationships/image" Target="media/image47.png"/><Relationship Id="rId268" Type="http://schemas.microsoft.com/office/2014/relationships/chartEx" Target="charts/chartEx91.xml"/><Relationship Id="rId289" Type="http://schemas.openxmlformats.org/officeDocument/2006/relationships/image" Target="media/image137.png"/><Relationship Id="rId11" Type="http://schemas.openxmlformats.org/officeDocument/2006/relationships/chart" Target="charts/chart2.xml"/><Relationship Id="rId32" Type="http://schemas.openxmlformats.org/officeDocument/2006/relationships/image" Target="media/image8.jpeg"/><Relationship Id="rId53" Type="http://schemas.openxmlformats.org/officeDocument/2006/relationships/image" Target="media/image20.png"/><Relationship Id="rId74" Type="http://schemas.microsoft.com/office/2014/relationships/chartEx" Target="charts/chartEx15.xml"/><Relationship Id="rId128" Type="http://schemas.openxmlformats.org/officeDocument/2006/relationships/chart" Target="charts/chart25.xml"/><Relationship Id="rId149" Type="http://schemas.openxmlformats.org/officeDocument/2006/relationships/image" Target="media/image65.jpeg"/><Relationship Id="rId314" Type="http://schemas.openxmlformats.org/officeDocument/2006/relationships/image" Target="media/image145.png"/><Relationship Id="rId335" Type="http://schemas.openxmlformats.org/officeDocument/2006/relationships/image" Target="media/image162.jpeg"/><Relationship Id="rId356" Type="http://schemas.openxmlformats.org/officeDocument/2006/relationships/image" Target="media/image177.jpeg"/><Relationship Id="rId5" Type="http://schemas.openxmlformats.org/officeDocument/2006/relationships/webSettings" Target="webSettings.xml"/><Relationship Id="rId95" Type="http://schemas.openxmlformats.org/officeDocument/2006/relationships/image" Target="media/image41.png"/><Relationship Id="rId160" Type="http://schemas.openxmlformats.org/officeDocument/2006/relationships/image" Target="media/image76.png"/><Relationship Id="rId181" Type="http://schemas.openxmlformats.org/officeDocument/2006/relationships/image" Target="media/image87.png"/><Relationship Id="rId216" Type="http://schemas.microsoft.com/office/2014/relationships/chartEx" Target="charts/chartEx69.xml"/><Relationship Id="rId237" Type="http://schemas.openxmlformats.org/officeDocument/2006/relationships/image" Target="media/image116.png"/><Relationship Id="rId258" Type="http://schemas.microsoft.com/office/2014/relationships/chartEx" Target="charts/chartEx86.xml"/><Relationship Id="rId279" Type="http://schemas.openxmlformats.org/officeDocument/2006/relationships/image" Target="media/image132.png"/><Relationship Id="rId22" Type="http://schemas.openxmlformats.org/officeDocument/2006/relationships/chart" Target="charts/chart13.xml"/><Relationship Id="rId64" Type="http://schemas.microsoft.com/office/2014/relationships/chartEx" Target="charts/chartEx10.xml"/><Relationship Id="rId118" Type="http://schemas.microsoft.com/office/2014/relationships/chartEx" Target="charts/chartEx37.xml"/><Relationship Id="rId139" Type="http://schemas.microsoft.com/office/2014/relationships/chartEx" Target="charts/chartEx43.xml"/><Relationship Id="rId290" Type="http://schemas.openxmlformats.org/officeDocument/2006/relationships/chart" Target="charts/chart26.xml"/><Relationship Id="rId304" Type="http://schemas.openxmlformats.org/officeDocument/2006/relationships/image" Target="media/image140.png"/><Relationship Id="rId325" Type="http://schemas.openxmlformats.org/officeDocument/2006/relationships/image" Target="media/image152.jpeg"/><Relationship Id="rId346" Type="http://schemas.openxmlformats.org/officeDocument/2006/relationships/hyperlink" Target="https://www.gynecologiconcology-online.net/article/S0090-8258(14)01630-8/fulltext" TargetMode="External"/><Relationship Id="rId367" Type="http://schemas.openxmlformats.org/officeDocument/2006/relationships/image" Target="media/image188.jpeg"/><Relationship Id="rId85" Type="http://schemas.openxmlformats.org/officeDocument/2006/relationships/image" Target="media/image36.png"/><Relationship Id="rId150" Type="http://schemas.openxmlformats.org/officeDocument/2006/relationships/image" Target="media/image66.jpeg"/><Relationship Id="rId192" Type="http://schemas.microsoft.com/office/2014/relationships/chartEx" Target="charts/chartEx57.xml"/><Relationship Id="rId206" Type="http://schemas.microsoft.com/office/2014/relationships/chartEx" Target="charts/chartEx64.xml"/><Relationship Id="rId227" Type="http://schemas.openxmlformats.org/officeDocument/2006/relationships/image" Target="media/image111.png"/><Relationship Id="rId269" Type="http://schemas.openxmlformats.org/officeDocument/2006/relationships/image" Target="media/image127.png"/><Relationship Id="rId12" Type="http://schemas.openxmlformats.org/officeDocument/2006/relationships/chart" Target="charts/chart3.xml"/><Relationship Id="rId33" Type="http://schemas.openxmlformats.org/officeDocument/2006/relationships/image" Target="media/image9.jpeg"/><Relationship Id="rId108" Type="http://schemas.microsoft.com/office/2014/relationships/chartEx" Target="charts/chartEx32.xml"/><Relationship Id="rId129" Type="http://schemas.microsoft.com/office/2014/relationships/chartEx" Target="charts/chartEx38.xml"/><Relationship Id="rId280" Type="http://schemas.microsoft.com/office/2014/relationships/chartEx" Target="charts/chartEx97.xml"/><Relationship Id="rId315" Type="http://schemas.microsoft.com/office/2014/relationships/chartEx" Target="charts/chartEx110.xml"/><Relationship Id="rId336" Type="http://schemas.openxmlformats.org/officeDocument/2006/relationships/image" Target="media/image163.jpeg"/><Relationship Id="rId357" Type="http://schemas.openxmlformats.org/officeDocument/2006/relationships/image" Target="media/image178.jpeg"/><Relationship Id="rId54" Type="http://schemas.microsoft.com/office/2014/relationships/chartEx" Target="charts/chartEx5.xml"/><Relationship Id="rId75" Type="http://schemas.openxmlformats.org/officeDocument/2006/relationships/image" Target="media/image31.png"/><Relationship Id="rId96" Type="http://schemas.microsoft.com/office/2014/relationships/chartEx" Target="charts/chartEx26.xml"/><Relationship Id="rId140" Type="http://schemas.openxmlformats.org/officeDocument/2006/relationships/image" Target="media/image59.png"/><Relationship Id="rId161" Type="http://schemas.openxmlformats.org/officeDocument/2006/relationships/image" Target="media/image77.png"/><Relationship Id="rId182" Type="http://schemas.microsoft.com/office/2014/relationships/chartEx" Target="charts/chartEx52.xml"/><Relationship Id="rId217" Type="http://schemas.openxmlformats.org/officeDocument/2006/relationships/image" Target="media/image98.png"/><Relationship Id="rId6" Type="http://schemas.openxmlformats.org/officeDocument/2006/relationships/footnotes" Target="footnotes.xml"/><Relationship Id="rId238" Type="http://schemas.microsoft.com/office/2014/relationships/chartEx" Target="charts/chartEx80.xml"/><Relationship Id="rId259" Type="http://schemas.openxmlformats.org/officeDocument/2006/relationships/image" Target="media/image122.png"/><Relationship Id="rId23" Type="http://schemas.openxmlformats.org/officeDocument/2006/relationships/chart" Target="charts/chart14.xml"/><Relationship Id="rId119" Type="http://schemas.openxmlformats.org/officeDocument/2006/relationships/image" Target="media/image53.png"/><Relationship Id="rId270" Type="http://schemas.microsoft.com/office/2014/relationships/chartEx" Target="charts/chartEx92.xml"/><Relationship Id="rId291" Type="http://schemas.openxmlformats.org/officeDocument/2006/relationships/chart" Target="charts/chart27.xml"/><Relationship Id="rId305" Type="http://schemas.microsoft.com/office/2014/relationships/chartEx" Target="charts/chartEx105.xml"/><Relationship Id="rId326" Type="http://schemas.openxmlformats.org/officeDocument/2006/relationships/image" Target="media/image153.jpeg"/><Relationship Id="rId347" Type="http://schemas.openxmlformats.org/officeDocument/2006/relationships/hyperlink" Target="https://www.sciencedirect.com/science/article/abs/pii/S2253654X15001171?via%3Dihub" TargetMode="External"/><Relationship Id="rId65" Type="http://schemas.openxmlformats.org/officeDocument/2006/relationships/image" Target="media/image26.png"/><Relationship Id="rId86" Type="http://schemas.microsoft.com/office/2014/relationships/chartEx" Target="charts/chartEx21.xml"/><Relationship Id="rId130" Type="http://schemas.openxmlformats.org/officeDocument/2006/relationships/image" Target="media/image54.png"/><Relationship Id="rId151" Type="http://schemas.openxmlformats.org/officeDocument/2006/relationships/image" Target="media/image67.png"/><Relationship Id="rId368" Type="http://schemas.openxmlformats.org/officeDocument/2006/relationships/image" Target="media/image189.jpeg"/><Relationship Id="rId193" Type="http://schemas.openxmlformats.org/officeDocument/2006/relationships/image" Target="media/image93.png"/><Relationship Id="rId207" Type="http://schemas.openxmlformats.org/officeDocument/2006/relationships/image" Target="media/image101.png"/><Relationship Id="rId228" Type="http://schemas.microsoft.com/office/2014/relationships/chartEx" Target="charts/chartEx75.xml"/><Relationship Id="rId13" Type="http://schemas.openxmlformats.org/officeDocument/2006/relationships/chart" Target="charts/chart4.xml"/><Relationship Id="rId109" Type="http://schemas.openxmlformats.org/officeDocument/2006/relationships/image" Target="media/image48.png"/><Relationship Id="rId260" Type="http://schemas.microsoft.com/office/2014/relationships/chartEx" Target="charts/chartEx87.xml"/><Relationship Id="rId281" Type="http://schemas.openxmlformats.org/officeDocument/2006/relationships/image" Target="media/image133.png"/><Relationship Id="rId316" Type="http://schemas.openxmlformats.org/officeDocument/2006/relationships/image" Target="media/image146.png"/><Relationship Id="rId337" Type="http://schemas.openxmlformats.org/officeDocument/2006/relationships/image" Target="media/image164.png"/><Relationship Id="rId34" Type="http://schemas.openxmlformats.org/officeDocument/2006/relationships/image" Target="media/image10.jpeg"/><Relationship Id="rId55" Type="http://schemas.openxmlformats.org/officeDocument/2006/relationships/image" Target="media/image21.png"/><Relationship Id="rId76" Type="http://schemas.microsoft.com/office/2014/relationships/chartEx" Target="charts/chartEx16.xml"/><Relationship Id="rId97" Type="http://schemas.openxmlformats.org/officeDocument/2006/relationships/image" Target="media/image42.png"/><Relationship Id="rId120" Type="http://schemas.openxmlformats.org/officeDocument/2006/relationships/chart" Target="charts/chart17.xml"/><Relationship Id="rId141" Type="http://schemas.microsoft.com/office/2014/relationships/chartEx" Target="charts/chartEx44.xml"/><Relationship Id="rId358" Type="http://schemas.openxmlformats.org/officeDocument/2006/relationships/image" Target="media/image179.jpeg"/><Relationship Id="rId7" Type="http://schemas.openxmlformats.org/officeDocument/2006/relationships/endnotes" Target="endnotes.xml"/><Relationship Id="rId162" Type="http://schemas.openxmlformats.org/officeDocument/2006/relationships/image" Target="media/image78.png"/><Relationship Id="rId183" Type="http://schemas.openxmlformats.org/officeDocument/2006/relationships/image" Target="media/image88.png"/><Relationship Id="rId218" Type="http://schemas.microsoft.com/office/2014/relationships/chartEx" Target="charts/chartEx70.xml"/><Relationship Id="rId239" Type="http://schemas.openxmlformats.org/officeDocument/2006/relationships/image" Target="media/image117.png"/><Relationship Id="rId271" Type="http://schemas.openxmlformats.org/officeDocument/2006/relationships/image" Target="media/image128.png"/><Relationship Id="rId292" Type="http://schemas.openxmlformats.org/officeDocument/2006/relationships/chart" Target="charts/chart28.xml"/><Relationship Id="rId306" Type="http://schemas.openxmlformats.org/officeDocument/2006/relationships/image" Target="media/image141.png"/><Relationship Id="rId24" Type="http://schemas.openxmlformats.org/officeDocument/2006/relationships/chart" Target="charts/chart15.xml"/><Relationship Id="rId66" Type="http://schemas.microsoft.com/office/2014/relationships/chartEx" Target="charts/chartEx11.xml"/><Relationship Id="rId87" Type="http://schemas.openxmlformats.org/officeDocument/2006/relationships/image" Target="media/image37.png"/><Relationship Id="rId110" Type="http://schemas.microsoft.com/office/2014/relationships/chartEx" Target="charts/chartEx33.xml"/><Relationship Id="rId131" Type="http://schemas.microsoft.com/office/2014/relationships/chartEx" Target="charts/chartEx39.xml"/><Relationship Id="rId327" Type="http://schemas.openxmlformats.org/officeDocument/2006/relationships/image" Target="media/image154.png"/><Relationship Id="rId348" Type="http://schemas.openxmlformats.org/officeDocument/2006/relationships/hyperlink" Target="https://link.springer.com/article/10.1007/s00259-015-3184-5" TargetMode="External"/><Relationship Id="rId369" Type="http://schemas.openxmlformats.org/officeDocument/2006/relationships/image" Target="media/image190.jpeg"/><Relationship Id="rId152" Type="http://schemas.openxmlformats.org/officeDocument/2006/relationships/image" Target="media/image68.png"/><Relationship Id="rId173" Type="http://schemas.openxmlformats.org/officeDocument/2006/relationships/image" Target="media/image840.png"/><Relationship Id="rId194" Type="http://schemas.microsoft.com/office/2014/relationships/chartEx" Target="charts/chartEx58.xml"/><Relationship Id="rId208" Type="http://schemas.microsoft.com/office/2014/relationships/chartEx" Target="charts/chartEx65.xml"/><Relationship Id="rId229" Type="http://schemas.openxmlformats.org/officeDocument/2006/relationships/image" Target="media/image112.png"/><Relationship Id="rId240" Type="http://schemas.microsoft.com/office/2014/relationships/chartEx" Target="charts/chartEx81.xml"/><Relationship Id="rId261" Type="http://schemas.openxmlformats.org/officeDocument/2006/relationships/image" Target="media/image123.png"/><Relationship Id="rId14" Type="http://schemas.openxmlformats.org/officeDocument/2006/relationships/chart" Target="charts/chart5.xml"/><Relationship Id="rId35" Type="http://schemas.openxmlformats.org/officeDocument/2006/relationships/image" Target="media/image11.jpeg"/><Relationship Id="rId56" Type="http://schemas.microsoft.com/office/2014/relationships/chartEx" Target="charts/chartEx6.xml"/><Relationship Id="rId77" Type="http://schemas.openxmlformats.org/officeDocument/2006/relationships/image" Target="media/image32.png"/><Relationship Id="rId100" Type="http://schemas.microsoft.com/office/2014/relationships/chartEx" Target="charts/chartEx28.xml"/><Relationship Id="rId282" Type="http://schemas.microsoft.com/office/2014/relationships/chartEx" Target="charts/chartEx98.xml"/><Relationship Id="rId317" Type="http://schemas.openxmlformats.org/officeDocument/2006/relationships/image" Target="media/image105.png"/><Relationship Id="rId338" Type="http://schemas.openxmlformats.org/officeDocument/2006/relationships/image" Target="media/image165.png"/><Relationship Id="rId359" Type="http://schemas.openxmlformats.org/officeDocument/2006/relationships/image" Target="media/image180.jpeg"/><Relationship Id="rId8" Type="http://schemas.openxmlformats.org/officeDocument/2006/relationships/image" Target="media/image1.jpeg"/><Relationship Id="rId98" Type="http://schemas.microsoft.com/office/2014/relationships/chartEx" Target="charts/chartEx27.xml"/><Relationship Id="rId121" Type="http://schemas.openxmlformats.org/officeDocument/2006/relationships/chart" Target="charts/chart18.xml"/><Relationship Id="rId142" Type="http://schemas.openxmlformats.org/officeDocument/2006/relationships/image" Target="media/image60.png"/><Relationship Id="rId163" Type="http://schemas.openxmlformats.org/officeDocument/2006/relationships/image" Target="media/image79.png"/><Relationship Id="rId184" Type="http://schemas.microsoft.com/office/2014/relationships/chartEx" Target="charts/chartEx53.xml"/><Relationship Id="rId219" Type="http://schemas.openxmlformats.org/officeDocument/2006/relationships/image" Target="media/image104.png"/><Relationship Id="rId370" Type="http://schemas.openxmlformats.org/officeDocument/2006/relationships/fontTable" Target="fontTable.xml"/><Relationship Id="rId230" Type="http://schemas.microsoft.com/office/2014/relationships/chartEx" Target="charts/chartEx76.xml"/><Relationship Id="rId25" Type="http://schemas.openxmlformats.org/officeDocument/2006/relationships/chart" Target="charts/chart16.xml"/><Relationship Id="rId67" Type="http://schemas.openxmlformats.org/officeDocument/2006/relationships/image" Target="media/image27.png"/><Relationship Id="rId272" Type="http://schemas.microsoft.com/office/2014/relationships/chartEx" Target="charts/chartEx93.xml"/><Relationship Id="rId293" Type="http://schemas.openxmlformats.org/officeDocument/2006/relationships/chart" Target="charts/chart29.xml"/><Relationship Id="rId307" Type="http://schemas.microsoft.com/office/2014/relationships/chartEx" Target="charts/chartEx106.xml"/><Relationship Id="rId328" Type="http://schemas.openxmlformats.org/officeDocument/2006/relationships/image" Target="media/image155.png"/><Relationship Id="rId349" Type="http://schemas.openxmlformats.org/officeDocument/2006/relationships/hyperlink" Target="https://onco.kz/news/pokazateli-onkologicheskoj-sluzhby-respubliki-kazahstan-za-2018-god-statisticheskie-i-analiticheskie-materialy/" TargetMode="External"/><Relationship Id="rId88" Type="http://schemas.microsoft.com/office/2014/relationships/chartEx" Target="charts/chartEx22.xml"/><Relationship Id="rId111" Type="http://schemas.openxmlformats.org/officeDocument/2006/relationships/image" Target="media/image49.png"/><Relationship Id="rId132" Type="http://schemas.openxmlformats.org/officeDocument/2006/relationships/image" Target="media/image55.png"/><Relationship Id="rId153" Type="http://schemas.openxmlformats.org/officeDocument/2006/relationships/image" Target="media/image69.png"/><Relationship Id="rId174" Type="http://schemas.microsoft.com/office/2014/relationships/chartEx" Target="charts/chartEx48.xml"/><Relationship Id="rId195" Type="http://schemas.openxmlformats.org/officeDocument/2006/relationships/image" Target="media/image94.png"/><Relationship Id="rId209" Type="http://schemas.openxmlformats.org/officeDocument/2006/relationships/image" Target="media/image950.png"/><Relationship Id="rId360" Type="http://schemas.openxmlformats.org/officeDocument/2006/relationships/image" Target="media/image181.jpeg"/><Relationship Id="rId190" Type="http://schemas.microsoft.com/office/2014/relationships/chartEx" Target="charts/chartEx56.xml"/><Relationship Id="rId204" Type="http://schemas.microsoft.com/office/2014/relationships/chartEx" Target="charts/chartEx63.xml"/><Relationship Id="rId220" Type="http://schemas.microsoft.com/office/2014/relationships/chartEx" Target="charts/chartEx71.xml"/><Relationship Id="rId225" Type="http://schemas.openxmlformats.org/officeDocument/2006/relationships/image" Target="media/image110.png"/><Relationship Id="rId241" Type="http://schemas.openxmlformats.org/officeDocument/2006/relationships/image" Target="media/image118.png"/><Relationship Id="rId246" Type="http://schemas.microsoft.com/office/2014/relationships/chartEx" Target="charts/chartEx84.xml"/><Relationship Id="rId267" Type="http://schemas.openxmlformats.org/officeDocument/2006/relationships/image" Target="media/image126.png"/><Relationship Id="rId288" Type="http://schemas.microsoft.com/office/2014/relationships/chartEx" Target="charts/chartEx101.xml"/><Relationship Id="rId15" Type="http://schemas.openxmlformats.org/officeDocument/2006/relationships/chart" Target="charts/chart6.xml"/><Relationship Id="rId36" Type="http://schemas.openxmlformats.org/officeDocument/2006/relationships/image" Target="media/image12.jpeg"/><Relationship Id="rId57" Type="http://schemas.openxmlformats.org/officeDocument/2006/relationships/image" Target="media/image22.png"/><Relationship Id="rId106" Type="http://schemas.microsoft.com/office/2014/relationships/chartEx" Target="charts/chartEx31.xml"/><Relationship Id="rId127" Type="http://schemas.openxmlformats.org/officeDocument/2006/relationships/chart" Target="charts/chart24.xml"/><Relationship Id="rId262" Type="http://schemas.microsoft.com/office/2014/relationships/chartEx" Target="charts/chartEx88.xml"/><Relationship Id="rId283" Type="http://schemas.openxmlformats.org/officeDocument/2006/relationships/image" Target="media/image134.png"/><Relationship Id="rId313" Type="http://schemas.microsoft.com/office/2014/relationships/chartEx" Target="charts/chartEx109.xml"/><Relationship Id="rId318" Type="http://schemas.openxmlformats.org/officeDocument/2006/relationships/image" Target="media/image106.png"/><Relationship Id="rId339" Type="http://schemas.openxmlformats.org/officeDocument/2006/relationships/image" Target="media/image166.png"/><Relationship Id="rId10" Type="http://schemas.openxmlformats.org/officeDocument/2006/relationships/chart" Target="charts/chart1.xml"/><Relationship Id="rId31" Type="http://schemas.openxmlformats.org/officeDocument/2006/relationships/image" Target="media/image7.jpeg"/><Relationship Id="rId52" Type="http://schemas.microsoft.com/office/2014/relationships/chartEx" Target="charts/chartEx4.xml"/><Relationship Id="rId73" Type="http://schemas.openxmlformats.org/officeDocument/2006/relationships/image" Target="media/image30.png"/><Relationship Id="rId78" Type="http://schemas.microsoft.com/office/2014/relationships/chartEx" Target="charts/chartEx17.xml"/><Relationship Id="rId94" Type="http://schemas.microsoft.com/office/2014/relationships/chartEx" Target="charts/chartEx25.xml"/><Relationship Id="rId99" Type="http://schemas.openxmlformats.org/officeDocument/2006/relationships/image" Target="media/image43.png"/><Relationship Id="rId101" Type="http://schemas.openxmlformats.org/officeDocument/2006/relationships/image" Target="media/image44.png"/><Relationship Id="rId122" Type="http://schemas.openxmlformats.org/officeDocument/2006/relationships/chart" Target="charts/chart19.xml"/><Relationship Id="rId143" Type="http://schemas.microsoft.com/office/2014/relationships/chartEx" Target="charts/chartEx45.xml"/><Relationship Id="rId148" Type="http://schemas.openxmlformats.org/officeDocument/2006/relationships/image" Target="media/image64.png"/><Relationship Id="rId164" Type="http://schemas.openxmlformats.org/officeDocument/2006/relationships/image" Target="media/image80.png"/><Relationship Id="rId169" Type="http://schemas.openxmlformats.org/officeDocument/2006/relationships/image" Target="media/image85.png"/><Relationship Id="rId185" Type="http://schemas.openxmlformats.org/officeDocument/2006/relationships/image" Target="media/image89.png"/><Relationship Id="rId334" Type="http://schemas.openxmlformats.org/officeDocument/2006/relationships/image" Target="media/image161.png"/><Relationship Id="rId350" Type="http://schemas.openxmlformats.org/officeDocument/2006/relationships/hyperlink" Target="https://seer.cancer.gov/statfacts/html/ovary.html" TargetMode="External"/><Relationship Id="rId355" Type="http://schemas.openxmlformats.org/officeDocument/2006/relationships/image" Target="media/image176.jpeg"/><Relationship Id="rId37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80" Type="http://schemas.microsoft.com/office/2014/relationships/chartEx" Target="charts/chartEx51.xml"/><Relationship Id="rId210" Type="http://schemas.microsoft.com/office/2014/relationships/chartEx" Target="charts/chartEx66.xml"/><Relationship Id="rId215" Type="http://schemas.openxmlformats.org/officeDocument/2006/relationships/image" Target="media/image97.png"/><Relationship Id="rId236" Type="http://schemas.microsoft.com/office/2014/relationships/chartEx" Target="charts/chartEx79.xml"/><Relationship Id="rId257" Type="http://schemas.openxmlformats.org/officeDocument/2006/relationships/image" Target="media/image121.png"/><Relationship Id="rId278" Type="http://schemas.microsoft.com/office/2014/relationships/chartEx" Target="charts/chartEx96.xml"/><Relationship Id="rId26" Type="http://schemas.openxmlformats.org/officeDocument/2006/relationships/image" Target="media/image2.jpeg"/><Relationship Id="rId231" Type="http://schemas.openxmlformats.org/officeDocument/2006/relationships/image" Target="media/image113.png"/><Relationship Id="rId273" Type="http://schemas.openxmlformats.org/officeDocument/2006/relationships/image" Target="media/image129.png"/><Relationship Id="rId294" Type="http://schemas.openxmlformats.org/officeDocument/2006/relationships/chart" Target="charts/chart30.xml"/><Relationship Id="rId308" Type="http://schemas.openxmlformats.org/officeDocument/2006/relationships/image" Target="media/image142.png"/><Relationship Id="rId329" Type="http://schemas.openxmlformats.org/officeDocument/2006/relationships/image" Target="media/image156.jpeg"/><Relationship Id="rId47" Type="http://schemas.openxmlformats.org/officeDocument/2006/relationships/image" Target="media/image18.png"/><Relationship Id="rId68" Type="http://schemas.microsoft.com/office/2014/relationships/chartEx" Target="charts/chartEx12.xml"/><Relationship Id="rId89" Type="http://schemas.openxmlformats.org/officeDocument/2006/relationships/image" Target="media/image38.png"/><Relationship Id="rId112" Type="http://schemas.microsoft.com/office/2014/relationships/chartEx" Target="charts/chartEx34.xml"/><Relationship Id="rId133" Type="http://schemas.microsoft.com/office/2014/relationships/chartEx" Target="charts/chartEx40.xml"/><Relationship Id="rId154" Type="http://schemas.openxmlformats.org/officeDocument/2006/relationships/image" Target="media/image70.png"/><Relationship Id="rId175" Type="http://schemas.openxmlformats.org/officeDocument/2006/relationships/image" Target="media/image850.png"/><Relationship Id="rId340" Type="http://schemas.openxmlformats.org/officeDocument/2006/relationships/image" Target="media/image167.png"/><Relationship Id="rId361" Type="http://schemas.openxmlformats.org/officeDocument/2006/relationships/image" Target="media/image182.jpeg"/><Relationship Id="rId196" Type="http://schemas.microsoft.com/office/2014/relationships/chartEx" Target="charts/chartEx59.xml"/><Relationship Id="rId200" Type="http://schemas.microsoft.com/office/2014/relationships/chartEx" Target="charts/chartEx61.xml"/><Relationship Id="rId16" Type="http://schemas.openxmlformats.org/officeDocument/2006/relationships/chart" Target="charts/chart7.xml"/><Relationship Id="rId221" Type="http://schemas.openxmlformats.org/officeDocument/2006/relationships/image" Target="media/image108.png"/><Relationship Id="rId242" Type="http://schemas.microsoft.com/office/2014/relationships/chartEx" Target="charts/chartEx82.xml"/><Relationship Id="rId263" Type="http://schemas.openxmlformats.org/officeDocument/2006/relationships/image" Target="media/image124.png"/><Relationship Id="rId284" Type="http://schemas.microsoft.com/office/2014/relationships/chartEx" Target="charts/chartEx99.xml"/><Relationship Id="rId319" Type="http://schemas.openxmlformats.org/officeDocument/2006/relationships/image" Target="media/image107.png"/><Relationship Id="rId37" Type="http://schemas.openxmlformats.org/officeDocument/2006/relationships/image" Target="media/image13.jpeg"/><Relationship Id="rId58" Type="http://schemas.microsoft.com/office/2014/relationships/chartEx" Target="charts/chartEx7.xml"/><Relationship Id="rId79" Type="http://schemas.openxmlformats.org/officeDocument/2006/relationships/image" Target="media/image33.png"/><Relationship Id="rId102" Type="http://schemas.microsoft.com/office/2014/relationships/chartEx" Target="charts/chartEx29.xml"/><Relationship Id="rId123" Type="http://schemas.openxmlformats.org/officeDocument/2006/relationships/chart" Target="charts/chart20.xml"/><Relationship Id="rId144" Type="http://schemas.openxmlformats.org/officeDocument/2006/relationships/image" Target="media/image61.png"/><Relationship Id="rId330" Type="http://schemas.openxmlformats.org/officeDocument/2006/relationships/image" Target="media/image157.jpeg"/><Relationship Id="rId90" Type="http://schemas.microsoft.com/office/2014/relationships/chartEx" Target="charts/chartEx23.xml"/><Relationship Id="rId165" Type="http://schemas.openxmlformats.org/officeDocument/2006/relationships/image" Target="media/image81.png"/><Relationship Id="rId186" Type="http://schemas.microsoft.com/office/2014/relationships/chartEx" Target="charts/chartEx54.xml"/><Relationship Id="rId351" Type="http://schemas.openxmlformats.org/officeDocument/2006/relationships/image" Target="media/image172.jpeg"/><Relationship Id="rId211" Type="http://schemas.openxmlformats.org/officeDocument/2006/relationships/image" Target="media/image102.png"/><Relationship Id="rId232" Type="http://schemas.microsoft.com/office/2014/relationships/chartEx" Target="charts/chartEx77.xml"/><Relationship Id="rId274" Type="http://schemas.microsoft.com/office/2014/relationships/chartEx" Target="charts/chartEx94.xml"/><Relationship Id="rId295" Type="http://schemas.openxmlformats.org/officeDocument/2006/relationships/chart" Target="charts/chart31.xml"/><Relationship Id="rId309" Type="http://schemas.microsoft.com/office/2014/relationships/chartEx" Target="charts/chartEx107.xml"/><Relationship Id="rId27" Type="http://schemas.openxmlformats.org/officeDocument/2006/relationships/image" Target="media/image3.jpeg"/><Relationship Id="rId48" Type="http://schemas.microsoft.com/office/2014/relationships/chartEx" Target="charts/chartEx2.xml"/><Relationship Id="rId69" Type="http://schemas.openxmlformats.org/officeDocument/2006/relationships/image" Target="media/image28.png"/><Relationship Id="rId113" Type="http://schemas.openxmlformats.org/officeDocument/2006/relationships/image" Target="media/image50.png"/><Relationship Id="rId134" Type="http://schemas.openxmlformats.org/officeDocument/2006/relationships/image" Target="media/image56.png"/><Relationship Id="rId320" Type="http://schemas.openxmlformats.org/officeDocument/2006/relationships/image" Target="media/image147.png"/><Relationship Id="rId80" Type="http://schemas.microsoft.com/office/2014/relationships/chartEx" Target="charts/chartEx18.xml"/><Relationship Id="rId155" Type="http://schemas.openxmlformats.org/officeDocument/2006/relationships/image" Target="media/image71.png"/><Relationship Id="rId176" Type="http://schemas.microsoft.com/office/2014/relationships/chartEx" Target="charts/chartEx49.xml"/><Relationship Id="rId197" Type="http://schemas.openxmlformats.org/officeDocument/2006/relationships/image" Target="media/image92.png"/><Relationship Id="rId341" Type="http://schemas.openxmlformats.org/officeDocument/2006/relationships/image" Target="media/image168.png"/><Relationship Id="rId362" Type="http://schemas.openxmlformats.org/officeDocument/2006/relationships/image" Target="media/image183.jpeg"/><Relationship Id="rId201" Type="http://schemas.openxmlformats.org/officeDocument/2006/relationships/image" Target="media/image96.png"/><Relationship Id="rId222" Type="http://schemas.microsoft.com/office/2014/relationships/chartEx" Target="charts/chartEx72.xml"/><Relationship Id="rId243" Type="http://schemas.openxmlformats.org/officeDocument/2006/relationships/image" Target="media/image119.png"/><Relationship Id="rId264" Type="http://schemas.microsoft.com/office/2014/relationships/chartEx" Target="charts/chartEx89.xml"/><Relationship Id="rId285" Type="http://schemas.openxmlformats.org/officeDocument/2006/relationships/image" Target="media/image135.png"/><Relationship Id="rId17" Type="http://schemas.openxmlformats.org/officeDocument/2006/relationships/chart" Target="charts/chart8.xml"/><Relationship Id="rId38" Type="http://schemas.openxmlformats.org/officeDocument/2006/relationships/image" Target="media/image14.jpeg"/><Relationship Id="rId59" Type="http://schemas.openxmlformats.org/officeDocument/2006/relationships/image" Target="media/image23.png"/><Relationship Id="rId103" Type="http://schemas.openxmlformats.org/officeDocument/2006/relationships/image" Target="media/image45.png"/><Relationship Id="rId124" Type="http://schemas.openxmlformats.org/officeDocument/2006/relationships/chart" Target="charts/chart21.xml"/><Relationship Id="rId310" Type="http://schemas.openxmlformats.org/officeDocument/2006/relationships/image" Target="media/image143.png"/><Relationship Id="rId70" Type="http://schemas.microsoft.com/office/2014/relationships/chartEx" Target="charts/chartEx13.xml"/><Relationship Id="rId91" Type="http://schemas.openxmlformats.org/officeDocument/2006/relationships/image" Target="media/image39.png"/><Relationship Id="rId145" Type="http://schemas.microsoft.com/office/2014/relationships/chartEx" Target="charts/chartEx46.xml"/><Relationship Id="rId166" Type="http://schemas.openxmlformats.org/officeDocument/2006/relationships/image" Target="media/image82.png"/><Relationship Id="rId187" Type="http://schemas.openxmlformats.org/officeDocument/2006/relationships/image" Target="media/image90.png"/><Relationship Id="rId331" Type="http://schemas.openxmlformats.org/officeDocument/2006/relationships/image" Target="media/image158.png"/><Relationship Id="rId352" Type="http://schemas.openxmlformats.org/officeDocument/2006/relationships/image" Target="media/image173.jpeg"/><Relationship Id="rId1" Type="http://schemas.openxmlformats.org/officeDocument/2006/relationships/customXml" Target="../customXml/item1.xml"/><Relationship Id="rId212" Type="http://schemas.microsoft.com/office/2014/relationships/chartEx" Target="charts/chartEx67.xml"/><Relationship Id="rId233" Type="http://schemas.openxmlformats.org/officeDocument/2006/relationships/image" Target="media/image114.png"/><Relationship Id="rId28" Type="http://schemas.openxmlformats.org/officeDocument/2006/relationships/image" Target="media/image4.jpeg"/><Relationship Id="rId49" Type="http://schemas.openxmlformats.org/officeDocument/2006/relationships/image" Target="media/image180.png"/><Relationship Id="rId114" Type="http://schemas.microsoft.com/office/2014/relationships/chartEx" Target="charts/chartEx35.xml"/><Relationship Id="rId275" Type="http://schemas.openxmlformats.org/officeDocument/2006/relationships/image" Target="media/image130.png"/><Relationship Id="rId296" Type="http://schemas.openxmlformats.org/officeDocument/2006/relationships/chart" Target="charts/chart32.xml"/><Relationship Id="rId300" Type="http://schemas.openxmlformats.org/officeDocument/2006/relationships/image" Target="media/image138.png"/><Relationship Id="rId60" Type="http://schemas.microsoft.com/office/2014/relationships/chartEx" Target="charts/chartEx8.xml"/><Relationship Id="rId81" Type="http://schemas.openxmlformats.org/officeDocument/2006/relationships/image" Target="media/image34.png"/><Relationship Id="rId135" Type="http://schemas.microsoft.com/office/2014/relationships/chartEx" Target="charts/chartEx41.xml"/><Relationship Id="rId156" Type="http://schemas.openxmlformats.org/officeDocument/2006/relationships/image" Target="media/image72.png"/><Relationship Id="rId177" Type="http://schemas.openxmlformats.org/officeDocument/2006/relationships/image" Target="media/image860.png"/><Relationship Id="rId198" Type="http://schemas.microsoft.com/office/2014/relationships/chartEx" Target="charts/chartEx60.xml"/><Relationship Id="rId321" Type="http://schemas.openxmlformats.org/officeDocument/2006/relationships/image" Target="media/image148.jpeg"/><Relationship Id="rId342" Type="http://schemas.openxmlformats.org/officeDocument/2006/relationships/image" Target="media/image169.png"/><Relationship Id="rId363" Type="http://schemas.openxmlformats.org/officeDocument/2006/relationships/image" Target="media/image184.jpeg"/><Relationship Id="rId202" Type="http://schemas.microsoft.com/office/2014/relationships/chartEx" Target="charts/chartEx62.xml"/><Relationship Id="rId223" Type="http://schemas.openxmlformats.org/officeDocument/2006/relationships/image" Target="media/image109.png"/><Relationship Id="rId244" Type="http://schemas.microsoft.com/office/2014/relationships/chartEx" Target="charts/chartEx83.xml"/><Relationship Id="rId18" Type="http://schemas.openxmlformats.org/officeDocument/2006/relationships/chart" Target="charts/chart9.xml"/><Relationship Id="rId39" Type="http://schemas.openxmlformats.org/officeDocument/2006/relationships/image" Target="media/image15.jpeg"/><Relationship Id="rId265" Type="http://schemas.openxmlformats.org/officeDocument/2006/relationships/image" Target="media/image125.png"/><Relationship Id="rId286" Type="http://schemas.microsoft.com/office/2014/relationships/chartEx" Target="charts/chartEx100.xml"/><Relationship Id="rId50" Type="http://schemas.microsoft.com/office/2014/relationships/chartEx" Target="charts/chartEx3.xml"/><Relationship Id="rId104" Type="http://schemas.microsoft.com/office/2014/relationships/chartEx" Target="charts/chartEx30.xml"/><Relationship Id="rId125" Type="http://schemas.openxmlformats.org/officeDocument/2006/relationships/chart" Target="charts/chart22.xml"/><Relationship Id="rId146" Type="http://schemas.openxmlformats.org/officeDocument/2006/relationships/image" Target="media/image62.png"/><Relationship Id="rId167" Type="http://schemas.openxmlformats.org/officeDocument/2006/relationships/image" Target="media/image83.png"/><Relationship Id="rId188" Type="http://schemas.microsoft.com/office/2014/relationships/chartEx" Target="charts/chartEx55.xml"/><Relationship Id="rId311" Type="http://schemas.microsoft.com/office/2014/relationships/chartEx" Target="charts/chartEx108.xml"/><Relationship Id="rId332" Type="http://schemas.openxmlformats.org/officeDocument/2006/relationships/image" Target="media/image159.png"/><Relationship Id="rId353" Type="http://schemas.openxmlformats.org/officeDocument/2006/relationships/image" Target="media/image174.jpeg"/><Relationship Id="rId71" Type="http://schemas.openxmlformats.org/officeDocument/2006/relationships/image" Target="media/image29.png"/><Relationship Id="rId92" Type="http://schemas.microsoft.com/office/2014/relationships/chartEx" Target="charts/chartEx24.xml"/><Relationship Id="rId213" Type="http://schemas.openxmlformats.org/officeDocument/2006/relationships/image" Target="media/image103.png"/><Relationship Id="rId234" Type="http://schemas.microsoft.com/office/2014/relationships/chartEx" Target="charts/chartEx78.xml"/><Relationship Id="rId2" Type="http://schemas.openxmlformats.org/officeDocument/2006/relationships/numbering" Target="numbering.xml"/><Relationship Id="rId29" Type="http://schemas.openxmlformats.org/officeDocument/2006/relationships/image" Target="media/image5.jpeg"/><Relationship Id="rId255" Type="http://schemas.openxmlformats.org/officeDocument/2006/relationships/image" Target="media/image1200.png"/><Relationship Id="rId276" Type="http://schemas.microsoft.com/office/2014/relationships/chartEx" Target="charts/chartEx95.xml"/><Relationship Id="rId297" Type="http://schemas.openxmlformats.org/officeDocument/2006/relationships/chart" Target="charts/chart33.xml"/><Relationship Id="rId40" Type="http://schemas.openxmlformats.org/officeDocument/2006/relationships/image" Target="media/image16.jpeg"/><Relationship Id="rId115" Type="http://schemas.openxmlformats.org/officeDocument/2006/relationships/image" Target="media/image51.png"/><Relationship Id="rId136" Type="http://schemas.openxmlformats.org/officeDocument/2006/relationships/image" Target="media/image57.png"/><Relationship Id="rId157" Type="http://schemas.openxmlformats.org/officeDocument/2006/relationships/image" Target="media/image73.png"/><Relationship Id="rId178" Type="http://schemas.microsoft.com/office/2014/relationships/chartEx" Target="charts/chartEx50.xml"/><Relationship Id="rId301" Type="http://schemas.microsoft.com/office/2014/relationships/chartEx" Target="charts/chartEx103.xml"/><Relationship Id="rId322" Type="http://schemas.openxmlformats.org/officeDocument/2006/relationships/image" Target="media/image149.jpeg"/><Relationship Id="rId343" Type="http://schemas.openxmlformats.org/officeDocument/2006/relationships/image" Target="media/image170.png"/><Relationship Id="rId364" Type="http://schemas.openxmlformats.org/officeDocument/2006/relationships/image" Target="media/image185.jpeg"/><Relationship Id="rId61" Type="http://schemas.openxmlformats.org/officeDocument/2006/relationships/image" Target="media/image24.png"/><Relationship Id="rId82" Type="http://schemas.microsoft.com/office/2014/relationships/chartEx" Target="charts/chartEx19.xml"/><Relationship Id="rId199" Type="http://schemas.openxmlformats.org/officeDocument/2006/relationships/image" Target="media/image95.png"/><Relationship Id="rId203" Type="http://schemas.openxmlformats.org/officeDocument/2006/relationships/image" Target="media/image99.png"/><Relationship Id="rId19" Type="http://schemas.openxmlformats.org/officeDocument/2006/relationships/chart" Target="charts/chart10.xml"/><Relationship Id="rId224" Type="http://schemas.microsoft.com/office/2014/relationships/chartEx" Target="charts/chartEx73.xml"/><Relationship Id="rId245" Type="http://schemas.openxmlformats.org/officeDocument/2006/relationships/image" Target="media/image120.png"/><Relationship Id="rId266" Type="http://schemas.microsoft.com/office/2014/relationships/chartEx" Target="charts/chartEx90.xml"/><Relationship Id="rId287" Type="http://schemas.openxmlformats.org/officeDocument/2006/relationships/image" Target="media/image136.png"/><Relationship Id="rId30" Type="http://schemas.openxmlformats.org/officeDocument/2006/relationships/image" Target="media/image6.jpeg"/><Relationship Id="rId105" Type="http://schemas.openxmlformats.org/officeDocument/2006/relationships/image" Target="media/image46.png"/><Relationship Id="rId126" Type="http://schemas.openxmlformats.org/officeDocument/2006/relationships/chart" Target="charts/chart23.xml"/><Relationship Id="rId147" Type="http://schemas.openxmlformats.org/officeDocument/2006/relationships/image" Target="media/image63.png"/><Relationship Id="rId168" Type="http://schemas.openxmlformats.org/officeDocument/2006/relationships/image" Target="media/image84.png"/><Relationship Id="rId312" Type="http://schemas.openxmlformats.org/officeDocument/2006/relationships/image" Target="media/image144.png"/><Relationship Id="rId333" Type="http://schemas.openxmlformats.org/officeDocument/2006/relationships/image" Target="media/image160.png"/><Relationship Id="rId354" Type="http://schemas.openxmlformats.org/officeDocument/2006/relationships/image" Target="media/image175.jpeg"/><Relationship Id="rId51" Type="http://schemas.openxmlformats.org/officeDocument/2006/relationships/image" Target="media/image19.png"/><Relationship Id="rId72" Type="http://schemas.microsoft.com/office/2014/relationships/chartEx" Target="charts/chartEx14.xml"/><Relationship Id="rId93" Type="http://schemas.openxmlformats.org/officeDocument/2006/relationships/image" Target="media/image40.png"/><Relationship Id="rId189" Type="http://schemas.openxmlformats.org/officeDocument/2006/relationships/image" Target="media/image91.png"/><Relationship Id="rId3" Type="http://schemas.openxmlformats.org/officeDocument/2006/relationships/styles" Target="styles.xml"/><Relationship Id="rId214" Type="http://schemas.microsoft.com/office/2014/relationships/chartEx" Target="charts/chartEx68.xml"/><Relationship Id="rId235" Type="http://schemas.openxmlformats.org/officeDocument/2006/relationships/image" Target="media/image115.png"/><Relationship Id="rId256" Type="http://schemas.microsoft.com/office/2014/relationships/chartEx" Target="charts/chartEx85.xml"/><Relationship Id="rId277" Type="http://schemas.openxmlformats.org/officeDocument/2006/relationships/image" Target="media/image131.png"/><Relationship Id="rId298" Type="http://schemas.openxmlformats.org/officeDocument/2006/relationships/chart" Target="charts/chart34.xml"/><Relationship Id="rId116" Type="http://schemas.microsoft.com/office/2014/relationships/chartEx" Target="charts/chartEx36.xml"/><Relationship Id="rId137" Type="http://schemas.microsoft.com/office/2014/relationships/chartEx" Target="charts/chartEx42.xml"/><Relationship Id="rId158" Type="http://schemas.openxmlformats.org/officeDocument/2006/relationships/image" Target="media/image74.png"/><Relationship Id="rId302" Type="http://schemas.openxmlformats.org/officeDocument/2006/relationships/image" Target="media/image139.png"/><Relationship Id="rId323" Type="http://schemas.openxmlformats.org/officeDocument/2006/relationships/image" Target="media/image150.png"/><Relationship Id="rId344" Type="http://schemas.openxmlformats.org/officeDocument/2006/relationships/image" Target="media/image171.png"/><Relationship Id="rId20" Type="http://schemas.openxmlformats.org/officeDocument/2006/relationships/chart" Target="charts/chart11.xml"/><Relationship Id="rId41" Type="http://schemas.openxmlformats.org/officeDocument/2006/relationships/image" Target="media/image17.jpeg"/><Relationship Id="rId62" Type="http://schemas.microsoft.com/office/2014/relationships/chartEx" Target="charts/chartEx9.xml"/><Relationship Id="rId83" Type="http://schemas.openxmlformats.org/officeDocument/2006/relationships/image" Target="media/image35.png"/><Relationship Id="rId179" Type="http://schemas.openxmlformats.org/officeDocument/2006/relationships/image" Target="media/image86.png"/><Relationship Id="rId365" Type="http://schemas.openxmlformats.org/officeDocument/2006/relationships/image" Target="media/image186.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HP\Desktop\&#1044;&#1080;&#1089;&#1089;&#1077;&#1088;&#1090;&#1072;&#1094;&#1080;&#1103;%20&#1087;&#1086;%20&#1075;&#1083;&#1072;&#1074;&#1072;&#1084;\&#1053;&#1086;&#1074;&#1072;&#1103;%20&#1087;&#1072;&#1087;&#1082;&#1072;\&#1050;%20&#1079;&#1072;&#1085;&#1103;&#1090;&#1080;&#1102;%209%20&#1069;&#1056;&#1071;%20&#1080;%20&#1050;&#1056;&#1056;%20&#1075;&#1083;&#1072;&#1074;&#1072;%202.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HP\Desktop\&#1044;&#1080;&#1089;&#1089;&#1077;&#1088;&#1090;&#1072;&#1094;&#1080;&#1103;%20&#1087;&#1086;%20&#1075;&#1083;&#1072;&#1074;&#1072;&#1084;\&#1053;&#1086;&#1074;&#1072;&#1103;%20&#1087;&#1072;&#1087;&#1082;&#1072;\&#1050;%20&#1079;&#1072;&#1085;&#1103;&#1090;&#1080;&#1102;%209%20&#1069;&#1056;&#1071;%20&#1080;%20&#1050;&#1056;&#1056;%20&#1075;&#1083;&#1072;&#1074;&#1072;%202.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HP\Desktop\28.01.2023\10.12.2022%20&#1089;%20&#1085;&#1086;&#1091;&#1090;&#1072;%20&#1053;&#1056;\29.10.2022%20&#1076;&#1086;&#1082;&#1091;&#1084;&#1077;&#1085;&#1090;&#1099;\27.04.2022\&#1044;&#1080;&#1089;&#1089;&#1077;&#1088;&#1090;&#1072;&#1094;&#1080;&#1103;%20&#1087;&#1086;%20&#1075;&#1083;&#1072;&#1074;&#1072;&#1084;\&#1053;&#1086;&#1074;&#1072;&#1103;%20&#1087;&#1072;&#1087;&#1082;&#1072;\&#1050;%20&#1079;&#1072;&#1085;&#1103;&#1090;&#1080;&#1102;%209%20&#1069;&#1056;&#1071;%20&#1080;%20&#1050;&#1056;&#1056;%20&#1075;&#1083;&#1072;&#1074;&#1072;%202.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HP\Desktop\&#1044;&#1080;&#1089;&#1089;&#1077;&#1088;&#1090;&#1072;&#1094;&#1080;&#1103;%20&#1087;&#1086;%20&#1075;&#1083;&#1072;&#1074;&#1072;&#1084;\&#1053;&#1086;&#1074;&#1072;&#1103;%20&#1087;&#1072;&#1087;&#1082;&#1072;\&#1050;%20&#1079;&#1072;&#1085;&#1103;&#1090;&#1080;&#1102;%209%20&#1069;&#1056;&#1071;%20&#1080;%20&#1050;&#1056;&#1056;%20&#1075;&#1083;&#1072;&#1074;&#1072;%202.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HP\Desktop\28.01.2023\10.12.2022%20&#1089;%20&#1085;&#1086;&#1091;&#1090;&#1072;%20&#1053;&#1056;\29.10.2022%20&#1076;&#1086;&#1082;&#1091;&#1084;&#1077;&#1085;&#1090;&#1099;\27.04.2022\&#1044;&#1080;&#1089;&#1089;&#1077;&#1088;&#1090;&#1072;&#1094;&#1080;&#1103;%20&#1087;&#1086;%20&#1075;&#1083;&#1072;&#1074;&#1072;&#1084;\&#1053;&#1086;&#1074;&#1072;&#1103;%20&#1087;&#1072;&#1087;&#1082;&#1072;\&#1050;%20&#1079;&#1072;&#1085;&#1103;&#1090;&#1080;&#1102;%209%20&#1069;&#1056;&#1071;%20&#1080;%20&#1050;&#1056;&#1056;%20&#1075;&#1083;&#1072;&#1074;&#1072;%202.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HP\Desktop\&#1044;&#1080;&#1089;&#1089;&#1077;&#1088;&#1090;&#1072;&#1094;&#1080;&#1103;%20&#1087;&#1086;%20&#1075;&#1083;&#1072;&#1074;&#1072;&#1084;\&#1053;&#1086;&#1074;&#1072;&#1103;%20&#1087;&#1072;&#1087;&#1082;&#1072;\&#1050;%20&#1079;&#1072;&#1085;&#1103;&#1090;&#1080;&#1102;%209%20&#1069;&#1056;&#1071;%20&#1080;%20&#1050;&#1056;&#1056;%20&#1075;&#1083;&#1072;&#1074;&#1072;%202.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HP\Desktop\&#1044;&#1080;&#1089;&#1089;&#1077;&#1088;&#1090;&#1072;&#1094;&#1080;&#1103;%20&#1087;&#1086;%20&#1075;&#1083;&#1072;&#1074;&#1072;&#1084;\&#1053;&#1086;&#1074;&#1072;&#1103;%20&#1087;&#1072;&#1087;&#1082;&#1072;\&#1050;%20&#1079;&#1072;&#1085;&#1103;&#1090;&#1080;&#1102;%209%20&#1069;&#1056;&#1071;%20&#1080;%20&#1050;&#1056;&#1056;%20&#1075;&#1083;&#1072;&#1074;&#1072;%202.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HP\Desktop\&#1044;&#1080;&#1089;&#1089;&#1077;&#1088;&#1090;&#1072;&#1094;&#1080;&#1103;%20&#1087;&#1086;%20&#1075;&#1083;&#1072;&#1074;&#1072;&#1084;\&#1053;&#1086;&#1074;&#1072;&#1103;%20&#1087;&#1072;&#1087;&#1082;&#1072;\&#1050;%20&#1079;&#1072;&#1085;&#1103;&#1090;&#1080;&#1102;%209%20&#1069;&#1056;&#1071;%20&#1080;%20&#1050;&#1056;&#1056;%20&#1075;&#1083;&#1072;&#1074;&#1072;%202.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 Id="rId2" Type="http://schemas.microsoft.com/office/2011/relationships/chartColorStyle" Target="colors54.xml"/><Relationship Id="rId1" Type="http://schemas.microsoft.com/office/2011/relationships/chartStyle" Target="style54.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 Id="rId2" Type="http://schemas.microsoft.com/office/2011/relationships/chartColorStyle" Target="colors55.xml"/><Relationship Id="rId1" Type="http://schemas.microsoft.com/office/2011/relationships/chartStyle" Target="style55.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 Id="rId2" Type="http://schemas.microsoft.com/office/2011/relationships/chartColorStyle" Target="colors56.xml"/><Relationship Id="rId1" Type="http://schemas.microsoft.com/office/2011/relationships/chartStyle" Target="style56.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HP\Desktop\&#1044;&#1080;&#1089;&#1089;&#1077;&#1088;&#1090;&#1072;&#1094;&#1080;&#1103;%20&#1087;&#1086;%20&#1075;&#1083;&#1072;&#1074;&#1072;&#1084;\&#1053;&#1086;&#1074;&#1072;&#1103;%20&#1087;&#1072;&#1087;&#1082;&#1072;\&#1050;%20&#1079;&#1072;&#1085;&#1103;&#1090;&#1080;&#1102;%209%20&#1069;&#1056;&#1071;%20&#1080;%20&#1050;&#1056;&#1056;%20&#1075;&#1083;&#1072;&#1074;&#1072;%202.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 Id="rId2" Type="http://schemas.microsoft.com/office/2011/relationships/chartColorStyle" Target="colors57.xml"/><Relationship Id="rId1" Type="http://schemas.microsoft.com/office/2011/relationships/chartStyle" Target="style57.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 Id="rId2" Type="http://schemas.microsoft.com/office/2011/relationships/chartColorStyle" Target="colors58.xml"/><Relationship Id="rId1" Type="http://schemas.microsoft.com/office/2011/relationships/chartStyle" Target="style58.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 Id="rId2" Type="http://schemas.microsoft.com/office/2011/relationships/chartColorStyle" Target="colors59.xml"/><Relationship Id="rId1" Type="http://schemas.microsoft.com/office/2011/relationships/chartStyle" Target="style59.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 Id="rId2" Type="http://schemas.microsoft.com/office/2011/relationships/chartColorStyle" Target="colors60.xml"/><Relationship Id="rId1" Type="http://schemas.microsoft.com/office/2011/relationships/chartStyle" Target="style60.xml"/></Relationships>
</file>

<file path=word/charts/_rels/chart24.xml.rels><?xml version="1.0" encoding="UTF-8" standalone="yes"?>
<Relationships xmlns="http://schemas.openxmlformats.org/package/2006/relationships"><Relationship Id="rId3"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 Id="rId2" Type="http://schemas.microsoft.com/office/2011/relationships/chartColorStyle" Target="colors61.xml"/><Relationship Id="rId1" Type="http://schemas.microsoft.com/office/2011/relationships/chartStyle" Target="style61.xml"/></Relationships>
</file>

<file path=word/charts/_rels/chart25.xml.rels><?xml version="1.0" encoding="UTF-8" standalone="yes"?>
<Relationships xmlns="http://schemas.openxmlformats.org/package/2006/relationships"><Relationship Id="rId3"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 Id="rId2" Type="http://schemas.microsoft.com/office/2011/relationships/chartColorStyle" Target="colors62.xml"/><Relationship Id="rId1" Type="http://schemas.microsoft.com/office/2011/relationships/chartStyle" Target="style62.xml"/></Relationships>
</file>

<file path=word/charts/_rels/chart26.xml.rels><?xml version="1.0" encoding="UTF-8" standalone="yes"?>
<Relationships xmlns="http://schemas.openxmlformats.org/package/2006/relationships"><Relationship Id="rId3"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 Id="rId2" Type="http://schemas.microsoft.com/office/2011/relationships/chartColorStyle" Target="colors127.xml"/><Relationship Id="rId1" Type="http://schemas.microsoft.com/office/2011/relationships/chartStyle" Target="style127.xml"/></Relationships>
</file>

<file path=word/charts/_rels/chart27.xml.rels><?xml version="1.0" encoding="UTF-8" standalone="yes"?>
<Relationships xmlns="http://schemas.openxmlformats.org/package/2006/relationships"><Relationship Id="rId3"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 Id="rId2" Type="http://schemas.microsoft.com/office/2011/relationships/chartColorStyle" Target="colors128.xml"/><Relationship Id="rId1" Type="http://schemas.microsoft.com/office/2011/relationships/chartStyle" Target="style128.xml"/></Relationships>
</file>

<file path=word/charts/_rels/chart28.xml.rels><?xml version="1.0" encoding="UTF-8" standalone="yes"?>
<Relationships xmlns="http://schemas.openxmlformats.org/package/2006/relationships"><Relationship Id="rId3"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 Id="rId2" Type="http://schemas.microsoft.com/office/2011/relationships/chartColorStyle" Target="colors129.xml"/><Relationship Id="rId1" Type="http://schemas.microsoft.com/office/2011/relationships/chartStyle" Target="style129.xml"/></Relationships>
</file>

<file path=word/charts/_rels/chart29.xml.rels><?xml version="1.0" encoding="UTF-8" standalone="yes"?>
<Relationships xmlns="http://schemas.openxmlformats.org/package/2006/relationships"><Relationship Id="rId3"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 Id="rId2" Type="http://schemas.microsoft.com/office/2011/relationships/chartColorStyle" Target="colors130.xml"/><Relationship Id="rId1" Type="http://schemas.microsoft.com/office/2011/relationships/chartStyle" Target="style130.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HP\Desktop\&#1044;&#1080;&#1089;&#1089;&#1077;&#1088;&#1090;&#1072;&#1094;&#1080;&#1103;%20&#1087;&#1086;%20&#1075;&#1083;&#1072;&#1074;&#1072;&#1084;\&#1053;&#1086;&#1074;&#1072;&#1103;%20&#1087;&#1072;&#1087;&#1082;&#1072;\&#1050;%20&#1079;&#1072;&#1085;&#1103;&#1090;&#1080;&#1102;%209%20&#1069;&#1056;&#1071;%20&#1080;%20&#1050;&#1056;&#1056;%20&#1075;&#1083;&#1072;&#1074;&#1072;%202.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 Id="rId2" Type="http://schemas.microsoft.com/office/2011/relationships/chartColorStyle" Target="colors131.xml"/><Relationship Id="rId1" Type="http://schemas.microsoft.com/office/2011/relationships/chartStyle" Target="style131.xml"/></Relationships>
</file>

<file path=word/charts/_rels/chart31.xml.rels><?xml version="1.0" encoding="UTF-8" standalone="yes"?>
<Relationships xmlns="http://schemas.openxmlformats.org/package/2006/relationships"><Relationship Id="rId3"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 Id="rId2" Type="http://schemas.microsoft.com/office/2011/relationships/chartColorStyle" Target="colors132.xml"/><Relationship Id="rId1" Type="http://schemas.microsoft.com/office/2011/relationships/chartStyle" Target="style132.xml"/></Relationships>
</file>

<file path=word/charts/_rels/chart32.xml.rels><?xml version="1.0" encoding="UTF-8" standalone="yes"?>
<Relationships xmlns="http://schemas.openxmlformats.org/package/2006/relationships"><Relationship Id="rId3"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 Id="rId2" Type="http://schemas.microsoft.com/office/2011/relationships/chartColorStyle" Target="colors133.xml"/><Relationship Id="rId1" Type="http://schemas.microsoft.com/office/2011/relationships/chartStyle" Target="style133.xml"/></Relationships>
</file>

<file path=word/charts/_rels/chart33.xml.rels><?xml version="1.0" encoding="UTF-8" standalone="yes"?>
<Relationships xmlns="http://schemas.openxmlformats.org/package/2006/relationships"><Relationship Id="rId3"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 Id="rId2" Type="http://schemas.microsoft.com/office/2011/relationships/chartColorStyle" Target="colors134.xml"/><Relationship Id="rId1" Type="http://schemas.microsoft.com/office/2011/relationships/chartStyle" Target="style134.xml"/></Relationships>
</file>

<file path=word/charts/_rels/chart34.xml.rels><?xml version="1.0" encoding="UTF-8" standalone="yes"?>
<Relationships xmlns="http://schemas.openxmlformats.org/package/2006/relationships"><Relationship Id="rId3"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 Id="rId2" Type="http://schemas.microsoft.com/office/2011/relationships/chartColorStyle" Target="colors135.xml"/><Relationship Id="rId1" Type="http://schemas.microsoft.com/office/2011/relationships/chartStyle" Target="style135.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HP\Desktop\&#1044;&#1080;&#1089;&#1089;&#1077;&#1088;&#1090;&#1072;&#1094;&#1080;&#1103;%20&#1087;&#1086;%20&#1075;&#1083;&#1072;&#1074;&#1072;&#1084;\&#1053;&#1086;&#1074;&#1072;&#1103;%20&#1087;&#1072;&#1087;&#1082;&#1072;\&#1050;%20&#1079;&#1072;&#1085;&#1103;&#1090;&#1080;&#1102;%209%20&#1069;&#1056;&#1071;%20&#1080;%20&#1050;&#1056;&#1056;%20&#1075;&#1083;&#1072;&#1074;&#1072;%202.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HP\Desktop\&#1044;&#1080;&#1089;&#1089;&#1077;&#1088;&#1090;&#1072;&#1094;&#1080;&#1103;%20&#1087;&#1086;%20&#1075;&#1083;&#1072;&#1074;&#1072;&#1084;\&#1053;&#1086;&#1074;&#1072;&#1103;%20&#1087;&#1072;&#1087;&#1082;&#1072;\&#1050;%20&#1079;&#1072;&#1085;&#1103;&#1090;&#1080;&#1102;%209%20&#1069;&#1056;&#1071;%20&#1080;%20&#1050;&#1056;&#1056;%20&#1075;&#1083;&#1072;&#1074;&#1072;%202.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HP\Desktop\&#1044;&#1080;&#1089;&#1089;&#1077;&#1088;&#1090;&#1072;&#1094;&#1080;&#1103;%20&#1087;&#1086;%20&#1075;&#1083;&#1072;&#1074;&#1072;&#1084;\&#1053;&#1086;&#1074;&#1072;&#1103;%20&#1087;&#1072;&#1087;&#1082;&#1072;\&#1050;%20&#1079;&#1072;&#1085;&#1103;&#1090;&#1080;&#1102;%209%20&#1069;&#1056;&#1071;%20&#1080;%20&#1050;&#1056;&#1056;%20&#1075;&#1083;&#1072;&#1074;&#1072;%202.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HP\Desktop\&#1044;&#1080;&#1089;&#1089;&#1077;&#1088;&#1090;&#1072;&#1094;&#1080;&#1103;%20&#1087;&#1086;%20&#1075;&#1083;&#1072;&#1074;&#1072;&#1084;\&#1053;&#1086;&#1074;&#1072;&#1103;%20&#1087;&#1072;&#1087;&#1082;&#1072;\&#1050;%20&#1079;&#1072;&#1085;&#1103;&#1090;&#1080;&#1102;%209%20&#1069;&#1056;&#1071;%20&#1080;%20&#1050;&#1056;&#1056;%20&#1075;&#1083;&#1072;&#1074;&#1072;%202.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HP\Desktop\28.01.2023\10.12.2022%20&#1089;%20&#1085;&#1086;&#1091;&#1090;&#1072;%20&#1053;&#1056;\29.10.2022%20&#1076;&#1086;&#1082;&#1091;&#1084;&#1077;&#1085;&#1090;&#1099;\27.04.2022\&#1044;&#1080;&#1089;&#1089;&#1077;&#1088;&#1090;&#1072;&#1094;&#1080;&#1103;%20&#1087;&#1086;%20&#1075;&#1083;&#1072;&#1074;&#1072;&#1084;\&#1053;&#1086;&#1074;&#1072;&#1103;%20&#1087;&#1072;&#1087;&#1082;&#1072;\&#1050;%20&#1079;&#1072;&#1085;&#1103;&#1090;&#1080;&#1102;%209%20&#1069;&#1056;&#1071;%20&#1080;%20&#1050;&#1056;&#1056;%20&#1075;&#1083;&#1072;&#1074;&#1072;%202.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HP\Desktop\&#1044;&#1080;&#1089;&#1089;&#1077;&#1088;&#1090;&#1072;&#1094;&#1080;&#1103;%20&#1087;&#1086;%20&#1075;&#1083;&#1072;&#1074;&#1072;&#1084;\&#1053;&#1086;&#1074;&#1072;&#1103;%20&#1087;&#1072;&#1087;&#1082;&#1072;\&#1050;%20&#1079;&#1072;&#1085;&#1103;&#1090;&#1080;&#1102;%209%20&#1069;&#1056;&#1071;%20&#1080;%20&#1050;&#1056;&#1056;%20&#1075;&#1083;&#1072;&#1074;&#1072;%202.xlsx" TargetMode="External"/><Relationship Id="rId2" Type="http://schemas.microsoft.com/office/2011/relationships/chartColorStyle" Target="colors9.xml"/><Relationship Id="rId1" Type="http://schemas.microsoft.com/office/2011/relationships/chartStyle" Target="style9.xml"/></Relationships>
</file>

<file path=word/charts/_rels/chartEx1.xml.rels><?xml version="1.0" encoding="UTF-8" standalone="yes"?>
<Relationships xmlns="http://schemas.openxmlformats.org/package/2006/relationships"><Relationship Id="rId3" Type="http://schemas.microsoft.com/office/2011/relationships/chartColorStyle" Target="colors17.xml"/><Relationship Id="rId2" Type="http://schemas.microsoft.com/office/2011/relationships/chartStyle" Target="style17.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10.xml.rels><?xml version="1.0" encoding="UTF-8" standalone="yes"?>
<Relationships xmlns="http://schemas.openxmlformats.org/package/2006/relationships"><Relationship Id="rId3" Type="http://schemas.microsoft.com/office/2011/relationships/chartColorStyle" Target="colors26.xml"/><Relationship Id="rId2" Type="http://schemas.microsoft.com/office/2011/relationships/chartStyle" Target="style26.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100.xml.rels><?xml version="1.0" encoding="UTF-8" standalone="yes"?>
<Relationships xmlns="http://schemas.openxmlformats.org/package/2006/relationships"><Relationship Id="rId3" Type="http://schemas.microsoft.com/office/2011/relationships/chartColorStyle" Target="colors125.xml"/><Relationship Id="rId2" Type="http://schemas.microsoft.com/office/2011/relationships/chartStyle" Target="style125.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101.xml.rels><?xml version="1.0" encoding="UTF-8" standalone="yes"?>
<Relationships xmlns="http://schemas.openxmlformats.org/package/2006/relationships"><Relationship Id="rId3" Type="http://schemas.microsoft.com/office/2011/relationships/chartColorStyle" Target="colors126.xml"/><Relationship Id="rId2" Type="http://schemas.microsoft.com/office/2011/relationships/chartStyle" Target="style126.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102.xml.rels><?xml version="1.0" encoding="UTF-8" standalone="yes"?>
<Relationships xmlns="http://schemas.openxmlformats.org/package/2006/relationships"><Relationship Id="rId3" Type="http://schemas.microsoft.com/office/2011/relationships/chartColorStyle" Target="colors136.xml"/><Relationship Id="rId2" Type="http://schemas.microsoft.com/office/2011/relationships/chartStyle" Target="style136.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103.xml.rels><?xml version="1.0" encoding="UTF-8" standalone="yes"?>
<Relationships xmlns="http://schemas.openxmlformats.org/package/2006/relationships"><Relationship Id="rId3" Type="http://schemas.microsoft.com/office/2011/relationships/chartColorStyle" Target="colors137.xml"/><Relationship Id="rId2" Type="http://schemas.microsoft.com/office/2011/relationships/chartStyle" Target="style137.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104.xml.rels><?xml version="1.0" encoding="UTF-8" standalone="yes"?>
<Relationships xmlns="http://schemas.openxmlformats.org/package/2006/relationships"><Relationship Id="rId3" Type="http://schemas.microsoft.com/office/2011/relationships/chartColorStyle" Target="colors138.xml"/><Relationship Id="rId2" Type="http://schemas.microsoft.com/office/2011/relationships/chartStyle" Target="style138.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105.xml.rels><?xml version="1.0" encoding="UTF-8" standalone="yes"?>
<Relationships xmlns="http://schemas.openxmlformats.org/package/2006/relationships"><Relationship Id="rId3" Type="http://schemas.microsoft.com/office/2011/relationships/chartColorStyle" Target="colors139.xml"/><Relationship Id="rId2" Type="http://schemas.microsoft.com/office/2011/relationships/chartStyle" Target="style139.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106.xml.rels><?xml version="1.0" encoding="UTF-8" standalone="yes"?>
<Relationships xmlns="http://schemas.openxmlformats.org/package/2006/relationships"><Relationship Id="rId3" Type="http://schemas.microsoft.com/office/2011/relationships/chartColorStyle" Target="colors140.xml"/><Relationship Id="rId2" Type="http://schemas.microsoft.com/office/2011/relationships/chartStyle" Target="style140.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107.xml.rels><?xml version="1.0" encoding="UTF-8" standalone="yes"?>
<Relationships xmlns="http://schemas.openxmlformats.org/package/2006/relationships"><Relationship Id="rId3" Type="http://schemas.microsoft.com/office/2011/relationships/chartColorStyle" Target="colors141.xml"/><Relationship Id="rId2" Type="http://schemas.microsoft.com/office/2011/relationships/chartStyle" Target="style141.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108.xml.rels><?xml version="1.0" encoding="UTF-8" standalone="yes"?>
<Relationships xmlns="http://schemas.openxmlformats.org/package/2006/relationships"><Relationship Id="rId3" Type="http://schemas.microsoft.com/office/2011/relationships/chartColorStyle" Target="colors142.xml"/><Relationship Id="rId2" Type="http://schemas.microsoft.com/office/2011/relationships/chartStyle" Target="style142.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109.xml.rels><?xml version="1.0" encoding="UTF-8" standalone="yes"?>
<Relationships xmlns="http://schemas.openxmlformats.org/package/2006/relationships"><Relationship Id="rId3" Type="http://schemas.microsoft.com/office/2011/relationships/chartColorStyle" Target="colors143.xml"/><Relationship Id="rId2" Type="http://schemas.microsoft.com/office/2011/relationships/chartStyle" Target="style143.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11.xml.rels><?xml version="1.0" encoding="UTF-8" standalone="yes"?>
<Relationships xmlns="http://schemas.openxmlformats.org/package/2006/relationships"><Relationship Id="rId3" Type="http://schemas.microsoft.com/office/2011/relationships/chartColorStyle" Target="colors27.xml"/><Relationship Id="rId2" Type="http://schemas.microsoft.com/office/2011/relationships/chartStyle" Target="style27.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110.xml.rels><?xml version="1.0" encoding="UTF-8" standalone="yes"?>
<Relationships xmlns="http://schemas.openxmlformats.org/package/2006/relationships"><Relationship Id="rId3" Type="http://schemas.microsoft.com/office/2011/relationships/chartColorStyle" Target="colors144.xml"/><Relationship Id="rId2" Type="http://schemas.microsoft.com/office/2011/relationships/chartStyle" Target="style144.xml"/><Relationship Id="rId1" Type="http://schemas.openxmlformats.org/officeDocument/2006/relationships/oleObject" Target="file:///C:\Users\HP\Desktop\27.04.2022\&#1044;&#1080;&#1089;&#1089;&#1077;&#1088;&#1090;&#1072;&#1094;&#1080;&#1103;%20&#1087;&#1086;%20&#1075;&#1083;&#1072;&#1074;&#1072;&#1084;\&#1053;&#1086;&#1074;&#1072;&#1103;%20&#1087;&#1072;&#1087;&#1082;&#1072;\&#1050;%20&#1079;&#1072;&#1085;&#1103;&#1090;&#1080;&#1102;%209%20&#1050;&#1056;&#1056;.xlsx" TargetMode="External"/></Relationships>
</file>

<file path=word/charts/_rels/chartEx12.xml.rels><?xml version="1.0" encoding="UTF-8" standalone="yes"?>
<Relationships xmlns="http://schemas.openxmlformats.org/package/2006/relationships"><Relationship Id="rId3" Type="http://schemas.microsoft.com/office/2011/relationships/chartColorStyle" Target="colors28.xml"/><Relationship Id="rId2" Type="http://schemas.microsoft.com/office/2011/relationships/chartStyle" Target="style28.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13.xml.rels><?xml version="1.0" encoding="UTF-8" standalone="yes"?>
<Relationships xmlns="http://schemas.openxmlformats.org/package/2006/relationships"><Relationship Id="rId3" Type="http://schemas.microsoft.com/office/2011/relationships/chartColorStyle" Target="colors29.xml"/><Relationship Id="rId2" Type="http://schemas.microsoft.com/office/2011/relationships/chartStyle" Target="style29.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14.xml.rels><?xml version="1.0" encoding="UTF-8" standalone="yes"?>
<Relationships xmlns="http://schemas.openxmlformats.org/package/2006/relationships"><Relationship Id="rId3" Type="http://schemas.microsoft.com/office/2011/relationships/chartColorStyle" Target="colors30.xml"/><Relationship Id="rId2" Type="http://schemas.microsoft.com/office/2011/relationships/chartStyle" Target="style30.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15.xml.rels><?xml version="1.0" encoding="UTF-8" standalone="yes"?>
<Relationships xmlns="http://schemas.openxmlformats.org/package/2006/relationships"><Relationship Id="rId3" Type="http://schemas.microsoft.com/office/2011/relationships/chartColorStyle" Target="colors31.xml"/><Relationship Id="rId2" Type="http://schemas.microsoft.com/office/2011/relationships/chartStyle" Target="style31.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16.xml.rels><?xml version="1.0" encoding="UTF-8" standalone="yes"?>
<Relationships xmlns="http://schemas.openxmlformats.org/package/2006/relationships"><Relationship Id="rId3" Type="http://schemas.microsoft.com/office/2011/relationships/chartColorStyle" Target="colors32.xml"/><Relationship Id="rId2" Type="http://schemas.microsoft.com/office/2011/relationships/chartStyle" Target="style32.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17.xml.rels><?xml version="1.0" encoding="UTF-8" standalone="yes"?>
<Relationships xmlns="http://schemas.openxmlformats.org/package/2006/relationships"><Relationship Id="rId3" Type="http://schemas.microsoft.com/office/2011/relationships/chartColorStyle" Target="colors33.xml"/><Relationship Id="rId2" Type="http://schemas.microsoft.com/office/2011/relationships/chartStyle" Target="style33.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18.xml.rels><?xml version="1.0" encoding="UTF-8" standalone="yes"?>
<Relationships xmlns="http://schemas.openxmlformats.org/package/2006/relationships"><Relationship Id="rId3" Type="http://schemas.microsoft.com/office/2011/relationships/chartColorStyle" Target="colors34.xml"/><Relationship Id="rId2" Type="http://schemas.microsoft.com/office/2011/relationships/chartStyle" Target="style34.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19.xml.rels><?xml version="1.0" encoding="UTF-8" standalone="yes"?>
<Relationships xmlns="http://schemas.openxmlformats.org/package/2006/relationships"><Relationship Id="rId3" Type="http://schemas.microsoft.com/office/2011/relationships/chartColorStyle" Target="colors35.xml"/><Relationship Id="rId2" Type="http://schemas.microsoft.com/office/2011/relationships/chartStyle" Target="style35.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2.xml.rels><?xml version="1.0" encoding="UTF-8" standalone="yes"?>
<Relationships xmlns="http://schemas.openxmlformats.org/package/2006/relationships"><Relationship Id="rId3" Type="http://schemas.microsoft.com/office/2011/relationships/chartColorStyle" Target="colors18.xml"/><Relationship Id="rId2" Type="http://schemas.microsoft.com/office/2011/relationships/chartStyle" Target="style18.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20.xml.rels><?xml version="1.0" encoding="UTF-8" standalone="yes"?>
<Relationships xmlns="http://schemas.openxmlformats.org/package/2006/relationships"><Relationship Id="rId3" Type="http://schemas.microsoft.com/office/2011/relationships/chartColorStyle" Target="colors36.xml"/><Relationship Id="rId2" Type="http://schemas.microsoft.com/office/2011/relationships/chartStyle" Target="style36.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21.xml.rels><?xml version="1.0" encoding="UTF-8" standalone="yes"?>
<Relationships xmlns="http://schemas.openxmlformats.org/package/2006/relationships"><Relationship Id="rId3" Type="http://schemas.microsoft.com/office/2011/relationships/chartColorStyle" Target="colors37.xml"/><Relationship Id="rId2" Type="http://schemas.microsoft.com/office/2011/relationships/chartStyle" Target="style37.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22.xml.rels><?xml version="1.0" encoding="UTF-8" standalone="yes"?>
<Relationships xmlns="http://schemas.openxmlformats.org/package/2006/relationships"><Relationship Id="rId3" Type="http://schemas.microsoft.com/office/2011/relationships/chartColorStyle" Target="colors38.xml"/><Relationship Id="rId2" Type="http://schemas.microsoft.com/office/2011/relationships/chartStyle" Target="style38.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23.xml.rels><?xml version="1.0" encoding="UTF-8" standalone="yes"?>
<Relationships xmlns="http://schemas.openxmlformats.org/package/2006/relationships"><Relationship Id="rId3" Type="http://schemas.microsoft.com/office/2011/relationships/chartColorStyle" Target="colors39.xml"/><Relationship Id="rId2" Type="http://schemas.microsoft.com/office/2011/relationships/chartStyle" Target="style39.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24.xml.rels><?xml version="1.0" encoding="UTF-8" standalone="yes"?>
<Relationships xmlns="http://schemas.openxmlformats.org/package/2006/relationships"><Relationship Id="rId3" Type="http://schemas.microsoft.com/office/2011/relationships/chartColorStyle" Target="colors40.xml"/><Relationship Id="rId2" Type="http://schemas.microsoft.com/office/2011/relationships/chartStyle" Target="style40.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25.xml.rels><?xml version="1.0" encoding="UTF-8" standalone="yes"?>
<Relationships xmlns="http://schemas.openxmlformats.org/package/2006/relationships"><Relationship Id="rId3" Type="http://schemas.microsoft.com/office/2011/relationships/chartColorStyle" Target="colors41.xml"/><Relationship Id="rId2" Type="http://schemas.microsoft.com/office/2011/relationships/chartStyle" Target="style41.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26.xml.rels><?xml version="1.0" encoding="UTF-8" standalone="yes"?>
<Relationships xmlns="http://schemas.openxmlformats.org/package/2006/relationships"><Relationship Id="rId3" Type="http://schemas.microsoft.com/office/2011/relationships/chartColorStyle" Target="colors42.xml"/><Relationship Id="rId2" Type="http://schemas.microsoft.com/office/2011/relationships/chartStyle" Target="style42.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27.xml.rels><?xml version="1.0" encoding="UTF-8" standalone="yes"?>
<Relationships xmlns="http://schemas.openxmlformats.org/package/2006/relationships"><Relationship Id="rId3" Type="http://schemas.microsoft.com/office/2011/relationships/chartColorStyle" Target="colors43.xml"/><Relationship Id="rId2" Type="http://schemas.microsoft.com/office/2011/relationships/chartStyle" Target="style43.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28.xml.rels><?xml version="1.0" encoding="UTF-8" standalone="yes"?>
<Relationships xmlns="http://schemas.openxmlformats.org/package/2006/relationships"><Relationship Id="rId3" Type="http://schemas.microsoft.com/office/2011/relationships/chartColorStyle" Target="colors44.xml"/><Relationship Id="rId2" Type="http://schemas.microsoft.com/office/2011/relationships/chartStyle" Target="style44.xml"/><Relationship Id="rId1" Type="http://schemas.openxmlformats.org/officeDocument/2006/relationships/oleObject" Target="file:///C:\Users\HP\Desktop\28.01.2023\10.12.2022%20&#1089;%20&#1085;&#1086;&#1091;&#1090;&#1072;%20&#1053;&#1056;\29.10.2022%20&#1076;&#1086;&#1082;&#1091;&#1084;&#1077;&#1085;&#1090;&#1099;\27.04.2022\&#1044;&#1080;&#1089;&#1089;&#1077;&#1088;&#1090;&#1072;&#1094;&#1080;&#1103;%20&#1087;&#1086;%20&#1075;&#1083;&#1072;&#1074;&#1072;&#1084;\&#1053;&#1086;&#1074;&#1072;&#1103;%20&#1087;&#1072;&#1087;&#1082;&#1072;\&#1050;%20&#1079;&#1072;&#1085;&#1103;&#1090;&#1080;&#1102;%209%20&#1050;&#1056;&#1056;.xlsx" TargetMode="External"/></Relationships>
</file>

<file path=word/charts/_rels/chartEx29.xml.rels><?xml version="1.0" encoding="UTF-8" standalone="yes"?>
<Relationships xmlns="http://schemas.openxmlformats.org/package/2006/relationships"><Relationship Id="rId3" Type="http://schemas.microsoft.com/office/2011/relationships/chartColorStyle" Target="colors45.xml"/><Relationship Id="rId2" Type="http://schemas.microsoft.com/office/2011/relationships/chartStyle" Target="style45.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3.xml.rels><?xml version="1.0" encoding="UTF-8" standalone="yes"?>
<Relationships xmlns="http://schemas.openxmlformats.org/package/2006/relationships"><Relationship Id="rId3" Type="http://schemas.microsoft.com/office/2011/relationships/chartColorStyle" Target="colors19.xml"/><Relationship Id="rId2" Type="http://schemas.microsoft.com/office/2011/relationships/chartStyle" Target="style19.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30.xml.rels><?xml version="1.0" encoding="UTF-8" standalone="yes"?>
<Relationships xmlns="http://schemas.openxmlformats.org/package/2006/relationships"><Relationship Id="rId3" Type="http://schemas.microsoft.com/office/2011/relationships/chartColorStyle" Target="colors46.xml"/><Relationship Id="rId2" Type="http://schemas.microsoft.com/office/2011/relationships/chartStyle" Target="style46.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31.xml.rels><?xml version="1.0" encoding="UTF-8" standalone="yes"?>
<Relationships xmlns="http://schemas.openxmlformats.org/package/2006/relationships"><Relationship Id="rId3" Type="http://schemas.microsoft.com/office/2011/relationships/chartColorStyle" Target="colors47.xml"/><Relationship Id="rId2" Type="http://schemas.microsoft.com/office/2011/relationships/chartStyle" Target="style47.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32.xml.rels><?xml version="1.0" encoding="UTF-8" standalone="yes"?>
<Relationships xmlns="http://schemas.openxmlformats.org/package/2006/relationships"><Relationship Id="rId3" Type="http://schemas.microsoft.com/office/2011/relationships/chartColorStyle" Target="colors48.xml"/><Relationship Id="rId2" Type="http://schemas.microsoft.com/office/2011/relationships/chartStyle" Target="style48.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33.xml.rels><?xml version="1.0" encoding="UTF-8" standalone="yes"?>
<Relationships xmlns="http://schemas.openxmlformats.org/package/2006/relationships"><Relationship Id="rId3" Type="http://schemas.microsoft.com/office/2011/relationships/chartColorStyle" Target="colors49.xml"/><Relationship Id="rId2" Type="http://schemas.microsoft.com/office/2011/relationships/chartStyle" Target="style49.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34.xml.rels><?xml version="1.0" encoding="UTF-8" standalone="yes"?>
<Relationships xmlns="http://schemas.openxmlformats.org/package/2006/relationships"><Relationship Id="rId3" Type="http://schemas.microsoft.com/office/2011/relationships/chartColorStyle" Target="colors50.xml"/><Relationship Id="rId2" Type="http://schemas.microsoft.com/office/2011/relationships/chartStyle" Target="style50.xml"/><Relationship Id="rId1" Type="http://schemas.openxmlformats.org/officeDocument/2006/relationships/oleObject" Target="file:///C:\Users\HP\Desktop\28.01.2023\10.12.2022%20&#1089;%20&#1085;&#1086;&#1091;&#1090;&#1072;%20&#1053;&#1056;\29.10.2022%20&#1076;&#1086;&#1082;&#1091;&#1084;&#1077;&#1085;&#1090;&#1099;\27.04.2022\&#1044;&#1080;&#1089;&#1089;&#1077;&#1088;&#1090;&#1072;&#1094;&#1080;&#1103;%20&#1087;&#1086;%20&#1075;&#1083;&#1072;&#1074;&#1072;&#1084;\&#1053;&#1086;&#1074;&#1072;&#1103;%20&#1087;&#1072;&#1087;&#1082;&#1072;\&#1050;%20&#1079;&#1072;&#1085;&#1103;&#1090;&#1080;&#1102;%209%20&#1050;&#1056;&#1056;.xlsx" TargetMode="External"/></Relationships>
</file>

<file path=word/charts/_rels/chartEx35.xml.rels><?xml version="1.0" encoding="UTF-8" standalone="yes"?>
<Relationships xmlns="http://schemas.openxmlformats.org/package/2006/relationships"><Relationship Id="rId3" Type="http://schemas.microsoft.com/office/2011/relationships/chartColorStyle" Target="colors51.xml"/><Relationship Id="rId2" Type="http://schemas.microsoft.com/office/2011/relationships/chartStyle" Target="style51.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36.xml.rels><?xml version="1.0" encoding="UTF-8" standalone="yes"?>
<Relationships xmlns="http://schemas.openxmlformats.org/package/2006/relationships"><Relationship Id="rId3" Type="http://schemas.microsoft.com/office/2011/relationships/chartColorStyle" Target="colors52.xml"/><Relationship Id="rId2" Type="http://schemas.microsoft.com/office/2011/relationships/chartStyle" Target="style52.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37.xml.rels><?xml version="1.0" encoding="UTF-8" standalone="yes"?>
<Relationships xmlns="http://schemas.openxmlformats.org/package/2006/relationships"><Relationship Id="rId3" Type="http://schemas.microsoft.com/office/2011/relationships/chartColorStyle" Target="colors53.xml"/><Relationship Id="rId2" Type="http://schemas.microsoft.com/office/2011/relationships/chartStyle" Target="style53.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38.xml.rels><?xml version="1.0" encoding="UTF-8" standalone="yes"?>
<Relationships xmlns="http://schemas.openxmlformats.org/package/2006/relationships"><Relationship Id="rId3" Type="http://schemas.microsoft.com/office/2011/relationships/chartColorStyle" Target="colors63.xml"/><Relationship Id="rId2" Type="http://schemas.microsoft.com/office/2011/relationships/chartStyle" Target="style63.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39.xml.rels><?xml version="1.0" encoding="UTF-8" standalone="yes"?>
<Relationships xmlns="http://schemas.openxmlformats.org/package/2006/relationships"><Relationship Id="rId3" Type="http://schemas.microsoft.com/office/2011/relationships/chartColorStyle" Target="colors64.xml"/><Relationship Id="rId2" Type="http://schemas.microsoft.com/office/2011/relationships/chartStyle" Target="style64.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4.xml.rels><?xml version="1.0" encoding="UTF-8" standalone="yes"?>
<Relationships xmlns="http://schemas.openxmlformats.org/package/2006/relationships"><Relationship Id="rId3" Type="http://schemas.microsoft.com/office/2011/relationships/chartColorStyle" Target="colors20.xml"/><Relationship Id="rId2" Type="http://schemas.microsoft.com/office/2011/relationships/chartStyle" Target="style20.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40.xml.rels><?xml version="1.0" encoding="UTF-8" standalone="yes"?>
<Relationships xmlns="http://schemas.openxmlformats.org/package/2006/relationships"><Relationship Id="rId3" Type="http://schemas.microsoft.com/office/2011/relationships/chartColorStyle" Target="colors65.xml"/><Relationship Id="rId2" Type="http://schemas.microsoft.com/office/2011/relationships/chartStyle" Target="style65.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41.xml.rels><?xml version="1.0" encoding="UTF-8" standalone="yes"?>
<Relationships xmlns="http://schemas.openxmlformats.org/package/2006/relationships"><Relationship Id="rId3" Type="http://schemas.microsoft.com/office/2011/relationships/chartColorStyle" Target="colors66.xml"/><Relationship Id="rId2" Type="http://schemas.microsoft.com/office/2011/relationships/chartStyle" Target="style66.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42.xml.rels><?xml version="1.0" encoding="UTF-8" standalone="yes"?>
<Relationships xmlns="http://schemas.openxmlformats.org/package/2006/relationships"><Relationship Id="rId3" Type="http://schemas.microsoft.com/office/2011/relationships/chartColorStyle" Target="colors67.xml"/><Relationship Id="rId2" Type="http://schemas.microsoft.com/office/2011/relationships/chartStyle" Target="style67.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43.xml.rels><?xml version="1.0" encoding="UTF-8" standalone="yes"?>
<Relationships xmlns="http://schemas.openxmlformats.org/package/2006/relationships"><Relationship Id="rId3" Type="http://schemas.microsoft.com/office/2011/relationships/chartColorStyle" Target="colors68.xml"/><Relationship Id="rId2" Type="http://schemas.microsoft.com/office/2011/relationships/chartStyle" Target="style68.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44.xml.rels><?xml version="1.0" encoding="UTF-8" standalone="yes"?>
<Relationships xmlns="http://schemas.openxmlformats.org/package/2006/relationships"><Relationship Id="rId3" Type="http://schemas.microsoft.com/office/2011/relationships/chartColorStyle" Target="colors69.xml"/><Relationship Id="rId2" Type="http://schemas.microsoft.com/office/2011/relationships/chartStyle" Target="style69.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45.xml.rels><?xml version="1.0" encoding="UTF-8" standalone="yes"?>
<Relationships xmlns="http://schemas.openxmlformats.org/package/2006/relationships"><Relationship Id="rId3" Type="http://schemas.microsoft.com/office/2011/relationships/chartColorStyle" Target="colors70.xml"/><Relationship Id="rId2" Type="http://schemas.microsoft.com/office/2011/relationships/chartStyle" Target="style70.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46.xml.rels><?xml version="1.0" encoding="UTF-8" standalone="yes"?>
<Relationships xmlns="http://schemas.openxmlformats.org/package/2006/relationships"><Relationship Id="rId3" Type="http://schemas.microsoft.com/office/2011/relationships/chartColorStyle" Target="colors71.xml"/><Relationship Id="rId2" Type="http://schemas.microsoft.com/office/2011/relationships/chartStyle" Target="style71.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47.xml.rels><?xml version="1.0" encoding="UTF-8" standalone="yes"?>
<Relationships xmlns="http://schemas.openxmlformats.org/package/2006/relationships"><Relationship Id="rId3" Type="http://schemas.microsoft.com/office/2011/relationships/chartColorStyle" Target="colors72.xml"/><Relationship Id="rId2" Type="http://schemas.microsoft.com/office/2011/relationships/chartStyle" Target="style72.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48.xml.rels><?xml version="1.0" encoding="UTF-8" standalone="yes"?>
<Relationships xmlns="http://schemas.openxmlformats.org/package/2006/relationships"><Relationship Id="rId3" Type="http://schemas.microsoft.com/office/2011/relationships/chartColorStyle" Target="colors73.xml"/><Relationship Id="rId2" Type="http://schemas.microsoft.com/office/2011/relationships/chartStyle" Target="style73.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49.xml.rels><?xml version="1.0" encoding="UTF-8" standalone="yes"?>
<Relationships xmlns="http://schemas.openxmlformats.org/package/2006/relationships"><Relationship Id="rId3" Type="http://schemas.microsoft.com/office/2011/relationships/chartColorStyle" Target="colors74.xml"/><Relationship Id="rId2" Type="http://schemas.microsoft.com/office/2011/relationships/chartStyle" Target="style74.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5.xml.rels><?xml version="1.0" encoding="UTF-8" standalone="yes"?>
<Relationships xmlns="http://schemas.openxmlformats.org/package/2006/relationships"><Relationship Id="rId3" Type="http://schemas.microsoft.com/office/2011/relationships/chartColorStyle" Target="colors21.xml"/><Relationship Id="rId2" Type="http://schemas.microsoft.com/office/2011/relationships/chartStyle" Target="style21.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50.xml.rels><?xml version="1.0" encoding="UTF-8" standalone="yes"?>
<Relationships xmlns="http://schemas.openxmlformats.org/package/2006/relationships"><Relationship Id="rId3" Type="http://schemas.microsoft.com/office/2011/relationships/chartColorStyle" Target="colors75.xml"/><Relationship Id="rId2" Type="http://schemas.microsoft.com/office/2011/relationships/chartStyle" Target="style75.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51.xml.rels><?xml version="1.0" encoding="UTF-8" standalone="yes"?>
<Relationships xmlns="http://schemas.openxmlformats.org/package/2006/relationships"><Relationship Id="rId3" Type="http://schemas.microsoft.com/office/2011/relationships/chartColorStyle" Target="colors76.xml"/><Relationship Id="rId2" Type="http://schemas.microsoft.com/office/2011/relationships/chartStyle" Target="style76.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52.xml.rels><?xml version="1.0" encoding="UTF-8" standalone="yes"?>
<Relationships xmlns="http://schemas.openxmlformats.org/package/2006/relationships"><Relationship Id="rId3" Type="http://schemas.microsoft.com/office/2011/relationships/chartColorStyle" Target="colors77.xml"/><Relationship Id="rId2" Type="http://schemas.microsoft.com/office/2011/relationships/chartStyle" Target="style77.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53.xml.rels><?xml version="1.0" encoding="UTF-8" standalone="yes"?>
<Relationships xmlns="http://schemas.openxmlformats.org/package/2006/relationships"><Relationship Id="rId3" Type="http://schemas.microsoft.com/office/2011/relationships/chartColorStyle" Target="colors78.xml"/><Relationship Id="rId2" Type="http://schemas.microsoft.com/office/2011/relationships/chartStyle" Target="style78.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54.xml.rels><?xml version="1.0" encoding="UTF-8" standalone="yes"?>
<Relationships xmlns="http://schemas.openxmlformats.org/package/2006/relationships"><Relationship Id="rId3" Type="http://schemas.microsoft.com/office/2011/relationships/chartColorStyle" Target="colors79.xml"/><Relationship Id="rId2" Type="http://schemas.microsoft.com/office/2011/relationships/chartStyle" Target="style79.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55.xml.rels><?xml version="1.0" encoding="UTF-8" standalone="yes"?>
<Relationships xmlns="http://schemas.openxmlformats.org/package/2006/relationships"><Relationship Id="rId3" Type="http://schemas.microsoft.com/office/2011/relationships/chartColorStyle" Target="colors80.xml"/><Relationship Id="rId2" Type="http://schemas.microsoft.com/office/2011/relationships/chartStyle" Target="style80.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56.xml.rels><?xml version="1.0" encoding="UTF-8" standalone="yes"?>
<Relationships xmlns="http://schemas.openxmlformats.org/package/2006/relationships"><Relationship Id="rId3" Type="http://schemas.microsoft.com/office/2011/relationships/chartColorStyle" Target="colors81.xml"/><Relationship Id="rId2" Type="http://schemas.microsoft.com/office/2011/relationships/chartStyle" Target="style81.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57.xml.rels><?xml version="1.0" encoding="UTF-8" standalone="yes"?>
<Relationships xmlns="http://schemas.openxmlformats.org/package/2006/relationships"><Relationship Id="rId3" Type="http://schemas.microsoft.com/office/2011/relationships/chartColorStyle" Target="colors82.xml"/><Relationship Id="rId2" Type="http://schemas.microsoft.com/office/2011/relationships/chartStyle" Target="style82.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58.xml.rels><?xml version="1.0" encoding="UTF-8" standalone="yes"?>
<Relationships xmlns="http://schemas.openxmlformats.org/package/2006/relationships"><Relationship Id="rId3" Type="http://schemas.microsoft.com/office/2011/relationships/chartColorStyle" Target="colors83.xml"/><Relationship Id="rId2" Type="http://schemas.microsoft.com/office/2011/relationships/chartStyle" Target="style83.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59.xml.rels><?xml version="1.0" encoding="UTF-8" standalone="yes"?>
<Relationships xmlns="http://schemas.openxmlformats.org/package/2006/relationships"><Relationship Id="rId3" Type="http://schemas.microsoft.com/office/2011/relationships/chartColorStyle" Target="colors84.xml"/><Relationship Id="rId2" Type="http://schemas.microsoft.com/office/2011/relationships/chartStyle" Target="style84.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6.xml.rels><?xml version="1.0" encoding="UTF-8" standalone="yes"?>
<Relationships xmlns="http://schemas.openxmlformats.org/package/2006/relationships"><Relationship Id="rId3" Type="http://schemas.microsoft.com/office/2011/relationships/chartColorStyle" Target="colors22.xml"/><Relationship Id="rId2" Type="http://schemas.microsoft.com/office/2011/relationships/chartStyle" Target="style22.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60.xml.rels><?xml version="1.0" encoding="UTF-8" standalone="yes"?>
<Relationships xmlns="http://schemas.openxmlformats.org/package/2006/relationships"><Relationship Id="rId3" Type="http://schemas.microsoft.com/office/2011/relationships/chartColorStyle" Target="colors85.xml"/><Relationship Id="rId2" Type="http://schemas.microsoft.com/office/2011/relationships/chartStyle" Target="style85.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61.xml.rels><?xml version="1.0" encoding="UTF-8" standalone="yes"?>
<Relationships xmlns="http://schemas.openxmlformats.org/package/2006/relationships"><Relationship Id="rId3" Type="http://schemas.microsoft.com/office/2011/relationships/chartColorStyle" Target="colors86.xml"/><Relationship Id="rId2" Type="http://schemas.microsoft.com/office/2011/relationships/chartStyle" Target="style86.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62.xml.rels><?xml version="1.0" encoding="UTF-8" standalone="yes"?>
<Relationships xmlns="http://schemas.openxmlformats.org/package/2006/relationships"><Relationship Id="rId3" Type="http://schemas.microsoft.com/office/2011/relationships/chartColorStyle" Target="colors87.xml"/><Relationship Id="rId2" Type="http://schemas.microsoft.com/office/2011/relationships/chartStyle" Target="style87.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63.xml.rels><?xml version="1.0" encoding="UTF-8" standalone="yes"?>
<Relationships xmlns="http://schemas.openxmlformats.org/package/2006/relationships"><Relationship Id="rId3" Type="http://schemas.microsoft.com/office/2011/relationships/chartColorStyle" Target="colors88.xml"/><Relationship Id="rId2" Type="http://schemas.microsoft.com/office/2011/relationships/chartStyle" Target="style88.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64.xml.rels><?xml version="1.0" encoding="UTF-8" standalone="yes"?>
<Relationships xmlns="http://schemas.openxmlformats.org/package/2006/relationships"><Relationship Id="rId3" Type="http://schemas.microsoft.com/office/2011/relationships/chartColorStyle" Target="colors89.xml"/><Relationship Id="rId2" Type="http://schemas.microsoft.com/office/2011/relationships/chartStyle" Target="style89.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65.xml.rels><?xml version="1.0" encoding="UTF-8" standalone="yes"?>
<Relationships xmlns="http://schemas.openxmlformats.org/package/2006/relationships"><Relationship Id="rId3" Type="http://schemas.microsoft.com/office/2011/relationships/chartColorStyle" Target="colors90.xml"/><Relationship Id="rId2" Type="http://schemas.microsoft.com/office/2011/relationships/chartStyle" Target="style90.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66.xml.rels><?xml version="1.0" encoding="UTF-8" standalone="yes"?>
<Relationships xmlns="http://schemas.openxmlformats.org/package/2006/relationships"><Relationship Id="rId3" Type="http://schemas.microsoft.com/office/2011/relationships/chartColorStyle" Target="colors91.xml"/><Relationship Id="rId2" Type="http://schemas.microsoft.com/office/2011/relationships/chartStyle" Target="style91.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67.xml.rels><?xml version="1.0" encoding="UTF-8" standalone="yes"?>
<Relationships xmlns="http://schemas.openxmlformats.org/package/2006/relationships"><Relationship Id="rId3" Type="http://schemas.microsoft.com/office/2011/relationships/chartColorStyle" Target="colors92.xml"/><Relationship Id="rId2" Type="http://schemas.microsoft.com/office/2011/relationships/chartStyle" Target="style92.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68.xml.rels><?xml version="1.0" encoding="UTF-8" standalone="yes"?>
<Relationships xmlns="http://schemas.openxmlformats.org/package/2006/relationships"><Relationship Id="rId3" Type="http://schemas.microsoft.com/office/2011/relationships/chartColorStyle" Target="colors93.xml"/><Relationship Id="rId2" Type="http://schemas.microsoft.com/office/2011/relationships/chartStyle" Target="style93.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69.xml.rels><?xml version="1.0" encoding="UTF-8" standalone="yes"?>
<Relationships xmlns="http://schemas.openxmlformats.org/package/2006/relationships"><Relationship Id="rId3" Type="http://schemas.microsoft.com/office/2011/relationships/chartColorStyle" Target="colors94.xml"/><Relationship Id="rId2" Type="http://schemas.microsoft.com/office/2011/relationships/chartStyle" Target="style94.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7.xml.rels><?xml version="1.0" encoding="UTF-8" standalone="yes"?>
<Relationships xmlns="http://schemas.openxmlformats.org/package/2006/relationships"><Relationship Id="rId3" Type="http://schemas.microsoft.com/office/2011/relationships/chartColorStyle" Target="colors23.xml"/><Relationship Id="rId2" Type="http://schemas.microsoft.com/office/2011/relationships/chartStyle" Target="style23.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70.xml.rels><?xml version="1.0" encoding="UTF-8" standalone="yes"?>
<Relationships xmlns="http://schemas.openxmlformats.org/package/2006/relationships"><Relationship Id="rId3" Type="http://schemas.microsoft.com/office/2011/relationships/chartColorStyle" Target="colors95.xml"/><Relationship Id="rId2" Type="http://schemas.microsoft.com/office/2011/relationships/chartStyle" Target="style95.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71.xml.rels><?xml version="1.0" encoding="UTF-8" standalone="yes"?>
<Relationships xmlns="http://schemas.openxmlformats.org/package/2006/relationships"><Relationship Id="rId3" Type="http://schemas.microsoft.com/office/2011/relationships/chartColorStyle" Target="colors96.xml"/><Relationship Id="rId2" Type="http://schemas.microsoft.com/office/2011/relationships/chartStyle" Target="style96.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72.xml.rels><?xml version="1.0" encoding="UTF-8" standalone="yes"?>
<Relationships xmlns="http://schemas.openxmlformats.org/package/2006/relationships"><Relationship Id="rId3" Type="http://schemas.microsoft.com/office/2011/relationships/chartColorStyle" Target="colors97.xml"/><Relationship Id="rId2" Type="http://schemas.microsoft.com/office/2011/relationships/chartStyle" Target="style97.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73.xml.rels><?xml version="1.0" encoding="UTF-8" standalone="yes"?>
<Relationships xmlns="http://schemas.openxmlformats.org/package/2006/relationships"><Relationship Id="rId3" Type="http://schemas.microsoft.com/office/2011/relationships/chartColorStyle" Target="colors98.xml"/><Relationship Id="rId2" Type="http://schemas.microsoft.com/office/2011/relationships/chartStyle" Target="style98.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74.xml.rels><?xml version="1.0" encoding="UTF-8" standalone="yes"?>
<Relationships xmlns="http://schemas.openxmlformats.org/package/2006/relationships"><Relationship Id="rId3" Type="http://schemas.microsoft.com/office/2011/relationships/chartColorStyle" Target="colors99.xml"/><Relationship Id="rId2" Type="http://schemas.microsoft.com/office/2011/relationships/chartStyle" Target="style99.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75.xml.rels><?xml version="1.0" encoding="UTF-8" standalone="yes"?>
<Relationships xmlns="http://schemas.openxmlformats.org/package/2006/relationships"><Relationship Id="rId3" Type="http://schemas.microsoft.com/office/2011/relationships/chartColorStyle" Target="colors100.xml"/><Relationship Id="rId2" Type="http://schemas.microsoft.com/office/2011/relationships/chartStyle" Target="style100.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76.xml.rels><?xml version="1.0" encoding="UTF-8" standalone="yes"?>
<Relationships xmlns="http://schemas.openxmlformats.org/package/2006/relationships"><Relationship Id="rId3" Type="http://schemas.microsoft.com/office/2011/relationships/chartColorStyle" Target="colors101.xml"/><Relationship Id="rId2" Type="http://schemas.microsoft.com/office/2011/relationships/chartStyle" Target="style101.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77.xml.rels><?xml version="1.0" encoding="UTF-8" standalone="yes"?>
<Relationships xmlns="http://schemas.openxmlformats.org/package/2006/relationships"><Relationship Id="rId3" Type="http://schemas.microsoft.com/office/2011/relationships/chartColorStyle" Target="colors102.xml"/><Relationship Id="rId2" Type="http://schemas.microsoft.com/office/2011/relationships/chartStyle" Target="style102.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78.xml.rels><?xml version="1.0" encoding="UTF-8" standalone="yes"?>
<Relationships xmlns="http://schemas.openxmlformats.org/package/2006/relationships"><Relationship Id="rId3" Type="http://schemas.microsoft.com/office/2011/relationships/chartColorStyle" Target="colors103.xml"/><Relationship Id="rId2" Type="http://schemas.microsoft.com/office/2011/relationships/chartStyle" Target="style103.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79.xml.rels><?xml version="1.0" encoding="UTF-8" standalone="yes"?>
<Relationships xmlns="http://schemas.openxmlformats.org/package/2006/relationships"><Relationship Id="rId3" Type="http://schemas.microsoft.com/office/2011/relationships/chartColorStyle" Target="colors104.xml"/><Relationship Id="rId2" Type="http://schemas.microsoft.com/office/2011/relationships/chartStyle" Target="style104.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8.xml.rels><?xml version="1.0" encoding="UTF-8" standalone="yes"?>
<Relationships xmlns="http://schemas.openxmlformats.org/package/2006/relationships"><Relationship Id="rId3" Type="http://schemas.microsoft.com/office/2011/relationships/chartColorStyle" Target="colors24.xml"/><Relationship Id="rId2" Type="http://schemas.microsoft.com/office/2011/relationships/chartStyle" Target="style24.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80.xml.rels><?xml version="1.0" encoding="UTF-8" standalone="yes"?>
<Relationships xmlns="http://schemas.openxmlformats.org/package/2006/relationships"><Relationship Id="rId3" Type="http://schemas.microsoft.com/office/2011/relationships/chartColorStyle" Target="colors105.xml"/><Relationship Id="rId2" Type="http://schemas.microsoft.com/office/2011/relationships/chartStyle" Target="style105.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81.xml.rels><?xml version="1.0" encoding="UTF-8" standalone="yes"?>
<Relationships xmlns="http://schemas.openxmlformats.org/package/2006/relationships"><Relationship Id="rId3" Type="http://schemas.microsoft.com/office/2011/relationships/chartColorStyle" Target="colors106.xml"/><Relationship Id="rId2" Type="http://schemas.microsoft.com/office/2011/relationships/chartStyle" Target="style106.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82.xml.rels><?xml version="1.0" encoding="UTF-8" standalone="yes"?>
<Relationships xmlns="http://schemas.openxmlformats.org/package/2006/relationships"><Relationship Id="rId3" Type="http://schemas.microsoft.com/office/2011/relationships/chartColorStyle" Target="colors107.xml"/><Relationship Id="rId2" Type="http://schemas.microsoft.com/office/2011/relationships/chartStyle" Target="style107.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83.xml.rels><?xml version="1.0" encoding="UTF-8" standalone="yes"?>
<Relationships xmlns="http://schemas.openxmlformats.org/package/2006/relationships"><Relationship Id="rId3" Type="http://schemas.microsoft.com/office/2011/relationships/chartColorStyle" Target="colors108.xml"/><Relationship Id="rId2" Type="http://schemas.microsoft.com/office/2011/relationships/chartStyle" Target="style108.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84.xml.rels><?xml version="1.0" encoding="UTF-8" standalone="yes"?>
<Relationships xmlns="http://schemas.openxmlformats.org/package/2006/relationships"><Relationship Id="rId3" Type="http://schemas.microsoft.com/office/2011/relationships/chartColorStyle" Target="colors109.xml"/><Relationship Id="rId2" Type="http://schemas.microsoft.com/office/2011/relationships/chartStyle" Target="style109.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85.xml.rels><?xml version="1.0" encoding="UTF-8" standalone="yes"?>
<Relationships xmlns="http://schemas.openxmlformats.org/package/2006/relationships"><Relationship Id="rId3" Type="http://schemas.microsoft.com/office/2011/relationships/chartColorStyle" Target="colors110.xml"/><Relationship Id="rId2" Type="http://schemas.microsoft.com/office/2011/relationships/chartStyle" Target="style110.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86.xml.rels><?xml version="1.0" encoding="UTF-8" standalone="yes"?>
<Relationships xmlns="http://schemas.openxmlformats.org/package/2006/relationships"><Relationship Id="rId3" Type="http://schemas.microsoft.com/office/2011/relationships/chartColorStyle" Target="colors111.xml"/><Relationship Id="rId2" Type="http://schemas.microsoft.com/office/2011/relationships/chartStyle" Target="style111.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87.xml.rels><?xml version="1.0" encoding="UTF-8" standalone="yes"?>
<Relationships xmlns="http://schemas.openxmlformats.org/package/2006/relationships"><Relationship Id="rId3" Type="http://schemas.microsoft.com/office/2011/relationships/chartColorStyle" Target="colors112.xml"/><Relationship Id="rId2" Type="http://schemas.microsoft.com/office/2011/relationships/chartStyle" Target="style112.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88.xml.rels><?xml version="1.0" encoding="UTF-8" standalone="yes"?>
<Relationships xmlns="http://schemas.openxmlformats.org/package/2006/relationships"><Relationship Id="rId3" Type="http://schemas.microsoft.com/office/2011/relationships/chartColorStyle" Target="colors113.xml"/><Relationship Id="rId2" Type="http://schemas.microsoft.com/office/2011/relationships/chartStyle" Target="style113.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89.xml.rels><?xml version="1.0" encoding="UTF-8" standalone="yes"?>
<Relationships xmlns="http://schemas.openxmlformats.org/package/2006/relationships"><Relationship Id="rId3" Type="http://schemas.microsoft.com/office/2011/relationships/chartColorStyle" Target="colors114.xml"/><Relationship Id="rId2" Type="http://schemas.microsoft.com/office/2011/relationships/chartStyle" Target="style114.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9.xml.rels><?xml version="1.0" encoding="UTF-8" standalone="yes"?>
<Relationships xmlns="http://schemas.openxmlformats.org/package/2006/relationships"><Relationship Id="rId3" Type="http://schemas.microsoft.com/office/2011/relationships/chartColorStyle" Target="colors25.xml"/><Relationship Id="rId2" Type="http://schemas.microsoft.com/office/2011/relationships/chartStyle" Target="style25.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90.xml.rels><?xml version="1.0" encoding="UTF-8" standalone="yes"?>
<Relationships xmlns="http://schemas.openxmlformats.org/package/2006/relationships"><Relationship Id="rId3" Type="http://schemas.microsoft.com/office/2011/relationships/chartColorStyle" Target="colors115.xml"/><Relationship Id="rId2" Type="http://schemas.microsoft.com/office/2011/relationships/chartStyle" Target="style115.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91.xml.rels><?xml version="1.0" encoding="UTF-8" standalone="yes"?>
<Relationships xmlns="http://schemas.openxmlformats.org/package/2006/relationships"><Relationship Id="rId3" Type="http://schemas.microsoft.com/office/2011/relationships/chartColorStyle" Target="colors116.xml"/><Relationship Id="rId2" Type="http://schemas.microsoft.com/office/2011/relationships/chartStyle" Target="style116.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92.xml.rels><?xml version="1.0" encoding="UTF-8" standalone="yes"?>
<Relationships xmlns="http://schemas.openxmlformats.org/package/2006/relationships"><Relationship Id="rId3" Type="http://schemas.microsoft.com/office/2011/relationships/chartColorStyle" Target="colors117.xml"/><Relationship Id="rId2" Type="http://schemas.microsoft.com/office/2011/relationships/chartStyle" Target="style117.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93.xml.rels><?xml version="1.0" encoding="UTF-8" standalone="yes"?>
<Relationships xmlns="http://schemas.openxmlformats.org/package/2006/relationships"><Relationship Id="rId3" Type="http://schemas.microsoft.com/office/2011/relationships/chartColorStyle" Target="colors118.xml"/><Relationship Id="rId2" Type="http://schemas.microsoft.com/office/2011/relationships/chartStyle" Target="style118.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94.xml.rels><?xml version="1.0" encoding="UTF-8" standalone="yes"?>
<Relationships xmlns="http://schemas.openxmlformats.org/package/2006/relationships"><Relationship Id="rId3" Type="http://schemas.microsoft.com/office/2011/relationships/chartColorStyle" Target="colors119.xml"/><Relationship Id="rId2" Type="http://schemas.microsoft.com/office/2011/relationships/chartStyle" Target="style119.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95.xml.rels><?xml version="1.0" encoding="UTF-8" standalone="yes"?>
<Relationships xmlns="http://schemas.openxmlformats.org/package/2006/relationships"><Relationship Id="rId3" Type="http://schemas.microsoft.com/office/2011/relationships/chartColorStyle" Target="colors120.xml"/><Relationship Id="rId2" Type="http://schemas.microsoft.com/office/2011/relationships/chartStyle" Target="style120.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96.xml.rels><?xml version="1.0" encoding="UTF-8" standalone="yes"?>
<Relationships xmlns="http://schemas.openxmlformats.org/package/2006/relationships"><Relationship Id="rId3" Type="http://schemas.microsoft.com/office/2011/relationships/chartColorStyle" Target="colors121.xml"/><Relationship Id="rId2" Type="http://schemas.microsoft.com/office/2011/relationships/chartStyle" Target="style121.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97.xml.rels><?xml version="1.0" encoding="UTF-8" standalone="yes"?>
<Relationships xmlns="http://schemas.openxmlformats.org/package/2006/relationships"><Relationship Id="rId3" Type="http://schemas.microsoft.com/office/2011/relationships/chartColorStyle" Target="colors122.xml"/><Relationship Id="rId2" Type="http://schemas.microsoft.com/office/2011/relationships/chartStyle" Target="style122.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98.xml.rels><?xml version="1.0" encoding="UTF-8" standalone="yes"?>
<Relationships xmlns="http://schemas.openxmlformats.org/package/2006/relationships"><Relationship Id="rId3" Type="http://schemas.microsoft.com/office/2011/relationships/chartColorStyle" Target="colors123.xml"/><Relationship Id="rId2" Type="http://schemas.microsoft.com/office/2011/relationships/chartStyle" Target="style123.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99.xml.rels><?xml version="1.0" encoding="UTF-8" standalone="yes"?>
<Relationships xmlns="http://schemas.openxmlformats.org/package/2006/relationships"><Relationship Id="rId3" Type="http://schemas.microsoft.com/office/2011/relationships/chartColorStyle" Target="colors124.xml"/><Relationship Id="rId2" Type="http://schemas.microsoft.com/office/2011/relationships/chartStyle" Target="style124.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РЯ!$B$1</c:f>
              <c:strCache>
                <c:ptCount val="1"/>
                <c:pt idx="0">
                  <c:v>Возраст</c:v>
                </c:pt>
              </c:strCache>
            </c:strRef>
          </c:tx>
          <c:spPr>
            <a:ln w="9525" cap="flat" cmpd="sng" algn="ctr">
              <a:solidFill>
                <a:schemeClr val="accent1">
                  <a:alpha val="70000"/>
                </a:schemeClr>
              </a:solidFill>
              <a:prstDash val="sysDot"/>
              <a:round/>
            </a:ln>
            <a:effectLst/>
          </c:spPr>
          <c:marker>
            <c:symbol val="circle"/>
            <c:size val="5"/>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0-0DD3-41D2-9113-BA6D81BE4FAA}"/>
                </c:ext>
              </c:extLst>
            </c:dLbl>
            <c:dLbl>
              <c:idx val="1"/>
              <c:delete val="1"/>
              <c:extLst>
                <c:ext xmlns:c15="http://schemas.microsoft.com/office/drawing/2012/chart" uri="{CE6537A1-D6FC-4f65-9D91-7224C49458BB}"/>
                <c:ext xmlns:c16="http://schemas.microsoft.com/office/drawing/2014/chart" uri="{C3380CC4-5D6E-409C-BE32-E72D297353CC}">
                  <c16:uniqueId val="{00000001-0DD3-41D2-9113-BA6D81BE4FAA}"/>
                </c:ext>
              </c:extLst>
            </c:dLbl>
            <c:dLbl>
              <c:idx val="2"/>
              <c:delete val="1"/>
              <c:extLst>
                <c:ext xmlns:c15="http://schemas.microsoft.com/office/drawing/2012/chart" uri="{CE6537A1-D6FC-4f65-9D91-7224C49458BB}"/>
                <c:ext xmlns:c16="http://schemas.microsoft.com/office/drawing/2014/chart" uri="{C3380CC4-5D6E-409C-BE32-E72D297353CC}">
                  <c16:uniqueId val="{00000002-0DD3-41D2-9113-BA6D81BE4FAA}"/>
                </c:ext>
              </c:extLst>
            </c:dLbl>
            <c:dLbl>
              <c:idx val="3"/>
              <c:delete val="1"/>
              <c:extLst>
                <c:ext xmlns:c15="http://schemas.microsoft.com/office/drawing/2012/chart" uri="{CE6537A1-D6FC-4f65-9D91-7224C49458BB}"/>
                <c:ext xmlns:c16="http://schemas.microsoft.com/office/drawing/2014/chart" uri="{C3380CC4-5D6E-409C-BE32-E72D297353CC}">
                  <c16:uniqueId val="{00000003-0DD3-41D2-9113-BA6D81BE4FAA}"/>
                </c:ext>
              </c:extLst>
            </c:dLbl>
            <c:dLbl>
              <c:idx val="4"/>
              <c:delete val="1"/>
              <c:extLst>
                <c:ext xmlns:c15="http://schemas.microsoft.com/office/drawing/2012/chart" uri="{CE6537A1-D6FC-4f65-9D91-7224C49458BB}"/>
                <c:ext xmlns:c16="http://schemas.microsoft.com/office/drawing/2014/chart" uri="{C3380CC4-5D6E-409C-BE32-E72D297353CC}">
                  <c16:uniqueId val="{00000004-0DD3-41D2-9113-BA6D81BE4FAA}"/>
                </c:ext>
              </c:extLst>
            </c:dLbl>
            <c:dLbl>
              <c:idx val="5"/>
              <c:delete val="1"/>
              <c:extLst>
                <c:ext xmlns:c15="http://schemas.microsoft.com/office/drawing/2012/chart" uri="{CE6537A1-D6FC-4f65-9D91-7224C49458BB}"/>
                <c:ext xmlns:c16="http://schemas.microsoft.com/office/drawing/2014/chart" uri="{C3380CC4-5D6E-409C-BE32-E72D297353CC}">
                  <c16:uniqueId val="{00000005-0DD3-41D2-9113-BA6D81BE4FAA}"/>
                </c:ext>
              </c:extLst>
            </c:dLbl>
            <c:dLbl>
              <c:idx val="6"/>
              <c:delete val="1"/>
              <c:extLst>
                <c:ext xmlns:c15="http://schemas.microsoft.com/office/drawing/2012/chart" uri="{CE6537A1-D6FC-4f65-9D91-7224C49458BB}"/>
                <c:ext xmlns:c16="http://schemas.microsoft.com/office/drawing/2014/chart" uri="{C3380CC4-5D6E-409C-BE32-E72D297353CC}">
                  <c16:uniqueId val="{00000006-0DD3-41D2-9113-BA6D81BE4FAA}"/>
                </c:ext>
              </c:extLst>
            </c:dLbl>
            <c:dLbl>
              <c:idx val="7"/>
              <c:delete val="1"/>
              <c:extLst>
                <c:ext xmlns:c15="http://schemas.microsoft.com/office/drawing/2012/chart" uri="{CE6537A1-D6FC-4f65-9D91-7224C49458BB}"/>
                <c:ext xmlns:c16="http://schemas.microsoft.com/office/drawing/2014/chart" uri="{C3380CC4-5D6E-409C-BE32-E72D297353CC}">
                  <c16:uniqueId val="{00000007-0DD3-41D2-9113-BA6D81BE4FAA}"/>
                </c:ext>
              </c:extLst>
            </c:dLbl>
            <c:dLbl>
              <c:idx val="8"/>
              <c:delete val="1"/>
              <c:extLst>
                <c:ext xmlns:c15="http://schemas.microsoft.com/office/drawing/2012/chart" uri="{CE6537A1-D6FC-4f65-9D91-7224C49458BB}"/>
                <c:ext xmlns:c16="http://schemas.microsoft.com/office/drawing/2014/chart" uri="{C3380CC4-5D6E-409C-BE32-E72D297353CC}">
                  <c16:uniqueId val="{00000008-0DD3-41D2-9113-BA6D81BE4FAA}"/>
                </c:ext>
              </c:extLst>
            </c:dLbl>
            <c:dLbl>
              <c:idx val="9"/>
              <c:delete val="1"/>
              <c:extLst>
                <c:ext xmlns:c15="http://schemas.microsoft.com/office/drawing/2012/chart" uri="{CE6537A1-D6FC-4f65-9D91-7224C49458BB}"/>
                <c:ext xmlns:c16="http://schemas.microsoft.com/office/drawing/2014/chart" uri="{C3380CC4-5D6E-409C-BE32-E72D297353CC}">
                  <c16:uniqueId val="{00000009-0DD3-41D2-9113-BA6D81BE4FAA}"/>
                </c:ext>
              </c:extLst>
            </c:dLbl>
            <c:dLbl>
              <c:idx val="10"/>
              <c:delete val="1"/>
              <c:extLst>
                <c:ext xmlns:c15="http://schemas.microsoft.com/office/drawing/2012/chart" uri="{CE6537A1-D6FC-4f65-9D91-7224C49458BB}"/>
                <c:ext xmlns:c16="http://schemas.microsoft.com/office/drawing/2014/chart" uri="{C3380CC4-5D6E-409C-BE32-E72D297353CC}">
                  <c16:uniqueId val="{0000000A-0DD3-41D2-9113-BA6D81BE4FAA}"/>
                </c:ext>
              </c:extLst>
            </c:dLbl>
            <c:dLbl>
              <c:idx val="11"/>
              <c:delete val="1"/>
              <c:extLst>
                <c:ext xmlns:c15="http://schemas.microsoft.com/office/drawing/2012/chart" uri="{CE6537A1-D6FC-4f65-9D91-7224C49458BB}"/>
                <c:ext xmlns:c16="http://schemas.microsoft.com/office/drawing/2014/chart" uri="{C3380CC4-5D6E-409C-BE32-E72D297353CC}">
                  <c16:uniqueId val="{0000000B-0DD3-41D2-9113-BA6D81BE4FAA}"/>
                </c:ext>
              </c:extLst>
            </c:dLbl>
            <c:dLbl>
              <c:idx val="12"/>
              <c:delete val="1"/>
              <c:extLst>
                <c:ext xmlns:c15="http://schemas.microsoft.com/office/drawing/2012/chart" uri="{CE6537A1-D6FC-4f65-9D91-7224C49458BB}"/>
                <c:ext xmlns:c16="http://schemas.microsoft.com/office/drawing/2014/chart" uri="{C3380CC4-5D6E-409C-BE32-E72D297353CC}">
                  <c16:uniqueId val="{0000000C-0DD3-41D2-9113-BA6D81BE4FAA}"/>
                </c:ext>
              </c:extLst>
            </c:dLbl>
            <c:dLbl>
              <c:idx val="13"/>
              <c:delete val="1"/>
              <c:extLst>
                <c:ext xmlns:c15="http://schemas.microsoft.com/office/drawing/2012/chart" uri="{CE6537A1-D6FC-4f65-9D91-7224C49458BB}"/>
                <c:ext xmlns:c16="http://schemas.microsoft.com/office/drawing/2014/chart" uri="{C3380CC4-5D6E-409C-BE32-E72D297353CC}">
                  <c16:uniqueId val="{0000000D-0DD3-41D2-9113-BA6D81BE4FAA}"/>
                </c:ext>
              </c:extLst>
            </c:dLbl>
            <c:dLbl>
              <c:idx val="14"/>
              <c:delete val="1"/>
              <c:extLst>
                <c:ext xmlns:c15="http://schemas.microsoft.com/office/drawing/2012/chart" uri="{CE6537A1-D6FC-4f65-9D91-7224C49458BB}"/>
                <c:ext xmlns:c16="http://schemas.microsoft.com/office/drawing/2014/chart" uri="{C3380CC4-5D6E-409C-BE32-E72D297353CC}">
                  <c16:uniqueId val="{0000000E-0DD3-41D2-9113-BA6D81BE4FAA}"/>
                </c:ext>
              </c:extLst>
            </c:dLbl>
            <c:dLbl>
              <c:idx val="15"/>
              <c:delete val="1"/>
              <c:extLst>
                <c:ext xmlns:c15="http://schemas.microsoft.com/office/drawing/2012/chart" uri="{CE6537A1-D6FC-4f65-9D91-7224C49458BB}"/>
                <c:ext xmlns:c16="http://schemas.microsoft.com/office/drawing/2014/chart" uri="{C3380CC4-5D6E-409C-BE32-E72D297353CC}">
                  <c16:uniqueId val="{0000000F-0DD3-41D2-9113-BA6D81BE4FAA}"/>
                </c:ext>
              </c:extLst>
            </c:dLbl>
            <c:dLbl>
              <c:idx val="16"/>
              <c:delete val="1"/>
              <c:extLst>
                <c:ext xmlns:c15="http://schemas.microsoft.com/office/drawing/2012/chart" uri="{CE6537A1-D6FC-4f65-9D91-7224C49458BB}"/>
                <c:ext xmlns:c16="http://schemas.microsoft.com/office/drawing/2014/chart" uri="{C3380CC4-5D6E-409C-BE32-E72D297353CC}">
                  <c16:uniqueId val="{00000010-0DD3-41D2-9113-BA6D81BE4FAA}"/>
                </c:ext>
              </c:extLst>
            </c:dLbl>
            <c:dLbl>
              <c:idx val="17"/>
              <c:delete val="1"/>
              <c:extLst>
                <c:ext xmlns:c15="http://schemas.microsoft.com/office/drawing/2012/chart" uri="{CE6537A1-D6FC-4f65-9D91-7224C49458BB}"/>
                <c:ext xmlns:c16="http://schemas.microsoft.com/office/drawing/2014/chart" uri="{C3380CC4-5D6E-409C-BE32-E72D297353CC}">
                  <c16:uniqueId val="{00000011-0DD3-41D2-9113-BA6D81BE4FAA}"/>
                </c:ext>
              </c:extLst>
            </c:dLbl>
            <c:dLbl>
              <c:idx val="19"/>
              <c:delete val="1"/>
              <c:extLst>
                <c:ext xmlns:c15="http://schemas.microsoft.com/office/drawing/2012/chart" uri="{CE6537A1-D6FC-4f65-9D91-7224C49458BB}"/>
                <c:ext xmlns:c16="http://schemas.microsoft.com/office/drawing/2014/chart" uri="{C3380CC4-5D6E-409C-BE32-E72D297353CC}">
                  <c16:uniqueId val="{00000013-0DD3-41D2-9113-BA6D81BE4FAA}"/>
                </c:ext>
              </c:extLst>
            </c:dLbl>
            <c:dLbl>
              <c:idx val="20"/>
              <c:delete val="1"/>
              <c:extLst>
                <c:ext xmlns:c15="http://schemas.microsoft.com/office/drawing/2012/chart" uri="{CE6537A1-D6FC-4f65-9D91-7224C49458BB}"/>
                <c:ext xmlns:c16="http://schemas.microsoft.com/office/drawing/2014/chart" uri="{C3380CC4-5D6E-409C-BE32-E72D297353CC}">
                  <c16:uniqueId val="{00000014-0DD3-41D2-9113-BA6D81BE4FAA}"/>
                </c:ext>
              </c:extLst>
            </c:dLbl>
            <c:dLbl>
              <c:idx val="21"/>
              <c:delete val="1"/>
              <c:extLst>
                <c:ext xmlns:c15="http://schemas.microsoft.com/office/drawing/2012/chart" uri="{CE6537A1-D6FC-4f65-9D91-7224C49458BB}"/>
                <c:ext xmlns:c16="http://schemas.microsoft.com/office/drawing/2014/chart" uri="{C3380CC4-5D6E-409C-BE32-E72D297353CC}">
                  <c16:uniqueId val="{00000015-0DD3-41D2-9113-BA6D81BE4FAA}"/>
                </c:ext>
              </c:extLst>
            </c:dLbl>
            <c:dLbl>
              <c:idx val="22"/>
              <c:delete val="1"/>
              <c:extLst>
                <c:ext xmlns:c15="http://schemas.microsoft.com/office/drawing/2012/chart" uri="{CE6537A1-D6FC-4f65-9D91-7224C49458BB}"/>
                <c:ext xmlns:c16="http://schemas.microsoft.com/office/drawing/2014/chart" uri="{C3380CC4-5D6E-409C-BE32-E72D297353CC}">
                  <c16:uniqueId val="{00000016-0DD3-41D2-9113-BA6D81BE4FAA}"/>
                </c:ext>
              </c:extLst>
            </c:dLbl>
            <c:dLbl>
              <c:idx val="23"/>
              <c:delete val="1"/>
              <c:extLst>
                <c:ext xmlns:c15="http://schemas.microsoft.com/office/drawing/2012/chart" uri="{CE6537A1-D6FC-4f65-9D91-7224C49458BB}"/>
                <c:ext xmlns:c16="http://schemas.microsoft.com/office/drawing/2014/chart" uri="{C3380CC4-5D6E-409C-BE32-E72D297353CC}">
                  <c16:uniqueId val="{00000017-0DD3-41D2-9113-BA6D81BE4FAA}"/>
                </c:ext>
              </c:extLst>
            </c:dLbl>
            <c:dLbl>
              <c:idx val="24"/>
              <c:delete val="1"/>
              <c:extLst>
                <c:ext xmlns:c15="http://schemas.microsoft.com/office/drawing/2012/chart" uri="{CE6537A1-D6FC-4f65-9D91-7224C49458BB}"/>
                <c:ext xmlns:c16="http://schemas.microsoft.com/office/drawing/2014/chart" uri="{C3380CC4-5D6E-409C-BE32-E72D297353CC}">
                  <c16:uniqueId val="{00000018-0DD3-41D2-9113-BA6D81BE4FAA}"/>
                </c:ext>
              </c:extLst>
            </c:dLbl>
            <c:dLbl>
              <c:idx val="25"/>
              <c:delete val="1"/>
              <c:extLst>
                <c:ext xmlns:c15="http://schemas.microsoft.com/office/drawing/2012/chart" uri="{CE6537A1-D6FC-4f65-9D91-7224C49458BB}"/>
                <c:ext xmlns:c16="http://schemas.microsoft.com/office/drawing/2014/chart" uri="{C3380CC4-5D6E-409C-BE32-E72D297353CC}">
                  <c16:uniqueId val="{00000019-0DD3-41D2-9113-BA6D81BE4FAA}"/>
                </c:ext>
              </c:extLst>
            </c:dLbl>
            <c:dLbl>
              <c:idx val="26"/>
              <c:delete val="1"/>
              <c:extLst>
                <c:ext xmlns:c15="http://schemas.microsoft.com/office/drawing/2012/chart" uri="{CE6537A1-D6FC-4f65-9D91-7224C49458BB}"/>
                <c:ext xmlns:c16="http://schemas.microsoft.com/office/drawing/2014/chart" uri="{C3380CC4-5D6E-409C-BE32-E72D297353CC}">
                  <c16:uniqueId val="{0000001A-0DD3-41D2-9113-BA6D81BE4FAA}"/>
                </c:ext>
              </c:extLst>
            </c:dLbl>
            <c:dLbl>
              <c:idx val="28"/>
              <c:delete val="1"/>
              <c:extLst>
                <c:ext xmlns:c15="http://schemas.microsoft.com/office/drawing/2012/chart" uri="{CE6537A1-D6FC-4f65-9D91-7224C49458BB}"/>
                <c:ext xmlns:c16="http://schemas.microsoft.com/office/drawing/2014/chart" uri="{C3380CC4-5D6E-409C-BE32-E72D297353CC}">
                  <c16:uniqueId val="{0000001C-0DD3-41D2-9113-BA6D81BE4FAA}"/>
                </c:ext>
              </c:extLst>
            </c:dLbl>
            <c:dLbl>
              <c:idx val="29"/>
              <c:delete val="1"/>
              <c:extLst>
                <c:ext xmlns:c15="http://schemas.microsoft.com/office/drawing/2012/chart" uri="{CE6537A1-D6FC-4f65-9D91-7224C49458BB}"/>
                <c:ext xmlns:c16="http://schemas.microsoft.com/office/drawing/2014/chart" uri="{C3380CC4-5D6E-409C-BE32-E72D297353CC}">
                  <c16:uniqueId val="{0000001D-0DD3-41D2-9113-BA6D81BE4FAA}"/>
                </c:ext>
              </c:extLst>
            </c:dLbl>
            <c:dLbl>
              <c:idx val="30"/>
              <c:delete val="1"/>
              <c:extLst>
                <c:ext xmlns:c15="http://schemas.microsoft.com/office/drawing/2012/chart" uri="{CE6537A1-D6FC-4f65-9D91-7224C49458BB}"/>
                <c:ext xmlns:c16="http://schemas.microsoft.com/office/drawing/2014/chart" uri="{C3380CC4-5D6E-409C-BE32-E72D297353CC}">
                  <c16:uniqueId val="{0000001E-0DD3-41D2-9113-BA6D81BE4FAA}"/>
                </c:ext>
              </c:extLst>
            </c:dLbl>
            <c:dLbl>
              <c:idx val="31"/>
              <c:delete val="1"/>
              <c:extLst>
                <c:ext xmlns:c15="http://schemas.microsoft.com/office/drawing/2012/chart" uri="{CE6537A1-D6FC-4f65-9D91-7224C49458BB}"/>
                <c:ext xmlns:c16="http://schemas.microsoft.com/office/drawing/2014/chart" uri="{C3380CC4-5D6E-409C-BE32-E72D297353CC}">
                  <c16:uniqueId val="{0000001F-0DD3-41D2-9113-BA6D81BE4FAA}"/>
                </c:ext>
              </c:extLst>
            </c:dLbl>
            <c:dLbl>
              <c:idx val="32"/>
              <c:delete val="1"/>
              <c:extLst>
                <c:ext xmlns:c15="http://schemas.microsoft.com/office/drawing/2012/chart" uri="{CE6537A1-D6FC-4f65-9D91-7224C49458BB}"/>
                <c:ext xmlns:c16="http://schemas.microsoft.com/office/drawing/2014/chart" uri="{C3380CC4-5D6E-409C-BE32-E72D297353CC}">
                  <c16:uniqueId val="{00000020-0DD3-41D2-9113-BA6D81BE4FAA}"/>
                </c:ext>
              </c:extLst>
            </c:dLbl>
            <c:dLbl>
              <c:idx val="33"/>
              <c:delete val="1"/>
              <c:extLst>
                <c:ext xmlns:c15="http://schemas.microsoft.com/office/drawing/2012/chart" uri="{CE6537A1-D6FC-4f65-9D91-7224C49458BB}"/>
                <c:ext xmlns:c16="http://schemas.microsoft.com/office/drawing/2014/chart" uri="{C3380CC4-5D6E-409C-BE32-E72D297353CC}">
                  <c16:uniqueId val="{00000021-0DD3-41D2-9113-BA6D81BE4FAA}"/>
                </c:ext>
              </c:extLst>
            </c:dLbl>
            <c:dLbl>
              <c:idx val="34"/>
              <c:delete val="1"/>
              <c:extLst>
                <c:ext xmlns:c15="http://schemas.microsoft.com/office/drawing/2012/chart" uri="{CE6537A1-D6FC-4f65-9D91-7224C49458BB}"/>
                <c:ext xmlns:c16="http://schemas.microsoft.com/office/drawing/2014/chart" uri="{C3380CC4-5D6E-409C-BE32-E72D297353CC}">
                  <c16:uniqueId val="{00000022-0DD3-41D2-9113-BA6D81BE4FAA}"/>
                </c:ext>
              </c:extLst>
            </c:dLbl>
            <c:dLbl>
              <c:idx val="35"/>
              <c:delete val="1"/>
              <c:extLst>
                <c:ext xmlns:c15="http://schemas.microsoft.com/office/drawing/2012/chart" uri="{CE6537A1-D6FC-4f65-9D91-7224C49458BB}"/>
                <c:ext xmlns:c16="http://schemas.microsoft.com/office/drawing/2014/chart" uri="{C3380CC4-5D6E-409C-BE32-E72D297353CC}">
                  <c16:uniqueId val="{00000023-0DD3-41D2-9113-BA6D81BE4FAA}"/>
                </c:ext>
              </c:extLst>
            </c:dLbl>
            <c:dLbl>
              <c:idx val="36"/>
              <c:delete val="1"/>
              <c:extLst>
                <c:ext xmlns:c15="http://schemas.microsoft.com/office/drawing/2012/chart" uri="{CE6537A1-D6FC-4f65-9D91-7224C49458BB}"/>
                <c:ext xmlns:c16="http://schemas.microsoft.com/office/drawing/2014/chart" uri="{C3380CC4-5D6E-409C-BE32-E72D297353CC}">
                  <c16:uniqueId val="{00000024-0DD3-41D2-9113-BA6D81BE4FAA}"/>
                </c:ext>
              </c:extLst>
            </c:dLbl>
            <c:dLbl>
              <c:idx val="37"/>
              <c:delete val="1"/>
              <c:extLst>
                <c:ext xmlns:c15="http://schemas.microsoft.com/office/drawing/2012/chart" uri="{CE6537A1-D6FC-4f65-9D91-7224C49458BB}"/>
                <c:ext xmlns:c16="http://schemas.microsoft.com/office/drawing/2014/chart" uri="{C3380CC4-5D6E-409C-BE32-E72D297353CC}">
                  <c16:uniqueId val="{00000025-0DD3-41D2-9113-BA6D81BE4FAA}"/>
                </c:ext>
              </c:extLst>
            </c:dLbl>
            <c:dLbl>
              <c:idx val="38"/>
              <c:delete val="1"/>
              <c:extLst>
                <c:ext xmlns:c15="http://schemas.microsoft.com/office/drawing/2012/chart" uri="{CE6537A1-D6FC-4f65-9D91-7224C49458BB}"/>
                <c:ext xmlns:c16="http://schemas.microsoft.com/office/drawing/2014/chart" uri="{C3380CC4-5D6E-409C-BE32-E72D297353CC}">
                  <c16:uniqueId val="{00000026-0DD3-41D2-9113-BA6D81BE4FAA}"/>
                </c:ext>
              </c:extLst>
            </c:dLbl>
            <c:dLbl>
              <c:idx val="39"/>
              <c:delete val="1"/>
              <c:extLst>
                <c:ext xmlns:c15="http://schemas.microsoft.com/office/drawing/2012/chart" uri="{CE6537A1-D6FC-4f65-9D91-7224C49458BB}"/>
                <c:ext xmlns:c16="http://schemas.microsoft.com/office/drawing/2014/chart" uri="{C3380CC4-5D6E-409C-BE32-E72D297353CC}">
                  <c16:uniqueId val="{00000027-0DD3-41D2-9113-BA6D81BE4FAA}"/>
                </c:ext>
              </c:extLst>
            </c:dLbl>
            <c:dLbl>
              <c:idx val="40"/>
              <c:delete val="1"/>
              <c:extLst>
                <c:ext xmlns:c15="http://schemas.microsoft.com/office/drawing/2012/chart" uri="{CE6537A1-D6FC-4f65-9D91-7224C49458BB}"/>
                <c:ext xmlns:c16="http://schemas.microsoft.com/office/drawing/2014/chart" uri="{C3380CC4-5D6E-409C-BE32-E72D297353CC}">
                  <c16:uniqueId val="{00000028-0DD3-41D2-9113-BA6D81BE4FAA}"/>
                </c:ext>
              </c:extLst>
            </c:dLbl>
            <c:dLbl>
              <c:idx val="41"/>
              <c:delete val="1"/>
              <c:extLst>
                <c:ext xmlns:c15="http://schemas.microsoft.com/office/drawing/2012/chart" uri="{CE6537A1-D6FC-4f65-9D91-7224C49458BB}"/>
                <c:ext xmlns:c16="http://schemas.microsoft.com/office/drawing/2014/chart" uri="{C3380CC4-5D6E-409C-BE32-E72D297353CC}">
                  <c16:uniqueId val="{00000029-0DD3-41D2-9113-BA6D81BE4FAA}"/>
                </c:ext>
              </c:extLst>
            </c:dLbl>
            <c:dLbl>
              <c:idx val="42"/>
              <c:delete val="1"/>
              <c:extLst>
                <c:ext xmlns:c15="http://schemas.microsoft.com/office/drawing/2012/chart" uri="{CE6537A1-D6FC-4f65-9D91-7224C49458BB}"/>
                <c:ext xmlns:c16="http://schemas.microsoft.com/office/drawing/2014/chart" uri="{C3380CC4-5D6E-409C-BE32-E72D297353CC}">
                  <c16:uniqueId val="{0000002A-0DD3-41D2-9113-BA6D81BE4FAA}"/>
                </c:ext>
              </c:extLst>
            </c:dLbl>
            <c:dLbl>
              <c:idx val="43"/>
              <c:delete val="1"/>
              <c:extLst>
                <c:ext xmlns:c15="http://schemas.microsoft.com/office/drawing/2012/chart" uri="{CE6537A1-D6FC-4f65-9D91-7224C49458BB}"/>
                <c:ext xmlns:c16="http://schemas.microsoft.com/office/drawing/2014/chart" uri="{C3380CC4-5D6E-409C-BE32-E72D297353CC}">
                  <c16:uniqueId val="{0000002B-0DD3-41D2-9113-BA6D81BE4FAA}"/>
                </c:ext>
              </c:extLst>
            </c:dLbl>
            <c:dLbl>
              <c:idx val="44"/>
              <c:delete val="1"/>
              <c:extLst>
                <c:ext xmlns:c15="http://schemas.microsoft.com/office/drawing/2012/chart" uri="{CE6537A1-D6FC-4f65-9D91-7224C49458BB}"/>
                <c:ext xmlns:c16="http://schemas.microsoft.com/office/drawing/2014/chart" uri="{C3380CC4-5D6E-409C-BE32-E72D297353CC}">
                  <c16:uniqueId val="{0000002C-0DD3-41D2-9113-BA6D81BE4FAA}"/>
                </c:ext>
              </c:extLst>
            </c:dLbl>
            <c:dLbl>
              <c:idx val="45"/>
              <c:delete val="1"/>
              <c:extLst>
                <c:ext xmlns:c15="http://schemas.microsoft.com/office/drawing/2012/chart" uri="{CE6537A1-D6FC-4f65-9D91-7224C49458BB}"/>
                <c:ext xmlns:c16="http://schemas.microsoft.com/office/drawing/2014/chart" uri="{C3380CC4-5D6E-409C-BE32-E72D297353CC}">
                  <c16:uniqueId val="{0000002D-0DD3-41D2-9113-BA6D81BE4FAA}"/>
                </c:ext>
              </c:extLst>
            </c:dLbl>
            <c:dLbl>
              <c:idx val="46"/>
              <c:delete val="1"/>
              <c:extLst>
                <c:ext xmlns:c15="http://schemas.microsoft.com/office/drawing/2012/chart" uri="{CE6537A1-D6FC-4f65-9D91-7224C49458BB}"/>
                <c:ext xmlns:c16="http://schemas.microsoft.com/office/drawing/2014/chart" uri="{C3380CC4-5D6E-409C-BE32-E72D297353CC}">
                  <c16:uniqueId val="{0000002E-0DD3-41D2-9113-BA6D81BE4FAA}"/>
                </c:ext>
              </c:extLst>
            </c:dLbl>
            <c:dLbl>
              <c:idx val="47"/>
              <c:delete val="1"/>
              <c:extLst>
                <c:ext xmlns:c15="http://schemas.microsoft.com/office/drawing/2012/chart" uri="{CE6537A1-D6FC-4f65-9D91-7224C49458BB}"/>
                <c:ext xmlns:c16="http://schemas.microsoft.com/office/drawing/2014/chart" uri="{C3380CC4-5D6E-409C-BE32-E72D297353CC}">
                  <c16:uniqueId val="{0000002F-0DD3-41D2-9113-BA6D81BE4FAA}"/>
                </c:ext>
              </c:extLst>
            </c:dLbl>
            <c:dLbl>
              <c:idx val="48"/>
              <c:delete val="1"/>
              <c:extLst>
                <c:ext xmlns:c15="http://schemas.microsoft.com/office/drawing/2012/chart" uri="{CE6537A1-D6FC-4f65-9D91-7224C49458BB}"/>
                <c:ext xmlns:c16="http://schemas.microsoft.com/office/drawing/2014/chart" uri="{C3380CC4-5D6E-409C-BE32-E72D297353CC}">
                  <c16:uniqueId val="{00000030-0DD3-41D2-9113-BA6D81BE4FAA}"/>
                </c:ext>
              </c:extLst>
            </c:dLbl>
            <c:dLbl>
              <c:idx val="49"/>
              <c:delete val="1"/>
              <c:extLst>
                <c:ext xmlns:c15="http://schemas.microsoft.com/office/drawing/2012/chart" uri="{CE6537A1-D6FC-4f65-9D91-7224C49458BB}"/>
                <c:ext xmlns:c16="http://schemas.microsoft.com/office/drawing/2014/chart" uri="{C3380CC4-5D6E-409C-BE32-E72D297353CC}">
                  <c16:uniqueId val="{00000031-0DD3-41D2-9113-BA6D81BE4FAA}"/>
                </c:ext>
              </c:extLst>
            </c:dLbl>
            <c:dLbl>
              <c:idx val="50"/>
              <c:delete val="1"/>
              <c:extLst>
                <c:ext xmlns:c15="http://schemas.microsoft.com/office/drawing/2012/chart" uri="{CE6537A1-D6FC-4f65-9D91-7224C49458BB}"/>
                <c:ext xmlns:c16="http://schemas.microsoft.com/office/drawing/2014/chart" uri="{C3380CC4-5D6E-409C-BE32-E72D297353CC}">
                  <c16:uniqueId val="{00000032-0DD3-41D2-9113-BA6D81BE4FAA}"/>
                </c:ext>
              </c:extLst>
            </c:dLbl>
            <c:dLbl>
              <c:idx val="51"/>
              <c:delete val="1"/>
              <c:extLst>
                <c:ext xmlns:c15="http://schemas.microsoft.com/office/drawing/2012/chart" uri="{CE6537A1-D6FC-4f65-9D91-7224C49458BB}"/>
                <c:ext xmlns:c16="http://schemas.microsoft.com/office/drawing/2014/chart" uri="{C3380CC4-5D6E-409C-BE32-E72D297353CC}">
                  <c16:uniqueId val="{00000033-0DD3-41D2-9113-BA6D81BE4FAA}"/>
                </c:ext>
              </c:extLst>
            </c:dLbl>
            <c:dLbl>
              <c:idx val="52"/>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0DE-4B12-984C-290942234A71}"/>
                </c:ext>
              </c:extLst>
            </c:dLbl>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rnd">
                      <a:solidFill>
                        <a:schemeClr val="dk1">
                          <a:lumMod val="35000"/>
                          <a:lumOff val="65000"/>
                        </a:schemeClr>
                      </a:solidFill>
                      <a:round/>
                    </a:ln>
                    <a:effectLst/>
                  </c:spPr>
                </c15:leaderLines>
              </c:ext>
            </c:extLst>
          </c:dLbls>
          <c:trendline>
            <c:spPr>
              <a:ln w="9525" cap="rnd">
                <a:solidFill>
                  <a:schemeClr val="accent1"/>
                </a:solidFill>
              </a:ln>
              <a:effectLst/>
            </c:spPr>
            <c:trendlineType val="linear"/>
            <c:dispRSqr val="0"/>
            <c:dispEq val="0"/>
          </c:trendline>
          <c:xVal>
            <c:numRef>
              <c:f>РЯ!$A$2:$A$54</c:f>
              <c:numCache>
                <c:formatCode>General</c:formatCode>
                <c:ptCount val="53"/>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numCache>
            </c:numRef>
          </c:xVal>
          <c:yVal>
            <c:numRef>
              <c:f>РЯ!$B$2:$B$54</c:f>
              <c:numCache>
                <c:formatCode>General</c:formatCode>
                <c:ptCount val="53"/>
                <c:pt idx="0">
                  <c:v>44</c:v>
                </c:pt>
                <c:pt idx="1">
                  <c:v>65</c:v>
                </c:pt>
                <c:pt idx="2">
                  <c:v>64</c:v>
                </c:pt>
                <c:pt idx="3">
                  <c:v>57</c:v>
                </c:pt>
                <c:pt idx="4">
                  <c:v>72</c:v>
                </c:pt>
                <c:pt idx="5">
                  <c:v>57</c:v>
                </c:pt>
                <c:pt idx="6">
                  <c:v>55</c:v>
                </c:pt>
                <c:pt idx="7">
                  <c:v>66</c:v>
                </c:pt>
                <c:pt idx="8">
                  <c:v>34</c:v>
                </c:pt>
                <c:pt idx="9">
                  <c:v>47</c:v>
                </c:pt>
                <c:pt idx="10">
                  <c:v>52</c:v>
                </c:pt>
                <c:pt idx="11">
                  <c:v>57</c:v>
                </c:pt>
                <c:pt idx="12">
                  <c:v>46</c:v>
                </c:pt>
                <c:pt idx="13">
                  <c:v>57</c:v>
                </c:pt>
                <c:pt idx="14">
                  <c:v>45</c:v>
                </c:pt>
                <c:pt idx="15">
                  <c:v>56</c:v>
                </c:pt>
                <c:pt idx="16">
                  <c:v>47</c:v>
                </c:pt>
                <c:pt idx="17">
                  <c:v>63</c:v>
                </c:pt>
                <c:pt idx="18">
                  <c:v>32</c:v>
                </c:pt>
                <c:pt idx="19">
                  <c:v>66</c:v>
                </c:pt>
                <c:pt idx="20">
                  <c:v>45</c:v>
                </c:pt>
                <c:pt idx="21">
                  <c:v>56</c:v>
                </c:pt>
                <c:pt idx="22">
                  <c:v>57</c:v>
                </c:pt>
                <c:pt idx="23">
                  <c:v>56</c:v>
                </c:pt>
                <c:pt idx="24">
                  <c:v>56</c:v>
                </c:pt>
                <c:pt idx="25">
                  <c:v>59</c:v>
                </c:pt>
                <c:pt idx="26">
                  <c:v>53</c:v>
                </c:pt>
                <c:pt idx="27">
                  <c:v>32</c:v>
                </c:pt>
                <c:pt idx="28">
                  <c:v>50</c:v>
                </c:pt>
                <c:pt idx="29">
                  <c:v>61</c:v>
                </c:pt>
                <c:pt idx="30">
                  <c:v>59</c:v>
                </c:pt>
                <c:pt idx="31">
                  <c:v>46</c:v>
                </c:pt>
                <c:pt idx="32">
                  <c:v>61</c:v>
                </c:pt>
                <c:pt idx="33">
                  <c:v>41</c:v>
                </c:pt>
                <c:pt idx="34">
                  <c:v>45</c:v>
                </c:pt>
                <c:pt idx="35">
                  <c:v>58</c:v>
                </c:pt>
                <c:pt idx="36">
                  <c:v>41</c:v>
                </c:pt>
                <c:pt idx="37">
                  <c:v>62</c:v>
                </c:pt>
                <c:pt idx="38">
                  <c:v>44</c:v>
                </c:pt>
                <c:pt idx="39">
                  <c:v>65</c:v>
                </c:pt>
                <c:pt idx="40">
                  <c:v>57</c:v>
                </c:pt>
                <c:pt idx="41">
                  <c:v>64</c:v>
                </c:pt>
                <c:pt idx="42">
                  <c:v>71</c:v>
                </c:pt>
                <c:pt idx="43">
                  <c:v>67</c:v>
                </c:pt>
                <c:pt idx="44">
                  <c:v>50</c:v>
                </c:pt>
                <c:pt idx="45">
                  <c:v>64</c:v>
                </c:pt>
                <c:pt idx="46">
                  <c:v>47</c:v>
                </c:pt>
                <c:pt idx="47">
                  <c:v>62</c:v>
                </c:pt>
                <c:pt idx="48">
                  <c:v>55</c:v>
                </c:pt>
                <c:pt idx="49">
                  <c:v>56</c:v>
                </c:pt>
                <c:pt idx="50">
                  <c:v>70</c:v>
                </c:pt>
                <c:pt idx="51">
                  <c:v>62</c:v>
                </c:pt>
                <c:pt idx="52">
                  <c:v>75</c:v>
                </c:pt>
              </c:numCache>
            </c:numRef>
          </c:yVal>
          <c:smooth val="0"/>
          <c:extLst>
            <c:ext xmlns:c16="http://schemas.microsoft.com/office/drawing/2014/chart" uri="{C3380CC4-5D6E-409C-BE32-E72D297353CC}">
              <c16:uniqueId val="{00000034-0DD3-41D2-9113-BA6D81BE4FAA}"/>
            </c:ext>
          </c:extLst>
        </c:ser>
        <c:dLbls>
          <c:dLblPos val="t"/>
          <c:showLegendKey val="0"/>
          <c:showVal val="1"/>
          <c:showCatName val="0"/>
          <c:showSerName val="0"/>
          <c:showPercent val="0"/>
          <c:showBubbleSize val="0"/>
        </c:dLbls>
        <c:axId val="1921088415"/>
        <c:axId val="1921086751"/>
      </c:scatterChart>
      <c:valAx>
        <c:axId val="1921088415"/>
        <c:scaling>
          <c:orientation val="minMax"/>
          <c:max val="53"/>
          <c:min val="0"/>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n (53), Me</a:t>
                </a:r>
                <a:r>
                  <a:rPr lang="en-US" sz="1200" b="1" baseline="0"/>
                  <a:t> (57)</a:t>
                </a:r>
                <a:endParaRPr lang="ru-RU" sz="1200" b="1"/>
              </a:p>
            </c:rich>
          </c:tx>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rnd">
            <a:solidFill>
              <a:schemeClr val="dk1">
                <a:lumMod val="20000"/>
                <a:lumOff val="80000"/>
              </a:schemeClr>
            </a:solidFill>
            <a:round/>
          </a:ln>
          <a:effectLst/>
        </c:spPr>
        <c:txPr>
          <a:bodyPr rot="-60000000" spcFirstLastPara="1" vertOverflow="ellipsis" vert="horz" wrap="square" anchor="ctr" anchorCtr="1"/>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21086751"/>
        <c:crosses val="autoZero"/>
        <c:crossBetween val="midCat"/>
      </c:valAx>
      <c:valAx>
        <c:axId val="1921086751"/>
        <c:scaling>
          <c:orientation val="minMax"/>
          <c:max val="76"/>
          <c:min val="30"/>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1"/>
                  <a:t>Возраст</a:t>
                </a:r>
              </a:p>
            </c:rich>
          </c:tx>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rnd">
            <a:solidFill>
              <a:schemeClr val="dk1">
                <a:lumMod val="25000"/>
                <a:lumOff val="75000"/>
              </a:schemeClr>
            </a:solidFill>
            <a:round/>
          </a:ln>
          <a:effectLst/>
        </c:spPr>
        <c:txPr>
          <a:bodyPr rot="-60000000" spcFirstLastPara="1" vertOverflow="ellipsis" vert="horz" wrap="square" anchor="ctr" anchorCtr="1"/>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21088415"/>
        <c:crosses val="autoZero"/>
        <c:crossBetween val="midCat"/>
      </c:valAx>
      <c:spPr>
        <a:gradFill>
          <a:gsLst>
            <a:gs pos="100000">
              <a:schemeClr val="lt1">
                <a:lumMod val="95000"/>
              </a:schemeClr>
            </a:gs>
            <a:gs pos="0">
              <a:schemeClr val="lt1">
                <a:alpha val="0"/>
              </a:schemeClr>
            </a:gs>
          </a:gsLst>
          <a:lin ang="5400000" scaled="0"/>
        </a:grad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pivotSource>
    <c:name>[К занятию 9 ЭРЯ и КРР глава 2.xlsx]ОХ N КРР!Сводная таблица52</c:name>
    <c:fmtId val="-1"/>
  </c:pivotSource>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1"/>
              <a:t>Стадия </a:t>
            </a:r>
            <a:r>
              <a:rPr lang="en-US" sz="1200" b="1"/>
              <a:t>N</a:t>
            </a:r>
            <a:endParaRPr lang="ru-RU"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'ОХ N КРР'!$B$3</c:f>
              <c:strCache>
                <c:ptCount val="1"/>
                <c:pt idx="0">
                  <c:v>Итог</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'ОХ N КРР'!$A$4:$A$6</c:f>
              <c:strCache>
                <c:ptCount val="3"/>
                <c:pt idx="0">
                  <c:v>N0</c:v>
                </c:pt>
                <c:pt idx="1">
                  <c:v>N1</c:v>
                </c:pt>
                <c:pt idx="2">
                  <c:v>Nx</c:v>
                </c:pt>
              </c:strCache>
            </c:strRef>
          </c:cat>
          <c:val>
            <c:numRef>
              <c:f>'ОХ N КРР'!$B$4:$B$6</c:f>
              <c:numCache>
                <c:formatCode>General</c:formatCode>
                <c:ptCount val="3"/>
                <c:pt idx="0">
                  <c:v>21</c:v>
                </c:pt>
                <c:pt idx="1">
                  <c:v>21</c:v>
                </c:pt>
                <c:pt idx="2">
                  <c:v>18</c:v>
                </c:pt>
              </c:numCache>
            </c:numRef>
          </c:val>
          <c:extLst>
            <c:ext xmlns:c16="http://schemas.microsoft.com/office/drawing/2014/chart" uri="{C3380CC4-5D6E-409C-BE32-E72D297353CC}">
              <c16:uniqueId val="{00000000-1362-41D1-80C9-BFF2B7E12A7D}"/>
            </c:ext>
          </c:extLst>
        </c:ser>
        <c:dLbls>
          <c:dLblPos val="outEnd"/>
          <c:showLegendKey val="0"/>
          <c:showVal val="1"/>
          <c:showCatName val="0"/>
          <c:showSerName val="0"/>
          <c:showPercent val="0"/>
          <c:showBubbleSize val="0"/>
        </c:dLbls>
        <c:gapWidth val="219"/>
        <c:overlap val="-27"/>
        <c:axId val="2036617839"/>
        <c:axId val="2036627823"/>
      </c:barChart>
      <c:catAx>
        <c:axId val="20366178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36627823"/>
        <c:crosses val="autoZero"/>
        <c:auto val="1"/>
        <c:lblAlgn val="ctr"/>
        <c:lblOffset val="100"/>
        <c:noMultiLvlLbl val="0"/>
      </c:catAx>
      <c:valAx>
        <c:axId val="203662782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3661783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 xmlns:c16="http://schemas.microsoft.com/office/drawing/2014/chart" uri="{E28EC0CA-F0BB-4C9C-879D-F8772B89E7AC}">
      <c16:pivotOptions16>
        <c16:showExpandCollapseFieldButtons val="1"/>
      </c16:pivotOptions16>
    </c:ext>
  </c:extLst>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pivotSource>
    <c:name>[К занятию 9 ЭРЯ и КРР глава 2.xlsx]ОХ AJCC КРР!Сводная таблица57</c:name>
    <c:fmtId val="-1"/>
  </c:pivotSource>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1"/>
              <a:t>Стадия </a:t>
            </a:r>
            <a:r>
              <a:rPr lang="en-US" sz="1200" b="1"/>
              <a:t>AJCC</a:t>
            </a:r>
            <a:endParaRPr lang="ru-RU"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'ОХ AJCC КРР'!$B$3</c:f>
              <c:strCache>
                <c:ptCount val="1"/>
                <c:pt idx="0">
                  <c:v>Итог</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'ОХ AJCC КРР'!$A$4:$A$6</c:f>
              <c:strCache>
                <c:ptCount val="3"/>
                <c:pt idx="0">
                  <c:v>I</c:v>
                </c:pt>
                <c:pt idx="1">
                  <c:v>II</c:v>
                </c:pt>
                <c:pt idx="2">
                  <c:v>III</c:v>
                </c:pt>
              </c:strCache>
            </c:strRef>
          </c:cat>
          <c:val>
            <c:numRef>
              <c:f>'ОХ AJCC КРР'!$B$4:$B$6</c:f>
              <c:numCache>
                <c:formatCode>General</c:formatCode>
                <c:ptCount val="3"/>
                <c:pt idx="0">
                  <c:v>2</c:v>
                </c:pt>
                <c:pt idx="1">
                  <c:v>31</c:v>
                </c:pt>
                <c:pt idx="2">
                  <c:v>27</c:v>
                </c:pt>
              </c:numCache>
            </c:numRef>
          </c:val>
          <c:extLst>
            <c:ext xmlns:c16="http://schemas.microsoft.com/office/drawing/2014/chart" uri="{C3380CC4-5D6E-409C-BE32-E72D297353CC}">
              <c16:uniqueId val="{00000000-6A51-4341-B507-2868F52F053E}"/>
            </c:ext>
          </c:extLst>
        </c:ser>
        <c:dLbls>
          <c:dLblPos val="outEnd"/>
          <c:showLegendKey val="0"/>
          <c:showVal val="1"/>
          <c:showCatName val="0"/>
          <c:showSerName val="0"/>
          <c:showPercent val="0"/>
          <c:showBubbleSize val="0"/>
        </c:dLbls>
        <c:gapWidth val="219"/>
        <c:overlap val="-27"/>
        <c:axId val="2054479999"/>
        <c:axId val="2054462111"/>
      </c:barChart>
      <c:catAx>
        <c:axId val="2054479999"/>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54462111"/>
        <c:crosses val="autoZero"/>
        <c:auto val="1"/>
        <c:lblAlgn val="ctr"/>
        <c:lblOffset val="100"/>
        <c:noMultiLvlLbl val="0"/>
      </c:catAx>
      <c:valAx>
        <c:axId val="2054462111"/>
        <c:scaling>
          <c:orientation val="minMax"/>
          <c:max val="4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5447999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 xmlns:c16="http://schemas.microsoft.com/office/drawing/2014/chart" uri="{E28EC0CA-F0BB-4C9C-879D-F8772B89E7AC}">
      <c16:pivotOptions16>
        <c16:showExpandCollapseFieldButtons val="1"/>
      </c16:pivotOptions16>
    </c:ext>
  </c:extLst>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pivotSource>
    <c:name>[К занятию 9 ЭРЯ и КРР глава 2.xlsx]ОХ гист КРР!Сводная таблица62</c:name>
    <c:fmtId val="-1"/>
  </c:pivotSource>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1"/>
              <a:t>Гистология</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'ОХ гист КРР'!$B$3</c:f>
              <c:strCache>
                <c:ptCount val="1"/>
                <c:pt idx="0">
                  <c:v>Итог</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'ОХ гист КРР'!$A$4:$A$7</c:f>
              <c:strCache>
                <c:ptCount val="4"/>
                <c:pt idx="0">
                  <c:v>I</c:v>
                </c:pt>
                <c:pt idx="1">
                  <c:v>II</c:v>
                </c:pt>
                <c:pt idx="2">
                  <c:v>III</c:v>
                </c:pt>
                <c:pt idx="3">
                  <c:v>IV</c:v>
                </c:pt>
              </c:strCache>
            </c:strRef>
          </c:cat>
          <c:val>
            <c:numRef>
              <c:f>'ОХ гист КРР'!$B$4:$B$7</c:f>
              <c:numCache>
                <c:formatCode>General</c:formatCode>
                <c:ptCount val="4"/>
                <c:pt idx="0">
                  <c:v>31</c:v>
                </c:pt>
                <c:pt idx="1">
                  <c:v>1</c:v>
                </c:pt>
                <c:pt idx="2">
                  <c:v>8</c:v>
                </c:pt>
                <c:pt idx="3">
                  <c:v>20</c:v>
                </c:pt>
              </c:numCache>
            </c:numRef>
          </c:val>
          <c:extLst>
            <c:ext xmlns:c16="http://schemas.microsoft.com/office/drawing/2014/chart" uri="{C3380CC4-5D6E-409C-BE32-E72D297353CC}">
              <c16:uniqueId val="{00000000-7676-4FDE-BE5D-B1F9276AFBB1}"/>
            </c:ext>
          </c:extLst>
        </c:ser>
        <c:dLbls>
          <c:dLblPos val="outEnd"/>
          <c:showLegendKey val="0"/>
          <c:showVal val="1"/>
          <c:showCatName val="0"/>
          <c:showSerName val="0"/>
          <c:showPercent val="0"/>
          <c:showBubbleSize val="0"/>
        </c:dLbls>
        <c:gapWidth val="219"/>
        <c:overlap val="-27"/>
        <c:axId val="1967017279"/>
        <c:axId val="1967013119"/>
      </c:barChart>
      <c:catAx>
        <c:axId val="19670172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67013119"/>
        <c:crosses val="autoZero"/>
        <c:auto val="1"/>
        <c:lblAlgn val="ctr"/>
        <c:lblOffset val="100"/>
        <c:noMultiLvlLbl val="0"/>
      </c:catAx>
      <c:valAx>
        <c:axId val="1967013119"/>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6701727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 xmlns:c16="http://schemas.microsoft.com/office/drawing/2014/chart" uri="{E28EC0CA-F0BB-4C9C-879D-F8772B89E7AC}">
      <c16:pivotOptions16>
        <c16:showExpandCollapseFieldButtons val="1"/>
      </c16:pivotOptions16>
    </c:ext>
  </c:extLst>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РЯ!$J$1</c:f>
              <c:strCache>
                <c:ptCount val="1"/>
                <c:pt idx="0">
                  <c:v>Доза активности
введенного 18F-FDG, МБк</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0-5F42-4F60-8E95-58586D7FDF87}"/>
                </c:ext>
              </c:extLst>
            </c:dLbl>
            <c:dLbl>
              <c:idx val="1"/>
              <c:delete val="1"/>
              <c:extLst>
                <c:ext xmlns:c15="http://schemas.microsoft.com/office/drawing/2012/chart" uri="{CE6537A1-D6FC-4f65-9D91-7224C49458BB}"/>
                <c:ext xmlns:c16="http://schemas.microsoft.com/office/drawing/2014/chart" uri="{C3380CC4-5D6E-409C-BE32-E72D297353CC}">
                  <c16:uniqueId val="{00000001-5F42-4F60-8E95-58586D7FDF87}"/>
                </c:ext>
              </c:extLst>
            </c:dLbl>
            <c:dLbl>
              <c:idx val="2"/>
              <c:delete val="1"/>
              <c:extLst>
                <c:ext xmlns:c15="http://schemas.microsoft.com/office/drawing/2012/chart" uri="{CE6537A1-D6FC-4f65-9D91-7224C49458BB}"/>
                <c:ext xmlns:c16="http://schemas.microsoft.com/office/drawing/2014/chart" uri="{C3380CC4-5D6E-409C-BE32-E72D297353CC}">
                  <c16:uniqueId val="{00000002-5F42-4F60-8E95-58586D7FDF87}"/>
                </c:ext>
              </c:extLst>
            </c:dLbl>
            <c:dLbl>
              <c:idx val="3"/>
              <c:delete val="1"/>
              <c:extLst>
                <c:ext xmlns:c15="http://schemas.microsoft.com/office/drawing/2012/chart" uri="{CE6537A1-D6FC-4f65-9D91-7224C49458BB}"/>
                <c:ext xmlns:c16="http://schemas.microsoft.com/office/drawing/2014/chart" uri="{C3380CC4-5D6E-409C-BE32-E72D297353CC}">
                  <c16:uniqueId val="{00000003-5F42-4F60-8E95-58586D7FDF87}"/>
                </c:ext>
              </c:extLst>
            </c:dLbl>
            <c:dLbl>
              <c:idx val="4"/>
              <c:delete val="1"/>
              <c:extLst>
                <c:ext xmlns:c15="http://schemas.microsoft.com/office/drawing/2012/chart" uri="{CE6537A1-D6FC-4f65-9D91-7224C49458BB}"/>
                <c:ext xmlns:c16="http://schemas.microsoft.com/office/drawing/2014/chart" uri="{C3380CC4-5D6E-409C-BE32-E72D297353CC}">
                  <c16:uniqueId val="{00000004-5F42-4F60-8E95-58586D7FDF87}"/>
                </c:ext>
              </c:extLst>
            </c:dLbl>
            <c:dLbl>
              <c:idx val="5"/>
              <c:delete val="1"/>
              <c:extLst>
                <c:ext xmlns:c15="http://schemas.microsoft.com/office/drawing/2012/chart" uri="{CE6537A1-D6FC-4f65-9D91-7224C49458BB}"/>
                <c:ext xmlns:c16="http://schemas.microsoft.com/office/drawing/2014/chart" uri="{C3380CC4-5D6E-409C-BE32-E72D297353CC}">
                  <c16:uniqueId val="{00000005-5F42-4F60-8E95-58586D7FDF87}"/>
                </c:ext>
              </c:extLst>
            </c:dLbl>
            <c:dLbl>
              <c:idx val="6"/>
              <c:delete val="1"/>
              <c:extLst>
                <c:ext xmlns:c15="http://schemas.microsoft.com/office/drawing/2012/chart" uri="{CE6537A1-D6FC-4f65-9D91-7224C49458BB}"/>
                <c:ext xmlns:c16="http://schemas.microsoft.com/office/drawing/2014/chart" uri="{C3380CC4-5D6E-409C-BE32-E72D297353CC}">
                  <c16:uniqueId val="{00000006-5F42-4F60-8E95-58586D7FDF87}"/>
                </c:ext>
              </c:extLst>
            </c:dLbl>
            <c:dLbl>
              <c:idx val="7"/>
              <c:delete val="1"/>
              <c:extLst>
                <c:ext xmlns:c15="http://schemas.microsoft.com/office/drawing/2012/chart" uri="{CE6537A1-D6FC-4f65-9D91-7224C49458BB}"/>
                <c:ext xmlns:c16="http://schemas.microsoft.com/office/drawing/2014/chart" uri="{C3380CC4-5D6E-409C-BE32-E72D297353CC}">
                  <c16:uniqueId val="{00000007-5F42-4F60-8E95-58586D7FDF87}"/>
                </c:ext>
              </c:extLst>
            </c:dLbl>
            <c:dLbl>
              <c:idx val="8"/>
              <c:delete val="1"/>
              <c:extLst>
                <c:ext xmlns:c15="http://schemas.microsoft.com/office/drawing/2012/chart" uri="{CE6537A1-D6FC-4f65-9D91-7224C49458BB}"/>
                <c:ext xmlns:c16="http://schemas.microsoft.com/office/drawing/2014/chart" uri="{C3380CC4-5D6E-409C-BE32-E72D297353CC}">
                  <c16:uniqueId val="{00000008-5F42-4F60-8E95-58586D7FDF87}"/>
                </c:ext>
              </c:extLst>
            </c:dLbl>
            <c:dLbl>
              <c:idx val="9"/>
              <c:delete val="1"/>
              <c:extLst>
                <c:ext xmlns:c15="http://schemas.microsoft.com/office/drawing/2012/chart" uri="{CE6537A1-D6FC-4f65-9D91-7224C49458BB}"/>
                <c:ext xmlns:c16="http://schemas.microsoft.com/office/drawing/2014/chart" uri="{C3380CC4-5D6E-409C-BE32-E72D297353CC}">
                  <c16:uniqueId val="{00000009-5F42-4F60-8E95-58586D7FDF87}"/>
                </c:ext>
              </c:extLst>
            </c:dLbl>
            <c:dLbl>
              <c:idx val="10"/>
              <c:delete val="1"/>
              <c:extLst>
                <c:ext xmlns:c15="http://schemas.microsoft.com/office/drawing/2012/chart" uri="{CE6537A1-D6FC-4f65-9D91-7224C49458BB}"/>
                <c:ext xmlns:c16="http://schemas.microsoft.com/office/drawing/2014/chart" uri="{C3380CC4-5D6E-409C-BE32-E72D297353CC}">
                  <c16:uniqueId val="{0000000A-5F42-4F60-8E95-58586D7FDF87}"/>
                </c:ext>
              </c:extLst>
            </c:dLbl>
            <c:dLbl>
              <c:idx val="11"/>
              <c:delete val="1"/>
              <c:extLst>
                <c:ext xmlns:c15="http://schemas.microsoft.com/office/drawing/2012/chart" uri="{CE6537A1-D6FC-4f65-9D91-7224C49458BB}"/>
                <c:ext xmlns:c16="http://schemas.microsoft.com/office/drawing/2014/chart" uri="{C3380CC4-5D6E-409C-BE32-E72D297353CC}">
                  <c16:uniqueId val="{0000000B-5F42-4F60-8E95-58586D7FDF87}"/>
                </c:ext>
              </c:extLst>
            </c:dLbl>
            <c:dLbl>
              <c:idx val="12"/>
              <c:delete val="1"/>
              <c:extLst>
                <c:ext xmlns:c15="http://schemas.microsoft.com/office/drawing/2012/chart" uri="{CE6537A1-D6FC-4f65-9D91-7224C49458BB}"/>
                <c:ext xmlns:c16="http://schemas.microsoft.com/office/drawing/2014/chart" uri="{C3380CC4-5D6E-409C-BE32-E72D297353CC}">
                  <c16:uniqueId val="{0000000C-5F42-4F60-8E95-58586D7FDF87}"/>
                </c:ext>
              </c:extLst>
            </c:dLbl>
            <c:dLbl>
              <c:idx val="13"/>
              <c:delete val="1"/>
              <c:extLst>
                <c:ext xmlns:c15="http://schemas.microsoft.com/office/drawing/2012/chart" uri="{CE6537A1-D6FC-4f65-9D91-7224C49458BB}"/>
                <c:ext xmlns:c16="http://schemas.microsoft.com/office/drawing/2014/chart" uri="{C3380CC4-5D6E-409C-BE32-E72D297353CC}">
                  <c16:uniqueId val="{0000000D-5F42-4F60-8E95-58586D7FDF87}"/>
                </c:ext>
              </c:extLst>
            </c:dLbl>
            <c:dLbl>
              <c:idx val="14"/>
              <c:delete val="1"/>
              <c:extLst>
                <c:ext xmlns:c15="http://schemas.microsoft.com/office/drawing/2012/chart" uri="{CE6537A1-D6FC-4f65-9D91-7224C49458BB}"/>
                <c:ext xmlns:c16="http://schemas.microsoft.com/office/drawing/2014/chart" uri="{C3380CC4-5D6E-409C-BE32-E72D297353CC}">
                  <c16:uniqueId val="{0000000E-5F42-4F60-8E95-58586D7FDF87}"/>
                </c:ext>
              </c:extLst>
            </c:dLbl>
            <c:dLbl>
              <c:idx val="15"/>
              <c:delete val="1"/>
              <c:extLst>
                <c:ext xmlns:c15="http://schemas.microsoft.com/office/drawing/2012/chart" uri="{CE6537A1-D6FC-4f65-9D91-7224C49458BB}"/>
                <c:ext xmlns:c16="http://schemas.microsoft.com/office/drawing/2014/chart" uri="{C3380CC4-5D6E-409C-BE32-E72D297353CC}">
                  <c16:uniqueId val="{0000000F-5F42-4F60-8E95-58586D7FDF87}"/>
                </c:ext>
              </c:extLst>
            </c:dLbl>
            <c:dLbl>
              <c:idx val="16"/>
              <c:delete val="1"/>
              <c:extLst>
                <c:ext xmlns:c15="http://schemas.microsoft.com/office/drawing/2012/chart" uri="{CE6537A1-D6FC-4f65-9D91-7224C49458BB}"/>
                <c:ext xmlns:c16="http://schemas.microsoft.com/office/drawing/2014/chart" uri="{C3380CC4-5D6E-409C-BE32-E72D297353CC}">
                  <c16:uniqueId val="{00000010-5F42-4F60-8E95-58586D7FDF87}"/>
                </c:ext>
              </c:extLst>
            </c:dLbl>
            <c:dLbl>
              <c:idx val="17"/>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extLst>
                <c:ext xmlns:c16="http://schemas.microsoft.com/office/drawing/2014/chart" uri="{C3380CC4-5D6E-409C-BE32-E72D297353CC}">
                  <c16:uniqueId val="{00000011-5F42-4F60-8E95-58586D7FDF87}"/>
                </c:ext>
              </c:extLst>
            </c:dLbl>
            <c:dLbl>
              <c:idx val="18"/>
              <c:delete val="1"/>
              <c:extLst>
                <c:ext xmlns:c15="http://schemas.microsoft.com/office/drawing/2012/chart" uri="{CE6537A1-D6FC-4f65-9D91-7224C49458BB}"/>
                <c:ext xmlns:c16="http://schemas.microsoft.com/office/drawing/2014/chart" uri="{C3380CC4-5D6E-409C-BE32-E72D297353CC}">
                  <c16:uniqueId val="{00000012-5F42-4F60-8E95-58586D7FDF87}"/>
                </c:ext>
              </c:extLst>
            </c:dLbl>
            <c:dLbl>
              <c:idx val="19"/>
              <c:delete val="1"/>
              <c:extLst>
                <c:ext xmlns:c15="http://schemas.microsoft.com/office/drawing/2012/chart" uri="{CE6537A1-D6FC-4f65-9D91-7224C49458BB}"/>
                <c:ext xmlns:c16="http://schemas.microsoft.com/office/drawing/2014/chart" uri="{C3380CC4-5D6E-409C-BE32-E72D297353CC}">
                  <c16:uniqueId val="{00000013-5F42-4F60-8E95-58586D7FDF87}"/>
                </c:ext>
              </c:extLst>
            </c:dLbl>
            <c:dLbl>
              <c:idx val="20"/>
              <c:delete val="1"/>
              <c:extLst>
                <c:ext xmlns:c15="http://schemas.microsoft.com/office/drawing/2012/chart" uri="{CE6537A1-D6FC-4f65-9D91-7224C49458BB}"/>
                <c:ext xmlns:c16="http://schemas.microsoft.com/office/drawing/2014/chart" uri="{C3380CC4-5D6E-409C-BE32-E72D297353CC}">
                  <c16:uniqueId val="{00000014-5F42-4F60-8E95-58586D7FDF87}"/>
                </c:ext>
              </c:extLst>
            </c:dLbl>
            <c:dLbl>
              <c:idx val="21"/>
              <c:delete val="1"/>
              <c:extLst>
                <c:ext xmlns:c15="http://schemas.microsoft.com/office/drawing/2012/chart" uri="{CE6537A1-D6FC-4f65-9D91-7224C49458BB}"/>
                <c:ext xmlns:c16="http://schemas.microsoft.com/office/drawing/2014/chart" uri="{C3380CC4-5D6E-409C-BE32-E72D297353CC}">
                  <c16:uniqueId val="{00000015-5F42-4F60-8E95-58586D7FDF87}"/>
                </c:ext>
              </c:extLst>
            </c:dLbl>
            <c:dLbl>
              <c:idx val="22"/>
              <c:delete val="1"/>
              <c:extLst>
                <c:ext xmlns:c15="http://schemas.microsoft.com/office/drawing/2012/chart" uri="{CE6537A1-D6FC-4f65-9D91-7224C49458BB}"/>
                <c:ext xmlns:c16="http://schemas.microsoft.com/office/drawing/2014/chart" uri="{C3380CC4-5D6E-409C-BE32-E72D297353CC}">
                  <c16:uniqueId val="{00000016-5F42-4F60-8E95-58586D7FDF87}"/>
                </c:ext>
              </c:extLst>
            </c:dLbl>
            <c:dLbl>
              <c:idx val="23"/>
              <c:delete val="1"/>
              <c:extLst>
                <c:ext xmlns:c15="http://schemas.microsoft.com/office/drawing/2012/chart" uri="{CE6537A1-D6FC-4f65-9D91-7224C49458BB}"/>
                <c:ext xmlns:c16="http://schemas.microsoft.com/office/drawing/2014/chart" uri="{C3380CC4-5D6E-409C-BE32-E72D297353CC}">
                  <c16:uniqueId val="{00000017-5F42-4F60-8E95-58586D7FDF87}"/>
                </c:ext>
              </c:extLst>
            </c:dLbl>
            <c:dLbl>
              <c:idx val="24"/>
              <c:delete val="1"/>
              <c:extLst>
                <c:ext xmlns:c15="http://schemas.microsoft.com/office/drawing/2012/chart" uri="{CE6537A1-D6FC-4f65-9D91-7224C49458BB}"/>
                <c:ext xmlns:c16="http://schemas.microsoft.com/office/drawing/2014/chart" uri="{C3380CC4-5D6E-409C-BE32-E72D297353CC}">
                  <c16:uniqueId val="{00000018-5F42-4F60-8E95-58586D7FDF87}"/>
                </c:ext>
              </c:extLst>
            </c:dLbl>
            <c:dLbl>
              <c:idx val="25"/>
              <c:delete val="1"/>
              <c:extLst>
                <c:ext xmlns:c15="http://schemas.microsoft.com/office/drawing/2012/chart" uri="{CE6537A1-D6FC-4f65-9D91-7224C49458BB}"/>
                <c:ext xmlns:c16="http://schemas.microsoft.com/office/drawing/2014/chart" uri="{C3380CC4-5D6E-409C-BE32-E72D297353CC}">
                  <c16:uniqueId val="{00000019-5F42-4F60-8E95-58586D7FDF87}"/>
                </c:ext>
              </c:extLst>
            </c:dLbl>
            <c:dLbl>
              <c:idx val="26"/>
              <c:delete val="1"/>
              <c:extLst>
                <c:ext xmlns:c15="http://schemas.microsoft.com/office/drawing/2012/chart" uri="{CE6537A1-D6FC-4f65-9D91-7224C49458BB}"/>
                <c:ext xmlns:c16="http://schemas.microsoft.com/office/drawing/2014/chart" uri="{C3380CC4-5D6E-409C-BE32-E72D297353CC}">
                  <c16:uniqueId val="{0000001A-5F42-4F60-8E95-58586D7FDF87}"/>
                </c:ext>
              </c:extLst>
            </c:dLbl>
            <c:dLbl>
              <c:idx val="27"/>
              <c:delete val="1"/>
              <c:extLst>
                <c:ext xmlns:c15="http://schemas.microsoft.com/office/drawing/2012/chart" uri="{CE6537A1-D6FC-4f65-9D91-7224C49458BB}"/>
                <c:ext xmlns:c16="http://schemas.microsoft.com/office/drawing/2014/chart" uri="{C3380CC4-5D6E-409C-BE32-E72D297353CC}">
                  <c16:uniqueId val="{0000001B-5F42-4F60-8E95-58586D7FDF87}"/>
                </c:ext>
              </c:extLst>
            </c:dLbl>
            <c:dLbl>
              <c:idx val="28"/>
              <c:delete val="1"/>
              <c:extLst>
                <c:ext xmlns:c15="http://schemas.microsoft.com/office/drawing/2012/chart" uri="{CE6537A1-D6FC-4f65-9D91-7224C49458BB}"/>
                <c:ext xmlns:c16="http://schemas.microsoft.com/office/drawing/2014/chart" uri="{C3380CC4-5D6E-409C-BE32-E72D297353CC}">
                  <c16:uniqueId val="{0000001C-5F42-4F60-8E95-58586D7FDF87}"/>
                </c:ext>
              </c:extLst>
            </c:dLbl>
            <c:dLbl>
              <c:idx val="29"/>
              <c:delete val="1"/>
              <c:extLst>
                <c:ext xmlns:c15="http://schemas.microsoft.com/office/drawing/2012/chart" uri="{CE6537A1-D6FC-4f65-9D91-7224C49458BB}"/>
                <c:ext xmlns:c16="http://schemas.microsoft.com/office/drawing/2014/chart" uri="{C3380CC4-5D6E-409C-BE32-E72D297353CC}">
                  <c16:uniqueId val="{0000001D-5F42-4F60-8E95-58586D7FDF87}"/>
                </c:ext>
              </c:extLst>
            </c:dLbl>
            <c:dLbl>
              <c:idx val="30"/>
              <c:delete val="1"/>
              <c:extLst>
                <c:ext xmlns:c15="http://schemas.microsoft.com/office/drawing/2012/chart" uri="{CE6537A1-D6FC-4f65-9D91-7224C49458BB}"/>
                <c:ext xmlns:c16="http://schemas.microsoft.com/office/drawing/2014/chart" uri="{C3380CC4-5D6E-409C-BE32-E72D297353CC}">
                  <c16:uniqueId val="{0000001E-5F42-4F60-8E95-58586D7FDF87}"/>
                </c:ext>
              </c:extLst>
            </c:dLbl>
            <c:dLbl>
              <c:idx val="31"/>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5F42-4F60-8E95-58586D7FDF87}"/>
                </c:ext>
              </c:extLst>
            </c:dLbl>
            <c:dLbl>
              <c:idx val="32"/>
              <c:delete val="1"/>
              <c:extLst>
                <c:ext xmlns:c15="http://schemas.microsoft.com/office/drawing/2012/chart" uri="{CE6537A1-D6FC-4f65-9D91-7224C49458BB}"/>
                <c:ext xmlns:c16="http://schemas.microsoft.com/office/drawing/2014/chart" uri="{C3380CC4-5D6E-409C-BE32-E72D297353CC}">
                  <c16:uniqueId val="{00000020-5F42-4F60-8E95-58586D7FDF87}"/>
                </c:ext>
              </c:extLst>
            </c:dLbl>
            <c:dLbl>
              <c:idx val="33"/>
              <c:delete val="1"/>
              <c:extLst>
                <c:ext xmlns:c15="http://schemas.microsoft.com/office/drawing/2012/chart" uri="{CE6537A1-D6FC-4f65-9D91-7224C49458BB}"/>
                <c:ext xmlns:c16="http://schemas.microsoft.com/office/drawing/2014/chart" uri="{C3380CC4-5D6E-409C-BE32-E72D297353CC}">
                  <c16:uniqueId val="{00000021-5F42-4F60-8E95-58586D7FDF87}"/>
                </c:ext>
              </c:extLst>
            </c:dLbl>
            <c:dLbl>
              <c:idx val="34"/>
              <c:delete val="1"/>
              <c:extLst>
                <c:ext xmlns:c15="http://schemas.microsoft.com/office/drawing/2012/chart" uri="{CE6537A1-D6FC-4f65-9D91-7224C49458BB}"/>
                <c:ext xmlns:c16="http://schemas.microsoft.com/office/drawing/2014/chart" uri="{C3380CC4-5D6E-409C-BE32-E72D297353CC}">
                  <c16:uniqueId val="{00000022-5F42-4F60-8E95-58586D7FDF87}"/>
                </c:ext>
              </c:extLst>
            </c:dLbl>
            <c:dLbl>
              <c:idx val="35"/>
              <c:delete val="1"/>
              <c:extLst>
                <c:ext xmlns:c15="http://schemas.microsoft.com/office/drawing/2012/chart" uri="{CE6537A1-D6FC-4f65-9D91-7224C49458BB}"/>
                <c:ext xmlns:c16="http://schemas.microsoft.com/office/drawing/2014/chart" uri="{C3380CC4-5D6E-409C-BE32-E72D297353CC}">
                  <c16:uniqueId val="{00000023-5F42-4F60-8E95-58586D7FDF87}"/>
                </c:ext>
              </c:extLst>
            </c:dLbl>
            <c:dLbl>
              <c:idx val="36"/>
              <c:delete val="1"/>
              <c:extLst>
                <c:ext xmlns:c15="http://schemas.microsoft.com/office/drawing/2012/chart" uri="{CE6537A1-D6FC-4f65-9D91-7224C49458BB}"/>
                <c:ext xmlns:c16="http://schemas.microsoft.com/office/drawing/2014/chart" uri="{C3380CC4-5D6E-409C-BE32-E72D297353CC}">
                  <c16:uniqueId val="{00000024-5F42-4F60-8E95-58586D7FDF87}"/>
                </c:ext>
              </c:extLst>
            </c:dLbl>
            <c:dLbl>
              <c:idx val="37"/>
              <c:delete val="1"/>
              <c:extLst>
                <c:ext xmlns:c15="http://schemas.microsoft.com/office/drawing/2012/chart" uri="{CE6537A1-D6FC-4f65-9D91-7224C49458BB}"/>
                <c:ext xmlns:c16="http://schemas.microsoft.com/office/drawing/2014/chart" uri="{C3380CC4-5D6E-409C-BE32-E72D297353CC}">
                  <c16:uniqueId val="{00000025-5F42-4F60-8E95-58586D7FDF87}"/>
                </c:ext>
              </c:extLst>
            </c:dLbl>
            <c:dLbl>
              <c:idx val="38"/>
              <c:delete val="1"/>
              <c:extLst>
                <c:ext xmlns:c15="http://schemas.microsoft.com/office/drawing/2012/chart" uri="{CE6537A1-D6FC-4f65-9D91-7224C49458BB}"/>
                <c:ext xmlns:c16="http://schemas.microsoft.com/office/drawing/2014/chart" uri="{C3380CC4-5D6E-409C-BE32-E72D297353CC}">
                  <c16:uniqueId val="{00000026-5F42-4F60-8E95-58586D7FDF87}"/>
                </c:ext>
              </c:extLst>
            </c:dLbl>
            <c:dLbl>
              <c:idx val="39"/>
              <c:delete val="1"/>
              <c:extLst>
                <c:ext xmlns:c15="http://schemas.microsoft.com/office/drawing/2012/chart" uri="{CE6537A1-D6FC-4f65-9D91-7224C49458BB}"/>
                <c:ext xmlns:c16="http://schemas.microsoft.com/office/drawing/2014/chart" uri="{C3380CC4-5D6E-409C-BE32-E72D297353CC}">
                  <c16:uniqueId val="{00000027-5F42-4F60-8E95-58586D7FDF87}"/>
                </c:ext>
              </c:extLst>
            </c:dLbl>
            <c:dLbl>
              <c:idx val="40"/>
              <c:delete val="1"/>
              <c:extLst>
                <c:ext xmlns:c15="http://schemas.microsoft.com/office/drawing/2012/chart" uri="{CE6537A1-D6FC-4f65-9D91-7224C49458BB}"/>
                <c:ext xmlns:c16="http://schemas.microsoft.com/office/drawing/2014/chart" uri="{C3380CC4-5D6E-409C-BE32-E72D297353CC}">
                  <c16:uniqueId val="{00000028-5F42-4F60-8E95-58586D7FDF87}"/>
                </c:ext>
              </c:extLst>
            </c:dLbl>
            <c:dLbl>
              <c:idx val="41"/>
              <c:delete val="1"/>
              <c:extLst>
                <c:ext xmlns:c15="http://schemas.microsoft.com/office/drawing/2012/chart" uri="{CE6537A1-D6FC-4f65-9D91-7224C49458BB}"/>
                <c:ext xmlns:c16="http://schemas.microsoft.com/office/drawing/2014/chart" uri="{C3380CC4-5D6E-409C-BE32-E72D297353CC}">
                  <c16:uniqueId val="{00000029-5F42-4F60-8E95-58586D7FDF87}"/>
                </c:ext>
              </c:extLst>
            </c:dLbl>
            <c:dLbl>
              <c:idx val="42"/>
              <c:delete val="1"/>
              <c:extLst>
                <c:ext xmlns:c15="http://schemas.microsoft.com/office/drawing/2012/chart" uri="{CE6537A1-D6FC-4f65-9D91-7224C49458BB}"/>
                <c:ext xmlns:c16="http://schemas.microsoft.com/office/drawing/2014/chart" uri="{C3380CC4-5D6E-409C-BE32-E72D297353CC}">
                  <c16:uniqueId val="{0000002A-5F42-4F60-8E95-58586D7FDF87}"/>
                </c:ext>
              </c:extLst>
            </c:dLbl>
            <c:dLbl>
              <c:idx val="43"/>
              <c:delete val="1"/>
              <c:extLst>
                <c:ext xmlns:c15="http://schemas.microsoft.com/office/drawing/2012/chart" uri="{CE6537A1-D6FC-4f65-9D91-7224C49458BB}"/>
                <c:ext xmlns:c16="http://schemas.microsoft.com/office/drawing/2014/chart" uri="{C3380CC4-5D6E-409C-BE32-E72D297353CC}">
                  <c16:uniqueId val="{0000002B-5F42-4F60-8E95-58586D7FDF87}"/>
                </c:ext>
              </c:extLst>
            </c:dLbl>
            <c:dLbl>
              <c:idx val="44"/>
              <c:delete val="1"/>
              <c:extLst>
                <c:ext xmlns:c15="http://schemas.microsoft.com/office/drawing/2012/chart" uri="{CE6537A1-D6FC-4f65-9D91-7224C49458BB}"/>
                <c:ext xmlns:c16="http://schemas.microsoft.com/office/drawing/2014/chart" uri="{C3380CC4-5D6E-409C-BE32-E72D297353CC}">
                  <c16:uniqueId val="{0000002C-5F42-4F60-8E95-58586D7FDF87}"/>
                </c:ext>
              </c:extLst>
            </c:dLbl>
            <c:dLbl>
              <c:idx val="45"/>
              <c:delete val="1"/>
              <c:extLst>
                <c:ext xmlns:c15="http://schemas.microsoft.com/office/drawing/2012/chart" uri="{CE6537A1-D6FC-4f65-9D91-7224C49458BB}"/>
                <c:ext xmlns:c16="http://schemas.microsoft.com/office/drawing/2014/chart" uri="{C3380CC4-5D6E-409C-BE32-E72D297353CC}">
                  <c16:uniqueId val="{0000002D-5F42-4F60-8E95-58586D7FDF87}"/>
                </c:ext>
              </c:extLst>
            </c:dLbl>
            <c:dLbl>
              <c:idx val="46"/>
              <c:delete val="1"/>
              <c:extLst>
                <c:ext xmlns:c15="http://schemas.microsoft.com/office/drawing/2012/chart" uri="{CE6537A1-D6FC-4f65-9D91-7224C49458BB}"/>
                <c:ext xmlns:c16="http://schemas.microsoft.com/office/drawing/2014/chart" uri="{C3380CC4-5D6E-409C-BE32-E72D297353CC}">
                  <c16:uniqueId val="{0000002E-5F42-4F60-8E95-58586D7FDF87}"/>
                </c:ext>
              </c:extLst>
            </c:dLbl>
            <c:dLbl>
              <c:idx val="47"/>
              <c:delete val="1"/>
              <c:extLst>
                <c:ext xmlns:c15="http://schemas.microsoft.com/office/drawing/2012/chart" uri="{CE6537A1-D6FC-4f65-9D91-7224C49458BB}"/>
                <c:ext xmlns:c16="http://schemas.microsoft.com/office/drawing/2014/chart" uri="{C3380CC4-5D6E-409C-BE32-E72D297353CC}">
                  <c16:uniqueId val="{0000002F-5F42-4F60-8E95-58586D7FDF87}"/>
                </c:ext>
              </c:extLst>
            </c:dLbl>
            <c:dLbl>
              <c:idx val="48"/>
              <c:delete val="1"/>
              <c:extLst>
                <c:ext xmlns:c15="http://schemas.microsoft.com/office/drawing/2012/chart" uri="{CE6537A1-D6FC-4f65-9D91-7224C49458BB}"/>
                <c:ext xmlns:c16="http://schemas.microsoft.com/office/drawing/2014/chart" uri="{C3380CC4-5D6E-409C-BE32-E72D297353CC}">
                  <c16:uniqueId val="{00000030-5F42-4F60-8E95-58586D7FDF87}"/>
                </c:ext>
              </c:extLst>
            </c:dLbl>
            <c:dLbl>
              <c:idx val="49"/>
              <c:delete val="1"/>
              <c:extLst>
                <c:ext xmlns:c15="http://schemas.microsoft.com/office/drawing/2012/chart" uri="{CE6537A1-D6FC-4f65-9D91-7224C49458BB}"/>
                <c:ext xmlns:c16="http://schemas.microsoft.com/office/drawing/2014/chart" uri="{C3380CC4-5D6E-409C-BE32-E72D297353CC}">
                  <c16:uniqueId val="{00000031-5F42-4F60-8E95-58586D7FDF87}"/>
                </c:ext>
              </c:extLst>
            </c:dLbl>
            <c:dLbl>
              <c:idx val="50"/>
              <c:delete val="1"/>
              <c:extLst>
                <c:ext xmlns:c15="http://schemas.microsoft.com/office/drawing/2012/chart" uri="{CE6537A1-D6FC-4f65-9D91-7224C49458BB}"/>
                <c:ext xmlns:c16="http://schemas.microsoft.com/office/drawing/2014/chart" uri="{C3380CC4-5D6E-409C-BE32-E72D297353CC}">
                  <c16:uniqueId val="{00000032-5F42-4F60-8E95-58586D7FDF87}"/>
                </c:ext>
              </c:extLst>
            </c:dLbl>
            <c:dLbl>
              <c:idx val="51"/>
              <c:delete val="1"/>
              <c:extLst>
                <c:ext xmlns:c15="http://schemas.microsoft.com/office/drawing/2012/chart" uri="{CE6537A1-D6FC-4f65-9D91-7224C49458BB}"/>
                <c:ext xmlns:c16="http://schemas.microsoft.com/office/drawing/2014/chart" uri="{C3380CC4-5D6E-409C-BE32-E72D297353CC}">
                  <c16:uniqueId val="{00000033-5F42-4F60-8E95-58586D7FDF87}"/>
                </c:ext>
              </c:extLst>
            </c:dLbl>
            <c:dLbl>
              <c:idx val="52"/>
              <c:delete val="1"/>
              <c:extLst>
                <c:ext xmlns:c15="http://schemas.microsoft.com/office/drawing/2012/chart" uri="{CE6537A1-D6FC-4f65-9D91-7224C49458BB}"/>
                <c:ext xmlns:c16="http://schemas.microsoft.com/office/drawing/2014/chart" uri="{C3380CC4-5D6E-409C-BE32-E72D297353CC}">
                  <c16:uniqueId val="{00000034-5F42-4F60-8E95-58586D7FDF8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xVal>
            <c:numRef>
              <c:f>РЯ!$A$2:$A$54</c:f>
              <c:numCache>
                <c:formatCode>General</c:formatCode>
                <c:ptCount val="53"/>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numCache>
            </c:numRef>
          </c:xVal>
          <c:yVal>
            <c:numRef>
              <c:f>РЯ!$J$2:$J$54</c:f>
              <c:numCache>
                <c:formatCode>General</c:formatCode>
                <c:ptCount val="53"/>
                <c:pt idx="0">
                  <c:v>266.39999999999998</c:v>
                </c:pt>
                <c:pt idx="1">
                  <c:v>284.3</c:v>
                </c:pt>
                <c:pt idx="2">
                  <c:v>186.6</c:v>
                </c:pt>
                <c:pt idx="3">
                  <c:v>345.7</c:v>
                </c:pt>
                <c:pt idx="4">
                  <c:v>290.60000000000002</c:v>
                </c:pt>
                <c:pt idx="5">
                  <c:v>172</c:v>
                </c:pt>
                <c:pt idx="6">
                  <c:v>313.5</c:v>
                </c:pt>
                <c:pt idx="7">
                  <c:v>269.3</c:v>
                </c:pt>
                <c:pt idx="8">
                  <c:v>199.4</c:v>
                </c:pt>
                <c:pt idx="9">
                  <c:v>307.7</c:v>
                </c:pt>
                <c:pt idx="10">
                  <c:v>246.9</c:v>
                </c:pt>
                <c:pt idx="11">
                  <c:v>193.8</c:v>
                </c:pt>
                <c:pt idx="12">
                  <c:v>346</c:v>
                </c:pt>
                <c:pt idx="13">
                  <c:v>265.60000000000002</c:v>
                </c:pt>
                <c:pt idx="14">
                  <c:v>241</c:v>
                </c:pt>
                <c:pt idx="15">
                  <c:v>268.3</c:v>
                </c:pt>
                <c:pt idx="16">
                  <c:v>243.4</c:v>
                </c:pt>
                <c:pt idx="17">
                  <c:v>425.5</c:v>
                </c:pt>
                <c:pt idx="18">
                  <c:v>226.1</c:v>
                </c:pt>
                <c:pt idx="19">
                  <c:v>222.5</c:v>
                </c:pt>
                <c:pt idx="20">
                  <c:v>389.2</c:v>
                </c:pt>
                <c:pt idx="21">
                  <c:v>287.5</c:v>
                </c:pt>
                <c:pt idx="22">
                  <c:v>284.5</c:v>
                </c:pt>
                <c:pt idx="23">
                  <c:v>310.3</c:v>
                </c:pt>
                <c:pt idx="24">
                  <c:v>297.2</c:v>
                </c:pt>
                <c:pt idx="25">
                  <c:v>234.3</c:v>
                </c:pt>
                <c:pt idx="26">
                  <c:v>200.1</c:v>
                </c:pt>
                <c:pt idx="27">
                  <c:v>226.1</c:v>
                </c:pt>
                <c:pt idx="28">
                  <c:v>320.39999999999998</c:v>
                </c:pt>
                <c:pt idx="29">
                  <c:v>255.6</c:v>
                </c:pt>
                <c:pt idx="30">
                  <c:v>169.4</c:v>
                </c:pt>
                <c:pt idx="31">
                  <c:v>132.80000000000001</c:v>
                </c:pt>
                <c:pt idx="32">
                  <c:v>257.10000000000002</c:v>
                </c:pt>
                <c:pt idx="33">
                  <c:v>239.5</c:v>
                </c:pt>
                <c:pt idx="34">
                  <c:v>372.4</c:v>
                </c:pt>
                <c:pt idx="35">
                  <c:v>217.2</c:v>
                </c:pt>
                <c:pt idx="36">
                  <c:v>238.6</c:v>
                </c:pt>
                <c:pt idx="37">
                  <c:v>302.5</c:v>
                </c:pt>
                <c:pt idx="38">
                  <c:v>273.60000000000002</c:v>
                </c:pt>
                <c:pt idx="39">
                  <c:v>210.5</c:v>
                </c:pt>
                <c:pt idx="40">
                  <c:v>201.7</c:v>
                </c:pt>
                <c:pt idx="41">
                  <c:v>308.7</c:v>
                </c:pt>
                <c:pt idx="42">
                  <c:v>227.1</c:v>
                </c:pt>
                <c:pt idx="43">
                  <c:v>224</c:v>
                </c:pt>
                <c:pt idx="44">
                  <c:v>320.39999999999998</c:v>
                </c:pt>
                <c:pt idx="45">
                  <c:v>239.7</c:v>
                </c:pt>
                <c:pt idx="46">
                  <c:v>164.2</c:v>
                </c:pt>
                <c:pt idx="47">
                  <c:v>248.9</c:v>
                </c:pt>
                <c:pt idx="48">
                  <c:v>301.39999999999998</c:v>
                </c:pt>
                <c:pt idx="49">
                  <c:v>135.1</c:v>
                </c:pt>
                <c:pt idx="50">
                  <c:v>378.5</c:v>
                </c:pt>
                <c:pt idx="51">
                  <c:v>299.7</c:v>
                </c:pt>
                <c:pt idx="52">
                  <c:v>209</c:v>
                </c:pt>
              </c:numCache>
            </c:numRef>
          </c:yVal>
          <c:smooth val="0"/>
          <c:extLst>
            <c:ext xmlns:c16="http://schemas.microsoft.com/office/drawing/2014/chart" uri="{C3380CC4-5D6E-409C-BE32-E72D297353CC}">
              <c16:uniqueId val="{00000036-5F42-4F60-8E95-58586D7FDF87}"/>
            </c:ext>
          </c:extLst>
        </c:ser>
        <c:dLbls>
          <c:dLblPos val="t"/>
          <c:showLegendKey val="0"/>
          <c:showVal val="1"/>
          <c:showCatName val="0"/>
          <c:showSerName val="0"/>
          <c:showPercent val="0"/>
          <c:showBubbleSize val="0"/>
        </c:dLbls>
        <c:axId val="1090867951"/>
        <c:axId val="1090861711"/>
      </c:scatterChart>
      <c:valAx>
        <c:axId val="1090867951"/>
        <c:scaling>
          <c:orientation val="minMax"/>
          <c:max val="53"/>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lgn="ctr" rtl="0">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n (</a:t>
                </a:r>
                <a:r>
                  <a:rPr lang="ru-RU" b="1"/>
                  <a:t>53</a:t>
                </a:r>
                <a:r>
                  <a:rPr lang="en-US" b="1"/>
                  <a:t>), Me (</a:t>
                </a:r>
                <a:r>
                  <a:rPr lang="ru-RU" b="1"/>
                  <a:t>255,</a:t>
                </a:r>
                <a:r>
                  <a:rPr lang="en-US" b="1"/>
                  <a:t>6)</a:t>
                </a:r>
                <a:endParaRPr lang="ru-RU" b="1"/>
              </a:p>
            </c:rich>
          </c:tx>
          <c:overlay val="0"/>
          <c:spPr>
            <a:noFill/>
            <a:ln>
              <a:noFill/>
            </a:ln>
            <a:effectLst/>
          </c:spPr>
          <c:txPr>
            <a:bodyPr rot="0" spcFirstLastPara="1" vertOverflow="ellipsis" vert="horz" wrap="square" anchor="ctr" anchorCtr="1"/>
            <a:lstStyle/>
            <a:p>
              <a:pPr algn="ctr" rtl="0">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090861711"/>
        <c:crosses val="autoZero"/>
        <c:crossBetween val="midCat"/>
      </c:valAx>
      <c:valAx>
        <c:axId val="109086171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1"/>
                  <a:t>Доза</a:t>
                </a:r>
                <a:r>
                  <a:rPr lang="ru-RU" sz="1200" b="1" baseline="0"/>
                  <a:t> активности</a:t>
                </a:r>
                <a:r>
                  <a:rPr lang="ru-RU" sz="1200" b="1"/>
                  <a:t>, МБк</a:t>
                </a:r>
              </a:p>
            </c:rich>
          </c:tx>
          <c:overlay val="0"/>
          <c:spPr>
            <a:noFill/>
            <a:ln>
              <a:noFill/>
            </a:ln>
            <a:effectLst/>
          </c:spPr>
          <c:txPr>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090867951"/>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РЯ!$K$1</c:f>
              <c:strCache>
                <c:ptCount val="1"/>
                <c:pt idx="0">
                  <c:v>Эффективная доза
облучения, мЗв</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0-8FAC-4862-AB82-3398B7D734C0}"/>
                </c:ext>
              </c:extLst>
            </c:dLbl>
            <c:dLbl>
              <c:idx val="1"/>
              <c:delete val="1"/>
              <c:extLst>
                <c:ext xmlns:c15="http://schemas.microsoft.com/office/drawing/2012/chart" uri="{CE6537A1-D6FC-4f65-9D91-7224C49458BB}"/>
                <c:ext xmlns:c16="http://schemas.microsoft.com/office/drawing/2014/chart" uri="{C3380CC4-5D6E-409C-BE32-E72D297353CC}">
                  <c16:uniqueId val="{00000001-8FAC-4862-AB82-3398B7D734C0}"/>
                </c:ext>
              </c:extLst>
            </c:dLbl>
            <c:dLbl>
              <c:idx val="2"/>
              <c:delete val="1"/>
              <c:extLst>
                <c:ext xmlns:c15="http://schemas.microsoft.com/office/drawing/2012/chart" uri="{CE6537A1-D6FC-4f65-9D91-7224C49458BB}"/>
                <c:ext xmlns:c16="http://schemas.microsoft.com/office/drawing/2014/chart" uri="{C3380CC4-5D6E-409C-BE32-E72D297353CC}">
                  <c16:uniqueId val="{00000002-8FAC-4862-AB82-3398B7D734C0}"/>
                </c:ext>
              </c:extLst>
            </c:dLbl>
            <c:dLbl>
              <c:idx val="3"/>
              <c:delete val="1"/>
              <c:extLst>
                <c:ext xmlns:c15="http://schemas.microsoft.com/office/drawing/2012/chart" uri="{CE6537A1-D6FC-4f65-9D91-7224C49458BB}"/>
                <c:ext xmlns:c16="http://schemas.microsoft.com/office/drawing/2014/chart" uri="{C3380CC4-5D6E-409C-BE32-E72D297353CC}">
                  <c16:uniqueId val="{00000003-8FAC-4862-AB82-3398B7D734C0}"/>
                </c:ext>
              </c:extLst>
            </c:dLbl>
            <c:dLbl>
              <c:idx val="4"/>
              <c:delete val="1"/>
              <c:extLst>
                <c:ext xmlns:c15="http://schemas.microsoft.com/office/drawing/2012/chart" uri="{CE6537A1-D6FC-4f65-9D91-7224C49458BB}"/>
                <c:ext xmlns:c16="http://schemas.microsoft.com/office/drawing/2014/chart" uri="{C3380CC4-5D6E-409C-BE32-E72D297353CC}">
                  <c16:uniqueId val="{00000004-8FAC-4862-AB82-3398B7D734C0}"/>
                </c:ext>
              </c:extLst>
            </c:dLbl>
            <c:dLbl>
              <c:idx val="5"/>
              <c:delete val="1"/>
              <c:extLst>
                <c:ext xmlns:c15="http://schemas.microsoft.com/office/drawing/2012/chart" uri="{CE6537A1-D6FC-4f65-9D91-7224C49458BB}"/>
                <c:ext xmlns:c16="http://schemas.microsoft.com/office/drawing/2014/chart" uri="{C3380CC4-5D6E-409C-BE32-E72D297353CC}">
                  <c16:uniqueId val="{00000005-8FAC-4862-AB82-3398B7D734C0}"/>
                </c:ext>
              </c:extLst>
            </c:dLbl>
            <c:dLbl>
              <c:idx val="6"/>
              <c:delete val="1"/>
              <c:extLst>
                <c:ext xmlns:c15="http://schemas.microsoft.com/office/drawing/2012/chart" uri="{CE6537A1-D6FC-4f65-9D91-7224C49458BB}"/>
                <c:ext xmlns:c16="http://schemas.microsoft.com/office/drawing/2014/chart" uri="{C3380CC4-5D6E-409C-BE32-E72D297353CC}">
                  <c16:uniqueId val="{00000006-8FAC-4862-AB82-3398B7D734C0}"/>
                </c:ext>
              </c:extLst>
            </c:dLbl>
            <c:dLbl>
              <c:idx val="7"/>
              <c:delete val="1"/>
              <c:extLst>
                <c:ext xmlns:c15="http://schemas.microsoft.com/office/drawing/2012/chart" uri="{CE6537A1-D6FC-4f65-9D91-7224C49458BB}"/>
                <c:ext xmlns:c16="http://schemas.microsoft.com/office/drawing/2014/chart" uri="{C3380CC4-5D6E-409C-BE32-E72D297353CC}">
                  <c16:uniqueId val="{00000007-8FAC-4862-AB82-3398B7D734C0}"/>
                </c:ext>
              </c:extLst>
            </c:dLbl>
            <c:dLbl>
              <c:idx val="8"/>
              <c:delete val="1"/>
              <c:extLst>
                <c:ext xmlns:c15="http://schemas.microsoft.com/office/drawing/2012/chart" uri="{CE6537A1-D6FC-4f65-9D91-7224C49458BB}"/>
                <c:ext xmlns:c16="http://schemas.microsoft.com/office/drawing/2014/chart" uri="{C3380CC4-5D6E-409C-BE32-E72D297353CC}">
                  <c16:uniqueId val="{00000008-8FAC-4862-AB82-3398B7D734C0}"/>
                </c:ext>
              </c:extLst>
            </c:dLbl>
            <c:dLbl>
              <c:idx val="9"/>
              <c:delete val="1"/>
              <c:extLst>
                <c:ext xmlns:c15="http://schemas.microsoft.com/office/drawing/2012/chart" uri="{CE6537A1-D6FC-4f65-9D91-7224C49458BB}"/>
                <c:ext xmlns:c16="http://schemas.microsoft.com/office/drawing/2014/chart" uri="{C3380CC4-5D6E-409C-BE32-E72D297353CC}">
                  <c16:uniqueId val="{00000009-8FAC-4862-AB82-3398B7D734C0}"/>
                </c:ext>
              </c:extLst>
            </c:dLbl>
            <c:dLbl>
              <c:idx val="10"/>
              <c:delete val="1"/>
              <c:extLst>
                <c:ext xmlns:c15="http://schemas.microsoft.com/office/drawing/2012/chart" uri="{CE6537A1-D6FC-4f65-9D91-7224C49458BB}"/>
                <c:ext xmlns:c16="http://schemas.microsoft.com/office/drawing/2014/chart" uri="{C3380CC4-5D6E-409C-BE32-E72D297353CC}">
                  <c16:uniqueId val="{0000000A-8FAC-4862-AB82-3398B7D734C0}"/>
                </c:ext>
              </c:extLst>
            </c:dLbl>
            <c:dLbl>
              <c:idx val="11"/>
              <c:delete val="1"/>
              <c:extLst>
                <c:ext xmlns:c15="http://schemas.microsoft.com/office/drawing/2012/chart" uri="{CE6537A1-D6FC-4f65-9D91-7224C49458BB}"/>
                <c:ext xmlns:c16="http://schemas.microsoft.com/office/drawing/2014/chart" uri="{C3380CC4-5D6E-409C-BE32-E72D297353CC}">
                  <c16:uniqueId val="{0000000B-8FAC-4862-AB82-3398B7D734C0}"/>
                </c:ext>
              </c:extLst>
            </c:dLbl>
            <c:dLbl>
              <c:idx val="12"/>
              <c:delete val="1"/>
              <c:extLst>
                <c:ext xmlns:c15="http://schemas.microsoft.com/office/drawing/2012/chart" uri="{CE6537A1-D6FC-4f65-9D91-7224C49458BB}"/>
                <c:ext xmlns:c16="http://schemas.microsoft.com/office/drawing/2014/chart" uri="{C3380CC4-5D6E-409C-BE32-E72D297353CC}">
                  <c16:uniqueId val="{0000000C-8FAC-4862-AB82-3398B7D734C0}"/>
                </c:ext>
              </c:extLst>
            </c:dLbl>
            <c:dLbl>
              <c:idx val="13"/>
              <c:delete val="1"/>
              <c:extLst>
                <c:ext xmlns:c15="http://schemas.microsoft.com/office/drawing/2012/chart" uri="{CE6537A1-D6FC-4f65-9D91-7224C49458BB}"/>
                <c:ext xmlns:c16="http://schemas.microsoft.com/office/drawing/2014/chart" uri="{C3380CC4-5D6E-409C-BE32-E72D297353CC}">
                  <c16:uniqueId val="{0000000D-8FAC-4862-AB82-3398B7D734C0}"/>
                </c:ext>
              </c:extLst>
            </c:dLbl>
            <c:dLbl>
              <c:idx val="14"/>
              <c:delete val="1"/>
              <c:extLst>
                <c:ext xmlns:c15="http://schemas.microsoft.com/office/drawing/2012/chart" uri="{CE6537A1-D6FC-4f65-9D91-7224C49458BB}"/>
                <c:ext xmlns:c16="http://schemas.microsoft.com/office/drawing/2014/chart" uri="{C3380CC4-5D6E-409C-BE32-E72D297353CC}">
                  <c16:uniqueId val="{0000000E-8FAC-4862-AB82-3398B7D734C0}"/>
                </c:ext>
              </c:extLst>
            </c:dLbl>
            <c:dLbl>
              <c:idx val="15"/>
              <c:delete val="1"/>
              <c:extLst>
                <c:ext xmlns:c15="http://schemas.microsoft.com/office/drawing/2012/chart" uri="{CE6537A1-D6FC-4f65-9D91-7224C49458BB}"/>
                <c:ext xmlns:c16="http://schemas.microsoft.com/office/drawing/2014/chart" uri="{C3380CC4-5D6E-409C-BE32-E72D297353CC}">
                  <c16:uniqueId val="{0000000F-8FAC-4862-AB82-3398B7D734C0}"/>
                </c:ext>
              </c:extLst>
            </c:dLbl>
            <c:dLbl>
              <c:idx val="16"/>
              <c:delete val="1"/>
              <c:extLst>
                <c:ext xmlns:c15="http://schemas.microsoft.com/office/drawing/2012/chart" uri="{CE6537A1-D6FC-4f65-9D91-7224C49458BB}"/>
                <c:ext xmlns:c16="http://schemas.microsoft.com/office/drawing/2014/chart" uri="{C3380CC4-5D6E-409C-BE32-E72D297353CC}">
                  <c16:uniqueId val="{00000010-8FAC-4862-AB82-3398B7D734C0}"/>
                </c:ext>
              </c:extLst>
            </c:dLbl>
            <c:dLbl>
              <c:idx val="17"/>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8FAC-4862-AB82-3398B7D734C0}"/>
                </c:ext>
              </c:extLst>
            </c:dLbl>
            <c:dLbl>
              <c:idx val="18"/>
              <c:delete val="1"/>
              <c:extLst>
                <c:ext xmlns:c15="http://schemas.microsoft.com/office/drawing/2012/chart" uri="{CE6537A1-D6FC-4f65-9D91-7224C49458BB}"/>
                <c:ext xmlns:c16="http://schemas.microsoft.com/office/drawing/2014/chart" uri="{C3380CC4-5D6E-409C-BE32-E72D297353CC}">
                  <c16:uniqueId val="{00000012-8FAC-4862-AB82-3398B7D734C0}"/>
                </c:ext>
              </c:extLst>
            </c:dLbl>
            <c:dLbl>
              <c:idx val="19"/>
              <c:delete val="1"/>
              <c:extLst>
                <c:ext xmlns:c15="http://schemas.microsoft.com/office/drawing/2012/chart" uri="{CE6537A1-D6FC-4f65-9D91-7224C49458BB}"/>
                <c:ext xmlns:c16="http://schemas.microsoft.com/office/drawing/2014/chart" uri="{C3380CC4-5D6E-409C-BE32-E72D297353CC}">
                  <c16:uniqueId val="{00000013-8FAC-4862-AB82-3398B7D734C0}"/>
                </c:ext>
              </c:extLst>
            </c:dLbl>
            <c:dLbl>
              <c:idx val="20"/>
              <c:delete val="1"/>
              <c:extLst>
                <c:ext xmlns:c15="http://schemas.microsoft.com/office/drawing/2012/chart" uri="{CE6537A1-D6FC-4f65-9D91-7224C49458BB}"/>
                <c:ext xmlns:c16="http://schemas.microsoft.com/office/drawing/2014/chart" uri="{C3380CC4-5D6E-409C-BE32-E72D297353CC}">
                  <c16:uniqueId val="{00000014-8FAC-4862-AB82-3398B7D734C0}"/>
                </c:ext>
              </c:extLst>
            </c:dLbl>
            <c:dLbl>
              <c:idx val="21"/>
              <c:delete val="1"/>
              <c:extLst>
                <c:ext xmlns:c15="http://schemas.microsoft.com/office/drawing/2012/chart" uri="{CE6537A1-D6FC-4f65-9D91-7224C49458BB}"/>
                <c:ext xmlns:c16="http://schemas.microsoft.com/office/drawing/2014/chart" uri="{C3380CC4-5D6E-409C-BE32-E72D297353CC}">
                  <c16:uniqueId val="{00000015-8FAC-4862-AB82-3398B7D734C0}"/>
                </c:ext>
              </c:extLst>
            </c:dLbl>
            <c:dLbl>
              <c:idx val="22"/>
              <c:delete val="1"/>
              <c:extLst>
                <c:ext xmlns:c15="http://schemas.microsoft.com/office/drawing/2012/chart" uri="{CE6537A1-D6FC-4f65-9D91-7224C49458BB}"/>
                <c:ext xmlns:c16="http://schemas.microsoft.com/office/drawing/2014/chart" uri="{C3380CC4-5D6E-409C-BE32-E72D297353CC}">
                  <c16:uniqueId val="{00000016-8FAC-4862-AB82-3398B7D734C0}"/>
                </c:ext>
              </c:extLst>
            </c:dLbl>
            <c:dLbl>
              <c:idx val="23"/>
              <c:delete val="1"/>
              <c:extLst>
                <c:ext xmlns:c15="http://schemas.microsoft.com/office/drawing/2012/chart" uri="{CE6537A1-D6FC-4f65-9D91-7224C49458BB}"/>
                <c:ext xmlns:c16="http://schemas.microsoft.com/office/drawing/2014/chart" uri="{C3380CC4-5D6E-409C-BE32-E72D297353CC}">
                  <c16:uniqueId val="{00000017-8FAC-4862-AB82-3398B7D734C0}"/>
                </c:ext>
              </c:extLst>
            </c:dLbl>
            <c:dLbl>
              <c:idx val="24"/>
              <c:delete val="1"/>
              <c:extLst>
                <c:ext xmlns:c15="http://schemas.microsoft.com/office/drawing/2012/chart" uri="{CE6537A1-D6FC-4f65-9D91-7224C49458BB}"/>
                <c:ext xmlns:c16="http://schemas.microsoft.com/office/drawing/2014/chart" uri="{C3380CC4-5D6E-409C-BE32-E72D297353CC}">
                  <c16:uniqueId val="{00000018-8FAC-4862-AB82-3398B7D734C0}"/>
                </c:ext>
              </c:extLst>
            </c:dLbl>
            <c:dLbl>
              <c:idx val="25"/>
              <c:delete val="1"/>
              <c:extLst>
                <c:ext xmlns:c15="http://schemas.microsoft.com/office/drawing/2012/chart" uri="{CE6537A1-D6FC-4f65-9D91-7224C49458BB}"/>
                <c:ext xmlns:c16="http://schemas.microsoft.com/office/drawing/2014/chart" uri="{C3380CC4-5D6E-409C-BE32-E72D297353CC}">
                  <c16:uniqueId val="{00000019-8FAC-4862-AB82-3398B7D734C0}"/>
                </c:ext>
              </c:extLst>
            </c:dLbl>
            <c:dLbl>
              <c:idx val="26"/>
              <c:delete val="1"/>
              <c:extLst>
                <c:ext xmlns:c15="http://schemas.microsoft.com/office/drawing/2012/chart" uri="{CE6537A1-D6FC-4f65-9D91-7224C49458BB}"/>
                <c:ext xmlns:c16="http://schemas.microsoft.com/office/drawing/2014/chart" uri="{C3380CC4-5D6E-409C-BE32-E72D297353CC}">
                  <c16:uniqueId val="{0000001A-8FAC-4862-AB82-3398B7D734C0}"/>
                </c:ext>
              </c:extLst>
            </c:dLbl>
            <c:dLbl>
              <c:idx val="27"/>
              <c:delete val="1"/>
              <c:extLst>
                <c:ext xmlns:c15="http://schemas.microsoft.com/office/drawing/2012/chart" uri="{CE6537A1-D6FC-4f65-9D91-7224C49458BB}"/>
                <c:ext xmlns:c16="http://schemas.microsoft.com/office/drawing/2014/chart" uri="{C3380CC4-5D6E-409C-BE32-E72D297353CC}">
                  <c16:uniqueId val="{0000001B-8FAC-4862-AB82-3398B7D734C0}"/>
                </c:ext>
              </c:extLst>
            </c:dLbl>
            <c:dLbl>
              <c:idx val="28"/>
              <c:delete val="1"/>
              <c:extLst>
                <c:ext xmlns:c15="http://schemas.microsoft.com/office/drawing/2012/chart" uri="{CE6537A1-D6FC-4f65-9D91-7224C49458BB}"/>
                <c:ext xmlns:c16="http://schemas.microsoft.com/office/drawing/2014/chart" uri="{C3380CC4-5D6E-409C-BE32-E72D297353CC}">
                  <c16:uniqueId val="{0000001C-8FAC-4862-AB82-3398B7D734C0}"/>
                </c:ext>
              </c:extLst>
            </c:dLbl>
            <c:dLbl>
              <c:idx val="29"/>
              <c:delete val="1"/>
              <c:extLst>
                <c:ext xmlns:c15="http://schemas.microsoft.com/office/drawing/2012/chart" uri="{CE6537A1-D6FC-4f65-9D91-7224C49458BB}"/>
                <c:ext xmlns:c16="http://schemas.microsoft.com/office/drawing/2014/chart" uri="{C3380CC4-5D6E-409C-BE32-E72D297353CC}">
                  <c16:uniqueId val="{0000001D-8FAC-4862-AB82-3398B7D734C0}"/>
                </c:ext>
              </c:extLst>
            </c:dLbl>
            <c:dLbl>
              <c:idx val="30"/>
              <c:delete val="1"/>
              <c:extLst>
                <c:ext xmlns:c15="http://schemas.microsoft.com/office/drawing/2012/chart" uri="{CE6537A1-D6FC-4f65-9D91-7224C49458BB}"/>
                <c:ext xmlns:c16="http://schemas.microsoft.com/office/drawing/2014/chart" uri="{C3380CC4-5D6E-409C-BE32-E72D297353CC}">
                  <c16:uniqueId val="{0000001E-8FAC-4862-AB82-3398B7D734C0}"/>
                </c:ext>
              </c:extLst>
            </c:dLbl>
            <c:dLbl>
              <c:idx val="31"/>
              <c:delete val="1"/>
              <c:extLst>
                <c:ext xmlns:c15="http://schemas.microsoft.com/office/drawing/2012/chart" uri="{CE6537A1-D6FC-4f65-9D91-7224C49458BB}"/>
                <c:ext xmlns:c16="http://schemas.microsoft.com/office/drawing/2014/chart" uri="{C3380CC4-5D6E-409C-BE32-E72D297353CC}">
                  <c16:uniqueId val="{0000001F-8FAC-4862-AB82-3398B7D734C0}"/>
                </c:ext>
              </c:extLst>
            </c:dLbl>
            <c:dLbl>
              <c:idx val="32"/>
              <c:delete val="1"/>
              <c:extLst>
                <c:ext xmlns:c15="http://schemas.microsoft.com/office/drawing/2012/chart" uri="{CE6537A1-D6FC-4f65-9D91-7224C49458BB}"/>
                <c:ext xmlns:c16="http://schemas.microsoft.com/office/drawing/2014/chart" uri="{C3380CC4-5D6E-409C-BE32-E72D297353CC}">
                  <c16:uniqueId val="{00000020-8FAC-4862-AB82-3398B7D734C0}"/>
                </c:ext>
              </c:extLst>
            </c:dLbl>
            <c:dLbl>
              <c:idx val="33"/>
              <c:delete val="1"/>
              <c:extLst>
                <c:ext xmlns:c15="http://schemas.microsoft.com/office/drawing/2012/chart" uri="{CE6537A1-D6FC-4f65-9D91-7224C49458BB}"/>
                <c:ext xmlns:c16="http://schemas.microsoft.com/office/drawing/2014/chart" uri="{C3380CC4-5D6E-409C-BE32-E72D297353CC}">
                  <c16:uniqueId val="{00000021-8FAC-4862-AB82-3398B7D734C0}"/>
                </c:ext>
              </c:extLst>
            </c:dLbl>
            <c:dLbl>
              <c:idx val="34"/>
              <c:delete val="1"/>
              <c:extLst>
                <c:ext xmlns:c15="http://schemas.microsoft.com/office/drawing/2012/chart" uri="{CE6537A1-D6FC-4f65-9D91-7224C49458BB}"/>
                <c:ext xmlns:c16="http://schemas.microsoft.com/office/drawing/2014/chart" uri="{C3380CC4-5D6E-409C-BE32-E72D297353CC}">
                  <c16:uniqueId val="{00000022-8FAC-4862-AB82-3398B7D734C0}"/>
                </c:ext>
              </c:extLst>
            </c:dLbl>
            <c:dLbl>
              <c:idx val="35"/>
              <c:delete val="1"/>
              <c:extLst>
                <c:ext xmlns:c15="http://schemas.microsoft.com/office/drawing/2012/chart" uri="{CE6537A1-D6FC-4f65-9D91-7224C49458BB}"/>
                <c:ext xmlns:c16="http://schemas.microsoft.com/office/drawing/2014/chart" uri="{C3380CC4-5D6E-409C-BE32-E72D297353CC}">
                  <c16:uniqueId val="{00000023-8FAC-4862-AB82-3398B7D734C0}"/>
                </c:ext>
              </c:extLst>
            </c:dLbl>
            <c:dLbl>
              <c:idx val="36"/>
              <c:delete val="1"/>
              <c:extLst>
                <c:ext xmlns:c15="http://schemas.microsoft.com/office/drawing/2012/chart" uri="{CE6537A1-D6FC-4f65-9D91-7224C49458BB}"/>
                <c:ext xmlns:c16="http://schemas.microsoft.com/office/drawing/2014/chart" uri="{C3380CC4-5D6E-409C-BE32-E72D297353CC}">
                  <c16:uniqueId val="{00000024-8FAC-4862-AB82-3398B7D734C0}"/>
                </c:ext>
              </c:extLst>
            </c:dLbl>
            <c:dLbl>
              <c:idx val="37"/>
              <c:delete val="1"/>
              <c:extLst>
                <c:ext xmlns:c15="http://schemas.microsoft.com/office/drawing/2012/chart" uri="{CE6537A1-D6FC-4f65-9D91-7224C49458BB}"/>
                <c:ext xmlns:c16="http://schemas.microsoft.com/office/drawing/2014/chart" uri="{C3380CC4-5D6E-409C-BE32-E72D297353CC}">
                  <c16:uniqueId val="{00000025-8FAC-4862-AB82-3398B7D734C0}"/>
                </c:ext>
              </c:extLst>
            </c:dLbl>
            <c:dLbl>
              <c:idx val="38"/>
              <c:delete val="1"/>
              <c:extLst>
                <c:ext xmlns:c15="http://schemas.microsoft.com/office/drawing/2012/chart" uri="{CE6537A1-D6FC-4f65-9D91-7224C49458BB}"/>
                <c:ext xmlns:c16="http://schemas.microsoft.com/office/drawing/2014/chart" uri="{C3380CC4-5D6E-409C-BE32-E72D297353CC}">
                  <c16:uniqueId val="{00000026-8FAC-4862-AB82-3398B7D734C0}"/>
                </c:ext>
              </c:extLst>
            </c:dLbl>
            <c:dLbl>
              <c:idx val="39"/>
              <c:delete val="1"/>
              <c:extLst>
                <c:ext xmlns:c15="http://schemas.microsoft.com/office/drawing/2012/chart" uri="{CE6537A1-D6FC-4f65-9D91-7224C49458BB}"/>
                <c:ext xmlns:c16="http://schemas.microsoft.com/office/drawing/2014/chart" uri="{C3380CC4-5D6E-409C-BE32-E72D297353CC}">
                  <c16:uniqueId val="{00000027-8FAC-4862-AB82-3398B7D734C0}"/>
                </c:ext>
              </c:extLst>
            </c:dLbl>
            <c:dLbl>
              <c:idx val="40"/>
              <c:delete val="1"/>
              <c:extLst>
                <c:ext xmlns:c15="http://schemas.microsoft.com/office/drawing/2012/chart" uri="{CE6537A1-D6FC-4f65-9D91-7224C49458BB}"/>
                <c:ext xmlns:c16="http://schemas.microsoft.com/office/drawing/2014/chart" uri="{C3380CC4-5D6E-409C-BE32-E72D297353CC}">
                  <c16:uniqueId val="{00000028-8FAC-4862-AB82-3398B7D734C0}"/>
                </c:ext>
              </c:extLst>
            </c:dLbl>
            <c:dLbl>
              <c:idx val="41"/>
              <c:delete val="1"/>
              <c:extLst>
                <c:ext xmlns:c15="http://schemas.microsoft.com/office/drawing/2012/chart" uri="{CE6537A1-D6FC-4f65-9D91-7224C49458BB}"/>
                <c:ext xmlns:c16="http://schemas.microsoft.com/office/drawing/2014/chart" uri="{C3380CC4-5D6E-409C-BE32-E72D297353CC}">
                  <c16:uniqueId val="{00000029-8FAC-4862-AB82-3398B7D734C0}"/>
                </c:ext>
              </c:extLst>
            </c:dLbl>
            <c:dLbl>
              <c:idx val="42"/>
              <c:delete val="1"/>
              <c:extLst>
                <c:ext xmlns:c15="http://schemas.microsoft.com/office/drawing/2012/chart" uri="{CE6537A1-D6FC-4f65-9D91-7224C49458BB}"/>
                <c:ext xmlns:c16="http://schemas.microsoft.com/office/drawing/2014/chart" uri="{C3380CC4-5D6E-409C-BE32-E72D297353CC}">
                  <c16:uniqueId val="{0000002A-8FAC-4862-AB82-3398B7D734C0}"/>
                </c:ext>
              </c:extLst>
            </c:dLbl>
            <c:dLbl>
              <c:idx val="43"/>
              <c:delete val="1"/>
              <c:extLst>
                <c:ext xmlns:c15="http://schemas.microsoft.com/office/drawing/2012/chart" uri="{CE6537A1-D6FC-4f65-9D91-7224C49458BB}"/>
                <c:ext xmlns:c16="http://schemas.microsoft.com/office/drawing/2014/chart" uri="{C3380CC4-5D6E-409C-BE32-E72D297353CC}">
                  <c16:uniqueId val="{0000002B-8FAC-4862-AB82-3398B7D734C0}"/>
                </c:ext>
              </c:extLst>
            </c:dLbl>
            <c:dLbl>
              <c:idx val="44"/>
              <c:delete val="1"/>
              <c:extLst>
                <c:ext xmlns:c15="http://schemas.microsoft.com/office/drawing/2012/chart" uri="{CE6537A1-D6FC-4f65-9D91-7224C49458BB}"/>
                <c:ext xmlns:c16="http://schemas.microsoft.com/office/drawing/2014/chart" uri="{C3380CC4-5D6E-409C-BE32-E72D297353CC}">
                  <c16:uniqueId val="{0000002C-8FAC-4862-AB82-3398B7D734C0}"/>
                </c:ext>
              </c:extLst>
            </c:dLbl>
            <c:dLbl>
              <c:idx val="45"/>
              <c:delete val="1"/>
              <c:extLst>
                <c:ext xmlns:c15="http://schemas.microsoft.com/office/drawing/2012/chart" uri="{CE6537A1-D6FC-4f65-9D91-7224C49458BB}"/>
                <c:ext xmlns:c16="http://schemas.microsoft.com/office/drawing/2014/chart" uri="{C3380CC4-5D6E-409C-BE32-E72D297353CC}">
                  <c16:uniqueId val="{0000002D-8FAC-4862-AB82-3398B7D734C0}"/>
                </c:ext>
              </c:extLst>
            </c:dLbl>
            <c:dLbl>
              <c:idx val="46"/>
              <c:delete val="1"/>
              <c:extLst>
                <c:ext xmlns:c15="http://schemas.microsoft.com/office/drawing/2012/chart" uri="{CE6537A1-D6FC-4f65-9D91-7224C49458BB}"/>
                <c:ext xmlns:c16="http://schemas.microsoft.com/office/drawing/2014/chart" uri="{C3380CC4-5D6E-409C-BE32-E72D297353CC}">
                  <c16:uniqueId val="{0000002E-8FAC-4862-AB82-3398B7D734C0}"/>
                </c:ext>
              </c:extLst>
            </c:dLbl>
            <c:dLbl>
              <c:idx val="47"/>
              <c:delete val="1"/>
              <c:extLst>
                <c:ext xmlns:c15="http://schemas.microsoft.com/office/drawing/2012/chart" uri="{CE6537A1-D6FC-4f65-9D91-7224C49458BB}"/>
                <c:ext xmlns:c16="http://schemas.microsoft.com/office/drawing/2014/chart" uri="{C3380CC4-5D6E-409C-BE32-E72D297353CC}">
                  <c16:uniqueId val="{0000002F-8FAC-4862-AB82-3398B7D734C0}"/>
                </c:ext>
              </c:extLst>
            </c:dLbl>
            <c:dLbl>
              <c:idx val="48"/>
              <c:delete val="1"/>
              <c:extLst>
                <c:ext xmlns:c15="http://schemas.microsoft.com/office/drawing/2012/chart" uri="{CE6537A1-D6FC-4f65-9D91-7224C49458BB}"/>
                <c:ext xmlns:c16="http://schemas.microsoft.com/office/drawing/2014/chart" uri="{C3380CC4-5D6E-409C-BE32-E72D297353CC}">
                  <c16:uniqueId val="{00000030-8FAC-4862-AB82-3398B7D734C0}"/>
                </c:ext>
              </c:extLst>
            </c:dLbl>
            <c:dLbl>
              <c:idx val="49"/>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
              <c:showLegendKey val="0"/>
              <c:showVal val="1"/>
              <c:showCatName val="0"/>
              <c:showSerName val="0"/>
              <c:showPercent val="0"/>
              <c:showBubbleSize val="0"/>
              <c:extLst>
                <c:ext xmlns:c16="http://schemas.microsoft.com/office/drawing/2014/chart" uri="{C3380CC4-5D6E-409C-BE32-E72D297353CC}">
                  <c16:uniqueId val="{00000031-8FAC-4862-AB82-3398B7D734C0}"/>
                </c:ext>
              </c:extLst>
            </c:dLbl>
            <c:dLbl>
              <c:idx val="50"/>
              <c:delete val="1"/>
              <c:extLst>
                <c:ext xmlns:c15="http://schemas.microsoft.com/office/drawing/2012/chart" uri="{CE6537A1-D6FC-4f65-9D91-7224C49458BB}"/>
                <c:ext xmlns:c16="http://schemas.microsoft.com/office/drawing/2014/chart" uri="{C3380CC4-5D6E-409C-BE32-E72D297353CC}">
                  <c16:uniqueId val="{00000032-8FAC-4862-AB82-3398B7D734C0}"/>
                </c:ext>
              </c:extLst>
            </c:dLbl>
            <c:dLbl>
              <c:idx val="51"/>
              <c:delete val="1"/>
              <c:extLst>
                <c:ext xmlns:c15="http://schemas.microsoft.com/office/drawing/2012/chart" uri="{CE6537A1-D6FC-4f65-9D91-7224C49458BB}"/>
                <c:ext xmlns:c16="http://schemas.microsoft.com/office/drawing/2014/chart" uri="{C3380CC4-5D6E-409C-BE32-E72D297353CC}">
                  <c16:uniqueId val="{00000033-8FAC-4862-AB82-3398B7D734C0}"/>
                </c:ext>
              </c:extLst>
            </c:dLbl>
            <c:dLbl>
              <c:idx val="52"/>
              <c:delete val="1"/>
              <c:extLst>
                <c:ext xmlns:c15="http://schemas.microsoft.com/office/drawing/2012/chart" uri="{CE6537A1-D6FC-4f65-9D91-7224C49458BB}"/>
                <c:ext xmlns:c16="http://schemas.microsoft.com/office/drawing/2014/chart" uri="{C3380CC4-5D6E-409C-BE32-E72D297353CC}">
                  <c16:uniqueId val="{00000034-8FAC-4862-AB82-3398B7D734C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xVal>
            <c:numRef>
              <c:f>РЯ!$A$2:$A$54</c:f>
              <c:numCache>
                <c:formatCode>General</c:formatCode>
                <c:ptCount val="53"/>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numCache>
            </c:numRef>
          </c:xVal>
          <c:yVal>
            <c:numRef>
              <c:f>РЯ!$K$2:$K$54</c:f>
              <c:numCache>
                <c:formatCode>General</c:formatCode>
                <c:ptCount val="53"/>
                <c:pt idx="0">
                  <c:v>8.6999999999999993</c:v>
                </c:pt>
                <c:pt idx="1">
                  <c:v>11.01</c:v>
                </c:pt>
                <c:pt idx="2">
                  <c:v>7.8</c:v>
                </c:pt>
                <c:pt idx="3">
                  <c:v>13</c:v>
                </c:pt>
                <c:pt idx="4">
                  <c:v>11.8</c:v>
                </c:pt>
                <c:pt idx="5">
                  <c:v>7</c:v>
                </c:pt>
                <c:pt idx="6">
                  <c:v>12.3</c:v>
                </c:pt>
                <c:pt idx="7">
                  <c:v>9.3000000000000007</c:v>
                </c:pt>
                <c:pt idx="8">
                  <c:v>7.5</c:v>
                </c:pt>
                <c:pt idx="9">
                  <c:v>11.5</c:v>
                </c:pt>
                <c:pt idx="10">
                  <c:v>8.4</c:v>
                </c:pt>
                <c:pt idx="11">
                  <c:v>7.4</c:v>
                </c:pt>
                <c:pt idx="12">
                  <c:v>14</c:v>
                </c:pt>
                <c:pt idx="13">
                  <c:v>8.8000000000000007</c:v>
                </c:pt>
                <c:pt idx="14">
                  <c:v>8.3000000000000007</c:v>
                </c:pt>
                <c:pt idx="15">
                  <c:v>8.8000000000000007</c:v>
                </c:pt>
                <c:pt idx="16">
                  <c:v>8.4</c:v>
                </c:pt>
                <c:pt idx="17">
                  <c:v>15.4</c:v>
                </c:pt>
                <c:pt idx="18">
                  <c:v>7.9</c:v>
                </c:pt>
                <c:pt idx="19">
                  <c:v>8.4</c:v>
                </c:pt>
                <c:pt idx="20">
                  <c:v>13.9</c:v>
                </c:pt>
                <c:pt idx="21">
                  <c:v>11</c:v>
                </c:pt>
                <c:pt idx="22">
                  <c:v>9.1</c:v>
                </c:pt>
                <c:pt idx="23">
                  <c:v>11.5</c:v>
                </c:pt>
                <c:pt idx="24">
                  <c:v>12</c:v>
                </c:pt>
                <c:pt idx="25">
                  <c:v>8.1999999999999993</c:v>
                </c:pt>
                <c:pt idx="26">
                  <c:v>7.5</c:v>
                </c:pt>
                <c:pt idx="27">
                  <c:v>7.9</c:v>
                </c:pt>
                <c:pt idx="28">
                  <c:v>12.4</c:v>
                </c:pt>
                <c:pt idx="29">
                  <c:v>8.6</c:v>
                </c:pt>
                <c:pt idx="30">
                  <c:v>6.9</c:v>
                </c:pt>
                <c:pt idx="31">
                  <c:v>6.3</c:v>
                </c:pt>
                <c:pt idx="32">
                  <c:v>8.6</c:v>
                </c:pt>
                <c:pt idx="33">
                  <c:v>8.3000000000000007</c:v>
                </c:pt>
                <c:pt idx="34">
                  <c:v>14.5</c:v>
                </c:pt>
                <c:pt idx="35">
                  <c:v>7.9</c:v>
                </c:pt>
                <c:pt idx="36">
                  <c:v>8.1999999999999993</c:v>
                </c:pt>
                <c:pt idx="37">
                  <c:v>12.3</c:v>
                </c:pt>
                <c:pt idx="38">
                  <c:v>9.4</c:v>
                </c:pt>
                <c:pt idx="39">
                  <c:v>7.7</c:v>
                </c:pt>
                <c:pt idx="40">
                  <c:v>7.6</c:v>
                </c:pt>
                <c:pt idx="41">
                  <c:v>11.4</c:v>
                </c:pt>
                <c:pt idx="42">
                  <c:v>8</c:v>
                </c:pt>
                <c:pt idx="43">
                  <c:v>8.6</c:v>
                </c:pt>
                <c:pt idx="44">
                  <c:v>12.4</c:v>
                </c:pt>
                <c:pt idx="45">
                  <c:v>8.6999999999999993</c:v>
                </c:pt>
                <c:pt idx="46">
                  <c:v>6.8</c:v>
                </c:pt>
                <c:pt idx="47">
                  <c:v>8.4</c:v>
                </c:pt>
                <c:pt idx="48">
                  <c:v>11.3</c:v>
                </c:pt>
                <c:pt idx="49">
                  <c:v>5.9</c:v>
                </c:pt>
                <c:pt idx="50">
                  <c:v>14.6</c:v>
                </c:pt>
                <c:pt idx="51">
                  <c:v>11.3</c:v>
                </c:pt>
                <c:pt idx="52">
                  <c:v>7.7</c:v>
                </c:pt>
              </c:numCache>
            </c:numRef>
          </c:yVal>
          <c:smooth val="0"/>
          <c:extLst>
            <c:ext xmlns:c16="http://schemas.microsoft.com/office/drawing/2014/chart" uri="{C3380CC4-5D6E-409C-BE32-E72D297353CC}">
              <c16:uniqueId val="{00000035-8FAC-4862-AB82-3398B7D734C0}"/>
            </c:ext>
          </c:extLst>
        </c:ser>
        <c:dLbls>
          <c:dLblPos val="t"/>
          <c:showLegendKey val="0"/>
          <c:showVal val="1"/>
          <c:showCatName val="0"/>
          <c:showSerName val="0"/>
          <c:showPercent val="0"/>
          <c:showBubbleSize val="0"/>
        </c:dLbls>
        <c:axId val="1236920911"/>
        <c:axId val="1236915503"/>
      </c:scatterChart>
      <c:valAx>
        <c:axId val="1236920911"/>
        <c:scaling>
          <c:orientation val="minMax"/>
          <c:max val="53"/>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1" i="0" baseline="0">
                    <a:effectLst/>
                  </a:rPr>
                  <a:t>n (</a:t>
                </a:r>
                <a:r>
                  <a:rPr lang="ru-RU" sz="1000" b="1" i="0" baseline="0">
                    <a:effectLst/>
                  </a:rPr>
                  <a:t>53</a:t>
                </a:r>
                <a:r>
                  <a:rPr lang="en-US" sz="1000" b="1" i="0" baseline="0">
                    <a:effectLst/>
                  </a:rPr>
                  <a:t>), Me (</a:t>
                </a:r>
                <a:r>
                  <a:rPr lang="ru-RU" sz="1000" b="1" i="0" baseline="0">
                    <a:effectLst/>
                  </a:rPr>
                  <a:t>8,</a:t>
                </a:r>
                <a:r>
                  <a:rPr lang="en-US" sz="1000" b="1" i="0" baseline="0">
                    <a:effectLst/>
                  </a:rPr>
                  <a:t>6)</a:t>
                </a:r>
                <a:endParaRPr lang="ru-RU" sz="1000"/>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36915503"/>
        <c:crosses val="autoZero"/>
        <c:crossBetween val="midCat"/>
      </c:valAx>
      <c:valAx>
        <c:axId val="123691550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1"/>
                  <a:t>Доза облучения, мЗв</a:t>
                </a:r>
              </a:p>
            </c:rich>
          </c:tx>
          <c:layout>
            <c:manualLayout>
              <c:xMode val="edge"/>
              <c:yMode val="edge"/>
              <c:x val="2.3521110196401272E-2"/>
              <c:y val="0.20183486238532114"/>
            </c:manualLayout>
          </c:layout>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36920911"/>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КРР!$K$1</c:f>
              <c:strCache>
                <c:ptCount val="1"/>
                <c:pt idx="0">
                  <c:v>Доза активности введенного 18F-FDG, МБк</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0-5EA9-4430-8924-EEDFA95B7487}"/>
                </c:ext>
              </c:extLst>
            </c:dLbl>
            <c:dLbl>
              <c:idx val="1"/>
              <c:delete val="1"/>
              <c:extLst>
                <c:ext xmlns:c15="http://schemas.microsoft.com/office/drawing/2012/chart" uri="{CE6537A1-D6FC-4f65-9D91-7224C49458BB}"/>
                <c:ext xmlns:c16="http://schemas.microsoft.com/office/drawing/2014/chart" uri="{C3380CC4-5D6E-409C-BE32-E72D297353CC}">
                  <c16:uniqueId val="{00000001-5EA9-4430-8924-EEDFA95B7487}"/>
                </c:ext>
              </c:extLst>
            </c:dLbl>
            <c:dLbl>
              <c:idx val="2"/>
              <c:delete val="1"/>
              <c:extLst>
                <c:ext xmlns:c15="http://schemas.microsoft.com/office/drawing/2012/chart" uri="{CE6537A1-D6FC-4f65-9D91-7224C49458BB}"/>
                <c:ext xmlns:c16="http://schemas.microsoft.com/office/drawing/2014/chart" uri="{C3380CC4-5D6E-409C-BE32-E72D297353CC}">
                  <c16:uniqueId val="{00000002-5EA9-4430-8924-EEDFA95B7487}"/>
                </c:ext>
              </c:extLst>
            </c:dLbl>
            <c:dLbl>
              <c:idx val="3"/>
              <c:delete val="1"/>
              <c:extLst>
                <c:ext xmlns:c15="http://schemas.microsoft.com/office/drawing/2012/chart" uri="{CE6537A1-D6FC-4f65-9D91-7224C49458BB}"/>
                <c:ext xmlns:c16="http://schemas.microsoft.com/office/drawing/2014/chart" uri="{C3380CC4-5D6E-409C-BE32-E72D297353CC}">
                  <c16:uniqueId val="{00000003-5EA9-4430-8924-EEDFA95B7487}"/>
                </c:ext>
              </c:extLst>
            </c:dLbl>
            <c:dLbl>
              <c:idx val="4"/>
              <c:delete val="1"/>
              <c:extLst>
                <c:ext xmlns:c15="http://schemas.microsoft.com/office/drawing/2012/chart" uri="{CE6537A1-D6FC-4f65-9D91-7224C49458BB}"/>
                <c:ext xmlns:c16="http://schemas.microsoft.com/office/drawing/2014/chart" uri="{C3380CC4-5D6E-409C-BE32-E72D297353CC}">
                  <c16:uniqueId val="{00000004-5EA9-4430-8924-EEDFA95B7487}"/>
                </c:ext>
              </c:extLst>
            </c:dLbl>
            <c:dLbl>
              <c:idx val="5"/>
              <c:delete val="1"/>
              <c:extLst>
                <c:ext xmlns:c15="http://schemas.microsoft.com/office/drawing/2012/chart" uri="{CE6537A1-D6FC-4f65-9D91-7224C49458BB}"/>
                <c:ext xmlns:c16="http://schemas.microsoft.com/office/drawing/2014/chart" uri="{C3380CC4-5D6E-409C-BE32-E72D297353CC}">
                  <c16:uniqueId val="{00000005-5EA9-4430-8924-EEDFA95B7487}"/>
                </c:ext>
              </c:extLst>
            </c:dLbl>
            <c:dLbl>
              <c:idx val="6"/>
              <c:delete val="1"/>
              <c:extLst>
                <c:ext xmlns:c15="http://schemas.microsoft.com/office/drawing/2012/chart" uri="{CE6537A1-D6FC-4f65-9D91-7224C49458BB}"/>
                <c:ext xmlns:c16="http://schemas.microsoft.com/office/drawing/2014/chart" uri="{C3380CC4-5D6E-409C-BE32-E72D297353CC}">
                  <c16:uniqueId val="{00000006-5EA9-4430-8924-EEDFA95B7487}"/>
                </c:ext>
              </c:extLst>
            </c:dLbl>
            <c:dLbl>
              <c:idx val="7"/>
              <c:delete val="1"/>
              <c:extLst>
                <c:ext xmlns:c15="http://schemas.microsoft.com/office/drawing/2012/chart" uri="{CE6537A1-D6FC-4f65-9D91-7224C49458BB}"/>
                <c:ext xmlns:c16="http://schemas.microsoft.com/office/drawing/2014/chart" uri="{C3380CC4-5D6E-409C-BE32-E72D297353CC}">
                  <c16:uniqueId val="{00000007-5EA9-4430-8924-EEDFA95B7487}"/>
                </c:ext>
              </c:extLst>
            </c:dLbl>
            <c:dLbl>
              <c:idx val="8"/>
              <c:delete val="1"/>
              <c:extLst>
                <c:ext xmlns:c15="http://schemas.microsoft.com/office/drawing/2012/chart" uri="{CE6537A1-D6FC-4f65-9D91-7224C49458BB}"/>
                <c:ext xmlns:c16="http://schemas.microsoft.com/office/drawing/2014/chart" uri="{C3380CC4-5D6E-409C-BE32-E72D297353CC}">
                  <c16:uniqueId val="{00000008-5EA9-4430-8924-EEDFA95B7487}"/>
                </c:ext>
              </c:extLst>
            </c:dLbl>
            <c:dLbl>
              <c:idx val="9"/>
              <c:delete val="1"/>
              <c:extLst>
                <c:ext xmlns:c15="http://schemas.microsoft.com/office/drawing/2012/chart" uri="{CE6537A1-D6FC-4f65-9D91-7224C49458BB}"/>
                <c:ext xmlns:c16="http://schemas.microsoft.com/office/drawing/2014/chart" uri="{C3380CC4-5D6E-409C-BE32-E72D297353CC}">
                  <c16:uniqueId val="{00000009-5EA9-4430-8924-EEDFA95B7487}"/>
                </c:ext>
              </c:extLst>
            </c:dLbl>
            <c:dLbl>
              <c:idx val="10"/>
              <c:delete val="1"/>
              <c:extLst>
                <c:ext xmlns:c15="http://schemas.microsoft.com/office/drawing/2012/chart" uri="{CE6537A1-D6FC-4f65-9D91-7224C49458BB}"/>
                <c:ext xmlns:c16="http://schemas.microsoft.com/office/drawing/2014/chart" uri="{C3380CC4-5D6E-409C-BE32-E72D297353CC}">
                  <c16:uniqueId val="{0000000A-5EA9-4430-8924-EEDFA95B7487}"/>
                </c:ext>
              </c:extLst>
            </c:dLbl>
            <c:dLbl>
              <c:idx val="11"/>
              <c:delete val="1"/>
              <c:extLst>
                <c:ext xmlns:c15="http://schemas.microsoft.com/office/drawing/2012/chart" uri="{CE6537A1-D6FC-4f65-9D91-7224C49458BB}"/>
                <c:ext xmlns:c16="http://schemas.microsoft.com/office/drawing/2014/chart" uri="{C3380CC4-5D6E-409C-BE32-E72D297353CC}">
                  <c16:uniqueId val="{0000000B-5EA9-4430-8924-EEDFA95B7487}"/>
                </c:ext>
              </c:extLst>
            </c:dLbl>
            <c:dLbl>
              <c:idx val="12"/>
              <c:delete val="1"/>
              <c:extLst>
                <c:ext xmlns:c15="http://schemas.microsoft.com/office/drawing/2012/chart" uri="{CE6537A1-D6FC-4f65-9D91-7224C49458BB}"/>
                <c:ext xmlns:c16="http://schemas.microsoft.com/office/drawing/2014/chart" uri="{C3380CC4-5D6E-409C-BE32-E72D297353CC}">
                  <c16:uniqueId val="{0000000C-5EA9-4430-8924-EEDFA95B7487}"/>
                </c:ext>
              </c:extLst>
            </c:dLbl>
            <c:dLbl>
              <c:idx val="13"/>
              <c:delete val="1"/>
              <c:extLst>
                <c:ext xmlns:c15="http://schemas.microsoft.com/office/drawing/2012/chart" uri="{CE6537A1-D6FC-4f65-9D91-7224C49458BB}"/>
                <c:ext xmlns:c16="http://schemas.microsoft.com/office/drawing/2014/chart" uri="{C3380CC4-5D6E-409C-BE32-E72D297353CC}">
                  <c16:uniqueId val="{0000000D-5EA9-4430-8924-EEDFA95B7487}"/>
                </c:ext>
              </c:extLst>
            </c:dLbl>
            <c:dLbl>
              <c:idx val="14"/>
              <c:delete val="1"/>
              <c:extLst>
                <c:ext xmlns:c15="http://schemas.microsoft.com/office/drawing/2012/chart" uri="{CE6537A1-D6FC-4f65-9D91-7224C49458BB}"/>
                <c:ext xmlns:c16="http://schemas.microsoft.com/office/drawing/2014/chart" uri="{C3380CC4-5D6E-409C-BE32-E72D297353CC}">
                  <c16:uniqueId val="{0000000E-5EA9-4430-8924-EEDFA95B7487}"/>
                </c:ext>
              </c:extLst>
            </c:dLbl>
            <c:dLbl>
              <c:idx val="15"/>
              <c:delete val="1"/>
              <c:extLst>
                <c:ext xmlns:c15="http://schemas.microsoft.com/office/drawing/2012/chart" uri="{CE6537A1-D6FC-4f65-9D91-7224C49458BB}"/>
                <c:ext xmlns:c16="http://schemas.microsoft.com/office/drawing/2014/chart" uri="{C3380CC4-5D6E-409C-BE32-E72D297353CC}">
                  <c16:uniqueId val="{0000000F-5EA9-4430-8924-EEDFA95B7487}"/>
                </c:ext>
              </c:extLst>
            </c:dLbl>
            <c:dLbl>
              <c:idx val="16"/>
              <c:delete val="1"/>
              <c:extLst>
                <c:ext xmlns:c15="http://schemas.microsoft.com/office/drawing/2012/chart" uri="{CE6537A1-D6FC-4f65-9D91-7224C49458BB}"/>
                <c:ext xmlns:c16="http://schemas.microsoft.com/office/drawing/2014/chart" uri="{C3380CC4-5D6E-409C-BE32-E72D297353CC}">
                  <c16:uniqueId val="{00000010-5EA9-4430-8924-EEDFA95B7487}"/>
                </c:ext>
              </c:extLst>
            </c:dLbl>
            <c:dLbl>
              <c:idx val="17"/>
              <c:delete val="1"/>
              <c:extLst>
                <c:ext xmlns:c15="http://schemas.microsoft.com/office/drawing/2012/chart" uri="{CE6537A1-D6FC-4f65-9D91-7224C49458BB}"/>
                <c:ext xmlns:c16="http://schemas.microsoft.com/office/drawing/2014/chart" uri="{C3380CC4-5D6E-409C-BE32-E72D297353CC}">
                  <c16:uniqueId val="{00000011-5EA9-4430-8924-EEDFA95B7487}"/>
                </c:ext>
              </c:extLst>
            </c:dLbl>
            <c:dLbl>
              <c:idx val="18"/>
              <c:delete val="1"/>
              <c:extLst>
                <c:ext xmlns:c15="http://schemas.microsoft.com/office/drawing/2012/chart" uri="{CE6537A1-D6FC-4f65-9D91-7224C49458BB}"/>
                <c:ext xmlns:c16="http://schemas.microsoft.com/office/drawing/2014/chart" uri="{C3380CC4-5D6E-409C-BE32-E72D297353CC}">
                  <c16:uniqueId val="{00000012-5EA9-4430-8924-EEDFA95B7487}"/>
                </c:ext>
              </c:extLst>
            </c:dLbl>
            <c:dLbl>
              <c:idx val="19"/>
              <c:delete val="1"/>
              <c:extLst>
                <c:ext xmlns:c15="http://schemas.microsoft.com/office/drawing/2012/chart" uri="{CE6537A1-D6FC-4f65-9D91-7224C49458BB}"/>
                <c:ext xmlns:c16="http://schemas.microsoft.com/office/drawing/2014/chart" uri="{C3380CC4-5D6E-409C-BE32-E72D297353CC}">
                  <c16:uniqueId val="{00000013-5EA9-4430-8924-EEDFA95B7487}"/>
                </c:ext>
              </c:extLst>
            </c:dLbl>
            <c:dLbl>
              <c:idx val="20"/>
              <c:delete val="1"/>
              <c:extLst>
                <c:ext xmlns:c15="http://schemas.microsoft.com/office/drawing/2012/chart" uri="{CE6537A1-D6FC-4f65-9D91-7224C49458BB}"/>
                <c:ext xmlns:c16="http://schemas.microsoft.com/office/drawing/2014/chart" uri="{C3380CC4-5D6E-409C-BE32-E72D297353CC}">
                  <c16:uniqueId val="{00000014-5EA9-4430-8924-EEDFA95B7487}"/>
                </c:ext>
              </c:extLst>
            </c:dLbl>
            <c:dLbl>
              <c:idx val="21"/>
              <c:delete val="1"/>
              <c:extLst>
                <c:ext xmlns:c15="http://schemas.microsoft.com/office/drawing/2012/chart" uri="{CE6537A1-D6FC-4f65-9D91-7224C49458BB}"/>
                <c:ext xmlns:c16="http://schemas.microsoft.com/office/drawing/2014/chart" uri="{C3380CC4-5D6E-409C-BE32-E72D297353CC}">
                  <c16:uniqueId val="{00000015-5EA9-4430-8924-EEDFA95B7487}"/>
                </c:ext>
              </c:extLst>
            </c:dLbl>
            <c:dLbl>
              <c:idx val="22"/>
              <c:delete val="1"/>
              <c:extLst>
                <c:ext xmlns:c15="http://schemas.microsoft.com/office/drawing/2012/chart" uri="{CE6537A1-D6FC-4f65-9D91-7224C49458BB}"/>
                <c:ext xmlns:c16="http://schemas.microsoft.com/office/drawing/2014/chart" uri="{C3380CC4-5D6E-409C-BE32-E72D297353CC}">
                  <c16:uniqueId val="{00000016-5EA9-4430-8924-EEDFA95B7487}"/>
                </c:ext>
              </c:extLst>
            </c:dLbl>
            <c:dLbl>
              <c:idx val="23"/>
              <c:delete val="1"/>
              <c:extLst>
                <c:ext xmlns:c15="http://schemas.microsoft.com/office/drawing/2012/chart" uri="{CE6537A1-D6FC-4f65-9D91-7224C49458BB}"/>
                <c:ext xmlns:c16="http://schemas.microsoft.com/office/drawing/2014/chart" uri="{C3380CC4-5D6E-409C-BE32-E72D297353CC}">
                  <c16:uniqueId val="{00000017-5EA9-4430-8924-EEDFA95B7487}"/>
                </c:ext>
              </c:extLst>
            </c:dLbl>
            <c:dLbl>
              <c:idx val="24"/>
              <c:delete val="1"/>
              <c:extLst>
                <c:ext xmlns:c15="http://schemas.microsoft.com/office/drawing/2012/chart" uri="{CE6537A1-D6FC-4f65-9D91-7224C49458BB}"/>
                <c:ext xmlns:c16="http://schemas.microsoft.com/office/drawing/2014/chart" uri="{C3380CC4-5D6E-409C-BE32-E72D297353CC}">
                  <c16:uniqueId val="{00000018-5EA9-4430-8924-EEDFA95B7487}"/>
                </c:ext>
              </c:extLst>
            </c:dLbl>
            <c:dLbl>
              <c:idx val="25"/>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5EA9-4430-8924-EEDFA95B7487}"/>
                </c:ext>
              </c:extLst>
            </c:dLbl>
            <c:dLbl>
              <c:idx val="26"/>
              <c:delete val="1"/>
              <c:extLst>
                <c:ext xmlns:c15="http://schemas.microsoft.com/office/drawing/2012/chart" uri="{CE6537A1-D6FC-4f65-9D91-7224C49458BB}"/>
                <c:ext xmlns:c16="http://schemas.microsoft.com/office/drawing/2014/chart" uri="{C3380CC4-5D6E-409C-BE32-E72D297353CC}">
                  <c16:uniqueId val="{0000001A-5EA9-4430-8924-EEDFA95B7487}"/>
                </c:ext>
              </c:extLst>
            </c:dLbl>
            <c:dLbl>
              <c:idx val="27"/>
              <c:delete val="1"/>
              <c:extLst>
                <c:ext xmlns:c15="http://schemas.microsoft.com/office/drawing/2012/chart" uri="{CE6537A1-D6FC-4f65-9D91-7224C49458BB}"/>
                <c:ext xmlns:c16="http://schemas.microsoft.com/office/drawing/2014/chart" uri="{C3380CC4-5D6E-409C-BE32-E72D297353CC}">
                  <c16:uniqueId val="{0000001B-5EA9-4430-8924-EEDFA95B7487}"/>
                </c:ext>
              </c:extLst>
            </c:dLbl>
            <c:dLbl>
              <c:idx val="28"/>
              <c:delete val="1"/>
              <c:extLst>
                <c:ext xmlns:c15="http://schemas.microsoft.com/office/drawing/2012/chart" uri="{CE6537A1-D6FC-4f65-9D91-7224C49458BB}"/>
                <c:ext xmlns:c16="http://schemas.microsoft.com/office/drawing/2014/chart" uri="{C3380CC4-5D6E-409C-BE32-E72D297353CC}">
                  <c16:uniqueId val="{0000001C-5EA9-4430-8924-EEDFA95B7487}"/>
                </c:ext>
              </c:extLst>
            </c:dLbl>
            <c:dLbl>
              <c:idx val="29"/>
              <c:delete val="1"/>
              <c:extLst>
                <c:ext xmlns:c15="http://schemas.microsoft.com/office/drawing/2012/chart" uri="{CE6537A1-D6FC-4f65-9D91-7224C49458BB}"/>
                <c:ext xmlns:c16="http://schemas.microsoft.com/office/drawing/2014/chart" uri="{C3380CC4-5D6E-409C-BE32-E72D297353CC}">
                  <c16:uniqueId val="{0000001D-5EA9-4430-8924-EEDFA95B7487}"/>
                </c:ext>
              </c:extLst>
            </c:dLbl>
            <c:dLbl>
              <c:idx val="30"/>
              <c:delete val="1"/>
              <c:extLst>
                <c:ext xmlns:c15="http://schemas.microsoft.com/office/drawing/2012/chart" uri="{CE6537A1-D6FC-4f65-9D91-7224C49458BB}"/>
                <c:ext xmlns:c16="http://schemas.microsoft.com/office/drawing/2014/chart" uri="{C3380CC4-5D6E-409C-BE32-E72D297353CC}">
                  <c16:uniqueId val="{0000001E-5EA9-4430-8924-EEDFA95B7487}"/>
                </c:ext>
              </c:extLst>
            </c:dLbl>
            <c:dLbl>
              <c:idx val="31"/>
              <c:delete val="1"/>
              <c:extLst>
                <c:ext xmlns:c15="http://schemas.microsoft.com/office/drawing/2012/chart" uri="{CE6537A1-D6FC-4f65-9D91-7224C49458BB}"/>
                <c:ext xmlns:c16="http://schemas.microsoft.com/office/drawing/2014/chart" uri="{C3380CC4-5D6E-409C-BE32-E72D297353CC}">
                  <c16:uniqueId val="{0000001F-5EA9-4430-8924-EEDFA95B7487}"/>
                </c:ext>
              </c:extLst>
            </c:dLbl>
            <c:dLbl>
              <c:idx val="32"/>
              <c:delete val="1"/>
              <c:extLst>
                <c:ext xmlns:c15="http://schemas.microsoft.com/office/drawing/2012/chart" uri="{CE6537A1-D6FC-4f65-9D91-7224C49458BB}"/>
                <c:ext xmlns:c16="http://schemas.microsoft.com/office/drawing/2014/chart" uri="{C3380CC4-5D6E-409C-BE32-E72D297353CC}">
                  <c16:uniqueId val="{00000020-5EA9-4430-8924-EEDFA95B7487}"/>
                </c:ext>
              </c:extLst>
            </c:dLbl>
            <c:dLbl>
              <c:idx val="33"/>
              <c:delete val="1"/>
              <c:extLst>
                <c:ext xmlns:c15="http://schemas.microsoft.com/office/drawing/2012/chart" uri="{CE6537A1-D6FC-4f65-9D91-7224C49458BB}"/>
                <c:ext xmlns:c16="http://schemas.microsoft.com/office/drawing/2014/chart" uri="{C3380CC4-5D6E-409C-BE32-E72D297353CC}">
                  <c16:uniqueId val="{00000021-5EA9-4430-8924-EEDFA95B7487}"/>
                </c:ext>
              </c:extLst>
            </c:dLbl>
            <c:dLbl>
              <c:idx val="34"/>
              <c:delete val="1"/>
              <c:extLst>
                <c:ext xmlns:c15="http://schemas.microsoft.com/office/drawing/2012/chart" uri="{CE6537A1-D6FC-4f65-9D91-7224C49458BB}"/>
                <c:ext xmlns:c16="http://schemas.microsoft.com/office/drawing/2014/chart" uri="{C3380CC4-5D6E-409C-BE32-E72D297353CC}">
                  <c16:uniqueId val="{00000022-5EA9-4430-8924-EEDFA95B7487}"/>
                </c:ext>
              </c:extLst>
            </c:dLbl>
            <c:dLbl>
              <c:idx val="35"/>
              <c:delete val="1"/>
              <c:extLst>
                <c:ext xmlns:c15="http://schemas.microsoft.com/office/drawing/2012/chart" uri="{CE6537A1-D6FC-4f65-9D91-7224C49458BB}"/>
                <c:ext xmlns:c16="http://schemas.microsoft.com/office/drawing/2014/chart" uri="{C3380CC4-5D6E-409C-BE32-E72D297353CC}">
                  <c16:uniqueId val="{00000023-5EA9-4430-8924-EEDFA95B7487}"/>
                </c:ext>
              </c:extLst>
            </c:dLbl>
            <c:dLbl>
              <c:idx val="36"/>
              <c:delete val="1"/>
              <c:extLst>
                <c:ext xmlns:c15="http://schemas.microsoft.com/office/drawing/2012/chart" uri="{CE6537A1-D6FC-4f65-9D91-7224C49458BB}"/>
                <c:ext xmlns:c16="http://schemas.microsoft.com/office/drawing/2014/chart" uri="{C3380CC4-5D6E-409C-BE32-E72D297353CC}">
                  <c16:uniqueId val="{00000024-5EA9-4430-8924-EEDFA95B7487}"/>
                </c:ext>
              </c:extLst>
            </c:dLbl>
            <c:dLbl>
              <c:idx val="37"/>
              <c:delete val="1"/>
              <c:extLst>
                <c:ext xmlns:c15="http://schemas.microsoft.com/office/drawing/2012/chart" uri="{CE6537A1-D6FC-4f65-9D91-7224C49458BB}"/>
                <c:ext xmlns:c16="http://schemas.microsoft.com/office/drawing/2014/chart" uri="{C3380CC4-5D6E-409C-BE32-E72D297353CC}">
                  <c16:uniqueId val="{00000025-5EA9-4430-8924-EEDFA95B7487}"/>
                </c:ext>
              </c:extLst>
            </c:dLbl>
            <c:dLbl>
              <c:idx val="38"/>
              <c:delete val="1"/>
              <c:extLst>
                <c:ext xmlns:c15="http://schemas.microsoft.com/office/drawing/2012/chart" uri="{CE6537A1-D6FC-4f65-9D91-7224C49458BB}"/>
                <c:ext xmlns:c16="http://schemas.microsoft.com/office/drawing/2014/chart" uri="{C3380CC4-5D6E-409C-BE32-E72D297353CC}">
                  <c16:uniqueId val="{00000026-5EA9-4430-8924-EEDFA95B7487}"/>
                </c:ext>
              </c:extLst>
            </c:dLbl>
            <c:dLbl>
              <c:idx val="39"/>
              <c:delete val="1"/>
              <c:extLst>
                <c:ext xmlns:c15="http://schemas.microsoft.com/office/drawing/2012/chart" uri="{CE6537A1-D6FC-4f65-9D91-7224C49458BB}"/>
                <c:ext xmlns:c16="http://schemas.microsoft.com/office/drawing/2014/chart" uri="{C3380CC4-5D6E-409C-BE32-E72D297353CC}">
                  <c16:uniqueId val="{00000027-5EA9-4430-8924-EEDFA95B7487}"/>
                </c:ext>
              </c:extLst>
            </c:dLbl>
            <c:dLbl>
              <c:idx val="40"/>
              <c:delete val="1"/>
              <c:extLst>
                <c:ext xmlns:c15="http://schemas.microsoft.com/office/drawing/2012/chart" uri="{CE6537A1-D6FC-4f65-9D91-7224C49458BB}"/>
                <c:ext xmlns:c16="http://schemas.microsoft.com/office/drawing/2014/chart" uri="{C3380CC4-5D6E-409C-BE32-E72D297353CC}">
                  <c16:uniqueId val="{00000028-5EA9-4430-8924-EEDFA95B7487}"/>
                </c:ext>
              </c:extLst>
            </c:dLbl>
            <c:dLbl>
              <c:idx val="41"/>
              <c:delete val="1"/>
              <c:extLst>
                <c:ext xmlns:c15="http://schemas.microsoft.com/office/drawing/2012/chart" uri="{CE6537A1-D6FC-4f65-9D91-7224C49458BB}"/>
                <c:ext xmlns:c16="http://schemas.microsoft.com/office/drawing/2014/chart" uri="{C3380CC4-5D6E-409C-BE32-E72D297353CC}">
                  <c16:uniqueId val="{00000029-5EA9-4430-8924-EEDFA95B7487}"/>
                </c:ext>
              </c:extLst>
            </c:dLbl>
            <c:dLbl>
              <c:idx val="42"/>
              <c:delete val="1"/>
              <c:extLst>
                <c:ext xmlns:c15="http://schemas.microsoft.com/office/drawing/2012/chart" uri="{CE6537A1-D6FC-4f65-9D91-7224C49458BB}"/>
                <c:ext xmlns:c16="http://schemas.microsoft.com/office/drawing/2014/chart" uri="{C3380CC4-5D6E-409C-BE32-E72D297353CC}">
                  <c16:uniqueId val="{0000002A-5EA9-4430-8924-EEDFA95B7487}"/>
                </c:ext>
              </c:extLst>
            </c:dLbl>
            <c:dLbl>
              <c:idx val="43"/>
              <c:delete val="1"/>
              <c:extLst>
                <c:ext xmlns:c15="http://schemas.microsoft.com/office/drawing/2012/chart" uri="{CE6537A1-D6FC-4f65-9D91-7224C49458BB}"/>
                <c:ext xmlns:c16="http://schemas.microsoft.com/office/drawing/2014/chart" uri="{C3380CC4-5D6E-409C-BE32-E72D297353CC}">
                  <c16:uniqueId val="{0000002B-5EA9-4430-8924-EEDFA95B7487}"/>
                </c:ext>
              </c:extLst>
            </c:dLbl>
            <c:dLbl>
              <c:idx val="44"/>
              <c:delete val="1"/>
              <c:extLst>
                <c:ext xmlns:c15="http://schemas.microsoft.com/office/drawing/2012/chart" uri="{CE6537A1-D6FC-4f65-9D91-7224C49458BB}"/>
                <c:ext xmlns:c16="http://schemas.microsoft.com/office/drawing/2014/chart" uri="{C3380CC4-5D6E-409C-BE32-E72D297353CC}">
                  <c16:uniqueId val="{0000002C-5EA9-4430-8924-EEDFA95B7487}"/>
                </c:ext>
              </c:extLst>
            </c:dLbl>
            <c:dLbl>
              <c:idx val="45"/>
              <c:delete val="1"/>
              <c:extLst>
                <c:ext xmlns:c15="http://schemas.microsoft.com/office/drawing/2012/chart" uri="{CE6537A1-D6FC-4f65-9D91-7224C49458BB}"/>
                <c:ext xmlns:c16="http://schemas.microsoft.com/office/drawing/2014/chart" uri="{C3380CC4-5D6E-409C-BE32-E72D297353CC}">
                  <c16:uniqueId val="{0000002D-5EA9-4430-8924-EEDFA95B7487}"/>
                </c:ext>
              </c:extLst>
            </c:dLbl>
            <c:dLbl>
              <c:idx val="46"/>
              <c:delete val="1"/>
              <c:extLst>
                <c:ext xmlns:c15="http://schemas.microsoft.com/office/drawing/2012/chart" uri="{CE6537A1-D6FC-4f65-9D91-7224C49458BB}"/>
                <c:ext xmlns:c16="http://schemas.microsoft.com/office/drawing/2014/chart" uri="{C3380CC4-5D6E-409C-BE32-E72D297353CC}">
                  <c16:uniqueId val="{0000002E-5EA9-4430-8924-EEDFA95B7487}"/>
                </c:ext>
              </c:extLst>
            </c:dLbl>
            <c:dLbl>
              <c:idx val="47"/>
              <c:delete val="1"/>
              <c:extLst>
                <c:ext xmlns:c15="http://schemas.microsoft.com/office/drawing/2012/chart" uri="{CE6537A1-D6FC-4f65-9D91-7224C49458BB}"/>
                <c:ext xmlns:c16="http://schemas.microsoft.com/office/drawing/2014/chart" uri="{C3380CC4-5D6E-409C-BE32-E72D297353CC}">
                  <c16:uniqueId val="{0000002F-5EA9-4430-8924-EEDFA95B7487}"/>
                </c:ext>
              </c:extLst>
            </c:dLbl>
            <c:dLbl>
              <c:idx val="48"/>
              <c:delete val="1"/>
              <c:extLst>
                <c:ext xmlns:c15="http://schemas.microsoft.com/office/drawing/2012/chart" uri="{CE6537A1-D6FC-4f65-9D91-7224C49458BB}"/>
                <c:ext xmlns:c16="http://schemas.microsoft.com/office/drawing/2014/chart" uri="{C3380CC4-5D6E-409C-BE32-E72D297353CC}">
                  <c16:uniqueId val="{00000030-5EA9-4430-8924-EEDFA95B7487}"/>
                </c:ext>
              </c:extLst>
            </c:dLbl>
            <c:dLbl>
              <c:idx val="49"/>
              <c:delete val="1"/>
              <c:extLst>
                <c:ext xmlns:c15="http://schemas.microsoft.com/office/drawing/2012/chart" uri="{CE6537A1-D6FC-4f65-9D91-7224C49458BB}"/>
                <c:ext xmlns:c16="http://schemas.microsoft.com/office/drawing/2014/chart" uri="{C3380CC4-5D6E-409C-BE32-E72D297353CC}">
                  <c16:uniqueId val="{00000031-5EA9-4430-8924-EEDFA95B7487}"/>
                </c:ext>
              </c:extLst>
            </c:dLbl>
            <c:dLbl>
              <c:idx val="50"/>
              <c:delete val="1"/>
              <c:extLst>
                <c:ext xmlns:c15="http://schemas.microsoft.com/office/drawing/2012/chart" uri="{CE6537A1-D6FC-4f65-9D91-7224C49458BB}"/>
                <c:ext xmlns:c16="http://schemas.microsoft.com/office/drawing/2014/chart" uri="{C3380CC4-5D6E-409C-BE32-E72D297353CC}">
                  <c16:uniqueId val="{00000032-5EA9-4430-8924-EEDFA95B7487}"/>
                </c:ext>
              </c:extLst>
            </c:dLbl>
            <c:dLbl>
              <c:idx val="51"/>
              <c:delete val="1"/>
              <c:extLst>
                <c:ext xmlns:c15="http://schemas.microsoft.com/office/drawing/2012/chart" uri="{CE6537A1-D6FC-4f65-9D91-7224C49458BB}"/>
                <c:ext xmlns:c16="http://schemas.microsoft.com/office/drawing/2014/chart" uri="{C3380CC4-5D6E-409C-BE32-E72D297353CC}">
                  <c16:uniqueId val="{00000033-5EA9-4430-8924-EEDFA95B7487}"/>
                </c:ext>
              </c:extLst>
            </c:dLbl>
            <c:dLbl>
              <c:idx val="52"/>
              <c:delete val="1"/>
              <c:extLst>
                <c:ext xmlns:c15="http://schemas.microsoft.com/office/drawing/2012/chart" uri="{CE6537A1-D6FC-4f65-9D91-7224C49458BB}"/>
                <c:ext xmlns:c16="http://schemas.microsoft.com/office/drawing/2014/chart" uri="{C3380CC4-5D6E-409C-BE32-E72D297353CC}">
                  <c16:uniqueId val="{00000034-5EA9-4430-8924-EEDFA95B7487}"/>
                </c:ext>
              </c:extLst>
            </c:dLbl>
            <c:dLbl>
              <c:idx val="53"/>
              <c:delete val="1"/>
              <c:extLst>
                <c:ext xmlns:c15="http://schemas.microsoft.com/office/drawing/2012/chart" uri="{CE6537A1-D6FC-4f65-9D91-7224C49458BB}"/>
                <c:ext xmlns:c16="http://schemas.microsoft.com/office/drawing/2014/chart" uri="{C3380CC4-5D6E-409C-BE32-E72D297353CC}">
                  <c16:uniqueId val="{00000035-5EA9-4430-8924-EEDFA95B7487}"/>
                </c:ext>
              </c:extLst>
            </c:dLbl>
            <c:dLbl>
              <c:idx val="54"/>
              <c:delete val="1"/>
              <c:extLst>
                <c:ext xmlns:c15="http://schemas.microsoft.com/office/drawing/2012/chart" uri="{CE6537A1-D6FC-4f65-9D91-7224C49458BB}"/>
                <c:ext xmlns:c16="http://schemas.microsoft.com/office/drawing/2014/chart" uri="{C3380CC4-5D6E-409C-BE32-E72D297353CC}">
                  <c16:uniqueId val="{00000036-5EA9-4430-8924-EEDFA95B7487}"/>
                </c:ext>
              </c:extLst>
            </c:dLbl>
            <c:dLbl>
              <c:idx val="55"/>
              <c:delete val="1"/>
              <c:extLst>
                <c:ext xmlns:c15="http://schemas.microsoft.com/office/drawing/2012/chart" uri="{CE6537A1-D6FC-4f65-9D91-7224C49458BB}"/>
                <c:ext xmlns:c16="http://schemas.microsoft.com/office/drawing/2014/chart" uri="{C3380CC4-5D6E-409C-BE32-E72D297353CC}">
                  <c16:uniqueId val="{00000037-5EA9-4430-8924-EEDFA95B7487}"/>
                </c:ext>
              </c:extLst>
            </c:dLbl>
            <c:dLbl>
              <c:idx val="56"/>
              <c:delete val="1"/>
              <c:extLst>
                <c:ext xmlns:c15="http://schemas.microsoft.com/office/drawing/2012/chart" uri="{CE6537A1-D6FC-4f65-9D91-7224C49458BB}"/>
                <c:ext xmlns:c16="http://schemas.microsoft.com/office/drawing/2014/chart" uri="{C3380CC4-5D6E-409C-BE32-E72D297353CC}">
                  <c16:uniqueId val="{00000038-5EA9-4430-8924-EEDFA95B7487}"/>
                </c:ext>
              </c:extLst>
            </c:dLbl>
            <c:dLbl>
              <c:idx val="57"/>
              <c:delete val="1"/>
              <c:extLst>
                <c:ext xmlns:c15="http://schemas.microsoft.com/office/drawing/2012/chart" uri="{CE6537A1-D6FC-4f65-9D91-7224C49458BB}"/>
                <c:ext xmlns:c16="http://schemas.microsoft.com/office/drawing/2014/chart" uri="{C3380CC4-5D6E-409C-BE32-E72D297353CC}">
                  <c16:uniqueId val="{00000039-5EA9-4430-8924-EEDFA95B7487}"/>
                </c:ext>
              </c:extLst>
            </c:dLbl>
            <c:dLbl>
              <c:idx val="58"/>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extLst>
                <c:ext xmlns:c16="http://schemas.microsoft.com/office/drawing/2014/chart" uri="{C3380CC4-5D6E-409C-BE32-E72D297353CC}">
                  <c16:uniqueId val="{0000003A-5EA9-4430-8924-EEDFA95B7487}"/>
                </c:ext>
              </c:extLst>
            </c:dLbl>
            <c:dLbl>
              <c:idx val="59"/>
              <c:delete val="1"/>
              <c:extLst>
                <c:ext xmlns:c15="http://schemas.microsoft.com/office/drawing/2012/chart" uri="{CE6537A1-D6FC-4f65-9D91-7224C49458BB}"/>
                <c:ext xmlns:c16="http://schemas.microsoft.com/office/drawing/2014/chart" uri="{C3380CC4-5D6E-409C-BE32-E72D297353CC}">
                  <c16:uniqueId val="{0000003B-5EA9-4430-8924-EEDFA95B7487}"/>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xVal>
            <c:numRef>
              <c:f>КРР!$A$2:$A$61</c:f>
              <c:numCache>
                <c:formatCode>General</c:formatCode>
                <c:ptCount val="6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numCache>
            </c:numRef>
          </c:xVal>
          <c:yVal>
            <c:numRef>
              <c:f>КРР!$K$2:$K$61</c:f>
              <c:numCache>
                <c:formatCode>General</c:formatCode>
                <c:ptCount val="60"/>
                <c:pt idx="0">
                  <c:v>226.2</c:v>
                </c:pt>
                <c:pt idx="1">
                  <c:v>298.89999999999998</c:v>
                </c:pt>
                <c:pt idx="2">
                  <c:v>186.4</c:v>
                </c:pt>
                <c:pt idx="3">
                  <c:v>307</c:v>
                </c:pt>
                <c:pt idx="4">
                  <c:v>190</c:v>
                </c:pt>
                <c:pt idx="5">
                  <c:v>340.3</c:v>
                </c:pt>
                <c:pt idx="6">
                  <c:v>270.7</c:v>
                </c:pt>
                <c:pt idx="7">
                  <c:v>252.4</c:v>
                </c:pt>
                <c:pt idx="8">
                  <c:v>239.7</c:v>
                </c:pt>
                <c:pt idx="9">
                  <c:v>298.89999999999998</c:v>
                </c:pt>
                <c:pt idx="10">
                  <c:v>252.3</c:v>
                </c:pt>
                <c:pt idx="11">
                  <c:v>307.60000000000002</c:v>
                </c:pt>
                <c:pt idx="12">
                  <c:v>248</c:v>
                </c:pt>
                <c:pt idx="13">
                  <c:v>205</c:v>
                </c:pt>
                <c:pt idx="14">
                  <c:v>272.8</c:v>
                </c:pt>
                <c:pt idx="15">
                  <c:v>324.5</c:v>
                </c:pt>
                <c:pt idx="16">
                  <c:v>241.8</c:v>
                </c:pt>
                <c:pt idx="17">
                  <c:v>259</c:v>
                </c:pt>
                <c:pt idx="18">
                  <c:v>321.5</c:v>
                </c:pt>
                <c:pt idx="19">
                  <c:v>325.7</c:v>
                </c:pt>
                <c:pt idx="20">
                  <c:v>290.7</c:v>
                </c:pt>
                <c:pt idx="21">
                  <c:v>284</c:v>
                </c:pt>
                <c:pt idx="22">
                  <c:v>265</c:v>
                </c:pt>
                <c:pt idx="23">
                  <c:v>152.69999999999999</c:v>
                </c:pt>
                <c:pt idx="24">
                  <c:v>161.9</c:v>
                </c:pt>
                <c:pt idx="25">
                  <c:v>132.5</c:v>
                </c:pt>
                <c:pt idx="26">
                  <c:v>222.7</c:v>
                </c:pt>
                <c:pt idx="27">
                  <c:v>250.4</c:v>
                </c:pt>
                <c:pt idx="28">
                  <c:v>260.3</c:v>
                </c:pt>
                <c:pt idx="29">
                  <c:v>219</c:v>
                </c:pt>
                <c:pt idx="30">
                  <c:v>260.5</c:v>
                </c:pt>
                <c:pt idx="31">
                  <c:v>175.1</c:v>
                </c:pt>
                <c:pt idx="32">
                  <c:v>194.1</c:v>
                </c:pt>
                <c:pt idx="33">
                  <c:v>269.89999999999998</c:v>
                </c:pt>
                <c:pt idx="34">
                  <c:v>260</c:v>
                </c:pt>
                <c:pt idx="35">
                  <c:v>210.3</c:v>
                </c:pt>
                <c:pt idx="36">
                  <c:v>194.6</c:v>
                </c:pt>
                <c:pt idx="37">
                  <c:v>167.8</c:v>
                </c:pt>
                <c:pt idx="38">
                  <c:v>236.2</c:v>
                </c:pt>
                <c:pt idx="39">
                  <c:v>160.1</c:v>
                </c:pt>
                <c:pt idx="40">
                  <c:v>216</c:v>
                </c:pt>
                <c:pt idx="41">
                  <c:v>252.7</c:v>
                </c:pt>
                <c:pt idx="42">
                  <c:v>244.2</c:v>
                </c:pt>
                <c:pt idx="43">
                  <c:v>266.2</c:v>
                </c:pt>
                <c:pt idx="44">
                  <c:v>202.7</c:v>
                </c:pt>
                <c:pt idx="45">
                  <c:v>279.5</c:v>
                </c:pt>
                <c:pt idx="46">
                  <c:v>266.8</c:v>
                </c:pt>
                <c:pt idx="47">
                  <c:v>317.60000000000002</c:v>
                </c:pt>
                <c:pt idx="48">
                  <c:v>317.60000000000002</c:v>
                </c:pt>
                <c:pt idx="49">
                  <c:v>203.4</c:v>
                </c:pt>
                <c:pt idx="50">
                  <c:v>252.8</c:v>
                </c:pt>
                <c:pt idx="51">
                  <c:v>228</c:v>
                </c:pt>
                <c:pt idx="52">
                  <c:v>332.2</c:v>
                </c:pt>
                <c:pt idx="53">
                  <c:v>317</c:v>
                </c:pt>
                <c:pt idx="54">
                  <c:v>215.8</c:v>
                </c:pt>
                <c:pt idx="55">
                  <c:v>213.9</c:v>
                </c:pt>
                <c:pt idx="56">
                  <c:v>280.39999999999998</c:v>
                </c:pt>
                <c:pt idx="57">
                  <c:v>230.1</c:v>
                </c:pt>
                <c:pt idx="58">
                  <c:v>465.3</c:v>
                </c:pt>
                <c:pt idx="59">
                  <c:v>272.7</c:v>
                </c:pt>
              </c:numCache>
            </c:numRef>
          </c:yVal>
          <c:smooth val="0"/>
          <c:extLst>
            <c:ext xmlns:c16="http://schemas.microsoft.com/office/drawing/2014/chart" uri="{C3380CC4-5D6E-409C-BE32-E72D297353CC}">
              <c16:uniqueId val="{0000003C-5EA9-4430-8924-EEDFA95B7487}"/>
            </c:ext>
          </c:extLst>
        </c:ser>
        <c:dLbls>
          <c:dLblPos val="t"/>
          <c:showLegendKey val="0"/>
          <c:showVal val="1"/>
          <c:showCatName val="0"/>
          <c:showSerName val="0"/>
          <c:showPercent val="0"/>
          <c:showBubbleSize val="0"/>
        </c:dLbls>
        <c:axId val="1093839599"/>
        <c:axId val="1093856239"/>
      </c:scatterChart>
      <c:valAx>
        <c:axId val="1093839599"/>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i="0" baseline="0">
                    <a:effectLst/>
                  </a:rPr>
                  <a:t>n (60), Me (</a:t>
                </a:r>
                <a:r>
                  <a:rPr lang="ru-RU" sz="1200" b="1" i="0" baseline="0">
                    <a:effectLst/>
                  </a:rPr>
                  <a:t>252,55</a:t>
                </a:r>
                <a:r>
                  <a:rPr lang="en-US" sz="1200" b="1" i="0" baseline="0">
                    <a:effectLst/>
                  </a:rPr>
                  <a:t>)</a:t>
                </a:r>
                <a:endParaRPr lang="ru-RU" sz="1200"/>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093856239"/>
        <c:crosses val="autoZero"/>
        <c:crossBetween val="midCat"/>
      </c:valAx>
      <c:valAx>
        <c:axId val="109385623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1" i="0" baseline="0">
                    <a:effectLst/>
                  </a:rPr>
                  <a:t>Доза активности, МБк</a:t>
                </a:r>
                <a:endParaRPr lang="ru-RU" sz="1200"/>
              </a:p>
            </c:rich>
          </c:tx>
          <c:overlay val="0"/>
          <c:spPr>
            <a:noFill/>
            <a:ln>
              <a:noFill/>
            </a:ln>
            <a:effectLst/>
          </c:spPr>
          <c:txPr>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09383959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КРР!$L$1</c:f>
              <c:strCache>
                <c:ptCount val="1"/>
                <c:pt idx="0">
                  <c:v>Эффективная доза облучения, мЗв</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0-0278-4B5C-85B6-63C011355B5C}"/>
                </c:ext>
              </c:extLst>
            </c:dLbl>
            <c:dLbl>
              <c:idx val="1"/>
              <c:delete val="1"/>
              <c:extLst>
                <c:ext xmlns:c15="http://schemas.microsoft.com/office/drawing/2012/chart" uri="{CE6537A1-D6FC-4f65-9D91-7224C49458BB}"/>
                <c:ext xmlns:c16="http://schemas.microsoft.com/office/drawing/2014/chart" uri="{C3380CC4-5D6E-409C-BE32-E72D297353CC}">
                  <c16:uniqueId val="{00000001-0278-4B5C-85B6-63C011355B5C}"/>
                </c:ext>
              </c:extLst>
            </c:dLbl>
            <c:dLbl>
              <c:idx val="2"/>
              <c:delete val="1"/>
              <c:extLst>
                <c:ext xmlns:c15="http://schemas.microsoft.com/office/drawing/2012/chart" uri="{CE6537A1-D6FC-4f65-9D91-7224C49458BB}"/>
                <c:ext xmlns:c16="http://schemas.microsoft.com/office/drawing/2014/chart" uri="{C3380CC4-5D6E-409C-BE32-E72D297353CC}">
                  <c16:uniqueId val="{00000002-0278-4B5C-85B6-63C011355B5C}"/>
                </c:ext>
              </c:extLst>
            </c:dLbl>
            <c:dLbl>
              <c:idx val="3"/>
              <c:delete val="1"/>
              <c:extLst>
                <c:ext xmlns:c15="http://schemas.microsoft.com/office/drawing/2012/chart" uri="{CE6537A1-D6FC-4f65-9D91-7224C49458BB}"/>
                <c:ext xmlns:c16="http://schemas.microsoft.com/office/drawing/2014/chart" uri="{C3380CC4-5D6E-409C-BE32-E72D297353CC}">
                  <c16:uniqueId val="{00000003-0278-4B5C-85B6-63C011355B5C}"/>
                </c:ext>
              </c:extLst>
            </c:dLbl>
            <c:dLbl>
              <c:idx val="4"/>
              <c:delete val="1"/>
              <c:extLst>
                <c:ext xmlns:c15="http://schemas.microsoft.com/office/drawing/2012/chart" uri="{CE6537A1-D6FC-4f65-9D91-7224C49458BB}"/>
                <c:ext xmlns:c16="http://schemas.microsoft.com/office/drawing/2014/chart" uri="{C3380CC4-5D6E-409C-BE32-E72D297353CC}">
                  <c16:uniqueId val="{00000004-0278-4B5C-85B6-63C011355B5C}"/>
                </c:ext>
              </c:extLst>
            </c:dLbl>
            <c:dLbl>
              <c:idx val="5"/>
              <c:delete val="1"/>
              <c:extLst>
                <c:ext xmlns:c15="http://schemas.microsoft.com/office/drawing/2012/chart" uri="{CE6537A1-D6FC-4f65-9D91-7224C49458BB}"/>
                <c:ext xmlns:c16="http://schemas.microsoft.com/office/drawing/2014/chart" uri="{C3380CC4-5D6E-409C-BE32-E72D297353CC}">
                  <c16:uniqueId val="{00000005-0278-4B5C-85B6-63C011355B5C}"/>
                </c:ext>
              </c:extLst>
            </c:dLbl>
            <c:dLbl>
              <c:idx val="6"/>
              <c:delete val="1"/>
              <c:extLst>
                <c:ext xmlns:c15="http://schemas.microsoft.com/office/drawing/2012/chart" uri="{CE6537A1-D6FC-4f65-9D91-7224C49458BB}"/>
                <c:ext xmlns:c16="http://schemas.microsoft.com/office/drawing/2014/chart" uri="{C3380CC4-5D6E-409C-BE32-E72D297353CC}">
                  <c16:uniqueId val="{00000006-0278-4B5C-85B6-63C011355B5C}"/>
                </c:ext>
              </c:extLst>
            </c:dLbl>
            <c:dLbl>
              <c:idx val="7"/>
              <c:delete val="1"/>
              <c:extLst>
                <c:ext xmlns:c15="http://schemas.microsoft.com/office/drawing/2012/chart" uri="{CE6537A1-D6FC-4f65-9D91-7224C49458BB}"/>
                <c:ext xmlns:c16="http://schemas.microsoft.com/office/drawing/2014/chart" uri="{C3380CC4-5D6E-409C-BE32-E72D297353CC}">
                  <c16:uniqueId val="{00000007-0278-4B5C-85B6-63C011355B5C}"/>
                </c:ext>
              </c:extLst>
            </c:dLbl>
            <c:dLbl>
              <c:idx val="8"/>
              <c:delete val="1"/>
              <c:extLst>
                <c:ext xmlns:c15="http://schemas.microsoft.com/office/drawing/2012/chart" uri="{CE6537A1-D6FC-4f65-9D91-7224C49458BB}"/>
                <c:ext xmlns:c16="http://schemas.microsoft.com/office/drawing/2014/chart" uri="{C3380CC4-5D6E-409C-BE32-E72D297353CC}">
                  <c16:uniqueId val="{00000008-0278-4B5C-85B6-63C011355B5C}"/>
                </c:ext>
              </c:extLst>
            </c:dLbl>
            <c:dLbl>
              <c:idx val="9"/>
              <c:delete val="1"/>
              <c:extLst>
                <c:ext xmlns:c15="http://schemas.microsoft.com/office/drawing/2012/chart" uri="{CE6537A1-D6FC-4f65-9D91-7224C49458BB}"/>
                <c:ext xmlns:c16="http://schemas.microsoft.com/office/drawing/2014/chart" uri="{C3380CC4-5D6E-409C-BE32-E72D297353CC}">
                  <c16:uniqueId val="{00000009-0278-4B5C-85B6-63C011355B5C}"/>
                </c:ext>
              </c:extLst>
            </c:dLbl>
            <c:dLbl>
              <c:idx val="10"/>
              <c:delete val="1"/>
              <c:extLst>
                <c:ext xmlns:c15="http://schemas.microsoft.com/office/drawing/2012/chart" uri="{CE6537A1-D6FC-4f65-9D91-7224C49458BB}"/>
                <c:ext xmlns:c16="http://schemas.microsoft.com/office/drawing/2014/chart" uri="{C3380CC4-5D6E-409C-BE32-E72D297353CC}">
                  <c16:uniqueId val="{0000000A-0278-4B5C-85B6-63C011355B5C}"/>
                </c:ext>
              </c:extLst>
            </c:dLbl>
            <c:dLbl>
              <c:idx val="11"/>
              <c:delete val="1"/>
              <c:extLst>
                <c:ext xmlns:c15="http://schemas.microsoft.com/office/drawing/2012/chart" uri="{CE6537A1-D6FC-4f65-9D91-7224C49458BB}"/>
                <c:ext xmlns:c16="http://schemas.microsoft.com/office/drawing/2014/chart" uri="{C3380CC4-5D6E-409C-BE32-E72D297353CC}">
                  <c16:uniqueId val="{0000000B-0278-4B5C-85B6-63C011355B5C}"/>
                </c:ext>
              </c:extLst>
            </c:dLbl>
            <c:dLbl>
              <c:idx val="12"/>
              <c:delete val="1"/>
              <c:extLst>
                <c:ext xmlns:c15="http://schemas.microsoft.com/office/drawing/2012/chart" uri="{CE6537A1-D6FC-4f65-9D91-7224C49458BB}"/>
                <c:ext xmlns:c16="http://schemas.microsoft.com/office/drawing/2014/chart" uri="{C3380CC4-5D6E-409C-BE32-E72D297353CC}">
                  <c16:uniqueId val="{0000000C-0278-4B5C-85B6-63C011355B5C}"/>
                </c:ext>
              </c:extLst>
            </c:dLbl>
            <c:dLbl>
              <c:idx val="13"/>
              <c:delete val="1"/>
              <c:extLst>
                <c:ext xmlns:c15="http://schemas.microsoft.com/office/drawing/2012/chart" uri="{CE6537A1-D6FC-4f65-9D91-7224C49458BB}"/>
                <c:ext xmlns:c16="http://schemas.microsoft.com/office/drawing/2014/chart" uri="{C3380CC4-5D6E-409C-BE32-E72D297353CC}">
                  <c16:uniqueId val="{0000000D-0278-4B5C-85B6-63C011355B5C}"/>
                </c:ext>
              </c:extLst>
            </c:dLbl>
            <c:dLbl>
              <c:idx val="14"/>
              <c:delete val="1"/>
              <c:extLst>
                <c:ext xmlns:c15="http://schemas.microsoft.com/office/drawing/2012/chart" uri="{CE6537A1-D6FC-4f65-9D91-7224C49458BB}"/>
                <c:ext xmlns:c16="http://schemas.microsoft.com/office/drawing/2014/chart" uri="{C3380CC4-5D6E-409C-BE32-E72D297353CC}">
                  <c16:uniqueId val="{0000000E-0278-4B5C-85B6-63C011355B5C}"/>
                </c:ext>
              </c:extLst>
            </c:dLbl>
            <c:dLbl>
              <c:idx val="15"/>
              <c:delete val="1"/>
              <c:extLst>
                <c:ext xmlns:c15="http://schemas.microsoft.com/office/drawing/2012/chart" uri="{CE6537A1-D6FC-4f65-9D91-7224C49458BB}"/>
                <c:ext xmlns:c16="http://schemas.microsoft.com/office/drawing/2014/chart" uri="{C3380CC4-5D6E-409C-BE32-E72D297353CC}">
                  <c16:uniqueId val="{0000000F-0278-4B5C-85B6-63C011355B5C}"/>
                </c:ext>
              </c:extLst>
            </c:dLbl>
            <c:dLbl>
              <c:idx val="16"/>
              <c:delete val="1"/>
              <c:extLst>
                <c:ext xmlns:c15="http://schemas.microsoft.com/office/drawing/2012/chart" uri="{CE6537A1-D6FC-4f65-9D91-7224C49458BB}"/>
                <c:ext xmlns:c16="http://schemas.microsoft.com/office/drawing/2014/chart" uri="{C3380CC4-5D6E-409C-BE32-E72D297353CC}">
                  <c16:uniqueId val="{00000010-0278-4B5C-85B6-63C011355B5C}"/>
                </c:ext>
              </c:extLst>
            </c:dLbl>
            <c:dLbl>
              <c:idx val="17"/>
              <c:delete val="1"/>
              <c:extLst>
                <c:ext xmlns:c15="http://schemas.microsoft.com/office/drawing/2012/chart" uri="{CE6537A1-D6FC-4f65-9D91-7224C49458BB}"/>
                <c:ext xmlns:c16="http://schemas.microsoft.com/office/drawing/2014/chart" uri="{C3380CC4-5D6E-409C-BE32-E72D297353CC}">
                  <c16:uniqueId val="{00000011-0278-4B5C-85B6-63C011355B5C}"/>
                </c:ext>
              </c:extLst>
            </c:dLbl>
            <c:dLbl>
              <c:idx val="18"/>
              <c:delete val="1"/>
              <c:extLst>
                <c:ext xmlns:c15="http://schemas.microsoft.com/office/drawing/2012/chart" uri="{CE6537A1-D6FC-4f65-9D91-7224C49458BB}"/>
                <c:ext xmlns:c16="http://schemas.microsoft.com/office/drawing/2014/chart" uri="{C3380CC4-5D6E-409C-BE32-E72D297353CC}">
                  <c16:uniqueId val="{00000012-0278-4B5C-85B6-63C011355B5C}"/>
                </c:ext>
              </c:extLst>
            </c:dLbl>
            <c:dLbl>
              <c:idx val="19"/>
              <c:delete val="1"/>
              <c:extLst>
                <c:ext xmlns:c15="http://schemas.microsoft.com/office/drawing/2012/chart" uri="{CE6537A1-D6FC-4f65-9D91-7224C49458BB}"/>
                <c:ext xmlns:c16="http://schemas.microsoft.com/office/drawing/2014/chart" uri="{C3380CC4-5D6E-409C-BE32-E72D297353CC}">
                  <c16:uniqueId val="{00000013-0278-4B5C-85B6-63C011355B5C}"/>
                </c:ext>
              </c:extLst>
            </c:dLbl>
            <c:dLbl>
              <c:idx val="20"/>
              <c:delete val="1"/>
              <c:extLst>
                <c:ext xmlns:c15="http://schemas.microsoft.com/office/drawing/2012/chart" uri="{CE6537A1-D6FC-4f65-9D91-7224C49458BB}"/>
                <c:ext xmlns:c16="http://schemas.microsoft.com/office/drawing/2014/chart" uri="{C3380CC4-5D6E-409C-BE32-E72D297353CC}">
                  <c16:uniqueId val="{00000014-0278-4B5C-85B6-63C011355B5C}"/>
                </c:ext>
              </c:extLst>
            </c:dLbl>
            <c:dLbl>
              <c:idx val="21"/>
              <c:delete val="1"/>
              <c:extLst>
                <c:ext xmlns:c15="http://schemas.microsoft.com/office/drawing/2012/chart" uri="{CE6537A1-D6FC-4f65-9D91-7224C49458BB}"/>
                <c:ext xmlns:c16="http://schemas.microsoft.com/office/drawing/2014/chart" uri="{C3380CC4-5D6E-409C-BE32-E72D297353CC}">
                  <c16:uniqueId val="{00000015-0278-4B5C-85B6-63C011355B5C}"/>
                </c:ext>
              </c:extLst>
            </c:dLbl>
            <c:dLbl>
              <c:idx val="22"/>
              <c:delete val="1"/>
              <c:extLst>
                <c:ext xmlns:c15="http://schemas.microsoft.com/office/drawing/2012/chart" uri="{CE6537A1-D6FC-4f65-9D91-7224C49458BB}"/>
                <c:ext xmlns:c16="http://schemas.microsoft.com/office/drawing/2014/chart" uri="{C3380CC4-5D6E-409C-BE32-E72D297353CC}">
                  <c16:uniqueId val="{00000016-0278-4B5C-85B6-63C011355B5C}"/>
                </c:ext>
              </c:extLst>
            </c:dLbl>
            <c:dLbl>
              <c:idx val="23"/>
              <c:delete val="1"/>
              <c:extLst>
                <c:ext xmlns:c15="http://schemas.microsoft.com/office/drawing/2012/chart" uri="{CE6537A1-D6FC-4f65-9D91-7224C49458BB}"/>
                <c:ext xmlns:c16="http://schemas.microsoft.com/office/drawing/2014/chart" uri="{C3380CC4-5D6E-409C-BE32-E72D297353CC}">
                  <c16:uniqueId val="{00000017-0278-4B5C-85B6-63C011355B5C}"/>
                </c:ext>
              </c:extLst>
            </c:dLbl>
            <c:dLbl>
              <c:idx val="24"/>
              <c:delete val="1"/>
              <c:extLst>
                <c:ext xmlns:c15="http://schemas.microsoft.com/office/drawing/2012/chart" uri="{CE6537A1-D6FC-4f65-9D91-7224C49458BB}"/>
                <c:ext xmlns:c16="http://schemas.microsoft.com/office/drawing/2014/chart" uri="{C3380CC4-5D6E-409C-BE32-E72D297353CC}">
                  <c16:uniqueId val="{00000018-0278-4B5C-85B6-63C011355B5C}"/>
                </c:ext>
              </c:extLst>
            </c:dLbl>
            <c:dLbl>
              <c:idx val="25"/>
              <c:delete val="1"/>
              <c:extLst>
                <c:ext xmlns:c15="http://schemas.microsoft.com/office/drawing/2012/chart" uri="{CE6537A1-D6FC-4f65-9D91-7224C49458BB}"/>
                <c:ext xmlns:c16="http://schemas.microsoft.com/office/drawing/2014/chart" uri="{C3380CC4-5D6E-409C-BE32-E72D297353CC}">
                  <c16:uniqueId val="{00000019-0278-4B5C-85B6-63C011355B5C}"/>
                </c:ext>
              </c:extLst>
            </c:dLbl>
            <c:dLbl>
              <c:idx val="26"/>
              <c:delete val="1"/>
              <c:extLst>
                <c:ext xmlns:c15="http://schemas.microsoft.com/office/drawing/2012/chart" uri="{CE6537A1-D6FC-4f65-9D91-7224C49458BB}"/>
                <c:ext xmlns:c16="http://schemas.microsoft.com/office/drawing/2014/chart" uri="{C3380CC4-5D6E-409C-BE32-E72D297353CC}">
                  <c16:uniqueId val="{0000001A-0278-4B5C-85B6-63C011355B5C}"/>
                </c:ext>
              </c:extLst>
            </c:dLbl>
            <c:dLbl>
              <c:idx val="27"/>
              <c:delete val="1"/>
              <c:extLst>
                <c:ext xmlns:c15="http://schemas.microsoft.com/office/drawing/2012/chart" uri="{CE6537A1-D6FC-4f65-9D91-7224C49458BB}"/>
                <c:ext xmlns:c16="http://schemas.microsoft.com/office/drawing/2014/chart" uri="{C3380CC4-5D6E-409C-BE32-E72D297353CC}">
                  <c16:uniqueId val="{0000001B-0278-4B5C-85B6-63C011355B5C}"/>
                </c:ext>
              </c:extLst>
            </c:dLbl>
            <c:dLbl>
              <c:idx val="28"/>
              <c:delete val="1"/>
              <c:extLst>
                <c:ext xmlns:c15="http://schemas.microsoft.com/office/drawing/2012/chart" uri="{CE6537A1-D6FC-4f65-9D91-7224C49458BB}"/>
                <c:ext xmlns:c16="http://schemas.microsoft.com/office/drawing/2014/chart" uri="{C3380CC4-5D6E-409C-BE32-E72D297353CC}">
                  <c16:uniqueId val="{0000001C-0278-4B5C-85B6-63C011355B5C}"/>
                </c:ext>
              </c:extLst>
            </c:dLbl>
            <c:dLbl>
              <c:idx val="29"/>
              <c:delete val="1"/>
              <c:extLst>
                <c:ext xmlns:c15="http://schemas.microsoft.com/office/drawing/2012/chart" uri="{CE6537A1-D6FC-4f65-9D91-7224C49458BB}"/>
                <c:ext xmlns:c16="http://schemas.microsoft.com/office/drawing/2014/chart" uri="{C3380CC4-5D6E-409C-BE32-E72D297353CC}">
                  <c16:uniqueId val="{0000001D-0278-4B5C-85B6-63C011355B5C}"/>
                </c:ext>
              </c:extLst>
            </c:dLbl>
            <c:dLbl>
              <c:idx val="30"/>
              <c:delete val="1"/>
              <c:extLst>
                <c:ext xmlns:c15="http://schemas.microsoft.com/office/drawing/2012/chart" uri="{CE6537A1-D6FC-4f65-9D91-7224C49458BB}"/>
                <c:ext xmlns:c16="http://schemas.microsoft.com/office/drawing/2014/chart" uri="{C3380CC4-5D6E-409C-BE32-E72D297353CC}">
                  <c16:uniqueId val="{0000001E-0278-4B5C-85B6-63C011355B5C}"/>
                </c:ext>
              </c:extLst>
            </c:dLbl>
            <c:dLbl>
              <c:idx val="31"/>
              <c:delete val="1"/>
              <c:extLst>
                <c:ext xmlns:c15="http://schemas.microsoft.com/office/drawing/2012/chart" uri="{CE6537A1-D6FC-4f65-9D91-7224C49458BB}"/>
                <c:ext xmlns:c16="http://schemas.microsoft.com/office/drawing/2014/chart" uri="{C3380CC4-5D6E-409C-BE32-E72D297353CC}">
                  <c16:uniqueId val="{0000001F-0278-4B5C-85B6-63C011355B5C}"/>
                </c:ext>
              </c:extLst>
            </c:dLbl>
            <c:dLbl>
              <c:idx val="32"/>
              <c:delete val="1"/>
              <c:extLst>
                <c:ext xmlns:c15="http://schemas.microsoft.com/office/drawing/2012/chart" uri="{CE6537A1-D6FC-4f65-9D91-7224C49458BB}"/>
                <c:ext xmlns:c16="http://schemas.microsoft.com/office/drawing/2014/chart" uri="{C3380CC4-5D6E-409C-BE32-E72D297353CC}">
                  <c16:uniqueId val="{00000020-0278-4B5C-85B6-63C011355B5C}"/>
                </c:ext>
              </c:extLst>
            </c:dLbl>
            <c:dLbl>
              <c:idx val="33"/>
              <c:delete val="1"/>
              <c:extLst>
                <c:ext xmlns:c15="http://schemas.microsoft.com/office/drawing/2012/chart" uri="{CE6537A1-D6FC-4f65-9D91-7224C49458BB}"/>
                <c:ext xmlns:c16="http://schemas.microsoft.com/office/drawing/2014/chart" uri="{C3380CC4-5D6E-409C-BE32-E72D297353CC}">
                  <c16:uniqueId val="{00000021-0278-4B5C-85B6-63C011355B5C}"/>
                </c:ext>
              </c:extLst>
            </c:dLbl>
            <c:dLbl>
              <c:idx val="34"/>
              <c:delete val="1"/>
              <c:extLst>
                <c:ext xmlns:c15="http://schemas.microsoft.com/office/drawing/2012/chart" uri="{CE6537A1-D6FC-4f65-9D91-7224C49458BB}"/>
                <c:ext xmlns:c16="http://schemas.microsoft.com/office/drawing/2014/chart" uri="{C3380CC4-5D6E-409C-BE32-E72D297353CC}">
                  <c16:uniqueId val="{00000022-0278-4B5C-85B6-63C011355B5C}"/>
                </c:ext>
              </c:extLst>
            </c:dLbl>
            <c:dLbl>
              <c:idx val="35"/>
              <c:delete val="1"/>
              <c:extLst>
                <c:ext xmlns:c15="http://schemas.microsoft.com/office/drawing/2012/chart" uri="{CE6537A1-D6FC-4f65-9D91-7224C49458BB}"/>
                <c:ext xmlns:c16="http://schemas.microsoft.com/office/drawing/2014/chart" uri="{C3380CC4-5D6E-409C-BE32-E72D297353CC}">
                  <c16:uniqueId val="{00000023-0278-4B5C-85B6-63C011355B5C}"/>
                </c:ext>
              </c:extLst>
            </c:dLbl>
            <c:dLbl>
              <c:idx val="36"/>
              <c:delete val="1"/>
              <c:extLst>
                <c:ext xmlns:c15="http://schemas.microsoft.com/office/drawing/2012/chart" uri="{CE6537A1-D6FC-4f65-9D91-7224C49458BB}"/>
                <c:ext xmlns:c16="http://schemas.microsoft.com/office/drawing/2014/chart" uri="{C3380CC4-5D6E-409C-BE32-E72D297353CC}">
                  <c16:uniqueId val="{00000024-0278-4B5C-85B6-63C011355B5C}"/>
                </c:ext>
              </c:extLst>
            </c:dLbl>
            <c:dLbl>
              <c:idx val="37"/>
              <c:delete val="1"/>
              <c:extLst>
                <c:ext xmlns:c15="http://schemas.microsoft.com/office/drawing/2012/chart" uri="{CE6537A1-D6FC-4f65-9D91-7224C49458BB}"/>
                <c:ext xmlns:c16="http://schemas.microsoft.com/office/drawing/2014/chart" uri="{C3380CC4-5D6E-409C-BE32-E72D297353CC}">
                  <c16:uniqueId val="{00000025-0278-4B5C-85B6-63C011355B5C}"/>
                </c:ext>
              </c:extLst>
            </c:dLbl>
            <c:dLbl>
              <c:idx val="38"/>
              <c:delete val="1"/>
              <c:extLst>
                <c:ext xmlns:c15="http://schemas.microsoft.com/office/drawing/2012/chart" uri="{CE6537A1-D6FC-4f65-9D91-7224C49458BB}"/>
                <c:ext xmlns:c16="http://schemas.microsoft.com/office/drawing/2014/chart" uri="{C3380CC4-5D6E-409C-BE32-E72D297353CC}">
                  <c16:uniqueId val="{00000026-0278-4B5C-85B6-63C011355B5C}"/>
                </c:ext>
              </c:extLst>
            </c:dLbl>
            <c:dLbl>
              <c:idx val="39"/>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7-0278-4B5C-85B6-63C011355B5C}"/>
                </c:ext>
              </c:extLst>
            </c:dLbl>
            <c:dLbl>
              <c:idx val="40"/>
              <c:delete val="1"/>
              <c:extLst>
                <c:ext xmlns:c15="http://schemas.microsoft.com/office/drawing/2012/chart" uri="{CE6537A1-D6FC-4f65-9D91-7224C49458BB}"/>
                <c:ext xmlns:c16="http://schemas.microsoft.com/office/drawing/2014/chart" uri="{C3380CC4-5D6E-409C-BE32-E72D297353CC}">
                  <c16:uniqueId val="{00000028-0278-4B5C-85B6-63C011355B5C}"/>
                </c:ext>
              </c:extLst>
            </c:dLbl>
            <c:dLbl>
              <c:idx val="41"/>
              <c:delete val="1"/>
              <c:extLst>
                <c:ext xmlns:c15="http://schemas.microsoft.com/office/drawing/2012/chart" uri="{CE6537A1-D6FC-4f65-9D91-7224C49458BB}"/>
                <c:ext xmlns:c16="http://schemas.microsoft.com/office/drawing/2014/chart" uri="{C3380CC4-5D6E-409C-BE32-E72D297353CC}">
                  <c16:uniqueId val="{00000029-0278-4B5C-85B6-63C011355B5C}"/>
                </c:ext>
              </c:extLst>
            </c:dLbl>
            <c:dLbl>
              <c:idx val="42"/>
              <c:delete val="1"/>
              <c:extLst>
                <c:ext xmlns:c15="http://schemas.microsoft.com/office/drawing/2012/chart" uri="{CE6537A1-D6FC-4f65-9D91-7224C49458BB}"/>
                <c:ext xmlns:c16="http://schemas.microsoft.com/office/drawing/2014/chart" uri="{C3380CC4-5D6E-409C-BE32-E72D297353CC}">
                  <c16:uniqueId val="{0000002A-0278-4B5C-85B6-63C011355B5C}"/>
                </c:ext>
              </c:extLst>
            </c:dLbl>
            <c:dLbl>
              <c:idx val="43"/>
              <c:delete val="1"/>
              <c:extLst>
                <c:ext xmlns:c15="http://schemas.microsoft.com/office/drawing/2012/chart" uri="{CE6537A1-D6FC-4f65-9D91-7224C49458BB}"/>
                <c:ext xmlns:c16="http://schemas.microsoft.com/office/drawing/2014/chart" uri="{C3380CC4-5D6E-409C-BE32-E72D297353CC}">
                  <c16:uniqueId val="{0000002B-0278-4B5C-85B6-63C011355B5C}"/>
                </c:ext>
              </c:extLst>
            </c:dLbl>
            <c:dLbl>
              <c:idx val="44"/>
              <c:delete val="1"/>
              <c:extLst>
                <c:ext xmlns:c15="http://schemas.microsoft.com/office/drawing/2012/chart" uri="{CE6537A1-D6FC-4f65-9D91-7224C49458BB}"/>
                <c:ext xmlns:c16="http://schemas.microsoft.com/office/drawing/2014/chart" uri="{C3380CC4-5D6E-409C-BE32-E72D297353CC}">
                  <c16:uniqueId val="{0000002C-0278-4B5C-85B6-63C011355B5C}"/>
                </c:ext>
              </c:extLst>
            </c:dLbl>
            <c:dLbl>
              <c:idx val="45"/>
              <c:delete val="1"/>
              <c:extLst>
                <c:ext xmlns:c15="http://schemas.microsoft.com/office/drawing/2012/chart" uri="{CE6537A1-D6FC-4f65-9D91-7224C49458BB}"/>
                <c:ext xmlns:c16="http://schemas.microsoft.com/office/drawing/2014/chart" uri="{C3380CC4-5D6E-409C-BE32-E72D297353CC}">
                  <c16:uniqueId val="{0000002D-0278-4B5C-85B6-63C011355B5C}"/>
                </c:ext>
              </c:extLst>
            </c:dLbl>
            <c:dLbl>
              <c:idx val="46"/>
              <c:delete val="1"/>
              <c:extLst>
                <c:ext xmlns:c15="http://schemas.microsoft.com/office/drawing/2012/chart" uri="{CE6537A1-D6FC-4f65-9D91-7224C49458BB}"/>
                <c:ext xmlns:c16="http://schemas.microsoft.com/office/drawing/2014/chart" uri="{C3380CC4-5D6E-409C-BE32-E72D297353CC}">
                  <c16:uniqueId val="{0000002E-0278-4B5C-85B6-63C011355B5C}"/>
                </c:ext>
              </c:extLst>
            </c:dLbl>
            <c:dLbl>
              <c:idx val="47"/>
              <c:delete val="1"/>
              <c:extLst>
                <c:ext xmlns:c15="http://schemas.microsoft.com/office/drawing/2012/chart" uri="{CE6537A1-D6FC-4f65-9D91-7224C49458BB}"/>
                <c:ext xmlns:c16="http://schemas.microsoft.com/office/drawing/2014/chart" uri="{C3380CC4-5D6E-409C-BE32-E72D297353CC}">
                  <c16:uniqueId val="{0000002F-0278-4B5C-85B6-63C011355B5C}"/>
                </c:ext>
              </c:extLst>
            </c:dLbl>
            <c:dLbl>
              <c:idx val="48"/>
              <c:delete val="1"/>
              <c:extLst>
                <c:ext xmlns:c15="http://schemas.microsoft.com/office/drawing/2012/chart" uri="{CE6537A1-D6FC-4f65-9D91-7224C49458BB}"/>
                <c:ext xmlns:c16="http://schemas.microsoft.com/office/drawing/2014/chart" uri="{C3380CC4-5D6E-409C-BE32-E72D297353CC}">
                  <c16:uniqueId val="{00000030-0278-4B5C-85B6-63C011355B5C}"/>
                </c:ext>
              </c:extLst>
            </c:dLbl>
            <c:dLbl>
              <c:idx val="49"/>
              <c:delete val="1"/>
              <c:extLst>
                <c:ext xmlns:c15="http://schemas.microsoft.com/office/drawing/2012/chart" uri="{CE6537A1-D6FC-4f65-9D91-7224C49458BB}"/>
                <c:ext xmlns:c16="http://schemas.microsoft.com/office/drawing/2014/chart" uri="{C3380CC4-5D6E-409C-BE32-E72D297353CC}">
                  <c16:uniqueId val="{00000031-0278-4B5C-85B6-63C011355B5C}"/>
                </c:ext>
              </c:extLst>
            </c:dLbl>
            <c:dLbl>
              <c:idx val="50"/>
              <c:delete val="1"/>
              <c:extLst>
                <c:ext xmlns:c15="http://schemas.microsoft.com/office/drawing/2012/chart" uri="{CE6537A1-D6FC-4f65-9D91-7224C49458BB}"/>
                <c:ext xmlns:c16="http://schemas.microsoft.com/office/drawing/2014/chart" uri="{C3380CC4-5D6E-409C-BE32-E72D297353CC}">
                  <c16:uniqueId val="{00000032-0278-4B5C-85B6-63C011355B5C}"/>
                </c:ext>
              </c:extLst>
            </c:dLbl>
            <c:dLbl>
              <c:idx val="51"/>
              <c:delete val="1"/>
              <c:extLst>
                <c:ext xmlns:c15="http://schemas.microsoft.com/office/drawing/2012/chart" uri="{CE6537A1-D6FC-4f65-9D91-7224C49458BB}"/>
                <c:ext xmlns:c16="http://schemas.microsoft.com/office/drawing/2014/chart" uri="{C3380CC4-5D6E-409C-BE32-E72D297353CC}">
                  <c16:uniqueId val="{00000033-0278-4B5C-85B6-63C011355B5C}"/>
                </c:ext>
              </c:extLst>
            </c:dLbl>
            <c:dLbl>
              <c:idx val="52"/>
              <c:delete val="1"/>
              <c:extLst>
                <c:ext xmlns:c15="http://schemas.microsoft.com/office/drawing/2012/chart" uri="{CE6537A1-D6FC-4f65-9D91-7224C49458BB}"/>
                <c:ext xmlns:c16="http://schemas.microsoft.com/office/drawing/2014/chart" uri="{C3380CC4-5D6E-409C-BE32-E72D297353CC}">
                  <c16:uniqueId val="{00000034-0278-4B5C-85B6-63C011355B5C}"/>
                </c:ext>
              </c:extLst>
            </c:dLbl>
            <c:dLbl>
              <c:idx val="53"/>
              <c:delete val="1"/>
              <c:extLst>
                <c:ext xmlns:c15="http://schemas.microsoft.com/office/drawing/2012/chart" uri="{CE6537A1-D6FC-4f65-9D91-7224C49458BB}"/>
                <c:ext xmlns:c16="http://schemas.microsoft.com/office/drawing/2014/chart" uri="{C3380CC4-5D6E-409C-BE32-E72D297353CC}">
                  <c16:uniqueId val="{00000035-0278-4B5C-85B6-63C011355B5C}"/>
                </c:ext>
              </c:extLst>
            </c:dLbl>
            <c:dLbl>
              <c:idx val="54"/>
              <c:delete val="1"/>
              <c:extLst>
                <c:ext xmlns:c15="http://schemas.microsoft.com/office/drawing/2012/chart" uri="{CE6537A1-D6FC-4f65-9D91-7224C49458BB}"/>
                <c:ext xmlns:c16="http://schemas.microsoft.com/office/drawing/2014/chart" uri="{C3380CC4-5D6E-409C-BE32-E72D297353CC}">
                  <c16:uniqueId val="{00000036-0278-4B5C-85B6-63C011355B5C}"/>
                </c:ext>
              </c:extLst>
            </c:dLbl>
            <c:dLbl>
              <c:idx val="55"/>
              <c:delete val="1"/>
              <c:extLst>
                <c:ext xmlns:c15="http://schemas.microsoft.com/office/drawing/2012/chart" uri="{CE6537A1-D6FC-4f65-9D91-7224C49458BB}"/>
                <c:ext xmlns:c16="http://schemas.microsoft.com/office/drawing/2014/chart" uri="{C3380CC4-5D6E-409C-BE32-E72D297353CC}">
                  <c16:uniqueId val="{00000037-0278-4B5C-85B6-63C011355B5C}"/>
                </c:ext>
              </c:extLst>
            </c:dLbl>
            <c:dLbl>
              <c:idx val="56"/>
              <c:delete val="1"/>
              <c:extLst>
                <c:ext xmlns:c15="http://schemas.microsoft.com/office/drawing/2012/chart" uri="{CE6537A1-D6FC-4f65-9D91-7224C49458BB}"/>
                <c:ext xmlns:c16="http://schemas.microsoft.com/office/drawing/2014/chart" uri="{C3380CC4-5D6E-409C-BE32-E72D297353CC}">
                  <c16:uniqueId val="{00000038-0278-4B5C-85B6-63C011355B5C}"/>
                </c:ext>
              </c:extLst>
            </c:dLbl>
            <c:dLbl>
              <c:idx val="57"/>
              <c:delete val="1"/>
              <c:extLst>
                <c:ext xmlns:c15="http://schemas.microsoft.com/office/drawing/2012/chart" uri="{CE6537A1-D6FC-4f65-9D91-7224C49458BB}"/>
                <c:ext xmlns:c16="http://schemas.microsoft.com/office/drawing/2014/chart" uri="{C3380CC4-5D6E-409C-BE32-E72D297353CC}">
                  <c16:uniqueId val="{00000039-0278-4B5C-85B6-63C011355B5C}"/>
                </c:ext>
              </c:extLst>
            </c:dLbl>
            <c:dLbl>
              <c:idx val="58"/>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extLst>
                <c:ext xmlns:c16="http://schemas.microsoft.com/office/drawing/2014/chart" uri="{C3380CC4-5D6E-409C-BE32-E72D297353CC}">
                  <c16:uniqueId val="{0000003A-0278-4B5C-85B6-63C011355B5C}"/>
                </c:ext>
              </c:extLst>
            </c:dLbl>
            <c:dLbl>
              <c:idx val="59"/>
              <c:delete val="1"/>
              <c:extLst>
                <c:ext xmlns:c15="http://schemas.microsoft.com/office/drawing/2012/chart" uri="{CE6537A1-D6FC-4f65-9D91-7224C49458BB}"/>
                <c:ext xmlns:c16="http://schemas.microsoft.com/office/drawing/2014/chart" uri="{C3380CC4-5D6E-409C-BE32-E72D297353CC}">
                  <c16:uniqueId val="{0000003B-0278-4B5C-85B6-63C011355B5C}"/>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xVal>
            <c:numRef>
              <c:f>КРР!$A$2:$A$61</c:f>
              <c:numCache>
                <c:formatCode>General</c:formatCode>
                <c:ptCount val="6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numCache>
            </c:numRef>
          </c:xVal>
          <c:yVal>
            <c:numRef>
              <c:f>КРР!$L$2:$L$61</c:f>
              <c:numCache>
                <c:formatCode>General</c:formatCode>
                <c:ptCount val="60"/>
                <c:pt idx="0">
                  <c:v>9.3000000000000007</c:v>
                </c:pt>
                <c:pt idx="1">
                  <c:v>12.61</c:v>
                </c:pt>
                <c:pt idx="2">
                  <c:v>12.5</c:v>
                </c:pt>
                <c:pt idx="3">
                  <c:v>11.4</c:v>
                </c:pt>
                <c:pt idx="4">
                  <c:v>7.3</c:v>
                </c:pt>
                <c:pt idx="5">
                  <c:v>12.06</c:v>
                </c:pt>
                <c:pt idx="6">
                  <c:v>8.89</c:v>
                </c:pt>
                <c:pt idx="7">
                  <c:v>8.5</c:v>
                </c:pt>
                <c:pt idx="8">
                  <c:v>8.3000000000000007</c:v>
                </c:pt>
                <c:pt idx="9">
                  <c:v>12.61</c:v>
                </c:pt>
                <c:pt idx="10">
                  <c:v>8.5</c:v>
                </c:pt>
                <c:pt idx="11">
                  <c:v>11.4</c:v>
                </c:pt>
                <c:pt idx="12">
                  <c:v>8.9</c:v>
                </c:pt>
                <c:pt idx="13">
                  <c:v>7.6</c:v>
                </c:pt>
                <c:pt idx="14">
                  <c:v>8.9</c:v>
                </c:pt>
                <c:pt idx="15">
                  <c:v>12.5</c:v>
                </c:pt>
                <c:pt idx="16">
                  <c:v>8.3000000000000007</c:v>
                </c:pt>
                <c:pt idx="17">
                  <c:v>8.6999999999999993</c:v>
                </c:pt>
                <c:pt idx="18">
                  <c:v>12.3</c:v>
                </c:pt>
                <c:pt idx="19">
                  <c:v>11.8</c:v>
                </c:pt>
                <c:pt idx="20">
                  <c:v>9.3000000000000007</c:v>
                </c:pt>
                <c:pt idx="21">
                  <c:v>11.7</c:v>
                </c:pt>
                <c:pt idx="22">
                  <c:v>8.8000000000000007</c:v>
                </c:pt>
                <c:pt idx="23">
                  <c:v>7.1</c:v>
                </c:pt>
                <c:pt idx="24">
                  <c:v>8.6999999999999993</c:v>
                </c:pt>
                <c:pt idx="25">
                  <c:v>6.8</c:v>
                </c:pt>
                <c:pt idx="26">
                  <c:v>7.9</c:v>
                </c:pt>
                <c:pt idx="27">
                  <c:v>8.4</c:v>
                </c:pt>
                <c:pt idx="28">
                  <c:v>9.1</c:v>
                </c:pt>
                <c:pt idx="29">
                  <c:v>7.8</c:v>
                </c:pt>
                <c:pt idx="30">
                  <c:v>9.1999999999999993</c:v>
                </c:pt>
                <c:pt idx="31">
                  <c:v>7.1</c:v>
                </c:pt>
                <c:pt idx="32">
                  <c:v>7.4</c:v>
                </c:pt>
                <c:pt idx="33">
                  <c:v>8.9</c:v>
                </c:pt>
                <c:pt idx="34">
                  <c:v>8.6999999999999993</c:v>
                </c:pt>
                <c:pt idx="35">
                  <c:v>7.7</c:v>
                </c:pt>
                <c:pt idx="36">
                  <c:v>7.4</c:v>
                </c:pt>
                <c:pt idx="37">
                  <c:v>6.9</c:v>
                </c:pt>
                <c:pt idx="38">
                  <c:v>8.1999999999999993</c:v>
                </c:pt>
                <c:pt idx="39">
                  <c:v>6.8</c:v>
                </c:pt>
                <c:pt idx="40">
                  <c:v>7.8</c:v>
                </c:pt>
                <c:pt idx="41">
                  <c:v>8.5</c:v>
                </c:pt>
                <c:pt idx="42">
                  <c:v>8.9</c:v>
                </c:pt>
                <c:pt idx="43">
                  <c:v>9.3000000000000007</c:v>
                </c:pt>
                <c:pt idx="44">
                  <c:v>7.6</c:v>
                </c:pt>
                <c:pt idx="45">
                  <c:v>9</c:v>
                </c:pt>
                <c:pt idx="46">
                  <c:v>8.8000000000000007</c:v>
                </c:pt>
                <c:pt idx="47">
                  <c:v>12.3</c:v>
                </c:pt>
                <c:pt idx="48">
                  <c:v>11.6</c:v>
                </c:pt>
                <c:pt idx="49">
                  <c:v>8</c:v>
                </c:pt>
                <c:pt idx="50">
                  <c:v>8.4</c:v>
                </c:pt>
                <c:pt idx="51">
                  <c:v>8</c:v>
                </c:pt>
                <c:pt idx="52">
                  <c:v>12.6</c:v>
                </c:pt>
                <c:pt idx="53">
                  <c:v>11.6</c:v>
                </c:pt>
                <c:pt idx="54">
                  <c:v>7.8</c:v>
                </c:pt>
                <c:pt idx="55">
                  <c:v>7.8</c:v>
                </c:pt>
                <c:pt idx="56">
                  <c:v>9.5</c:v>
                </c:pt>
                <c:pt idx="57">
                  <c:v>8</c:v>
                </c:pt>
                <c:pt idx="58">
                  <c:v>17.100000000000001</c:v>
                </c:pt>
                <c:pt idx="59">
                  <c:v>11.5</c:v>
                </c:pt>
              </c:numCache>
            </c:numRef>
          </c:yVal>
          <c:smooth val="0"/>
          <c:extLst>
            <c:ext xmlns:c16="http://schemas.microsoft.com/office/drawing/2014/chart" uri="{C3380CC4-5D6E-409C-BE32-E72D297353CC}">
              <c16:uniqueId val="{0000003C-0278-4B5C-85B6-63C011355B5C}"/>
            </c:ext>
          </c:extLst>
        </c:ser>
        <c:dLbls>
          <c:dLblPos val="t"/>
          <c:showLegendKey val="0"/>
          <c:showVal val="1"/>
          <c:showCatName val="0"/>
          <c:showSerName val="0"/>
          <c:showPercent val="0"/>
          <c:showBubbleSize val="0"/>
        </c:dLbls>
        <c:axId val="1252207359"/>
        <c:axId val="1252201119"/>
      </c:scatterChart>
      <c:valAx>
        <c:axId val="1252207359"/>
        <c:scaling>
          <c:orientation val="minMax"/>
          <c:max val="6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50" b="1" i="0" baseline="0">
                    <a:effectLst/>
                  </a:rPr>
                  <a:t>n (</a:t>
                </a:r>
                <a:r>
                  <a:rPr lang="ru-RU" sz="1050" b="1" i="0" baseline="0">
                    <a:effectLst/>
                  </a:rPr>
                  <a:t>60</a:t>
                </a:r>
                <a:r>
                  <a:rPr lang="en-US" sz="1050" b="1" i="0" baseline="0">
                    <a:effectLst/>
                  </a:rPr>
                  <a:t>), Me (</a:t>
                </a:r>
                <a:r>
                  <a:rPr lang="ru-RU" sz="1050" b="1" i="0" baseline="0">
                    <a:effectLst/>
                  </a:rPr>
                  <a:t>8,75</a:t>
                </a:r>
                <a:r>
                  <a:rPr lang="en-US" sz="1050" b="1" i="0" baseline="0">
                    <a:effectLst/>
                  </a:rPr>
                  <a:t>)</a:t>
                </a:r>
                <a:endParaRPr lang="ru-RU" sz="1050"/>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52201119"/>
        <c:crosses val="autoZero"/>
        <c:crossBetween val="midCat"/>
      </c:valAx>
      <c:valAx>
        <c:axId val="125220111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1" i="0" baseline="0">
                    <a:effectLst/>
                  </a:rPr>
                  <a:t>Доза облучения, мЗв</a:t>
                </a:r>
              </a:p>
            </c:rich>
          </c:tx>
          <c:overlay val="0"/>
          <c:spPr>
            <a:noFill/>
            <a:ln>
              <a:noFill/>
            </a:ln>
            <a:effectLst/>
          </c:spPr>
          <c:txPr>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5220735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RE</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scatterChart>
        <c:scatterStyle val="lineMarker"/>
        <c:varyColors val="0"/>
        <c:ser>
          <c:idx val="0"/>
          <c:order val="0"/>
          <c:tx>
            <c:strRef>
              <c:f>'Диаграммы сравнения РЯ коррел'!$K$1</c:f>
              <c:strCache>
                <c:ptCount val="1"/>
                <c:pt idx="0">
                  <c:v>RE (II)</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'Диаграммы сравнения РЯ коррел'!$B$2:$B$54</c:f>
              <c:numCache>
                <c:formatCode>0.00</c:formatCode>
                <c:ptCount val="53"/>
                <c:pt idx="0">
                  <c:v>0.87</c:v>
                </c:pt>
                <c:pt idx="1">
                  <c:v>0.48</c:v>
                </c:pt>
                <c:pt idx="2">
                  <c:v>1.26</c:v>
                </c:pt>
                <c:pt idx="3">
                  <c:v>0.53</c:v>
                </c:pt>
                <c:pt idx="4">
                  <c:v>0.62</c:v>
                </c:pt>
                <c:pt idx="5">
                  <c:v>0.78</c:v>
                </c:pt>
                <c:pt idx="6">
                  <c:v>0.81</c:v>
                </c:pt>
                <c:pt idx="7">
                  <c:v>0.43</c:v>
                </c:pt>
                <c:pt idx="8">
                  <c:v>0.65</c:v>
                </c:pt>
                <c:pt idx="9">
                  <c:v>0.84</c:v>
                </c:pt>
                <c:pt idx="10">
                  <c:v>0.57999999999999996</c:v>
                </c:pt>
                <c:pt idx="11">
                  <c:v>0.61</c:v>
                </c:pt>
                <c:pt idx="12">
                  <c:v>0.65</c:v>
                </c:pt>
                <c:pt idx="13">
                  <c:v>0.56000000000000005</c:v>
                </c:pt>
                <c:pt idx="14">
                  <c:v>1.46</c:v>
                </c:pt>
                <c:pt idx="15">
                  <c:v>0.79</c:v>
                </c:pt>
                <c:pt idx="16">
                  <c:v>0.44</c:v>
                </c:pt>
                <c:pt idx="17">
                  <c:v>0.61</c:v>
                </c:pt>
                <c:pt idx="18">
                  <c:v>0.4</c:v>
                </c:pt>
                <c:pt idx="19">
                  <c:v>0.84</c:v>
                </c:pt>
                <c:pt idx="20">
                  <c:v>0.65</c:v>
                </c:pt>
                <c:pt idx="21">
                  <c:v>0.5</c:v>
                </c:pt>
                <c:pt idx="22">
                  <c:v>1.29</c:v>
                </c:pt>
                <c:pt idx="23">
                  <c:v>0.46</c:v>
                </c:pt>
                <c:pt idx="24">
                  <c:v>1.52</c:v>
                </c:pt>
                <c:pt idx="25">
                  <c:v>0.54</c:v>
                </c:pt>
                <c:pt idx="26">
                  <c:v>0.19</c:v>
                </c:pt>
                <c:pt idx="27">
                  <c:v>1.02</c:v>
                </c:pt>
                <c:pt idx="28">
                  <c:v>1.94</c:v>
                </c:pt>
                <c:pt idx="29">
                  <c:v>0.77</c:v>
                </c:pt>
                <c:pt idx="30">
                  <c:v>0.7</c:v>
                </c:pt>
                <c:pt idx="31">
                  <c:v>1.1100000000000001</c:v>
                </c:pt>
                <c:pt idx="32">
                  <c:v>1.45</c:v>
                </c:pt>
                <c:pt idx="33">
                  <c:v>0.94</c:v>
                </c:pt>
                <c:pt idx="34">
                  <c:v>1.3</c:v>
                </c:pt>
                <c:pt idx="35">
                  <c:v>1.1100000000000001</c:v>
                </c:pt>
                <c:pt idx="36">
                  <c:v>1.83</c:v>
                </c:pt>
                <c:pt idx="37">
                  <c:v>1.05</c:v>
                </c:pt>
                <c:pt idx="38">
                  <c:v>0.75</c:v>
                </c:pt>
                <c:pt idx="39">
                  <c:v>1.5</c:v>
                </c:pt>
                <c:pt idx="40">
                  <c:v>0.69</c:v>
                </c:pt>
                <c:pt idx="41">
                  <c:v>1.28</c:v>
                </c:pt>
                <c:pt idx="42">
                  <c:v>1.4</c:v>
                </c:pt>
                <c:pt idx="43">
                  <c:v>0.83</c:v>
                </c:pt>
                <c:pt idx="44">
                  <c:v>1.96</c:v>
                </c:pt>
                <c:pt idx="45">
                  <c:v>0.98</c:v>
                </c:pt>
                <c:pt idx="46">
                  <c:v>0.73</c:v>
                </c:pt>
                <c:pt idx="47">
                  <c:v>2.12</c:v>
                </c:pt>
                <c:pt idx="48">
                  <c:v>2.1</c:v>
                </c:pt>
                <c:pt idx="49">
                  <c:v>1.06</c:v>
                </c:pt>
                <c:pt idx="50">
                  <c:v>0.68</c:v>
                </c:pt>
                <c:pt idx="51">
                  <c:v>1.36</c:v>
                </c:pt>
                <c:pt idx="52">
                  <c:v>0.6</c:v>
                </c:pt>
              </c:numCache>
            </c:numRef>
          </c:xVal>
          <c:yVal>
            <c:numRef>
              <c:f>'Диаграммы сравнения РЯ коррел'!$K$2:$K$54</c:f>
              <c:numCache>
                <c:formatCode>0.00</c:formatCode>
                <c:ptCount val="53"/>
                <c:pt idx="0">
                  <c:v>1.42</c:v>
                </c:pt>
                <c:pt idx="1">
                  <c:v>0.48</c:v>
                </c:pt>
                <c:pt idx="2">
                  <c:v>1.57</c:v>
                </c:pt>
                <c:pt idx="3">
                  <c:v>1.41</c:v>
                </c:pt>
                <c:pt idx="4">
                  <c:v>0.9</c:v>
                </c:pt>
                <c:pt idx="5">
                  <c:v>1.37</c:v>
                </c:pt>
                <c:pt idx="6">
                  <c:v>2.62</c:v>
                </c:pt>
                <c:pt idx="7">
                  <c:v>1.1399999999999999</c:v>
                </c:pt>
                <c:pt idx="8">
                  <c:v>0.86</c:v>
                </c:pt>
                <c:pt idx="9">
                  <c:v>0.96</c:v>
                </c:pt>
                <c:pt idx="10">
                  <c:v>1.61</c:v>
                </c:pt>
                <c:pt idx="11">
                  <c:v>1.42</c:v>
                </c:pt>
                <c:pt idx="12">
                  <c:v>1.61</c:v>
                </c:pt>
                <c:pt idx="13">
                  <c:v>1.18</c:v>
                </c:pt>
                <c:pt idx="14">
                  <c:v>1.89</c:v>
                </c:pt>
                <c:pt idx="15">
                  <c:v>1.75</c:v>
                </c:pt>
                <c:pt idx="16">
                  <c:v>0.79</c:v>
                </c:pt>
                <c:pt idx="17">
                  <c:v>1.1399999999999999</c:v>
                </c:pt>
                <c:pt idx="18">
                  <c:v>1.02</c:v>
                </c:pt>
                <c:pt idx="19">
                  <c:v>1.5</c:v>
                </c:pt>
                <c:pt idx="20">
                  <c:v>0.99</c:v>
                </c:pt>
                <c:pt idx="21">
                  <c:v>1.27</c:v>
                </c:pt>
                <c:pt idx="22">
                  <c:v>1.65</c:v>
                </c:pt>
                <c:pt idx="23">
                  <c:v>0.81</c:v>
                </c:pt>
                <c:pt idx="24">
                  <c:v>2.34</c:v>
                </c:pt>
                <c:pt idx="25">
                  <c:v>1.07</c:v>
                </c:pt>
                <c:pt idx="26">
                  <c:v>1.3</c:v>
                </c:pt>
                <c:pt idx="27">
                  <c:v>1.1100000000000001</c:v>
                </c:pt>
                <c:pt idx="28">
                  <c:v>1.65</c:v>
                </c:pt>
                <c:pt idx="29">
                  <c:v>1.25</c:v>
                </c:pt>
                <c:pt idx="30">
                  <c:v>0.96</c:v>
                </c:pt>
                <c:pt idx="31">
                  <c:v>0.73</c:v>
                </c:pt>
                <c:pt idx="32">
                  <c:v>1.25</c:v>
                </c:pt>
                <c:pt idx="33">
                  <c:v>1.06</c:v>
                </c:pt>
                <c:pt idx="34">
                  <c:v>0.9</c:v>
                </c:pt>
                <c:pt idx="35">
                  <c:v>0.99</c:v>
                </c:pt>
                <c:pt idx="36">
                  <c:v>1.46</c:v>
                </c:pt>
                <c:pt idx="37">
                  <c:v>1.04</c:v>
                </c:pt>
                <c:pt idx="38">
                  <c:v>0.96</c:v>
                </c:pt>
                <c:pt idx="39">
                  <c:v>1.3</c:v>
                </c:pt>
                <c:pt idx="40">
                  <c:v>1.1499999999999999</c:v>
                </c:pt>
                <c:pt idx="41">
                  <c:v>1.17</c:v>
                </c:pt>
                <c:pt idx="42">
                  <c:v>1.41</c:v>
                </c:pt>
                <c:pt idx="43">
                  <c:v>3.34</c:v>
                </c:pt>
                <c:pt idx="44">
                  <c:v>1.21</c:v>
                </c:pt>
                <c:pt idx="45">
                  <c:v>0.96</c:v>
                </c:pt>
                <c:pt idx="46">
                  <c:v>1.52</c:v>
                </c:pt>
                <c:pt idx="47">
                  <c:v>1.1000000000000001</c:v>
                </c:pt>
                <c:pt idx="48">
                  <c:v>0.96</c:v>
                </c:pt>
                <c:pt idx="49">
                  <c:v>0.39</c:v>
                </c:pt>
                <c:pt idx="50">
                  <c:v>1.06</c:v>
                </c:pt>
                <c:pt idx="51">
                  <c:v>2.2999999999999998</c:v>
                </c:pt>
                <c:pt idx="52">
                  <c:v>0.71</c:v>
                </c:pt>
              </c:numCache>
            </c:numRef>
          </c:yVal>
          <c:smooth val="0"/>
          <c:extLst>
            <c:ext xmlns:c16="http://schemas.microsoft.com/office/drawing/2014/chart" uri="{C3380CC4-5D6E-409C-BE32-E72D297353CC}">
              <c16:uniqueId val="{00000001-6834-4024-A2A3-2E98ED3AD9A8}"/>
            </c:ext>
          </c:extLst>
        </c:ser>
        <c:dLbls>
          <c:showLegendKey val="0"/>
          <c:showVal val="0"/>
          <c:showCatName val="0"/>
          <c:showSerName val="0"/>
          <c:showPercent val="0"/>
          <c:showBubbleSize val="0"/>
        </c:dLbls>
        <c:axId val="1147095856"/>
        <c:axId val="1209595424"/>
      </c:scatterChart>
      <c:valAx>
        <c:axId val="114709585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baseline="-25000"/>
                  <a:t>max</a:t>
                </a:r>
                <a:r>
                  <a:rPr lang="en-US" sz="1200" b="1"/>
                  <a:t> I</a:t>
                </a:r>
                <a:endParaRPr lang="ru-RU" sz="1200" b="1"/>
              </a:p>
            </c:rich>
          </c:tx>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09595424"/>
        <c:crosses val="autoZero"/>
        <c:crossBetween val="midCat"/>
      </c:valAx>
      <c:valAx>
        <c:axId val="12095954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baseline="-25000"/>
                  <a:t>max</a:t>
                </a:r>
                <a:r>
                  <a:rPr lang="en-US" sz="1200" b="1"/>
                  <a:t> II</a:t>
                </a:r>
                <a:endParaRPr lang="ru-RU" sz="1200" b="1"/>
              </a:p>
            </c:rich>
          </c:tx>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4709585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RLH</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scatterChart>
        <c:scatterStyle val="lineMarker"/>
        <c:varyColors val="0"/>
        <c:ser>
          <c:idx val="0"/>
          <c:order val="0"/>
          <c:tx>
            <c:strRef>
              <c:f>'Диаграммы сравнения РЯ коррел'!$L$1</c:f>
              <c:strCache>
                <c:ptCount val="1"/>
                <c:pt idx="0">
                  <c:v>RLH (II)</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'Диаграммы сравнения РЯ коррел'!$C$2:$C$54</c:f>
              <c:numCache>
                <c:formatCode>0.00</c:formatCode>
                <c:ptCount val="53"/>
                <c:pt idx="0">
                  <c:v>0.78</c:v>
                </c:pt>
                <c:pt idx="1">
                  <c:v>0.6</c:v>
                </c:pt>
                <c:pt idx="2">
                  <c:v>0.38</c:v>
                </c:pt>
                <c:pt idx="3">
                  <c:v>0.39</c:v>
                </c:pt>
                <c:pt idx="4">
                  <c:v>0.66</c:v>
                </c:pt>
                <c:pt idx="5">
                  <c:v>0.53</c:v>
                </c:pt>
                <c:pt idx="6">
                  <c:v>0.5</c:v>
                </c:pt>
                <c:pt idx="7">
                  <c:v>0.43</c:v>
                </c:pt>
                <c:pt idx="8">
                  <c:v>0.63</c:v>
                </c:pt>
                <c:pt idx="9">
                  <c:v>0.75</c:v>
                </c:pt>
                <c:pt idx="10">
                  <c:v>0.68</c:v>
                </c:pt>
                <c:pt idx="11">
                  <c:v>0.37</c:v>
                </c:pt>
                <c:pt idx="12">
                  <c:v>0.54</c:v>
                </c:pt>
                <c:pt idx="13">
                  <c:v>0.57999999999999996</c:v>
                </c:pt>
                <c:pt idx="14">
                  <c:v>0.42</c:v>
                </c:pt>
                <c:pt idx="15">
                  <c:v>0.74</c:v>
                </c:pt>
                <c:pt idx="16">
                  <c:v>0.78</c:v>
                </c:pt>
                <c:pt idx="17">
                  <c:v>0.95</c:v>
                </c:pt>
                <c:pt idx="18">
                  <c:v>0.41</c:v>
                </c:pt>
                <c:pt idx="19">
                  <c:v>0.54</c:v>
                </c:pt>
                <c:pt idx="20">
                  <c:v>0.49</c:v>
                </c:pt>
                <c:pt idx="21">
                  <c:v>0.62</c:v>
                </c:pt>
                <c:pt idx="22">
                  <c:v>1.38</c:v>
                </c:pt>
                <c:pt idx="23">
                  <c:v>0.41</c:v>
                </c:pt>
                <c:pt idx="24">
                  <c:v>2</c:v>
                </c:pt>
                <c:pt idx="25">
                  <c:v>0.56000000000000005</c:v>
                </c:pt>
                <c:pt idx="26">
                  <c:v>0.4</c:v>
                </c:pt>
                <c:pt idx="27">
                  <c:v>0.68</c:v>
                </c:pt>
                <c:pt idx="28">
                  <c:v>1.48</c:v>
                </c:pt>
                <c:pt idx="29">
                  <c:v>0.78</c:v>
                </c:pt>
                <c:pt idx="30">
                  <c:v>0.78</c:v>
                </c:pt>
                <c:pt idx="31">
                  <c:v>0.94</c:v>
                </c:pt>
                <c:pt idx="32">
                  <c:v>1.18</c:v>
                </c:pt>
                <c:pt idx="33">
                  <c:v>1.71</c:v>
                </c:pt>
                <c:pt idx="34">
                  <c:v>1.93</c:v>
                </c:pt>
                <c:pt idx="35">
                  <c:v>0.89</c:v>
                </c:pt>
                <c:pt idx="36">
                  <c:v>1.25</c:v>
                </c:pt>
                <c:pt idx="37">
                  <c:v>1.63</c:v>
                </c:pt>
                <c:pt idx="38">
                  <c:v>1.76</c:v>
                </c:pt>
                <c:pt idx="39">
                  <c:v>1.1100000000000001</c:v>
                </c:pt>
                <c:pt idx="40">
                  <c:v>0.48</c:v>
                </c:pt>
                <c:pt idx="41">
                  <c:v>0.54</c:v>
                </c:pt>
                <c:pt idx="42">
                  <c:v>0.99</c:v>
                </c:pt>
                <c:pt idx="43">
                  <c:v>1.1499999999999999</c:v>
                </c:pt>
                <c:pt idx="44">
                  <c:v>0.83</c:v>
                </c:pt>
                <c:pt idx="45">
                  <c:v>0.86</c:v>
                </c:pt>
                <c:pt idx="46">
                  <c:v>1.0900000000000001</c:v>
                </c:pt>
                <c:pt idx="47">
                  <c:v>1.19</c:v>
                </c:pt>
                <c:pt idx="48">
                  <c:v>0.97</c:v>
                </c:pt>
                <c:pt idx="49">
                  <c:v>0.8</c:v>
                </c:pt>
                <c:pt idx="50">
                  <c:v>1.41</c:v>
                </c:pt>
                <c:pt idx="51">
                  <c:v>0.63</c:v>
                </c:pt>
                <c:pt idx="52">
                  <c:v>0.43</c:v>
                </c:pt>
              </c:numCache>
            </c:numRef>
          </c:xVal>
          <c:yVal>
            <c:numRef>
              <c:f>'Диаграммы сравнения РЯ коррел'!$L$2:$L$54</c:f>
              <c:numCache>
                <c:formatCode>0.00</c:formatCode>
                <c:ptCount val="53"/>
                <c:pt idx="0">
                  <c:v>0.84</c:v>
                </c:pt>
                <c:pt idx="1">
                  <c:v>0.41</c:v>
                </c:pt>
                <c:pt idx="2">
                  <c:v>1.21</c:v>
                </c:pt>
                <c:pt idx="3">
                  <c:v>0.88</c:v>
                </c:pt>
                <c:pt idx="4">
                  <c:v>0.86</c:v>
                </c:pt>
                <c:pt idx="5">
                  <c:v>1.23</c:v>
                </c:pt>
                <c:pt idx="6">
                  <c:v>1.49</c:v>
                </c:pt>
                <c:pt idx="7">
                  <c:v>0.95</c:v>
                </c:pt>
                <c:pt idx="8">
                  <c:v>1.61</c:v>
                </c:pt>
                <c:pt idx="9">
                  <c:v>1.1000000000000001</c:v>
                </c:pt>
                <c:pt idx="10">
                  <c:v>1.93</c:v>
                </c:pt>
                <c:pt idx="11">
                  <c:v>2.0499999999999998</c:v>
                </c:pt>
                <c:pt idx="12">
                  <c:v>1.75</c:v>
                </c:pt>
                <c:pt idx="13">
                  <c:v>0.52</c:v>
                </c:pt>
                <c:pt idx="14">
                  <c:v>0.65</c:v>
                </c:pt>
                <c:pt idx="15">
                  <c:v>0.86</c:v>
                </c:pt>
                <c:pt idx="16">
                  <c:v>2.31</c:v>
                </c:pt>
                <c:pt idx="17">
                  <c:v>1.02</c:v>
                </c:pt>
                <c:pt idx="18">
                  <c:v>0.81</c:v>
                </c:pt>
                <c:pt idx="19">
                  <c:v>1.1000000000000001</c:v>
                </c:pt>
                <c:pt idx="20">
                  <c:v>1.17</c:v>
                </c:pt>
                <c:pt idx="21">
                  <c:v>1.21</c:v>
                </c:pt>
                <c:pt idx="22">
                  <c:v>1.28</c:v>
                </c:pt>
                <c:pt idx="23">
                  <c:v>1.0900000000000001</c:v>
                </c:pt>
                <c:pt idx="24">
                  <c:v>1.48</c:v>
                </c:pt>
                <c:pt idx="25">
                  <c:v>1.21</c:v>
                </c:pt>
                <c:pt idx="26">
                  <c:v>1.43</c:v>
                </c:pt>
                <c:pt idx="27">
                  <c:v>0.76</c:v>
                </c:pt>
                <c:pt idx="28">
                  <c:v>1.06</c:v>
                </c:pt>
                <c:pt idx="29">
                  <c:v>1.34</c:v>
                </c:pt>
                <c:pt idx="30">
                  <c:v>0.91</c:v>
                </c:pt>
                <c:pt idx="31">
                  <c:v>1.0900000000000001</c:v>
                </c:pt>
                <c:pt idx="32">
                  <c:v>1.32</c:v>
                </c:pt>
                <c:pt idx="33">
                  <c:v>1.43</c:v>
                </c:pt>
                <c:pt idx="34">
                  <c:v>1.68</c:v>
                </c:pt>
                <c:pt idx="35">
                  <c:v>1.07</c:v>
                </c:pt>
                <c:pt idx="36">
                  <c:v>1.45</c:v>
                </c:pt>
                <c:pt idx="37">
                  <c:v>1.34</c:v>
                </c:pt>
                <c:pt idx="38">
                  <c:v>2.2000000000000002</c:v>
                </c:pt>
                <c:pt idx="39">
                  <c:v>1.02</c:v>
                </c:pt>
                <c:pt idx="40">
                  <c:v>0.96</c:v>
                </c:pt>
                <c:pt idx="41">
                  <c:v>1.3</c:v>
                </c:pt>
                <c:pt idx="42">
                  <c:v>1.38</c:v>
                </c:pt>
                <c:pt idx="43">
                  <c:v>1.32</c:v>
                </c:pt>
                <c:pt idx="44">
                  <c:v>1.37</c:v>
                </c:pt>
                <c:pt idx="45">
                  <c:v>0.85</c:v>
                </c:pt>
                <c:pt idx="46">
                  <c:v>1.1399999999999999</c:v>
                </c:pt>
                <c:pt idx="47">
                  <c:v>1.05</c:v>
                </c:pt>
                <c:pt idx="48">
                  <c:v>0.73</c:v>
                </c:pt>
                <c:pt idx="49">
                  <c:v>0.55000000000000004</c:v>
                </c:pt>
                <c:pt idx="50">
                  <c:v>1.51</c:v>
                </c:pt>
                <c:pt idx="51">
                  <c:v>1.25</c:v>
                </c:pt>
                <c:pt idx="52">
                  <c:v>0.78</c:v>
                </c:pt>
              </c:numCache>
            </c:numRef>
          </c:yVal>
          <c:smooth val="0"/>
          <c:extLst>
            <c:ext xmlns:c16="http://schemas.microsoft.com/office/drawing/2014/chart" uri="{C3380CC4-5D6E-409C-BE32-E72D297353CC}">
              <c16:uniqueId val="{00000001-CB28-4268-B9DA-8456E8A630B1}"/>
            </c:ext>
          </c:extLst>
        </c:ser>
        <c:dLbls>
          <c:showLegendKey val="0"/>
          <c:showVal val="0"/>
          <c:showCatName val="0"/>
          <c:showSerName val="0"/>
          <c:showPercent val="0"/>
          <c:showBubbleSize val="0"/>
        </c:dLbls>
        <c:axId val="958751680"/>
        <c:axId val="958753344"/>
      </c:scatterChart>
      <c:valAx>
        <c:axId val="95875168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baseline="-25000"/>
                  <a:t>max</a:t>
                </a:r>
                <a:r>
                  <a:rPr lang="en-US" sz="1200" b="1"/>
                  <a:t> I</a:t>
                </a:r>
                <a:endParaRPr lang="ru-KZ" sz="1200" b="1"/>
              </a:p>
            </c:rich>
          </c:tx>
          <c:overlay val="0"/>
          <c:spPr>
            <a:noFill/>
            <a:ln>
              <a:noFill/>
            </a:ln>
            <a:effectLst/>
          </c:spPr>
          <c:txPr>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958753344"/>
        <c:crosses val="autoZero"/>
        <c:crossBetween val="midCat"/>
      </c:valAx>
      <c:valAx>
        <c:axId val="9587533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baseline="-25000"/>
                  <a:t>max</a:t>
                </a:r>
                <a:r>
                  <a:rPr lang="en-US" sz="1200" b="1"/>
                  <a:t> II</a:t>
                </a:r>
                <a:endParaRPr lang="ru-RU" sz="1200" b="1"/>
              </a:p>
            </c:rich>
          </c:tx>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95875168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RRL</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scatterChart>
        <c:scatterStyle val="lineMarker"/>
        <c:varyColors val="0"/>
        <c:ser>
          <c:idx val="0"/>
          <c:order val="0"/>
          <c:tx>
            <c:strRef>
              <c:f>'Диаграммы сравнения РЯ коррел'!$M$1</c:f>
              <c:strCache>
                <c:ptCount val="1"/>
                <c:pt idx="0">
                  <c:v>RRL (II)</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'Диаграммы сравнения РЯ коррел'!$D$2:$D$54</c:f>
              <c:numCache>
                <c:formatCode>0.00</c:formatCode>
                <c:ptCount val="53"/>
                <c:pt idx="0">
                  <c:v>0.9</c:v>
                </c:pt>
                <c:pt idx="1">
                  <c:v>0.79</c:v>
                </c:pt>
                <c:pt idx="2">
                  <c:v>0.82</c:v>
                </c:pt>
                <c:pt idx="3">
                  <c:v>0.56000000000000005</c:v>
                </c:pt>
                <c:pt idx="4">
                  <c:v>0.72</c:v>
                </c:pt>
                <c:pt idx="5">
                  <c:v>0.96</c:v>
                </c:pt>
                <c:pt idx="6">
                  <c:v>0.97</c:v>
                </c:pt>
                <c:pt idx="7">
                  <c:v>0.68</c:v>
                </c:pt>
                <c:pt idx="8">
                  <c:v>0.59</c:v>
                </c:pt>
                <c:pt idx="9">
                  <c:v>0.77</c:v>
                </c:pt>
                <c:pt idx="10">
                  <c:v>1.05</c:v>
                </c:pt>
                <c:pt idx="11">
                  <c:v>0.72</c:v>
                </c:pt>
                <c:pt idx="12">
                  <c:v>1.06</c:v>
                </c:pt>
                <c:pt idx="13">
                  <c:v>0.66</c:v>
                </c:pt>
                <c:pt idx="14">
                  <c:v>0.65</c:v>
                </c:pt>
                <c:pt idx="15">
                  <c:v>0.73</c:v>
                </c:pt>
                <c:pt idx="16">
                  <c:v>0.55000000000000004</c:v>
                </c:pt>
                <c:pt idx="17">
                  <c:v>0.72</c:v>
                </c:pt>
                <c:pt idx="18">
                  <c:v>0.43</c:v>
                </c:pt>
                <c:pt idx="19">
                  <c:v>0.92</c:v>
                </c:pt>
                <c:pt idx="20">
                  <c:v>0.56000000000000005</c:v>
                </c:pt>
                <c:pt idx="21">
                  <c:v>0.94</c:v>
                </c:pt>
                <c:pt idx="22">
                  <c:v>1.55</c:v>
                </c:pt>
                <c:pt idx="23">
                  <c:v>0.79</c:v>
                </c:pt>
                <c:pt idx="24">
                  <c:v>1.21</c:v>
                </c:pt>
                <c:pt idx="25">
                  <c:v>0.82</c:v>
                </c:pt>
                <c:pt idx="26">
                  <c:v>0.47</c:v>
                </c:pt>
                <c:pt idx="27">
                  <c:v>0.67</c:v>
                </c:pt>
                <c:pt idx="28">
                  <c:v>2.08</c:v>
                </c:pt>
                <c:pt idx="29">
                  <c:v>1.1399999999999999</c:v>
                </c:pt>
                <c:pt idx="30">
                  <c:v>1.46</c:v>
                </c:pt>
                <c:pt idx="31">
                  <c:v>1.5</c:v>
                </c:pt>
                <c:pt idx="32">
                  <c:v>1.05</c:v>
                </c:pt>
                <c:pt idx="33">
                  <c:v>1.38</c:v>
                </c:pt>
                <c:pt idx="34">
                  <c:v>2.78</c:v>
                </c:pt>
                <c:pt idx="35">
                  <c:v>1.57</c:v>
                </c:pt>
                <c:pt idx="36">
                  <c:v>1.28</c:v>
                </c:pt>
                <c:pt idx="37">
                  <c:v>0.97</c:v>
                </c:pt>
                <c:pt idx="38">
                  <c:v>1.1299999999999999</c:v>
                </c:pt>
                <c:pt idx="39">
                  <c:v>1.42</c:v>
                </c:pt>
                <c:pt idx="40">
                  <c:v>0.48</c:v>
                </c:pt>
                <c:pt idx="41">
                  <c:v>1.02</c:v>
                </c:pt>
                <c:pt idx="42">
                  <c:v>1.1200000000000001</c:v>
                </c:pt>
                <c:pt idx="43">
                  <c:v>0.89</c:v>
                </c:pt>
                <c:pt idx="44">
                  <c:v>2.08</c:v>
                </c:pt>
                <c:pt idx="45">
                  <c:v>0.79</c:v>
                </c:pt>
                <c:pt idx="46">
                  <c:v>0.98</c:v>
                </c:pt>
                <c:pt idx="47">
                  <c:v>1.17</c:v>
                </c:pt>
                <c:pt idx="48">
                  <c:v>1.27</c:v>
                </c:pt>
                <c:pt idx="49">
                  <c:v>1.45</c:v>
                </c:pt>
                <c:pt idx="50">
                  <c:v>1.41</c:v>
                </c:pt>
                <c:pt idx="51">
                  <c:v>1.79</c:v>
                </c:pt>
                <c:pt idx="52">
                  <c:v>0.56000000000000005</c:v>
                </c:pt>
              </c:numCache>
            </c:numRef>
          </c:xVal>
          <c:yVal>
            <c:numRef>
              <c:f>'Диаграммы сравнения РЯ коррел'!$M$2:$M$54</c:f>
              <c:numCache>
                <c:formatCode>0.00</c:formatCode>
                <c:ptCount val="53"/>
                <c:pt idx="0">
                  <c:v>0.48</c:v>
                </c:pt>
                <c:pt idx="1">
                  <c:v>0.62</c:v>
                </c:pt>
                <c:pt idx="2">
                  <c:v>0.95</c:v>
                </c:pt>
                <c:pt idx="3">
                  <c:v>1.45</c:v>
                </c:pt>
                <c:pt idx="4">
                  <c:v>0.85</c:v>
                </c:pt>
                <c:pt idx="5">
                  <c:v>2.35</c:v>
                </c:pt>
                <c:pt idx="6">
                  <c:v>1.26</c:v>
                </c:pt>
                <c:pt idx="7">
                  <c:v>1.28</c:v>
                </c:pt>
                <c:pt idx="8">
                  <c:v>1.22</c:v>
                </c:pt>
                <c:pt idx="9">
                  <c:v>1.8</c:v>
                </c:pt>
                <c:pt idx="10">
                  <c:v>1.7</c:v>
                </c:pt>
                <c:pt idx="11">
                  <c:v>2.0499999999999998</c:v>
                </c:pt>
                <c:pt idx="12">
                  <c:v>1.56</c:v>
                </c:pt>
                <c:pt idx="13">
                  <c:v>0.91</c:v>
                </c:pt>
                <c:pt idx="14">
                  <c:v>1.55</c:v>
                </c:pt>
                <c:pt idx="15">
                  <c:v>1.58</c:v>
                </c:pt>
                <c:pt idx="16">
                  <c:v>1.36</c:v>
                </c:pt>
                <c:pt idx="17">
                  <c:v>1.25</c:v>
                </c:pt>
                <c:pt idx="18">
                  <c:v>0.68</c:v>
                </c:pt>
                <c:pt idx="19">
                  <c:v>1.63</c:v>
                </c:pt>
                <c:pt idx="20">
                  <c:v>1.1499999999999999</c:v>
                </c:pt>
                <c:pt idx="21">
                  <c:v>1.8</c:v>
                </c:pt>
                <c:pt idx="22">
                  <c:v>1.65</c:v>
                </c:pt>
                <c:pt idx="23">
                  <c:v>0.92</c:v>
                </c:pt>
                <c:pt idx="24">
                  <c:v>1.55</c:v>
                </c:pt>
                <c:pt idx="25">
                  <c:v>1.18</c:v>
                </c:pt>
                <c:pt idx="26">
                  <c:v>1.69</c:v>
                </c:pt>
                <c:pt idx="27">
                  <c:v>0.93</c:v>
                </c:pt>
                <c:pt idx="28">
                  <c:v>2.41</c:v>
                </c:pt>
                <c:pt idx="29">
                  <c:v>1.0900000000000001</c:v>
                </c:pt>
                <c:pt idx="30">
                  <c:v>2.14</c:v>
                </c:pt>
                <c:pt idx="31">
                  <c:v>0.98</c:v>
                </c:pt>
                <c:pt idx="32">
                  <c:v>0.86</c:v>
                </c:pt>
                <c:pt idx="33">
                  <c:v>0.89</c:v>
                </c:pt>
                <c:pt idx="34">
                  <c:v>1.62</c:v>
                </c:pt>
                <c:pt idx="35">
                  <c:v>1.69</c:v>
                </c:pt>
                <c:pt idx="36">
                  <c:v>1.94</c:v>
                </c:pt>
                <c:pt idx="37">
                  <c:v>1.88</c:v>
                </c:pt>
                <c:pt idx="38">
                  <c:v>1.24</c:v>
                </c:pt>
                <c:pt idx="39">
                  <c:v>1.1299999999999999</c:v>
                </c:pt>
                <c:pt idx="40">
                  <c:v>1.33</c:v>
                </c:pt>
                <c:pt idx="41">
                  <c:v>1.97</c:v>
                </c:pt>
                <c:pt idx="42">
                  <c:v>0.9</c:v>
                </c:pt>
                <c:pt idx="43">
                  <c:v>0.88</c:v>
                </c:pt>
                <c:pt idx="44">
                  <c:v>1.53</c:v>
                </c:pt>
                <c:pt idx="45">
                  <c:v>0.88</c:v>
                </c:pt>
                <c:pt idx="46">
                  <c:v>1.93</c:v>
                </c:pt>
                <c:pt idx="47">
                  <c:v>0.91</c:v>
                </c:pt>
                <c:pt idx="48">
                  <c:v>1.1200000000000001</c:v>
                </c:pt>
                <c:pt idx="49">
                  <c:v>0.9</c:v>
                </c:pt>
                <c:pt idx="50">
                  <c:v>1.48</c:v>
                </c:pt>
                <c:pt idx="51">
                  <c:v>2.06</c:v>
                </c:pt>
                <c:pt idx="52">
                  <c:v>0.89</c:v>
                </c:pt>
              </c:numCache>
            </c:numRef>
          </c:yVal>
          <c:smooth val="0"/>
          <c:extLst>
            <c:ext xmlns:c16="http://schemas.microsoft.com/office/drawing/2014/chart" uri="{C3380CC4-5D6E-409C-BE32-E72D297353CC}">
              <c16:uniqueId val="{00000001-7614-4C78-8479-2CFA418CC050}"/>
            </c:ext>
          </c:extLst>
        </c:ser>
        <c:dLbls>
          <c:showLegendKey val="0"/>
          <c:showVal val="0"/>
          <c:showCatName val="0"/>
          <c:showSerName val="0"/>
          <c:showPercent val="0"/>
          <c:showBubbleSize val="0"/>
        </c:dLbls>
        <c:axId val="1252411200"/>
        <c:axId val="1252408288"/>
      </c:scatterChart>
      <c:valAx>
        <c:axId val="12524112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baseline="-25000"/>
                  <a:t>max</a:t>
                </a:r>
                <a:r>
                  <a:rPr lang="en-US" sz="1200" b="1"/>
                  <a:t> I</a:t>
                </a:r>
                <a:endParaRPr lang="ru-RU" sz="1200" b="1"/>
              </a:p>
            </c:rich>
          </c:tx>
          <c:overlay val="0"/>
          <c:spPr>
            <a:noFill/>
            <a:ln>
              <a:noFill/>
            </a:ln>
            <a:effectLst/>
          </c:spPr>
          <c:txPr>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52408288"/>
        <c:crosses val="autoZero"/>
        <c:crossBetween val="midCat"/>
      </c:valAx>
      <c:valAx>
        <c:axId val="12524082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baseline="-25000"/>
                  <a:t>max</a:t>
                </a:r>
                <a:r>
                  <a:rPr lang="en-US" sz="1200" b="1"/>
                  <a:t> II</a:t>
                </a:r>
                <a:endParaRPr lang="ru-RU" sz="1200" b="1"/>
              </a:p>
            </c:rich>
          </c:tx>
          <c:overlay val="0"/>
          <c:spPr>
            <a:noFill/>
            <a:ln>
              <a:noFill/>
            </a:ln>
            <a:effectLst/>
          </c:spPr>
          <c:txPr>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5241120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pivotSource>
    <c:name>[К занятию 9 ЭРЯ и КРР глава 2.xlsx]ОХ Т РЯ!Сводная таблица11</c:name>
    <c:fmtId val="-1"/>
  </c:pivotSource>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b="1"/>
              <a:t>Стадия </a:t>
            </a:r>
            <a:r>
              <a:rPr lang="en-US" b="1"/>
              <a:t>T</a:t>
            </a:r>
            <a:endParaRPr lang="ru-RU" b="1"/>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'ОХ Т РЯ'!$B$3</c:f>
              <c:strCache>
                <c:ptCount val="1"/>
                <c:pt idx="0">
                  <c:v>Итог</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'ОХ Т РЯ'!$A$4:$A$7</c:f>
              <c:strCache>
                <c:ptCount val="4"/>
                <c:pt idx="0">
                  <c:v>T1</c:v>
                </c:pt>
                <c:pt idx="1">
                  <c:v>T2</c:v>
                </c:pt>
                <c:pt idx="2">
                  <c:v>T3</c:v>
                </c:pt>
                <c:pt idx="3">
                  <c:v>T4</c:v>
                </c:pt>
              </c:strCache>
            </c:strRef>
          </c:cat>
          <c:val>
            <c:numRef>
              <c:f>'ОХ Т РЯ'!$B$4:$B$7</c:f>
              <c:numCache>
                <c:formatCode>General</c:formatCode>
                <c:ptCount val="4"/>
                <c:pt idx="0">
                  <c:v>8</c:v>
                </c:pt>
                <c:pt idx="1">
                  <c:v>15</c:v>
                </c:pt>
                <c:pt idx="2">
                  <c:v>28</c:v>
                </c:pt>
                <c:pt idx="3">
                  <c:v>2</c:v>
                </c:pt>
              </c:numCache>
            </c:numRef>
          </c:val>
          <c:extLst>
            <c:ext xmlns:c16="http://schemas.microsoft.com/office/drawing/2014/chart" uri="{C3380CC4-5D6E-409C-BE32-E72D297353CC}">
              <c16:uniqueId val="{00000000-798B-4E71-A3EA-D4A2657B4766}"/>
            </c:ext>
          </c:extLst>
        </c:ser>
        <c:dLbls>
          <c:dLblPos val="outEnd"/>
          <c:showLegendKey val="0"/>
          <c:showVal val="1"/>
          <c:showCatName val="0"/>
          <c:showSerName val="0"/>
          <c:showPercent val="0"/>
          <c:showBubbleSize val="0"/>
        </c:dLbls>
        <c:gapWidth val="219"/>
        <c:overlap val="-27"/>
        <c:axId val="2054479167"/>
        <c:axId val="2054477503"/>
      </c:barChart>
      <c:catAx>
        <c:axId val="20544791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54477503"/>
        <c:crosses val="autoZero"/>
        <c:auto val="1"/>
        <c:lblAlgn val="ctr"/>
        <c:lblOffset val="100"/>
        <c:noMultiLvlLbl val="0"/>
      </c:catAx>
      <c:valAx>
        <c:axId val="2054477503"/>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5447916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 xmlns:c16="http://schemas.microsoft.com/office/drawing/2014/chart" uri="{E28EC0CA-F0BB-4C9C-879D-F8772B89E7AC}">
      <c16:pivotOptions16>
        <c16:showExpandCollapseFieldButtons val="1"/>
      </c16:pivotOptions16>
    </c:ext>
  </c:extLst>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RU</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scatterChart>
        <c:scatterStyle val="lineMarker"/>
        <c:varyColors val="0"/>
        <c:ser>
          <c:idx val="0"/>
          <c:order val="0"/>
          <c:tx>
            <c:strRef>
              <c:f>'Диаграммы сравнения РЯ коррел'!$N$1</c:f>
              <c:strCache>
                <c:ptCount val="1"/>
                <c:pt idx="0">
                  <c:v>RU (II)</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'Диаграммы сравнения РЯ коррел'!$E$2:$E$54</c:f>
              <c:numCache>
                <c:formatCode>0.00</c:formatCode>
                <c:ptCount val="53"/>
                <c:pt idx="0">
                  <c:v>0.94</c:v>
                </c:pt>
                <c:pt idx="1">
                  <c:v>1.1000000000000001</c:v>
                </c:pt>
                <c:pt idx="2">
                  <c:v>0.86</c:v>
                </c:pt>
                <c:pt idx="3">
                  <c:v>0.7</c:v>
                </c:pt>
                <c:pt idx="4">
                  <c:v>0.64</c:v>
                </c:pt>
                <c:pt idx="5">
                  <c:v>0.62</c:v>
                </c:pt>
                <c:pt idx="6">
                  <c:v>0.52</c:v>
                </c:pt>
                <c:pt idx="7">
                  <c:v>0.59</c:v>
                </c:pt>
                <c:pt idx="8">
                  <c:v>1.02</c:v>
                </c:pt>
                <c:pt idx="9">
                  <c:v>0.56000000000000005</c:v>
                </c:pt>
                <c:pt idx="10">
                  <c:v>0.94</c:v>
                </c:pt>
                <c:pt idx="11">
                  <c:v>0.64</c:v>
                </c:pt>
                <c:pt idx="12">
                  <c:v>0.73</c:v>
                </c:pt>
                <c:pt idx="13">
                  <c:v>0.53</c:v>
                </c:pt>
                <c:pt idx="14">
                  <c:v>0.69</c:v>
                </c:pt>
                <c:pt idx="15">
                  <c:v>0.48</c:v>
                </c:pt>
                <c:pt idx="16">
                  <c:v>0.73</c:v>
                </c:pt>
                <c:pt idx="17">
                  <c:v>0.71</c:v>
                </c:pt>
                <c:pt idx="18">
                  <c:v>0.33</c:v>
                </c:pt>
                <c:pt idx="19">
                  <c:v>0.75</c:v>
                </c:pt>
                <c:pt idx="20">
                  <c:v>0.54</c:v>
                </c:pt>
                <c:pt idx="21">
                  <c:v>0.68</c:v>
                </c:pt>
                <c:pt idx="22">
                  <c:v>1.17</c:v>
                </c:pt>
                <c:pt idx="23">
                  <c:v>0.72</c:v>
                </c:pt>
                <c:pt idx="24">
                  <c:v>1.1000000000000001</c:v>
                </c:pt>
                <c:pt idx="25">
                  <c:v>0.65</c:v>
                </c:pt>
                <c:pt idx="26">
                  <c:v>0.32</c:v>
                </c:pt>
                <c:pt idx="27">
                  <c:v>0.76</c:v>
                </c:pt>
                <c:pt idx="28">
                  <c:v>1.39</c:v>
                </c:pt>
                <c:pt idx="29">
                  <c:v>0.64</c:v>
                </c:pt>
                <c:pt idx="30">
                  <c:v>1.76</c:v>
                </c:pt>
                <c:pt idx="31">
                  <c:v>1.03</c:v>
                </c:pt>
                <c:pt idx="32">
                  <c:v>1.07</c:v>
                </c:pt>
                <c:pt idx="33">
                  <c:v>0.87</c:v>
                </c:pt>
                <c:pt idx="34">
                  <c:v>1.47</c:v>
                </c:pt>
                <c:pt idx="35">
                  <c:v>0.91</c:v>
                </c:pt>
                <c:pt idx="36">
                  <c:v>1.31</c:v>
                </c:pt>
                <c:pt idx="37">
                  <c:v>1.29</c:v>
                </c:pt>
                <c:pt idx="38">
                  <c:v>0.83</c:v>
                </c:pt>
                <c:pt idx="39">
                  <c:v>2.15</c:v>
                </c:pt>
                <c:pt idx="40">
                  <c:v>0.41</c:v>
                </c:pt>
                <c:pt idx="41">
                  <c:v>1.45</c:v>
                </c:pt>
                <c:pt idx="42">
                  <c:v>1.1599999999999999</c:v>
                </c:pt>
                <c:pt idx="43">
                  <c:v>0.77</c:v>
                </c:pt>
                <c:pt idx="44">
                  <c:v>1.58</c:v>
                </c:pt>
                <c:pt idx="45">
                  <c:v>0.69</c:v>
                </c:pt>
                <c:pt idx="46">
                  <c:v>1.21</c:v>
                </c:pt>
                <c:pt idx="47">
                  <c:v>0.71</c:v>
                </c:pt>
                <c:pt idx="48">
                  <c:v>1.26</c:v>
                </c:pt>
                <c:pt idx="49">
                  <c:v>0.65</c:v>
                </c:pt>
                <c:pt idx="50">
                  <c:v>1.26</c:v>
                </c:pt>
                <c:pt idx="51">
                  <c:v>1.57</c:v>
                </c:pt>
                <c:pt idx="52">
                  <c:v>0.28000000000000003</c:v>
                </c:pt>
              </c:numCache>
            </c:numRef>
          </c:xVal>
          <c:yVal>
            <c:numRef>
              <c:f>'Диаграммы сравнения РЯ коррел'!$N$2:$N$54</c:f>
              <c:numCache>
                <c:formatCode>0.00</c:formatCode>
                <c:ptCount val="53"/>
                <c:pt idx="0">
                  <c:v>0.68</c:v>
                </c:pt>
                <c:pt idx="1">
                  <c:v>0.59</c:v>
                </c:pt>
                <c:pt idx="2">
                  <c:v>1.1399999999999999</c:v>
                </c:pt>
                <c:pt idx="3">
                  <c:v>1.07</c:v>
                </c:pt>
                <c:pt idx="4">
                  <c:v>1.03</c:v>
                </c:pt>
                <c:pt idx="5">
                  <c:v>1.37</c:v>
                </c:pt>
                <c:pt idx="6">
                  <c:v>1</c:v>
                </c:pt>
                <c:pt idx="7">
                  <c:v>1.0900000000000001</c:v>
                </c:pt>
                <c:pt idx="8">
                  <c:v>1.25</c:v>
                </c:pt>
                <c:pt idx="9">
                  <c:v>0.78</c:v>
                </c:pt>
                <c:pt idx="10">
                  <c:v>1.8</c:v>
                </c:pt>
                <c:pt idx="11">
                  <c:v>1.23</c:v>
                </c:pt>
                <c:pt idx="12">
                  <c:v>1.8</c:v>
                </c:pt>
                <c:pt idx="13">
                  <c:v>0.71</c:v>
                </c:pt>
                <c:pt idx="14">
                  <c:v>1.1000000000000001</c:v>
                </c:pt>
                <c:pt idx="15">
                  <c:v>1.04</c:v>
                </c:pt>
                <c:pt idx="16">
                  <c:v>1.1299999999999999</c:v>
                </c:pt>
                <c:pt idx="17">
                  <c:v>1.27</c:v>
                </c:pt>
                <c:pt idx="18">
                  <c:v>0.6</c:v>
                </c:pt>
                <c:pt idx="19">
                  <c:v>0.75</c:v>
                </c:pt>
                <c:pt idx="20">
                  <c:v>1.1299999999999999</c:v>
                </c:pt>
                <c:pt idx="21">
                  <c:v>0.92</c:v>
                </c:pt>
                <c:pt idx="22">
                  <c:v>1.73</c:v>
                </c:pt>
                <c:pt idx="23">
                  <c:v>1.35</c:v>
                </c:pt>
                <c:pt idx="24">
                  <c:v>0.9</c:v>
                </c:pt>
                <c:pt idx="25">
                  <c:v>1.2</c:v>
                </c:pt>
                <c:pt idx="26">
                  <c:v>1.19</c:v>
                </c:pt>
                <c:pt idx="27">
                  <c:v>0.62</c:v>
                </c:pt>
                <c:pt idx="28">
                  <c:v>1.22</c:v>
                </c:pt>
                <c:pt idx="29">
                  <c:v>1.1399999999999999</c:v>
                </c:pt>
                <c:pt idx="30">
                  <c:v>1.73</c:v>
                </c:pt>
                <c:pt idx="31">
                  <c:v>1.21</c:v>
                </c:pt>
                <c:pt idx="32">
                  <c:v>0.95</c:v>
                </c:pt>
                <c:pt idx="33">
                  <c:v>0.71</c:v>
                </c:pt>
                <c:pt idx="34">
                  <c:v>1.04</c:v>
                </c:pt>
                <c:pt idx="35">
                  <c:v>1.1100000000000001</c:v>
                </c:pt>
                <c:pt idx="36">
                  <c:v>1.1499999999999999</c:v>
                </c:pt>
                <c:pt idx="37">
                  <c:v>1.52</c:v>
                </c:pt>
                <c:pt idx="38">
                  <c:v>1.25</c:v>
                </c:pt>
                <c:pt idx="39">
                  <c:v>1.8</c:v>
                </c:pt>
                <c:pt idx="40">
                  <c:v>0.93</c:v>
                </c:pt>
                <c:pt idx="41">
                  <c:v>1.44</c:v>
                </c:pt>
                <c:pt idx="42">
                  <c:v>0.61</c:v>
                </c:pt>
                <c:pt idx="43">
                  <c:v>1.03</c:v>
                </c:pt>
                <c:pt idx="44">
                  <c:v>1.1200000000000001</c:v>
                </c:pt>
                <c:pt idx="45">
                  <c:v>0.66</c:v>
                </c:pt>
                <c:pt idx="46">
                  <c:v>1.32</c:v>
                </c:pt>
                <c:pt idx="47">
                  <c:v>1.01</c:v>
                </c:pt>
                <c:pt idx="48">
                  <c:v>0.92</c:v>
                </c:pt>
                <c:pt idx="49">
                  <c:v>0.53</c:v>
                </c:pt>
                <c:pt idx="50">
                  <c:v>1.1200000000000001</c:v>
                </c:pt>
                <c:pt idx="51">
                  <c:v>1.24</c:v>
                </c:pt>
                <c:pt idx="52">
                  <c:v>1.23</c:v>
                </c:pt>
              </c:numCache>
            </c:numRef>
          </c:yVal>
          <c:smooth val="0"/>
          <c:extLst>
            <c:ext xmlns:c16="http://schemas.microsoft.com/office/drawing/2014/chart" uri="{C3380CC4-5D6E-409C-BE32-E72D297353CC}">
              <c16:uniqueId val="{00000001-FC4F-42AF-BA46-1CDA406DF84A}"/>
            </c:ext>
          </c:extLst>
        </c:ser>
        <c:dLbls>
          <c:showLegendKey val="0"/>
          <c:showVal val="0"/>
          <c:showCatName val="0"/>
          <c:showSerName val="0"/>
          <c:showPercent val="0"/>
          <c:showBubbleSize val="0"/>
        </c:dLbls>
        <c:axId val="1273368096"/>
        <c:axId val="1273370592"/>
      </c:scatterChart>
      <c:valAx>
        <c:axId val="127336809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baseline="-25000"/>
                  <a:t>max</a:t>
                </a:r>
                <a:r>
                  <a:rPr lang="en-US" sz="1200" b="1"/>
                  <a:t> I</a:t>
                </a:r>
                <a:endParaRPr lang="ru-RU" sz="1200" b="1"/>
              </a:p>
            </c:rich>
          </c:tx>
          <c:overlay val="0"/>
          <c:spPr>
            <a:noFill/>
            <a:ln>
              <a:noFill/>
            </a:ln>
            <a:effectLst/>
          </c:spPr>
          <c:txPr>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73370592"/>
        <c:crosses val="autoZero"/>
        <c:crossBetween val="midCat"/>
      </c:valAx>
      <c:valAx>
        <c:axId val="12733705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baseline="-25000"/>
                  <a:t>max</a:t>
                </a:r>
                <a:r>
                  <a:rPr lang="en-US" sz="1200" b="1"/>
                  <a:t> II</a:t>
                </a:r>
                <a:endParaRPr lang="ru-RU" sz="1200" b="1"/>
              </a:p>
            </c:rich>
          </c:tx>
          <c:overlay val="0"/>
          <c:spPr>
            <a:noFill/>
            <a:ln>
              <a:noFill/>
            </a:ln>
            <a:effectLst/>
          </c:spPr>
          <c:txPr>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7336809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RLL</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scatterChart>
        <c:scatterStyle val="lineMarker"/>
        <c:varyColors val="0"/>
        <c:ser>
          <c:idx val="0"/>
          <c:order val="0"/>
          <c:tx>
            <c:strRef>
              <c:f>'Диаграммы сравнения РЯ коррел'!$O$1</c:f>
              <c:strCache>
                <c:ptCount val="1"/>
                <c:pt idx="0">
                  <c:v>RLL (II)</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'Диаграммы сравнения РЯ коррел'!$F$2:$F$54</c:f>
              <c:numCache>
                <c:formatCode>0.00</c:formatCode>
                <c:ptCount val="53"/>
                <c:pt idx="0">
                  <c:v>1.1499999999999999</c:v>
                </c:pt>
                <c:pt idx="1">
                  <c:v>0.86</c:v>
                </c:pt>
                <c:pt idx="2">
                  <c:v>0.69</c:v>
                </c:pt>
                <c:pt idx="3">
                  <c:v>1</c:v>
                </c:pt>
                <c:pt idx="4">
                  <c:v>0.75</c:v>
                </c:pt>
                <c:pt idx="5">
                  <c:v>1.04</c:v>
                </c:pt>
                <c:pt idx="6">
                  <c:v>0.84</c:v>
                </c:pt>
                <c:pt idx="7">
                  <c:v>0.87</c:v>
                </c:pt>
                <c:pt idx="8">
                  <c:v>0.56999999999999995</c:v>
                </c:pt>
                <c:pt idx="9">
                  <c:v>0.77</c:v>
                </c:pt>
                <c:pt idx="10">
                  <c:v>0.94</c:v>
                </c:pt>
                <c:pt idx="11">
                  <c:v>0.57999999999999996</c:v>
                </c:pt>
                <c:pt idx="12">
                  <c:v>0.69</c:v>
                </c:pt>
                <c:pt idx="13">
                  <c:v>0.76</c:v>
                </c:pt>
                <c:pt idx="14">
                  <c:v>0.79</c:v>
                </c:pt>
                <c:pt idx="15">
                  <c:v>1.01</c:v>
                </c:pt>
                <c:pt idx="16">
                  <c:v>0.81</c:v>
                </c:pt>
                <c:pt idx="17">
                  <c:v>0.59</c:v>
                </c:pt>
                <c:pt idx="18">
                  <c:v>0.5</c:v>
                </c:pt>
                <c:pt idx="19">
                  <c:v>0.97</c:v>
                </c:pt>
                <c:pt idx="20">
                  <c:v>0.54</c:v>
                </c:pt>
                <c:pt idx="21">
                  <c:v>0.89</c:v>
                </c:pt>
                <c:pt idx="22">
                  <c:v>1.69</c:v>
                </c:pt>
                <c:pt idx="23">
                  <c:v>0.53</c:v>
                </c:pt>
                <c:pt idx="24">
                  <c:v>1.42</c:v>
                </c:pt>
                <c:pt idx="25">
                  <c:v>0.68</c:v>
                </c:pt>
                <c:pt idx="26">
                  <c:v>0.68</c:v>
                </c:pt>
                <c:pt idx="27">
                  <c:v>1</c:v>
                </c:pt>
                <c:pt idx="28">
                  <c:v>2.42</c:v>
                </c:pt>
                <c:pt idx="29">
                  <c:v>0.51</c:v>
                </c:pt>
                <c:pt idx="30">
                  <c:v>1.01</c:v>
                </c:pt>
                <c:pt idx="31">
                  <c:v>1.04</c:v>
                </c:pt>
                <c:pt idx="32">
                  <c:v>0.91</c:v>
                </c:pt>
                <c:pt idx="33">
                  <c:v>1.01</c:v>
                </c:pt>
                <c:pt idx="34">
                  <c:v>1.52</c:v>
                </c:pt>
                <c:pt idx="35">
                  <c:v>1.1299999999999999</c:v>
                </c:pt>
                <c:pt idx="36">
                  <c:v>1.54</c:v>
                </c:pt>
                <c:pt idx="37">
                  <c:v>2.08</c:v>
                </c:pt>
                <c:pt idx="38">
                  <c:v>1.6</c:v>
                </c:pt>
                <c:pt idx="39">
                  <c:v>1.35</c:v>
                </c:pt>
                <c:pt idx="40">
                  <c:v>0.61</c:v>
                </c:pt>
                <c:pt idx="41">
                  <c:v>0.8</c:v>
                </c:pt>
                <c:pt idx="42">
                  <c:v>1.43</c:v>
                </c:pt>
                <c:pt idx="43">
                  <c:v>1.19</c:v>
                </c:pt>
                <c:pt idx="44">
                  <c:v>3.32</c:v>
                </c:pt>
                <c:pt idx="45">
                  <c:v>0.74</c:v>
                </c:pt>
                <c:pt idx="46">
                  <c:v>0.98</c:v>
                </c:pt>
                <c:pt idx="47">
                  <c:v>0.92</c:v>
                </c:pt>
                <c:pt idx="48">
                  <c:v>1.38</c:v>
                </c:pt>
                <c:pt idx="49">
                  <c:v>1.07</c:v>
                </c:pt>
                <c:pt idx="50">
                  <c:v>1.06</c:v>
                </c:pt>
                <c:pt idx="51">
                  <c:v>2.6</c:v>
                </c:pt>
                <c:pt idx="52">
                  <c:v>0.49</c:v>
                </c:pt>
              </c:numCache>
            </c:numRef>
          </c:xVal>
          <c:yVal>
            <c:numRef>
              <c:f>'Диаграммы сравнения РЯ коррел'!$O$2:$O$54</c:f>
              <c:numCache>
                <c:formatCode>0.00</c:formatCode>
                <c:ptCount val="53"/>
                <c:pt idx="0">
                  <c:v>1.01</c:v>
                </c:pt>
                <c:pt idx="1">
                  <c:v>0.85</c:v>
                </c:pt>
                <c:pt idx="2">
                  <c:v>1.4</c:v>
                </c:pt>
                <c:pt idx="3">
                  <c:v>1.1399999999999999</c:v>
                </c:pt>
                <c:pt idx="4">
                  <c:v>1.03</c:v>
                </c:pt>
                <c:pt idx="5">
                  <c:v>1.26</c:v>
                </c:pt>
                <c:pt idx="6">
                  <c:v>1.94</c:v>
                </c:pt>
                <c:pt idx="7">
                  <c:v>1.1299999999999999</c:v>
                </c:pt>
                <c:pt idx="8">
                  <c:v>2.14</c:v>
                </c:pt>
                <c:pt idx="9">
                  <c:v>1.46</c:v>
                </c:pt>
                <c:pt idx="10">
                  <c:v>1.46</c:v>
                </c:pt>
                <c:pt idx="11">
                  <c:v>1.74</c:v>
                </c:pt>
                <c:pt idx="12">
                  <c:v>1.26</c:v>
                </c:pt>
                <c:pt idx="13">
                  <c:v>0.89</c:v>
                </c:pt>
                <c:pt idx="14">
                  <c:v>1.5</c:v>
                </c:pt>
                <c:pt idx="15">
                  <c:v>1.17</c:v>
                </c:pt>
                <c:pt idx="16">
                  <c:v>1.36</c:v>
                </c:pt>
                <c:pt idx="17">
                  <c:v>1.08</c:v>
                </c:pt>
                <c:pt idx="18">
                  <c:v>1.07</c:v>
                </c:pt>
                <c:pt idx="19">
                  <c:v>1.1000000000000001</c:v>
                </c:pt>
                <c:pt idx="20">
                  <c:v>1.35</c:v>
                </c:pt>
                <c:pt idx="21">
                  <c:v>1.27</c:v>
                </c:pt>
                <c:pt idx="22">
                  <c:v>1.65</c:v>
                </c:pt>
                <c:pt idx="23">
                  <c:v>1.01</c:v>
                </c:pt>
                <c:pt idx="24">
                  <c:v>1.1000000000000001</c:v>
                </c:pt>
                <c:pt idx="25">
                  <c:v>1.39</c:v>
                </c:pt>
                <c:pt idx="26">
                  <c:v>1.08</c:v>
                </c:pt>
                <c:pt idx="27">
                  <c:v>0.79</c:v>
                </c:pt>
                <c:pt idx="28">
                  <c:v>1.76</c:v>
                </c:pt>
                <c:pt idx="29">
                  <c:v>1.6</c:v>
                </c:pt>
                <c:pt idx="30">
                  <c:v>1.24</c:v>
                </c:pt>
                <c:pt idx="31">
                  <c:v>0.98</c:v>
                </c:pt>
                <c:pt idx="32">
                  <c:v>0.9</c:v>
                </c:pt>
                <c:pt idx="33">
                  <c:v>1</c:v>
                </c:pt>
                <c:pt idx="34">
                  <c:v>1.28</c:v>
                </c:pt>
                <c:pt idx="35">
                  <c:v>1.64</c:v>
                </c:pt>
                <c:pt idx="36">
                  <c:v>1.56</c:v>
                </c:pt>
                <c:pt idx="37">
                  <c:v>1.31</c:v>
                </c:pt>
                <c:pt idx="38">
                  <c:v>1.77</c:v>
                </c:pt>
                <c:pt idx="39">
                  <c:v>1.06</c:v>
                </c:pt>
                <c:pt idx="40">
                  <c:v>1.47</c:v>
                </c:pt>
                <c:pt idx="41">
                  <c:v>1.45</c:v>
                </c:pt>
                <c:pt idx="42">
                  <c:v>0.77</c:v>
                </c:pt>
                <c:pt idx="43">
                  <c:v>1.18</c:v>
                </c:pt>
                <c:pt idx="44">
                  <c:v>2.09</c:v>
                </c:pt>
                <c:pt idx="45">
                  <c:v>1</c:v>
                </c:pt>
                <c:pt idx="46">
                  <c:v>1.1299999999999999</c:v>
                </c:pt>
                <c:pt idx="47">
                  <c:v>1.95</c:v>
                </c:pt>
                <c:pt idx="48">
                  <c:v>0.89</c:v>
                </c:pt>
                <c:pt idx="49">
                  <c:v>0.64</c:v>
                </c:pt>
                <c:pt idx="50">
                  <c:v>1.17</c:v>
                </c:pt>
                <c:pt idx="51">
                  <c:v>1.89</c:v>
                </c:pt>
                <c:pt idx="52">
                  <c:v>1.37</c:v>
                </c:pt>
              </c:numCache>
            </c:numRef>
          </c:yVal>
          <c:smooth val="0"/>
          <c:extLst>
            <c:ext xmlns:c16="http://schemas.microsoft.com/office/drawing/2014/chart" uri="{C3380CC4-5D6E-409C-BE32-E72D297353CC}">
              <c16:uniqueId val="{00000001-7AF8-467E-9CC8-343FF1297B2E}"/>
            </c:ext>
          </c:extLst>
        </c:ser>
        <c:dLbls>
          <c:showLegendKey val="0"/>
          <c:showVal val="0"/>
          <c:showCatName val="0"/>
          <c:showSerName val="0"/>
          <c:showPercent val="0"/>
          <c:showBubbleSize val="0"/>
        </c:dLbls>
        <c:axId val="1267623632"/>
        <c:axId val="1267624464"/>
      </c:scatterChart>
      <c:valAx>
        <c:axId val="126762363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baseline="-25000"/>
                  <a:t>max</a:t>
                </a:r>
                <a:r>
                  <a:rPr lang="en-US" sz="1200" b="1"/>
                  <a:t> I</a:t>
                </a:r>
                <a:endParaRPr lang="ru-RU" sz="1200" b="1"/>
              </a:p>
            </c:rich>
          </c:tx>
          <c:overlay val="0"/>
          <c:spPr>
            <a:noFill/>
            <a:ln>
              <a:noFill/>
            </a:ln>
            <a:effectLst/>
          </c:spPr>
          <c:txPr>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67624464"/>
        <c:crosses val="autoZero"/>
        <c:crossBetween val="midCat"/>
      </c:valAx>
      <c:valAx>
        <c:axId val="12676244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baseline="-25000"/>
                  <a:t>max</a:t>
                </a:r>
                <a:r>
                  <a:rPr lang="en-US" sz="1200" b="1"/>
                  <a:t> II</a:t>
                </a:r>
                <a:endParaRPr lang="ru-RU" sz="1200" b="1"/>
              </a:p>
            </c:rich>
          </c:tx>
          <c:overlay val="0"/>
          <c:spPr>
            <a:noFill/>
            <a:ln>
              <a:noFill/>
            </a:ln>
            <a:effectLst/>
          </c:spPr>
          <c:txPr>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6762363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RRI</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scatterChart>
        <c:scatterStyle val="lineMarker"/>
        <c:varyColors val="0"/>
        <c:ser>
          <c:idx val="0"/>
          <c:order val="0"/>
          <c:tx>
            <c:strRef>
              <c:f>'Диаграммы сравнения РЯ коррел'!$P$1</c:f>
              <c:strCache>
                <c:ptCount val="1"/>
                <c:pt idx="0">
                  <c:v>RRI (II)</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'Диаграммы сравнения РЯ коррел'!$G$2:$G$54</c:f>
              <c:numCache>
                <c:formatCode>0.00</c:formatCode>
                <c:ptCount val="53"/>
                <c:pt idx="0">
                  <c:v>0.51</c:v>
                </c:pt>
                <c:pt idx="1">
                  <c:v>0.55000000000000004</c:v>
                </c:pt>
                <c:pt idx="2">
                  <c:v>0.57999999999999996</c:v>
                </c:pt>
                <c:pt idx="3">
                  <c:v>0.36</c:v>
                </c:pt>
                <c:pt idx="4">
                  <c:v>0.48</c:v>
                </c:pt>
                <c:pt idx="5">
                  <c:v>0.46</c:v>
                </c:pt>
                <c:pt idx="6">
                  <c:v>0.39</c:v>
                </c:pt>
                <c:pt idx="7">
                  <c:v>0.41</c:v>
                </c:pt>
                <c:pt idx="8">
                  <c:v>0.53</c:v>
                </c:pt>
                <c:pt idx="9">
                  <c:v>0.32</c:v>
                </c:pt>
                <c:pt idx="10">
                  <c:v>0.44</c:v>
                </c:pt>
                <c:pt idx="11">
                  <c:v>0.3</c:v>
                </c:pt>
                <c:pt idx="12">
                  <c:v>0.52</c:v>
                </c:pt>
                <c:pt idx="13">
                  <c:v>0.99</c:v>
                </c:pt>
                <c:pt idx="14">
                  <c:v>0.47</c:v>
                </c:pt>
                <c:pt idx="15">
                  <c:v>0.39</c:v>
                </c:pt>
                <c:pt idx="16">
                  <c:v>0.4</c:v>
                </c:pt>
                <c:pt idx="17">
                  <c:v>0.77</c:v>
                </c:pt>
                <c:pt idx="18">
                  <c:v>0.15</c:v>
                </c:pt>
                <c:pt idx="19">
                  <c:v>0.49</c:v>
                </c:pt>
                <c:pt idx="20">
                  <c:v>0.55000000000000004</c:v>
                </c:pt>
                <c:pt idx="21">
                  <c:v>0.51</c:v>
                </c:pt>
                <c:pt idx="22">
                  <c:v>1.37</c:v>
                </c:pt>
                <c:pt idx="23">
                  <c:v>0.66</c:v>
                </c:pt>
                <c:pt idx="24">
                  <c:v>0.56999999999999995</c:v>
                </c:pt>
                <c:pt idx="25">
                  <c:v>0.28999999999999998</c:v>
                </c:pt>
                <c:pt idx="26">
                  <c:v>0.48</c:v>
                </c:pt>
                <c:pt idx="27">
                  <c:v>0.53</c:v>
                </c:pt>
                <c:pt idx="28">
                  <c:v>1.1100000000000001</c:v>
                </c:pt>
                <c:pt idx="29">
                  <c:v>0.45</c:v>
                </c:pt>
                <c:pt idx="30">
                  <c:v>0.97</c:v>
                </c:pt>
                <c:pt idx="31">
                  <c:v>0.62</c:v>
                </c:pt>
                <c:pt idx="32">
                  <c:v>0.75</c:v>
                </c:pt>
                <c:pt idx="33">
                  <c:v>0.76</c:v>
                </c:pt>
                <c:pt idx="34">
                  <c:v>1.1100000000000001</c:v>
                </c:pt>
                <c:pt idx="35">
                  <c:v>0.91</c:v>
                </c:pt>
                <c:pt idx="36">
                  <c:v>0.55000000000000004</c:v>
                </c:pt>
                <c:pt idx="37">
                  <c:v>0.99</c:v>
                </c:pt>
                <c:pt idx="38">
                  <c:v>0.53</c:v>
                </c:pt>
                <c:pt idx="39">
                  <c:v>0.84</c:v>
                </c:pt>
                <c:pt idx="40">
                  <c:v>0.52</c:v>
                </c:pt>
                <c:pt idx="41">
                  <c:v>1.02</c:v>
                </c:pt>
                <c:pt idx="42">
                  <c:v>1.05</c:v>
                </c:pt>
                <c:pt idx="43">
                  <c:v>0.84</c:v>
                </c:pt>
                <c:pt idx="44">
                  <c:v>1.1000000000000001</c:v>
                </c:pt>
                <c:pt idx="45">
                  <c:v>0.61</c:v>
                </c:pt>
                <c:pt idx="46">
                  <c:v>0.74</c:v>
                </c:pt>
                <c:pt idx="47">
                  <c:v>0.83</c:v>
                </c:pt>
                <c:pt idx="48">
                  <c:v>0.77</c:v>
                </c:pt>
                <c:pt idx="49">
                  <c:v>0.51</c:v>
                </c:pt>
                <c:pt idx="50">
                  <c:v>0.84</c:v>
                </c:pt>
                <c:pt idx="51">
                  <c:v>0.78</c:v>
                </c:pt>
                <c:pt idx="52">
                  <c:v>0.36</c:v>
                </c:pt>
              </c:numCache>
            </c:numRef>
          </c:xVal>
          <c:yVal>
            <c:numRef>
              <c:f>'Диаграммы сравнения РЯ коррел'!$P$2:$P$54</c:f>
              <c:numCache>
                <c:formatCode>0.00</c:formatCode>
                <c:ptCount val="53"/>
                <c:pt idx="0">
                  <c:v>0.34</c:v>
                </c:pt>
                <c:pt idx="1">
                  <c:v>0.42</c:v>
                </c:pt>
                <c:pt idx="2">
                  <c:v>0.72</c:v>
                </c:pt>
                <c:pt idx="3">
                  <c:v>0.8</c:v>
                </c:pt>
                <c:pt idx="4">
                  <c:v>0.84</c:v>
                </c:pt>
                <c:pt idx="5">
                  <c:v>0.83</c:v>
                </c:pt>
                <c:pt idx="6">
                  <c:v>0.68</c:v>
                </c:pt>
                <c:pt idx="7">
                  <c:v>0.81</c:v>
                </c:pt>
                <c:pt idx="8">
                  <c:v>0.53</c:v>
                </c:pt>
                <c:pt idx="9">
                  <c:v>0.6</c:v>
                </c:pt>
                <c:pt idx="10">
                  <c:v>0.77</c:v>
                </c:pt>
                <c:pt idx="11">
                  <c:v>0.91</c:v>
                </c:pt>
                <c:pt idx="12">
                  <c:v>1.0900000000000001</c:v>
                </c:pt>
                <c:pt idx="13">
                  <c:v>0.71</c:v>
                </c:pt>
                <c:pt idx="14">
                  <c:v>0.57999999999999996</c:v>
                </c:pt>
                <c:pt idx="15">
                  <c:v>1.03</c:v>
                </c:pt>
                <c:pt idx="16">
                  <c:v>0.71</c:v>
                </c:pt>
                <c:pt idx="17">
                  <c:v>1.46</c:v>
                </c:pt>
                <c:pt idx="18">
                  <c:v>0.45</c:v>
                </c:pt>
                <c:pt idx="19">
                  <c:v>1.07</c:v>
                </c:pt>
                <c:pt idx="20">
                  <c:v>1</c:v>
                </c:pt>
                <c:pt idx="21">
                  <c:v>0.67</c:v>
                </c:pt>
                <c:pt idx="22">
                  <c:v>1.23</c:v>
                </c:pt>
                <c:pt idx="23">
                  <c:v>0.77</c:v>
                </c:pt>
                <c:pt idx="24">
                  <c:v>0.94</c:v>
                </c:pt>
                <c:pt idx="25">
                  <c:v>0.74</c:v>
                </c:pt>
                <c:pt idx="26">
                  <c:v>0.98</c:v>
                </c:pt>
                <c:pt idx="27">
                  <c:v>0.5</c:v>
                </c:pt>
                <c:pt idx="28">
                  <c:v>1.07</c:v>
                </c:pt>
                <c:pt idx="29">
                  <c:v>1.06</c:v>
                </c:pt>
                <c:pt idx="30">
                  <c:v>1.01</c:v>
                </c:pt>
                <c:pt idx="31">
                  <c:v>0.74</c:v>
                </c:pt>
                <c:pt idx="32">
                  <c:v>1.07</c:v>
                </c:pt>
                <c:pt idx="33">
                  <c:v>0.57999999999999996</c:v>
                </c:pt>
                <c:pt idx="34">
                  <c:v>0.74</c:v>
                </c:pt>
                <c:pt idx="35">
                  <c:v>1.26</c:v>
                </c:pt>
                <c:pt idx="36">
                  <c:v>0.72</c:v>
                </c:pt>
                <c:pt idx="37">
                  <c:v>0.75</c:v>
                </c:pt>
                <c:pt idx="38">
                  <c:v>0.56000000000000005</c:v>
                </c:pt>
                <c:pt idx="39">
                  <c:v>0.74</c:v>
                </c:pt>
                <c:pt idx="40">
                  <c:v>0.77</c:v>
                </c:pt>
                <c:pt idx="41">
                  <c:v>1.1399999999999999</c:v>
                </c:pt>
                <c:pt idx="42">
                  <c:v>0.8</c:v>
                </c:pt>
                <c:pt idx="43">
                  <c:v>0.83</c:v>
                </c:pt>
                <c:pt idx="44">
                  <c:v>0.81</c:v>
                </c:pt>
                <c:pt idx="45">
                  <c:v>0.77</c:v>
                </c:pt>
                <c:pt idx="46">
                  <c:v>0.64</c:v>
                </c:pt>
                <c:pt idx="47">
                  <c:v>1.1299999999999999</c:v>
                </c:pt>
                <c:pt idx="48">
                  <c:v>0.67</c:v>
                </c:pt>
                <c:pt idx="49">
                  <c:v>0.4</c:v>
                </c:pt>
                <c:pt idx="50">
                  <c:v>0.92</c:v>
                </c:pt>
                <c:pt idx="51">
                  <c:v>0.62</c:v>
                </c:pt>
                <c:pt idx="52">
                  <c:v>0.96</c:v>
                </c:pt>
              </c:numCache>
            </c:numRef>
          </c:yVal>
          <c:smooth val="0"/>
          <c:extLst>
            <c:ext xmlns:c16="http://schemas.microsoft.com/office/drawing/2014/chart" uri="{C3380CC4-5D6E-409C-BE32-E72D297353CC}">
              <c16:uniqueId val="{00000001-F09A-407C-8F48-EC69A03E7B23}"/>
            </c:ext>
          </c:extLst>
        </c:ser>
        <c:dLbls>
          <c:showLegendKey val="0"/>
          <c:showVal val="0"/>
          <c:showCatName val="0"/>
          <c:showSerName val="0"/>
          <c:showPercent val="0"/>
          <c:showBubbleSize val="0"/>
        </c:dLbls>
        <c:axId val="958762496"/>
        <c:axId val="958759168"/>
      </c:scatterChart>
      <c:valAx>
        <c:axId val="95876249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baseline="-25000"/>
                  <a:t>max</a:t>
                </a:r>
                <a:r>
                  <a:rPr lang="en-US" sz="1200" b="1"/>
                  <a:t> I</a:t>
                </a:r>
                <a:endParaRPr lang="ru-RU" sz="1200" b="1"/>
              </a:p>
            </c:rich>
          </c:tx>
          <c:overlay val="0"/>
          <c:spPr>
            <a:noFill/>
            <a:ln>
              <a:noFill/>
            </a:ln>
            <a:effectLst/>
          </c:spPr>
          <c:txPr>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958759168"/>
        <c:crosses val="autoZero"/>
        <c:crossBetween val="midCat"/>
      </c:valAx>
      <c:valAx>
        <c:axId val="9587591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baseline="-25000"/>
                  <a:t>max</a:t>
                </a:r>
                <a:r>
                  <a:rPr lang="en-US" sz="1200" b="1"/>
                  <a:t> II</a:t>
                </a:r>
                <a:endParaRPr lang="ru-RU" sz="1200" b="1"/>
              </a:p>
            </c:rich>
          </c:tx>
          <c:layout>
            <c:manualLayout>
              <c:xMode val="edge"/>
              <c:yMode val="edge"/>
              <c:x val="2.7777777777777776E-2"/>
              <c:y val="0.33555956547098281"/>
            </c:manualLayout>
          </c:layout>
          <c:overlay val="0"/>
          <c:spPr>
            <a:noFill/>
            <a:ln>
              <a:noFill/>
            </a:ln>
            <a:effectLst/>
          </c:spPr>
          <c:txPr>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95876249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RP</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scatterChart>
        <c:scatterStyle val="lineMarker"/>
        <c:varyColors val="0"/>
        <c:ser>
          <c:idx val="0"/>
          <c:order val="0"/>
          <c:tx>
            <c:strRef>
              <c:f>'Диаграммы сравнения РЯ коррел'!$Q$1</c:f>
              <c:strCache>
                <c:ptCount val="1"/>
                <c:pt idx="0">
                  <c:v>RP (II)</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'Диаграммы сравнения РЯ коррел'!$H$2:$H$54</c:f>
              <c:numCache>
                <c:formatCode>0.00</c:formatCode>
                <c:ptCount val="53"/>
                <c:pt idx="0">
                  <c:v>1.02</c:v>
                </c:pt>
                <c:pt idx="1">
                  <c:v>1.31</c:v>
                </c:pt>
                <c:pt idx="2">
                  <c:v>0.76</c:v>
                </c:pt>
                <c:pt idx="3">
                  <c:v>0.69</c:v>
                </c:pt>
                <c:pt idx="4">
                  <c:v>0.7</c:v>
                </c:pt>
                <c:pt idx="5">
                  <c:v>0.83</c:v>
                </c:pt>
                <c:pt idx="6">
                  <c:v>0.5</c:v>
                </c:pt>
                <c:pt idx="7">
                  <c:v>0.74</c:v>
                </c:pt>
                <c:pt idx="8">
                  <c:v>0.78</c:v>
                </c:pt>
                <c:pt idx="9">
                  <c:v>0.5</c:v>
                </c:pt>
                <c:pt idx="10">
                  <c:v>0.63</c:v>
                </c:pt>
                <c:pt idx="11">
                  <c:v>0.88</c:v>
                </c:pt>
                <c:pt idx="12">
                  <c:v>0.69</c:v>
                </c:pt>
                <c:pt idx="13">
                  <c:v>1</c:v>
                </c:pt>
                <c:pt idx="14">
                  <c:v>0.69</c:v>
                </c:pt>
                <c:pt idx="15">
                  <c:v>0.82</c:v>
                </c:pt>
                <c:pt idx="16">
                  <c:v>0.55000000000000004</c:v>
                </c:pt>
                <c:pt idx="17">
                  <c:v>0.68</c:v>
                </c:pt>
                <c:pt idx="18">
                  <c:v>0.43</c:v>
                </c:pt>
                <c:pt idx="19">
                  <c:v>0.77</c:v>
                </c:pt>
                <c:pt idx="20">
                  <c:v>0.46</c:v>
                </c:pt>
                <c:pt idx="21">
                  <c:v>0.68</c:v>
                </c:pt>
                <c:pt idx="22">
                  <c:v>1.52</c:v>
                </c:pt>
                <c:pt idx="23">
                  <c:v>1.04</c:v>
                </c:pt>
                <c:pt idx="24">
                  <c:v>1.0900000000000001</c:v>
                </c:pt>
                <c:pt idx="25">
                  <c:v>0.65</c:v>
                </c:pt>
                <c:pt idx="26">
                  <c:v>0.71</c:v>
                </c:pt>
                <c:pt idx="27">
                  <c:v>0.78</c:v>
                </c:pt>
                <c:pt idx="28">
                  <c:v>1.87</c:v>
                </c:pt>
                <c:pt idx="29">
                  <c:v>0.53</c:v>
                </c:pt>
                <c:pt idx="30">
                  <c:v>1.1299999999999999</c:v>
                </c:pt>
                <c:pt idx="31">
                  <c:v>1.06</c:v>
                </c:pt>
                <c:pt idx="32">
                  <c:v>0.92</c:v>
                </c:pt>
                <c:pt idx="33">
                  <c:v>1</c:v>
                </c:pt>
                <c:pt idx="34">
                  <c:v>1.5</c:v>
                </c:pt>
                <c:pt idx="35">
                  <c:v>0.92</c:v>
                </c:pt>
                <c:pt idx="36">
                  <c:v>1.38</c:v>
                </c:pt>
                <c:pt idx="37">
                  <c:v>1.22</c:v>
                </c:pt>
                <c:pt idx="38">
                  <c:v>0.92</c:v>
                </c:pt>
                <c:pt idx="39">
                  <c:v>1.95</c:v>
                </c:pt>
                <c:pt idx="40">
                  <c:v>0.85</c:v>
                </c:pt>
                <c:pt idx="41">
                  <c:v>0.82</c:v>
                </c:pt>
                <c:pt idx="42">
                  <c:v>0.99</c:v>
                </c:pt>
                <c:pt idx="43">
                  <c:v>0.88</c:v>
                </c:pt>
                <c:pt idx="44">
                  <c:v>1.45</c:v>
                </c:pt>
                <c:pt idx="45">
                  <c:v>0.72</c:v>
                </c:pt>
                <c:pt idx="46">
                  <c:v>1.02</c:v>
                </c:pt>
                <c:pt idx="47">
                  <c:v>1.21</c:v>
                </c:pt>
                <c:pt idx="48">
                  <c:v>1.63</c:v>
                </c:pt>
                <c:pt idx="49">
                  <c:v>0.41</c:v>
                </c:pt>
                <c:pt idx="50">
                  <c:v>1.18</c:v>
                </c:pt>
                <c:pt idx="51">
                  <c:v>1.54</c:v>
                </c:pt>
                <c:pt idx="52">
                  <c:v>0.37</c:v>
                </c:pt>
              </c:numCache>
            </c:numRef>
          </c:xVal>
          <c:yVal>
            <c:numRef>
              <c:f>'Диаграммы сравнения РЯ коррел'!$Q$2:$Q$54</c:f>
              <c:numCache>
                <c:formatCode>0.00</c:formatCode>
                <c:ptCount val="53"/>
                <c:pt idx="0">
                  <c:v>0.62</c:v>
                </c:pt>
                <c:pt idx="1">
                  <c:v>0.68</c:v>
                </c:pt>
                <c:pt idx="2">
                  <c:v>1.2</c:v>
                </c:pt>
                <c:pt idx="3">
                  <c:v>1.22</c:v>
                </c:pt>
                <c:pt idx="4">
                  <c:v>0.89</c:v>
                </c:pt>
                <c:pt idx="5">
                  <c:v>1.67</c:v>
                </c:pt>
                <c:pt idx="6">
                  <c:v>1.1399999999999999</c:v>
                </c:pt>
                <c:pt idx="7">
                  <c:v>1.29</c:v>
                </c:pt>
                <c:pt idx="8">
                  <c:v>1.26</c:v>
                </c:pt>
                <c:pt idx="9">
                  <c:v>1.23</c:v>
                </c:pt>
                <c:pt idx="10">
                  <c:v>1.23</c:v>
                </c:pt>
                <c:pt idx="11">
                  <c:v>1.34</c:v>
                </c:pt>
                <c:pt idx="12">
                  <c:v>1.23</c:v>
                </c:pt>
                <c:pt idx="13">
                  <c:v>1</c:v>
                </c:pt>
                <c:pt idx="14">
                  <c:v>1.49</c:v>
                </c:pt>
                <c:pt idx="15">
                  <c:v>1.29</c:v>
                </c:pt>
                <c:pt idx="16">
                  <c:v>1.34</c:v>
                </c:pt>
                <c:pt idx="17">
                  <c:v>1.05</c:v>
                </c:pt>
                <c:pt idx="18">
                  <c:v>0.92</c:v>
                </c:pt>
                <c:pt idx="19">
                  <c:v>1.2</c:v>
                </c:pt>
                <c:pt idx="20">
                  <c:v>1.29</c:v>
                </c:pt>
                <c:pt idx="21">
                  <c:v>1.62</c:v>
                </c:pt>
                <c:pt idx="22">
                  <c:v>1.39</c:v>
                </c:pt>
                <c:pt idx="23">
                  <c:v>0.93</c:v>
                </c:pt>
                <c:pt idx="24">
                  <c:v>0.95</c:v>
                </c:pt>
                <c:pt idx="25">
                  <c:v>1.31</c:v>
                </c:pt>
                <c:pt idx="26">
                  <c:v>1.05</c:v>
                </c:pt>
                <c:pt idx="27">
                  <c:v>0.88</c:v>
                </c:pt>
                <c:pt idx="28">
                  <c:v>1.39</c:v>
                </c:pt>
                <c:pt idx="29">
                  <c:v>1.32</c:v>
                </c:pt>
                <c:pt idx="30">
                  <c:v>1.37</c:v>
                </c:pt>
                <c:pt idx="31">
                  <c:v>1.02</c:v>
                </c:pt>
                <c:pt idx="32">
                  <c:v>1.03</c:v>
                </c:pt>
                <c:pt idx="33">
                  <c:v>0.88</c:v>
                </c:pt>
                <c:pt idx="34">
                  <c:v>1.39</c:v>
                </c:pt>
                <c:pt idx="35">
                  <c:v>2.46</c:v>
                </c:pt>
                <c:pt idx="36">
                  <c:v>1.55</c:v>
                </c:pt>
                <c:pt idx="37">
                  <c:v>1.1000000000000001</c:v>
                </c:pt>
                <c:pt idx="38">
                  <c:v>1.31</c:v>
                </c:pt>
                <c:pt idx="39">
                  <c:v>1.06</c:v>
                </c:pt>
                <c:pt idx="40">
                  <c:v>1.1000000000000001</c:v>
                </c:pt>
                <c:pt idx="41">
                  <c:v>1.7</c:v>
                </c:pt>
                <c:pt idx="42">
                  <c:v>1.1399999999999999</c:v>
                </c:pt>
                <c:pt idx="43">
                  <c:v>0.91</c:v>
                </c:pt>
                <c:pt idx="44">
                  <c:v>1.07</c:v>
                </c:pt>
                <c:pt idx="45">
                  <c:v>0.73</c:v>
                </c:pt>
                <c:pt idx="46">
                  <c:v>1.19</c:v>
                </c:pt>
                <c:pt idx="47">
                  <c:v>1.18</c:v>
                </c:pt>
                <c:pt idx="48">
                  <c:v>1.46</c:v>
                </c:pt>
                <c:pt idx="49">
                  <c:v>0.52</c:v>
                </c:pt>
                <c:pt idx="50">
                  <c:v>1.48</c:v>
                </c:pt>
                <c:pt idx="51">
                  <c:v>1.2</c:v>
                </c:pt>
                <c:pt idx="52">
                  <c:v>0.96</c:v>
                </c:pt>
              </c:numCache>
            </c:numRef>
          </c:yVal>
          <c:smooth val="0"/>
          <c:extLst>
            <c:ext xmlns:c16="http://schemas.microsoft.com/office/drawing/2014/chart" uri="{C3380CC4-5D6E-409C-BE32-E72D297353CC}">
              <c16:uniqueId val="{00000001-AA3F-4F2D-9F00-7DABBCE99345}"/>
            </c:ext>
          </c:extLst>
        </c:ser>
        <c:dLbls>
          <c:showLegendKey val="0"/>
          <c:showVal val="0"/>
          <c:showCatName val="0"/>
          <c:showSerName val="0"/>
          <c:showPercent val="0"/>
          <c:showBubbleSize val="0"/>
        </c:dLbls>
        <c:axId val="1251638000"/>
        <c:axId val="1251634672"/>
      </c:scatterChart>
      <c:valAx>
        <c:axId val="12516380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baseline="-25000"/>
                  <a:t>max</a:t>
                </a:r>
                <a:r>
                  <a:rPr lang="en-US" sz="1200" b="1"/>
                  <a:t> I</a:t>
                </a:r>
                <a:endParaRPr lang="ru-RU" sz="1200" b="1"/>
              </a:p>
            </c:rich>
          </c:tx>
          <c:overlay val="0"/>
          <c:spPr>
            <a:noFill/>
            <a:ln>
              <a:noFill/>
            </a:ln>
            <a:effectLst/>
          </c:spPr>
          <c:txPr>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51634672"/>
        <c:crosses val="autoZero"/>
        <c:crossBetween val="midCat"/>
      </c:valAx>
      <c:valAx>
        <c:axId val="12516346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baseline="-25000"/>
                  <a:t>max</a:t>
                </a:r>
                <a:r>
                  <a:rPr lang="en-US" sz="1200" b="1"/>
                  <a:t> II</a:t>
                </a:r>
                <a:endParaRPr lang="ru-RU" sz="1200" b="1"/>
              </a:p>
            </c:rich>
          </c:tx>
          <c:overlay val="0"/>
          <c:spPr>
            <a:noFill/>
            <a:ln>
              <a:noFill/>
            </a:ln>
            <a:effectLst/>
          </c:spPr>
          <c:txPr>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5163800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RLI</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scatterChart>
        <c:scatterStyle val="lineMarker"/>
        <c:varyColors val="0"/>
        <c:ser>
          <c:idx val="0"/>
          <c:order val="0"/>
          <c:tx>
            <c:strRef>
              <c:f>'Диаграммы сравнения РЯ коррел'!$R$1</c:f>
              <c:strCache>
                <c:ptCount val="1"/>
                <c:pt idx="0">
                  <c:v>RLI (II)</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'Диаграммы сравнения РЯ коррел'!$I$2:$I$54</c:f>
              <c:numCache>
                <c:formatCode>0.00</c:formatCode>
                <c:ptCount val="53"/>
                <c:pt idx="0">
                  <c:v>0.7</c:v>
                </c:pt>
                <c:pt idx="1">
                  <c:v>0.57999999999999996</c:v>
                </c:pt>
                <c:pt idx="2">
                  <c:v>0.56000000000000005</c:v>
                </c:pt>
                <c:pt idx="3">
                  <c:v>0.35</c:v>
                </c:pt>
                <c:pt idx="4">
                  <c:v>0.56999999999999995</c:v>
                </c:pt>
                <c:pt idx="5">
                  <c:v>0.53</c:v>
                </c:pt>
                <c:pt idx="6">
                  <c:v>0.44</c:v>
                </c:pt>
                <c:pt idx="7">
                  <c:v>0.38</c:v>
                </c:pt>
                <c:pt idx="8">
                  <c:v>0.4</c:v>
                </c:pt>
                <c:pt idx="9">
                  <c:v>0.42</c:v>
                </c:pt>
                <c:pt idx="10">
                  <c:v>0.34</c:v>
                </c:pt>
                <c:pt idx="11">
                  <c:v>0.38</c:v>
                </c:pt>
                <c:pt idx="12">
                  <c:v>0.47</c:v>
                </c:pt>
                <c:pt idx="13">
                  <c:v>0.92</c:v>
                </c:pt>
                <c:pt idx="14">
                  <c:v>0.45</c:v>
                </c:pt>
                <c:pt idx="15">
                  <c:v>0.52</c:v>
                </c:pt>
                <c:pt idx="16">
                  <c:v>0.32</c:v>
                </c:pt>
                <c:pt idx="17">
                  <c:v>0.59</c:v>
                </c:pt>
                <c:pt idx="18">
                  <c:v>0.31</c:v>
                </c:pt>
                <c:pt idx="19">
                  <c:v>0.43</c:v>
                </c:pt>
                <c:pt idx="20">
                  <c:v>0.51</c:v>
                </c:pt>
                <c:pt idx="21">
                  <c:v>0.51</c:v>
                </c:pt>
                <c:pt idx="22">
                  <c:v>1.01</c:v>
                </c:pt>
                <c:pt idx="23">
                  <c:v>0.53</c:v>
                </c:pt>
                <c:pt idx="24">
                  <c:v>0.8</c:v>
                </c:pt>
                <c:pt idx="25">
                  <c:v>0.39</c:v>
                </c:pt>
                <c:pt idx="26">
                  <c:v>0.41</c:v>
                </c:pt>
                <c:pt idx="27">
                  <c:v>0.44</c:v>
                </c:pt>
                <c:pt idx="28">
                  <c:v>1.48</c:v>
                </c:pt>
                <c:pt idx="29">
                  <c:v>0.6</c:v>
                </c:pt>
                <c:pt idx="30">
                  <c:v>1.37</c:v>
                </c:pt>
                <c:pt idx="31">
                  <c:v>0.6</c:v>
                </c:pt>
                <c:pt idx="32">
                  <c:v>1.1299999999999999</c:v>
                </c:pt>
                <c:pt idx="33">
                  <c:v>0.68</c:v>
                </c:pt>
                <c:pt idx="34">
                  <c:v>0.99</c:v>
                </c:pt>
                <c:pt idx="35">
                  <c:v>0.97</c:v>
                </c:pt>
                <c:pt idx="36">
                  <c:v>0.62</c:v>
                </c:pt>
                <c:pt idx="37">
                  <c:v>1.41</c:v>
                </c:pt>
                <c:pt idx="38">
                  <c:v>0.54</c:v>
                </c:pt>
                <c:pt idx="39">
                  <c:v>1.04</c:v>
                </c:pt>
                <c:pt idx="40">
                  <c:v>0.53</c:v>
                </c:pt>
                <c:pt idx="41">
                  <c:v>0.78</c:v>
                </c:pt>
                <c:pt idx="42">
                  <c:v>0.88</c:v>
                </c:pt>
                <c:pt idx="43">
                  <c:v>0.51</c:v>
                </c:pt>
                <c:pt idx="44">
                  <c:v>1.47</c:v>
                </c:pt>
                <c:pt idx="45">
                  <c:v>0.61</c:v>
                </c:pt>
                <c:pt idx="46">
                  <c:v>0.6</c:v>
                </c:pt>
                <c:pt idx="47">
                  <c:v>0.67</c:v>
                </c:pt>
                <c:pt idx="48">
                  <c:v>1.1499999999999999</c:v>
                </c:pt>
                <c:pt idx="49">
                  <c:v>0.56000000000000005</c:v>
                </c:pt>
                <c:pt idx="50">
                  <c:v>1.1599999999999999</c:v>
                </c:pt>
                <c:pt idx="51">
                  <c:v>0.7</c:v>
                </c:pt>
                <c:pt idx="52">
                  <c:v>0.44</c:v>
                </c:pt>
              </c:numCache>
            </c:numRef>
          </c:xVal>
          <c:yVal>
            <c:numRef>
              <c:f>'Диаграммы сравнения РЯ коррел'!$R$2:$R$54</c:f>
              <c:numCache>
                <c:formatCode>0.00</c:formatCode>
                <c:ptCount val="53"/>
                <c:pt idx="0">
                  <c:v>0.4</c:v>
                </c:pt>
                <c:pt idx="1">
                  <c:v>0.38</c:v>
                </c:pt>
                <c:pt idx="2">
                  <c:v>0.83</c:v>
                </c:pt>
                <c:pt idx="3">
                  <c:v>0.71</c:v>
                </c:pt>
                <c:pt idx="4">
                  <c:v>1.08</c:v>
                </c:pt>
                <c:pt idx="5">
                  <c:v>1</c:v>
                </c:pt>
                <c:pt idx="6">
                  <c:v>0.74</c:v>
                </c:pt>
                <c:pt idx="7">
                  <c:v>0.87</c:v>
                </c:pt>
                <c:pt idx="8">
                  <c:v>0.56000000000000005</c:v>
                </c:pt>
                <c:pt idx="9">
                  <c:v>0.79</c:v>
                </c:pt>
                <c:pt idx="10">
                  <c:v>0.77</c:v>
                </c:pt>
                <c:pt idx="11">
                  <c:v>0.85</c:v>
                </c:pt>
                <c:pt idx="12">
                  <c:v>1.42</c:v>
                </c:pt>
                <c:pt idx="13">
                  <c:v>0.74</c:v>
                </c:pt>
                <c:pt idx="14">
                  <c:v>0.89</c:v>
                </c:pt>
                <c:pt idx="15">
                  <c:v>0.9</c:v>
                </c:pt>
                <c:pt idx="16">
                  <c:v>0.65</c:v>
                </c:pt>
                <c:pt idx="17">
                  <c:v>1.1000000000000001</c:v>
                </c:pt>
                <c:pt idx="18">
                  <c:v>0.42</c:v>
                </c:pt>
                <c:pt idx="19">
                  <c:v>0.66</c:v>
                </c:pt>
                <c:pt idx="20">
                  <c:v>1.3</c:v>
                </c:pt>
                <c:pt idx="21">
                  <c:v>1</c:v>
                </c:pt>
                <c:pt idx="22">
                  <c:v>0.97</c:v>
                </c:pt>
                <c:pt idx="23">
                  <c:v>1.1499999999999999</c:v>
                </c:pt>
                <c:pt idx="24">
                  <c:v>0.79</c:v>
                </c:pt>
                <c:pt idx="25">
                  <c:v>0.87</c:v>
                </c:pt>
                <c:pt idx="26">
                  <c:v>0.77</c:v>
                </c:pt>
                <c:pt idx="27">
                  <c:v>0.41</c:v>
                </c:pt>
                <c:pt idx="28">
                  <c:v>1.1200000000000001</c:v>
                </c:pt>
                <c:pt idx="29">
                  <c:v>0.9</c:v>
                </c:pt>
                <c:pt idx="30">
                  <c:v>1.28</c:v>
                </c:pt>
                <c:pt idx="31">
                  <c:v>0.6</c:v>
                </c:pt>
                <c:pt idx="32">
                  <c:v>1.04</c:v>
                </c:pt>
                <c:pt idx="33">
                  <c:v>0.5</c:v>
                </c:pt>
                <c:pt idx="34">
                  <c:v>0.81</c:v>
                </c:pt>
                <c:pt idx="35">
                  <c:v>1.29</c:v>
                </c:pt>
                <c:pt idx="36">
                  <c:v>0.63</c:v>
                </c:pt>
                <c:pt idx="37">
                  <c:v>0.93</c:v>
                </c:pt>
                <c:pt idx="38">
                  <c:v>0.85</c:v>
                </c:pt>
                <c:pt idx="39">
                  <c:v>1.03</c:v>
                </c:pt>
                <c:pt idx="40">
                  <c:v>0.94</c:v>
                </c:pt>
                <c:pt idx="41">
                  <c:v>0.85</c:v>
                </c:pt>
                <c:pt idx="42">
                  <c:v>0.63</c:v>
                </c:pt>
                <c:pt idx="43">
                  <c:v>0.54</c:v>
                </c:pt>
                <c:pt idx="44">
                  <c:v>1.0900000000000001</c:v>
                </c:pt>
                <c:pt idx="45">
                  <c:v>0.52</c:v>
                </c:pt>
                <c:pt idx="46">
                  <c:v>0.82</c:v>
                </c:pt>
                <c:pt idx="47">
                  <c:v>0.93</c:v>
                </c:pt>
                <c:pt idx="48">
                  <c:v>0.8</c:v>
                </c:pt>
                <c:pt idx="49">
                  <c:v>0.46</c:v>
                </c:pt>
                <c:pt idx="50">
                  <c:v>0.93</c:v>
                </c:pt>
                <c:pt idx="51">
                  <c:v>0.82</c:v>
                </c:pt>
                <c:pt idx="52">
                  <c:v>0.8</c:v>
                </c:pt>
              </c:numCache>
            </c:numRef>
          </c:yVal>
          <c:smooth val="0"/>
          <c:extLst>
            <c:ext xmlns:c16="http://schemas.microsoft.com/office/drawing/2014/chart" uri="{C3380CC4-5D6E-409C-BE32-E72D297353CC}">
              <c16:uniqueId val="{00000001-423E-419E-94A3-D2911EB564A8}"/>
            </c:ext>
          </c:extLst>
        </c:ser>
        <c:dLbls>
          <c:showLegendKey val="0"/>
          <c:showVal val="0"/>
          <c:showCatName val="0"/>
          <c:showSerName val="0"/>
          <c:showPercent val="0"/>
          <c:showBubbleSize val="0"/>
        </c:dLbls>
        <c:axId val="1252401856"/>
        <c:axId val="1252398528"/>
      </c:scatterChart>
      <c:valAx>
        <c:axId val="125240185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baseline="-25000"/>
                  <a:t>max</a:t>
                </a:r>
                <a:r>
                  <a:rPr lang="en-US" sz="1200" b="1"/>
                  <a:t> I</a:t>
                </a:r>
                <a:endParaRPr lang="ru-RU" sz="1200" b="1"/>
              </a:p>
            </c:rich>
          </c:tx>
          <c:overlay val="0"/>
          <c:spPr>
            <a:noFill/>
            <a:ln>
              <a:noFill/>
            </a:ln>
            <a:effectLst/>
          </c:spPr>
          <c:txPr>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52398528"/>
        <c:crosses val="autoZero"/>
        <c:crossBetween val="midCat"/>
      </c:valAx>
      <c:valAx>
        <c:axId val="12523985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baseline="-25000"/>
                  <a:t>max</a:t>
                </a:r>
                <a:r>
                  <a:rPr lang="en-US" sz="1200" b="1"/>
                  <a:t> II</a:t>
                </a:r>
                <a:endParaRPr lang="ru-RU" sz="1200" b="1"/>
              </a:p>
            </c:rich>
          </c:tx>
          <c:overlay val="0"/>
          <c:spPr>
            <a:noFill/>
            <a:ln>
              <a:noFill/>
            </a:ln>
            <a:effectLst/>
          </c:spPr>
          <c:txPr>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5240185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P</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scatterChart>
        <c:scatterStyle val="lineMarker"/>
        <c:varyColors val="0"/>
        <c:ser>
          <c:idx val="0"/>
          <c:order val="0"/>
          <c:tx>
            <c:strRef>
              <c:f>'Диаграммы сравнения РЯ коррел'!$S$1</c:f>
              <c:strCache>
                <c:ptCount val="1"/>
                <c:pt idx="0">
                  <c:v>P (II)</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'Диаграммы сравнения РЯ коррел'!$J$2:$J$54</c:f>
              <c:numCache>
                <c:formatCode>0.00</c:formatCode>
                <c:ptCount val="53"/>
                <c:pt idx="0">
                  <c:v>1.17</c:v>
                </c:pt>
                <c:pt idx="1">
                  <c:v>0.94</c:v>
                </c:pt>
                <c:pt idx="2">
                  <c:v>0.68</c:v>
                </c:pt>
                <c:pt idx="3">
                  <c:v>0.57999999999999996</c:v>
                </c:pt>
                <c:pt idx="4">
                  <c:v>0.96</c:v>
                </c:pt>
                <c:pt idx="5">
                  <c:v>0.46</c:v>
                </c:pt>
                <c:pt idx="6">
                  <c:v>0.74</c:v>
                </c:pt>
                <c:pt idx="7">
                  <c:v>0.5</c:v>
                </c:pt>
                <c:pt idx="8">
                  <c:v>0.64</c:v>
                </c:pt>
                <c:pt idx="9">
                  <c:v>0.9</c:v>
                </c:pt>
                <c:pt idx="10">
                  <c:v>0.66</c:v>
                </c:pt>
                <c:pt idx="11">
                  <c:v>0.78</c:v>
                </c:pt>
                <c:pt idx="12">
                  <c:v>0.63</c:v>
                </c:pt>
                <c:pt idx="13">
                  <c:v>0.95</c:v>
                </c:pt>
                <c:pt idx="14">
                  <c:v>0.53</c:v>
                </c:pt>
                <c:pt idx="15">
                  <c:v>0.6</c:v>
                </c:pt>
                <c:pt idx="16">
                  <c:v>0.59</c:v>
                </c:pt>
                <c:pt idx="17">
                  <c:v>0.68</c:v>
                </c:pt>
                <c:pt idx="18">
                  <c:v>0.39</c:v>
                </c:pt>
                <c:pt idx="19">
                  <c:v>0.84</c:v>
                </c:pt>
                <c:pt idx="20">
                  <c:v>0.67</c:v>
                </c:pt>
                <c:pt idx="21">
                  <c:v>0.86</c:v>
                </c:pt>
                <c:pt idx="22">
                  <c:v>1.55</c:v>
                </c:pt>
                <c:pt idx="23">
                  <c:v>0.65</c:v>
                </c:pt>
                <c:pt idx="24">
                  <c:v>1.23</c:v>
                </c:pt>
                <c:pt idx="25">
                  <c:v>0.38</c:v>
                </c:pt>
                <c:pt idx="26">
                  <c:v>0.63</c:v>
                </c:pt>
                <c:pt idx="27">
                  <c:v>0.95</c:v>
                </c:pt>
                <c:pt idx="28">
                  <c:v>1.4</c:v>
                </c:pt>
                <c:pt idx="29">
                  <c:v>0.71</c:v>
                </c:pt>
                <c:pt idx="30">
                  <c:v>1.07</c:v>
                </c:pt>
                <c:pt idx="31">
                  <c:v>0.89</c:v>
                </c:pt>
                <c:pt idx="32">
                  <c:v>1.01</c:v>
                </c:pt>
                <c:pt idx="33">
                  <c:v>0.98</c:v>
                </c:pt>
                <c:pt idx="34">
                  <c:v>1.6</c:v>
                </c:pt>
                <c:pt idx="35">
                  <c:v>0.99</c:v>
                </c:pt>
                <c:pt idx="36">
                  <c:v>1.43</c:v>
                </c:pt>
                <c:pt idx="37">
                  <c:v>1.31</c:v>
                </c:pt>
                <c:pt idx="38">
                  <c:v>1.75</c:v>
                </c:pt>
                <c:pt idx="39">
                  <c:v>1.36</c:v>
                </c:pt>
                <c:pt idx="40">
                  <c:v>0.77</c:v>
                </c:pt>
                <c:pt idx="41">
                  <c:v>0.91</c:v>
                </c:pt>
                <c:pt idx="42">
                  <c:v>1.06</c:v>
                </c:pt>
                <c:pt idx="43">
                  <c:v>0.98</c:v>
                </c:pt>
                <c:pt idx="44">
                  <c:v>1.43</c:v>
                </c:pt>
                <c:pt idx="45">
                  <c:v>0.82</c:v>
                </c:pt>
                <c:pt idx="46">
                  <c:v>0.79</c:v>
                </c:pt>
                <c:pt idx="47">
                  <c:v>1.43</c:v>
                </c:pt>
                <c:pt idx="48">
                  <c:v>1.42</c:v>
                </c:pt>
                <c:pt idx="49">
                  <c:v>0.67</c:v>
                </c:pt>
                <c:pt idx="50">
                  <c:v>1.36</c:v>
                </c:pt>
                <c:pt idx="51">
                  <c:v>1.45</c:v>
                </c:pt>
                <c:pt idx="52">
                  <c:v>0.55000000000000004</c:v>
                </c:pt>
              </c:numCache>
            </c:numRef>
          </c:xVal>
          <c:yVal>
            <c:numRef>
              <c:f>'Диаграммы сравнения РЯ коррел'!$S$2:$S$54</c:f>
              <c:numCache>
                <c:formatCode>0.00</c:formatCode>
                <c:ptCount val="53"/>
                <c:pt idx="0">
                  <c:v>0.64</c:v>
                </c:pt>
                <c:pt idx="1">
                  <c:v>0.59</c:v>
                </c:pt>
                <c:pt idx="2">
                  <c:v>1.06</c:v>
                </c:pt>
                <c:pt idx="3">
                  <c:v>1.08</c:v>
                </c:pt>
                <c:pt idx="4">
                  <c:v>1.01</c:v>
                </c:pt>
                <c:pt idx="5">
                  <c:v>1.22</c:v>
                </c:pt>
                <c:pt idx="6">
                  <c:v>1.62</c:v>
                </c:pt>
                <c:pt idx="7">
                  <c:v>1.1000000000000001</c:v>
                </c:pt>
                <c:pt idx="8">
                  <c:v>0.87</c:v>
                </c:pt>
                <c:pt idx="9">
                  <c:v>1.39</c:v>
                </c:pt>
                <c:pt idx="10">
                  <c:v>1.07</c:v>
                </c:pt>
                <c:pt idx="11">
                  <c:v>1.01</c:v>
                </c:pt>
                <c:pt idx="12">
                  <c:v>1.73</c:v>
                </c:pt>
                <c:pt idx="13">
                  <c:v>0.98</c:v>
                </c:pt>
                <c:pt idx="14">
                  <c:v>1.18</c:v>
                </c:pt>
                <c:pt idx="15">
                  <c:v>1.58</c:v>
                </c:pt>
                <c:pt idx="16">
                  <c:v>1.53</c:v>
                </c:pt>
                <c:pt idx="17">
                  <c:v>1.5</c:v>
                </c:pt>
                <c:pt idx="18">
                  <c:v>0.75</c:v>
                </c:pt>
                <c:pt idx="19">
                  <c:v>1.05</c:v>
                </c:pt>
                <c:pt idx="20">
                  <c:v>0.92</c:v>
                </c:pt>
                <c:pt idx="21">
                  <c:v>1.26</c:v>
                </c:pt>
                <c:pt idx="22">
                  <c:v>1.07</c:v>
                </c:pt>
                <c:pt idx="23">
                  <c:v>1.23</c:v>
                </c:pt>
                <c:pt idx="24">
                  <c:v>1.75</c:v>
                </c:pt>
                <c:pt idx="25">
                  <c:v>0.94</c:v>
                </c:pt>
                <c:pt idx="26">
                  <c:v>1.1599999999999999</c:v>
                </c:pt>
                <c:pt idx="27">
                  <c:v>0.91</c:v>
                </c:pt>
                <c:pt idx="28">
                  <c:v>1.32</c:v>
                </c:pt>
                <c:pt idx="29">
                  <c:v>1.46</c:v>
                </c:pt>
                <c:pt idx="30">
                  <c:v>0.96</c:v>
                </c:pt>
                <c:pt idx="31">
                  <c:v>0.79</c:v>
                </c:pt>
                <c:pt idx="32">
                  <c:v>1.1299999999999999</c:v>
                </c:pt>
                <c:pt idx="33">
                  <c:v>0.9</c:v>
                </c:pt>
                <c:pt idx="34">
                  <c:v>1.08</c:v>
                </c:pt>
                <c:pt idx="35">
                  <c:v>1.32</c:v>
                </c:pt>
                <c:pt idx="36">
                  <c:v>1.44</c:v>
                </c:pt>
                <c:pt idx="37">
                  <c:v>1.28</c:v>
                </c:pt>
                <c:pt idx="38">
                  <c:v>1.68</c:v>
                </c:pt>
                <c:pt idx="39">
                  <c:v>1.35</c:v>
                </c:pt>
                <c:pt idx="40">
                  <c:v>1.17</c:v>
                </c:pt>
                <c:pt idx="41">
                  <c:v>0.97</c:v>
                </c:pt>
                <c:pt idx="42">
                  <c:v>1.2</c:v>
                </c:pt>
                <c:pt idx="43">
                  <c:v>1.24</c:v>
                </c:pt>
                <c:pt idx="44">
                  <c:v>1.34</c:v>
                </c:pt>
                <c:pt idx="45">
                  <c:v>0.67</c:v>
                </c:pt>
                <c:pt idx="46">
                  <c:v>0.82</c:v>
                </c:pt>
                <c:pt idx="47">
                  <c:v>1.5</c:v>
                </c:pt>
                <c:pt idx="48">
                  <c:v>0.9</c:v>
                </c:pt>
                <c:pt idx="49">
                  <c:v>0.54</c:v>
                </c:pt>
                <c:pt idx="50">
                  <c:v>1.62</c:v>
                </c:pt>
                <c:pt idx="51">
                  <c:v>1.44</c:v>
                </c:pt>
                <c:pt idx="52">
                  <c:v>1.4</c:v>
                </c:pt>
              </c:numCache>
            </c:numRef>
          </c:yVal>
          <c:smooth val="0"/>
          <c:extLst>
            <c:ext xmlns:c16="http://schemas.microsoft.com/office/drawing/2014/chart" uri="{C3380CC4-5D6E-409C-BE32-E72D297353CC}">
              <c16:uniqueId val="{00000001-10CA-4C51-A478-4D742A1BF9A8}"/>
            </c:ext>
          </c:extLst>
        </c:ser>
        <c:dLbls>
          <c:showLegendKey val="0"/>
          <c:showVal val="0"/>
          <c:showCatName val="0"/>
          <c:showSerName val="0"/>
          <c:showPercent val="0"/>
          <c:showBubbleSize val="0"/>
        </c:dLbls>
        <c:axId val="1273364352"/>
        <c:axId val="1273358112"/>
      </c:scatterChart>
      <c:valAx>
        <c:axId val="127336435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baseline="-25000"/>
                  <a:t>max</a:t>
                </a:r>
                <a:r>
                  <a:rPr lang="en-US" sz="1200" b="1"/>
                  <a:t> I</a:t>
                </a:r>
                <a:endParaRPr lang="ru-RU" sz="1200" b="1"/>
              </a:p>
            </c:rich>
          </c:tx>
          <c:overlay val="0"/>
          <c:spPr>
            <a:noFill/>
            <a:ln>
              <a:noFill/>
            </a:ln>
            <a:effectLst/>
          </c:spPr>
          <c:txPr>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73358112"/>
        <c:crosses val="autoZero"/>
        <c:crossBetween val="midCat"/>
      </c:valAx>
      <c:valAx>
        <c:axId val="12733581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baseline="-25000"/>
                  <a:t>max</a:t>
                </a:r>
                <a:r>
                  <a:rPr lang="en-US" sz="1200" b="1"/>
                  <a:t> II</a:t>
                </a:r>
                <a:endParaRPr lang="ru-RU" sz="1200" b="1"/>
              </a:p>
            </c:rich>
          </c:tx>
          <c:overlay val="0"/>
          <c:spPr>
            <a:noFill/>
            <a:ln>
              <a:noFill/>
            </a:ln>
            <a:effectLst/>
          </c:spPr>
          <c:txPr>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7336435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RE</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scatterChart>
        <c:scatterStyle val="lineMarker"/>
        <c:varyColors val="0"/>
        <c:ser>
          <c:idx val="0"/>
          <c:order val="0"/>
          <c:tx>
            <c:strRef>
              <c:f>'Диаграммы сравнения КРР корр'!$K$1</c:f>
              <c:strCache>
                <c:ptCount val="1"/>
                <c:pt idx="0">
                  <c:v>RE (II)</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'Диаграммы сравнения КРР корр'!$B$2:$B$61</c:f>
              <c:numCache>
                <c:formatCode>0.00</c:formatCode>
                <c:ptCount val="60"/>
                <c:pt idx="0">
                  <c:v>0.92259999999999998</c:v>
                </c:pt>
                <c:pt idx="1">
                  <c:v>0.85840000000000005</c:v>
                </c:pt>
                <c:pt idx="2">
                  <c:v>0.92369999999999997</c:v>
                </c:pt>
                <c:pt idx="3">
                  <c:v>0.66420000000000001</c:v>
                </c:pt>
                <c:pt idx="4">
                  <c:v>0.82410000000000005</c:v>
                </c:pt>
                <c:pt idx="5">
                  <c:v>0.69850000000000001</c:v>
                </c:pt>
                <c:pt idx="6">
                  <c:v>0.74199999999999999</c:v>
                </c:pt>
                <c:pt idx="7">
                  <c:v>0.90969999999999995</c:v>
                </c:pt>
                <c:pt idx="8">
                  <c:v>1.4327000000000001</c:v>
                </c:pt>
                <c:pt idx="9">
                  <c:v>0.7117</c:v>
                </c:pt>
                <c:pt idx="10">
                  <c:v>0.76449999999999996</c:v>
                </c:pt>
                <c:pt idx="11">
                  <c:v>0.62109999999999999</c:v>
                </c:pt>
                <c:pt idx="12">
                  <c:v>0.35809999999999997</c:v>
                </c:pt>
                <c:pt idx="13">
                  <c:v>0.84330000000000005</c:v>
                </c:pt>
                <c:pt idx="14">
                  <c:v>0.45229999999999998</c:v>
                </c:pt>
                <c:pt idx="15">
                  <c:v>0.28999999999999998</c:v>
                </c:pt>
                <c:pt idx="16">
                  <c:v>0.75380000000000003</c:v>
                </c:pt>
                <c:pt idx="17">
                  <c:v>0.69840000000000002</c:v>
                </c:pt>
                <c:pt idx="18">
                  <c:v>0.73650000000000004</c:v>
                </c:pt>
                <c:pt idx="19">
                  <c:v>0.45279999999999998</c:v>
                </c:pt>
                <c:pt idx="20">
                  <c:v>0.75439999999999996</c:v>
                </c:pt>
                <c:pt idx="21">
                  <c:v>0.32979999999999998</c:v>
                </c:pt>
                <c:pt idx="22">
                  <c:v>0.57020000000000004</c:v>
                </c:pt>
                <c:pt idx="23">
                  <c:v>0.75580000000000003</c:v>
                </c:pt>
                <c:pt idx="24">
                  <c:v>0.50090000000000001</c:v>
                </c:pt>
                <c:pt idx="25">
                  <c:v>0.57520000000000004</c:v>
                </c:pt>
                <c:pt idx="26">
                  <c:v>0.84140000000000004</c:v>
                </c:pt>
                <c:pt idx="27">
                  <c:v>0.65949999999999998</c:v>
                </c:pt>
                <c:pt idx="28">
                  <c:v>0.74839999999999995</c:v>
                </c:pt>
                <c:pt idx="29">
                  <c:v>0.93720000000000003</c:v>
                </c:pt>
                <c:pt idx="30">
                  <c:v>1.5694999999999999</c:v>
                </c:pt>
                <c:pt idx="31">
                  <c:v>1.2897000000000001</c:v>
                </c:pt>
                <c:pt idx="32">
                  <c:v>0.43290000000000001</c:v>
                </c:pt>
                <c:pt idx="33">
                  <c:v>1.0820000000000001</c:v>
                </c:pt>
                <c:pt idx="34">
                  <c:v>0.31180000000000002</c:v>
                </c:pt>
                <c:pt idx="35">
                  <c:v>0.67210000000000003</c:v>
                </c:pt>
                <c:pt idx="36">
                  <c:v>1.0608</c:v>
                </c:pt>
                <c:pt idx="37">
                  <c:v>1.5047999999999999</c:v>
                </c:pt>
                <c:pt idx="38">
                  <c:v>1.0861000000000001</c:v>
                </c:pt>
                <c:pt idx="39">
                  <c:v>0.49209999999999998</c:v>
                </c:pt>
                <c:pt idx="40">
                  <c:v>1.2202999999999999</c:v>
                </c:pt>
                <c:pt idx="41">
                  <c:v>0.8377</c:v>
                </c:pt>
                <c:pt idx="42">
                  <c:v>1.4490000000000001</c:v>
                </c:pt>
                <c:pt idx="43">
                  <c:v>0.44690000000000002</c:v>
                </c:pt>
                <c:pt idx="44">
                  <c:v>0.90910000000000002</c:v>
                </c:pt>
                <c:pt idx="45">
                  <c:v>0.23119999999999999</c:v>
                </c:pt>
                <c:pt idx="46">
                  <c:v>0.68540000000000001</c:v>
                </c:pt>
                <c:pt idx="47">
                  <c:v>0.33439999999999998</c:v>
                </c:pt>
                <c:pt idx="48">
                  <c:v>0.77370000000000005</c:v>
                </c:pt>
                <c:pt idx="49">
                  <c:v>1.165</c:v>
                </c:pt>
                <c:pt idx="50">
                  <c:v>1.5702</c:v>
                </c:pt>
                <c:pt idx="51">
                  <c:v>0.92210000000000003</c:v>
                </c:pt>
                <c:pt idx="52">
                  <c:v>0.49320000000000003</c:v>
                </c:pt>
                <c:pt idx="53">
                  <c:v>1.1894</c:v>
                </c:pt>
                <c:pt idx="54">
                  <c:v>1.4592000000000001</c:v>
                </c:pt>
                <c:pt idx="55">
                  <c:v>1.2484</c:v>
                </c:pt>
                <c:pt idx="56">
                  <c:v>1.1508</c:v>
                </c:pt>
                <c:pt idx="57">
                  <c:v>1.2644</c:v>
                </c:pt>
                <c:pt idx="58">
                  <c:v>1.0011000000000001</c:v>
                </c:pt>
                <c:pt idx="59">
                  <c:v>1.4757</c:v>
                </c:pt>
              </c:numCache>
            </c:numRef>
          </c:xVal>
          <c:yVal>
            <c:numRef>
              <c:f>'Диаграммы сравнения КРР корр'!$K$2:$K$61</c:f>
              <c:numCache>
                <c:formatCode>0.00</c:formatCode>
                <c:ptCount val="60"/>
                <c:pt idx="0">
                  <c:v>0.76539999999999997</c:v>
                </c:pt>
                <c:pt idx="1">
                  <c:v>0.69469999999999998</c:v>
                </c:pt>
                <c:pt idx="2">
                  <c:v>0.54339999999999999</c:v>
                </c:pt>
                <c:pt idx="3">
                  <c:v>0.8589</c:v>
                </c:pt>
                <c:pt idx="4">
                  <c:v>0.67300000000000004</c:v>
                </c:pt>
                <c:pt idx="5">
                  <c:v>0.45850000000000002</c:v>
                </c:pt>
                <c:pt idx="6">
                  <c:v>0.56040000000000001</c:v>
                </c:pt>
                <c:pt idx="7">
                  <c:v>0.51170000000000004</c:v>
                </c:pt>
                <c:pt idx="8">
                  <c:v>0.79949999999999999</c:v>
                </c:pt>
                <c:pt idx="9">
                  <c:v>0.43099999999999999</c:v>
                </c:pt>
                <c:pt idx="10">
                  <c:v>0.40310000000000001</c:v>
                </c:pt>
                <c:pt idx="11">
                  <c:v>0.39610000000000001</c:v>
                </c:pt>
                <c:pt idx="12">
                  <c:v>0.37459999999999999</c:v>
                </c:pt>
                <c:pt idx="13">
                  <c:v>0.61209999999999998</c:v>
                </c:pt>
                <c:pt idx="14">
                  <c:v>0.42080000000000001</c:v>
                </c:pt>
                <c:pt idx="15">
                  <c:v>0.43730000000000002</c:v>
                </c:pt>
                <c:pt idx="16">
                  <c:v>0.42820000000000003</c:v>
                </c:pt>
                <c:pt idx="17">
                  <c:v>0.5222</c:v>
                </c:pt>
                <c:pt idx="18">
                  <c:v>1.2442</c:v>
                </c:pt>
                <c:pt idx="19">
                  <c:v>0.79390000000000005</c:v>
                </c:pt>
                <c:pt idx="20">
                  <c:v>1.3308</c:v>
                </c:pt>
                <c:pt idx="21">
                  <c:v>0.72960000000000003</c:v>
                </c:pt>
                <c:pt idx="22">
                  <c:v>0.9849</c:v>
                </c:pt>
                <c:pt idx="23">
                  <c:v>1.5603</c:v>
                </c:pt>
                <c:pt idx="24">
                  <c:v>1.0743</c:v>
                </c:pt>
                <c:pt idx="25">
                  <c:v>1.1574</c:v>
                </c:pt>
                <c:pt idx="26">
                  <c:v>1.1089</c:v>
                </c:pt>
                <c:pt idx="27">
                  <c:v>3.2004999999999999</c:v>
                </c:pt>
                <c:pt idx="28">
                  <c:v>1.2184999999999999</c:v>
                </c:pt>
                <c:pt idx="29">
                  <c:v>1.4133</c:v>
                </c:pt>
                <c:pt idx="30">
                  <c:v>1.1258999999999999</c:v>
                </c:pt>
                <c:pt idx="31">
                  <c:v>0.99029999999999996</c:v>
                </c:pt>
                <c:pt idx="32">
                  <c:v>0.78590000000000004</c:v>
                </c:pt>
                <c:pt idx="33">
                  <c:v>0.7117</c:v>
                </c:pt>
                <c:pt idx="34">
                  <c:v>0.85260000000000002</c:v>
                </c:pt>
                <c:pt idx="35">
                  <c:v>0.99780000000000002</c:v>
                </c:pt>
                <c:pt idx="36">
                  <c:v>1.2101999999999999</c:v>
                </c:pt>
                <c:pt idx="37">
                  <c:v>1.9233</c:v>
                </c:pt>
                <c:pt idx="38">
                  <c:v>1.5732999999999999</c:v>
                </c:pt>
                <c:pt idx="39">
                  <c:v>1.2382</c:v>
                </c:pt>
                <c:pt idx="40">
                  <c:v>1.1863999999999999</c:v>
                </c:pt>
                <c:pt idx="41">
                  <c:v>2.0367000000000002</c:v>
                </c:pt>
                <c:pt idx="42">
                  <c:v>1.1288</c:v>
                </c:pt>
                <c:pt idx="43">
                  <c:v>0.98119999999999996</c:v>
                </c:pt>
                <c:pt idx="44">
                  <c:v>1.3935</c:v>
                </c:pt>
                <c:pt idx="45">
                  <c:v>1.5716000000000001</c:v>
                </c:pt>
                <c:pt idx="46">
                  <c:v>0.69779999999999998</c:v>
                </c:pt>
                <c:pt idx="47">
                  <c:v>1.1329</c:v>
                </c:pt>
                <c:pt idx="48">
                  <c:v>1.1878</c:v>
                </c:pt>
                <c:pt idx="49">
                  <c:v>0.83099999999999996</c:v>
                </c:pt>
                <c:pt idx="50">
                  <c:v>1.3549</c:v>
                </c:pt>
                <c:pt idx="51">
                  <c:v>0.97789999999999999</c:v>
                </c:pt>
                <c:pt idx="52">
                  <c:v>0.88290000000000002</c:v>
                </c:pt>
                <c:pt idx="53">
                  <c:v>1.3282</c:v>
                </c:pt>
                <c:pt idx="54">
                  <c:v>1.5469999999999999</c:v>
                </c:pt>
                <c:pt idx="55">
                  <c:v>1.1523000000000001</c:v>
                </c:pt>
                <c:pt idx="56">
                  <c:v>0.78900000000000003</c:v>
                </c:pt>
                <c:pt idx="57">
                  <c:v>1.111</c:v>
                </c:pt>
                <c:pt idx="58">
                  <c:v>1.0591999999999999</c:v>
                </c:pt>
                <c:pt idx="59">
                  <c:v>0.9052</c:v>
                </c:pt>
              </c:numCache>
            </c:numRef>
          </c:yVal>
          <c:smooth val="0"/>
          <c:extLst>
            <c:ext xmlns:c16="http://schemas.microsoft.com/office/drawing/2014/chart" uri="{C3380CC4-5D6E-409C-BE32-E72D297353CC}">
              <c16:uniqueId val="{00000001-EA46-401A-BDED-4BFD746EEA2B}"/>
            </c:ext>
          </c:extLst>
        </c:ser>
        <c:dLbls>
          <c:showLegendKey val="0"/>
          <c:showVal val="0"/>
          <c:showCatName val="0"/>
          <c:showSerName val="0"/>
          <c:showPercent val="0"/>
          <c:showBubbleSize val="0"/>
        </c:dLbls>
        <c:axId val="1147095856"/>
        <c:axId val="1209595424"/>
      </c:scatterChart>
      <c:valAx>
        <c:axId val="114709585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baseline="-25000"/>
                  <a:t>max</a:t>
                </a:r>
                <a:r>
                  <a:rPr lang="en-US" sz="1200" b="1"/>
                  <a:t> I</a:t>
                </a:r>
                <a:endParaRPr lang="ru-RU" sz="1200" b="1"/>
              </a:p>
            </c:rich>
          </c:tx>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09595424"/>
        <c:crosses val="autoZero"/>
        <c:crossBetween val="midCat"/>
      </c:valAx>
      <c:valAx>
        <c:axId val="12095954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baseline="-25000"/>
                  <a:t>max</a:t>
                </a:r>
                <a:r>
                  <a:rPr lang="en-US" sz="1200" b="1"/>
                  <a:t> II</a:t>
                </a:r>
                <a:endParaRPr lang="ru-RU" sz="1200" b="1"/>
              </a:p>
            </c:rich>
          </c:tx>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4709585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RLH</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scatterChart>
        <c:scatterStyle val="lineMarker"/>
        <c:varyColors val="0"/>
        <c:ser>
          <c:idx val="0"/>
          <c:order val="0"/>
          <c:tx>
            <c:strRef>
              <c:f>'Диаграммы сравнения КРР корр'!$L$1</c:f>
              <c:strCache>
                <c:ptCount val="1"/>
                <c:pt idx="0">
                  <c:v>RLH (II)</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'Диаграммы сравнения КРР корр'!$C$2:$C$61</c:f>
              <c:numCache>
                <c:formatCode>0.00</c:formatCode>
                <c:ptCount val="60"/>
                <c:pt idx="0">
                  <c:v>1.5485</c:v>
                </c:pt>
                <c:pt idx="1">
                  <c:v>1.6116999999999999</c:v>
                </c:pt>
                <c:pt idx="2">
                  <c:v>1.1812</c:v>
                </c:pt>
                <c:pt idx="3">
                  <c:v>2.2414000000000001</c:v>
                </c:pt>
                <c:pt idx="4">
                  <c:v>0.61709999999999998</c:v>
                </c:pt>
                <c:pt idx="5">
                  <c:v>1.0873999999999999</c:v>
                </c:pt>
                <c:pt idx="6">
                  <c:v>0.64649999999999996</c:v>
                </c:pt>
                <c:pt idx="7">
                  <c:v>1.0783</c:v>
                </c:pt>
                <c:pt idx="8">
                  <c:v>0.50770000000000004</c:v>
                </c:pt>
                <c:pt idx="9">
                  <c:v>0.94389999999999996</c:v>
                </c:pt>
                <c:pt idx="10">
                  <c:v>0.88039999999999996</c:v>
                </c:pt>
                <c:pt idx="11">
                  <c:v>0.4703</c:v>
                </c:pt>
                <c:pt idx="12">
                  <c:v>0.42599999999999999</c:v>
                </c:pt>
                <c:pt idx="13">
                  <c:v>0.67930000000000001</c:v>
                </c:pt>
                <c:pt idx="14">
                  <c:v>0.46879999999999999</c:v>
                </c:pt>
                <c:pt idx="15">
                  <c:v>0.51319999999999999</c:v>
                </c:pt>
                <c:pt idx="16">
                  <c:v>0.42380000000000001</c:v>
                </c:pt>
                <c:pt idx="17">
                  <c:v>0.38769999999999999</c:v>
                </c:pt>
                <c:pt idx="18">
                  <c:v>0.67789999999999995</c:v>
                </c:pt>
                <c:pt idx="19">
                  <c:v>0.46339999999999998</c:v>
                </c:pt>
                <c:pt idx="20">
                  <c:v>1.0066999999999999</c:v>
                </c:pt>
                <c:pt idx="21">
                  <c:v>0.36990000000000001</c:v>
                </c:pt>
                <c:pt idx="22">
                  <c:v>0.58940000000000003</c:v>
                </c:pt>
                <c:pt idx="23">
                  <c:v>0.61609999999999998</c:v>
                </c:pt>
                <c:pt idx="24">
                  <c:v>0.81820000000000004</c:v>
                </c:pt>
                <c:pt idx="25">
                  <c:v>0.65780000000000005</c:v>
                </c:pt>
                <c:pt idx="26">
                  <c:v>0.79669999999999996</c:v>
                </c:pt>
                <c:pt idx="27">
                  <c:v>0.4037</c:v>
                </c:pt>
                <c:pt idx="28">
                  <c:v>0.63570000000000004</c:v>
                </c:pt>
                <c:pt idx="29">
                  <c:v>0.73240000000000005</c:v>
                </c:pt>
                <c:pt idx="30">
                  <c:v>1.1529</c:v>
                </c:pt>
                <c:pt idx="31">
                  <c:v>0.73599999999999999</c:v>
                </c:pt>
                <c:pt idx="32">
                  <c:v>0.53680000000000005</c:v>
                </c:pt>
                <c:pt idx="33">
                  <c:v>1.4714</c:v>
                </c:pt>
                <c:pt idx="34">
                  <c:v>0.61339999999999995</c:v>
                </c:pt>
                <c:pt idx="35">
                  <c:v>0.4103</c:v>
                </c:pt>
                <c:pt idx="36">
                  <c:v>1.5860000000000001</c:v>
                </c:pt>
                <c:pt idx="37">
                  <c:v>1.3130999999999999</c:v>
                </c:pt>
                <c:pt idx="38">
                  <c:v>0.87909999999999999</c:v>
                </c:pt>
                <c:pt idx="39">
                  <c:v>0.5252</c:v>
                </c:pt>
                <c:pt idx="40">
                  <c:v>1.0931999999999999</c:v>
                </c:pt>
                <c:pt idx="41">
                  <c:v>0.54420000000000002</c:v>
                </c:pt>
                <c:pt idx="42">
                  <c:v>1.0989</c:v>
                </c:pt>
                <c:pt idx="43">
                  <c:v>0.31259999999999999</c:v>
                </c:pt>
                <c:pt idx="44">
                  <c:v>0.53690000000000004</c:v>
                </c:pt>
                <c:pt idx="45">
                  <c:v>0.47910000000000003</c:v>
                </c:pt>
                <c:pt idx="46">
                  <c:v>0.60140000000000005</c:v>
                </c:pt>
                <c:pt idx="47">
                  <c:v>0.50419999999999998</c:v>
                </c:pt>
                <c:pt idx="48">
                  <c:v>0.92920000000000003</c:v>
                </c:pt>
                <c:pt idx="49">
                  <c:v>0.60029999999999994</c:v>
                </c:pt>
                <c:pt idx="50">
                  <c:v>1.6329</c:v>
                </c:pt>
                <c:pt idx="51">
                  <c:v>0.81489999999999996</c:v>
                </c:pt>
                <c:pt idx="52">
                  <c:v>0.80989999999999995</c:v>
                </c:pt>
                <c:pt idx="53">
                  <c:v>0.83279999999999998</c:v>
                </c:pt>
                <c:pt idx="54">
                  <c:v>0.874</c:v>
                </c:pt>
                <c:pt idx="55">
                  <c:v>2.0908000000000002</c:v>
                </c:pt>
                <c:pt idx="56">
                  <c:v>0.75880000000000003</c:v>
                </c:pt>
                <c:pt idx="57">
                  <c:v>1.4639</c:v>
                </c:pt>
                <c:pt idx="58">
                  <c:v>1.3025</c:v>
                </c:pt>
                <c:pt idx="59">
                  <c:v>0.6885</c:v>
                </c:pt>
              </c:numCache>
            </c:numRef>
          </c:xVal>
          <c:yVal>
            <c:numRef>
              <c:f>'Диаграммы сравнения КРР корр'!$L$2:$L$61</c:f>
              <c:numCache>
                <c:formatCode>0.00</c:formatCode>
                <c:ptCount val="60"/>
                <c:pt idx="0">
                  <c:v>1.3197000000000001</c:v>
                </c:pt>
                <c:pt idx="1">
                  <c:v>1.2939000000000001</c:v>
                </c:pt>
                <c:pt idx="2">
                  <c:v>0.84260000000000002</c:v>
                </c:pt>
                <c:pt idx="3">
                  <c:v>0.96389999999999998</c:v>
                </c:pt>
                <c:pt idx="4">
                  <c:v>0.46579999999999999</c:v>
                </c:pt>
                <c:pt idx="5">
                  <c:v>0.63490000000000002</c:v>
                </c:pt>
                <c:pt idx="6">
                  <c:v>0.63519999999999999</c:v>
                </c:pt>
                <c:pt idx="7">
                  <c:v>1.2004999999999999</c:v>
                </c:pt>
                <c:pt idx="8">
                  <c:v>0.33350000000000002</c:v>
                </c:pt>
                <c:pt idx="9">
                  <c:v>0.28000000000000003</c:v>
                </c:pt>
                <c:pt idx="10">
                  <c:v>0.52629999999999999</c:v>
                </c:pt>
                <c:pt idx="11">
                  <c:v>0.33029999999999998</c:v>
                </c:pt>
                <c:pt idx="12">
                  <c:v>0.6492</c:v>
                </c:pt>
                <c:pt idx="13">
                  <c:v>0.50049999999999994</c:v>
                </c:pt>
                <c:pt idx="14">
                  <c:v>0.4899</c:v>
                </c:pt>
                <c:pt idx="15">
                  <c:v>0.65580000000000005</c:v>
                </c:pt>
                <c:pt idx="16">
                  <c:v>0.3695</c:v>
                </c:pt>
                <c:pt idx="17">
                  <c:v>0.39939999999999998</c:v>
                </c:pt>
                <c:pt idx="18">
                  <c:v>0.82550000000000001</c:v>
                </c:pt>
                <c:pt idx="19">
                  <c:v>0.77400000000000002</c:v>
                </c:pt>
                <c:pt idx="20">
                  <c:v>0.99490000000000001</c:v>
                </c:pt>
                <c:pt idx="21">
                  <c:v>0.97470000000000001</c:v>
                </c:pt>
                <c:pt idx="22">
                  <c:v>1.0819000000000001</c:v>
                </c:pt>
                <c:pt idx="23">
                  <c:v>1.1974</c:v>
                </c:pt>
                <c:pt idx="24">
                  <c:v>1.5484</c:v>
                </c:pt>
                <c:pt idx="25">
                  <c:v>0.47</c:v>
                </c:pt>
                <c:pt idx="26">
                  <c:v>0.74160000000000004</c:v>
                </c:pt>
                <c:pt idx="27">
                  <c:v>3.2237</c:v>
                </c:pt>
                <c:pt idx="28">
                  <c:v>1.1265000000000001</c:v>
                </c:pt>
                <c:pt idx="29">
                  <c:v>0.8</c:v>
                </c:pt>
                <c:pt idx="30">
                  <c:v>1.0738000000000001</c:v>
                </c:pt>
                <c:pt idx="31">
                  <c:v>0.80079999999999996</c:v>
                </c:pt>
                <c:pt idx="32">
                  <c:v>1.1535</c:v>
                </c:pt>
                <c:pt idx="33">
                  <c:v>1.2956000000000001</c:v>
                </c:pt>
                <c:pt idx="34">
                  <c:v>1.0447</c:v>
                </c:pt>
                <c:pt idx="35">
                  <c:v>0.98080000000000001</c:v>
                </c:pt>
                <c:pt idx="36">
                  <c:v>1.3070999999999999</c:v>
                </c:pt>
                <c:pt idx="37">
                  <c:v>1.2542</c:v>
                </c:pt>
                <c:pt idx="38">
                  <c:v>1.4312</c:v>
                </c:pt>
                <c:pt idx="39">
                  <c:v>1.2025999999999999</c:v>
                </c:pt>
                <c:pt idx="40">
                  <c:v>0.98209999999999997</c:v>
                </c:pt>
                <c:pt idx="41">
                  <c:v>0.88480000000000003</c:v>
                </c:pt>
                <c:pt idx="42">
                  <c:v>0.80279999999999996</c:v>
                </c:pt>
                <c:pt idx="43">
                  <c:v>0.7782</c:v>
                </c:pt>
                <c:pt idx="44">
                  <c:v>1.0077</c:v>
                </c:pt>
                <c:pt idx="45">
                  <c:v>1.2935000000000001</c:v>
                </c:pt>
                <c:pt idx="46">
                  <c:v>0.79149999999999998</c:v>
                </c:pt>
                <c:pt idx="47">
                  <c:v>1.0003</c:v>
                </c:pt>
                <c:pt idx="48">
                  <c:v>1.1198999999999999</c:v>
                </c:pt>
                <c:pt idx="49">
                  <c:v>0.76619999999999999</c:v>
                </c:pt>
                <c:pt idx="50">
                  <c:v>0.80320000000000003</c:v>
                </c:pt>
                <c:pt idx="51">
                  <c:v>0.78769999999999996</c:v>
                </c:pt>
                <c:pt idx="52">
                  <c:v>0.85289999999999999</c:v>
                </c:pt>
                <c:pt idx="53">
                  <c:v>1.0465</c:v>
                </c:pt>
                <c:pt idx="54">
                  <c:v>0.99770000000000003</c:v>
                </c:pt>
                <c:pt idx="55">
                  <c:v>1.3529</c:v>
                </c:pt>
                <c:pt idx="56">
                  <c:v>0.57250000000000001</c:v>
                </c:pt>
                <c:pt idx="57">
                  <c:v>1.3232999999999999</c:v>
                </c:pt>
                <c:pt idx="58">
                  <c:v>1.5443</c:v>
                </c:pt>
                <c:pt idx="59">
                  <c:v>0.74639999999999995</c:v>
                </c:pt>
              </c:numCache>
            </c:numRef>
          </c:yVal>
          <c:smooth val="0"/>
          <c:extLst>
            <c:ext xmlns:c16="http://schemas.microsoft.com/office/drawing/2014/chart" uri="{C3380CC4-5D6E-409C-BE32-E72D297353CC}">
              <c16:uniqueId val="{00000001-A543-409C-8498-64546F575C35}"/>
            </c:ext>
          </c:extLst>
        </c:ser>
        <c:dLbls>
          <c:showLegendKey val="0"/>
          <c:showVal val="0"/>
          <c:showCatName val="0"/>
          <c:showSerName val="0"/>
          <c:showPercent val="0"/>
          <c:showBubbleSize val="0"/>
        </c:dLbls>
        <c:axId val="958751680"/>
        <c:axId val="958753344"/>
      </c:scatterChart>
      <c:valAx>
        <c:axId val="95875168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baseline="-25000"/>
                  <a:t>max</a:t>
                </a:r>
                <a:r>
                  <a:rPr lang="en-US" sz="1200" b="1"/>
                  <a:t> I</a:t>
                </a:r>
                <a:endParaRPr lang="ru-KZ" sz="1200" b="1"/>
              </a:p>
            </c:rich>
          </c:tx>
          <c:overlay val="0"/>
          <c:spPr>
            <a:noFill/>
            <a:ln>
              <a:noFill/>
            </a:ln>
            <a:effectLst/>
          </c:spPr>
          <c:txPr>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958753344"/>
        <c:crosses val="autoZero"/>
        <c:crossBetween val="midCat"/>
      </c:valAx>
      <c:valAx>
        <c:axId val="9587533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baseline="-25000"/>
                  <a:t>max</a:t>
                </a:r>
                <a:r>
                  <a:rPr lang="en-US" sz="1200" b="1"/>
                  <a:t> II</a:t>
                </a:r>
                <a:endParaRPr lang="ru-RU" sz="1200" b="1"/>
              </a:p>
            </c:rich>
          </c:tx>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95875168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RRL</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scatterChart>
        <c:scatterStyle val="lineMarker"/>
        <c:varyColors val="0"/>
        <c:ser>
          <c:idx val="0"/>
          <c:order val="0"/>
          <c:tx>
            <c:strRef>
              <c:f>'Диаграммы сравнения КРР корр'!$M$1</c:f>
              <c:strCache>
                <c:ptCount val="1"/>
                <c:pt idx="0">
                  <c:v>RRL (II)</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'Диаграммы сравнения КРР корр'!$D$2:$D$61</c:f>
              <c:numCache>
                <c:formatCode>0.00</c:formatCode>
                <c:ptCount val="60"/>
                <c:pt idx="0">
                  <c:v>1.8083</c:v>
                </c:pt>
                <c:pt idx="1">
                  <c:v>1.1706000000000001</c:v>
                </c:pt>
                <c:pt idx="2">
                  <c:v>0.8155</c:v>
                </c:pt>
                <c:pt idx="3">
                  <c:v>1.0499000000000001</c:v>
                </c:pt>
                <c:pt idx="4">
                  <c:v>0.93430000000000002</c:v>
                </c:pt>
                <c:pt idx="5">
                  <c:v>0.75590000000000002</c:v>
                </c:pt>
                <c:pt idx="6">
                  <c:v>1.0347</c:v>
                </c:pt>
                <c:pt idx="7">
                  <c:v>0.73980000000000001</c:v>
                </c:pt>
                <c:pt idx="8">
                  <c:v>0.6976</c:v>
                </c:pt>
                <c:pt idx="9">
                  <c:v>1.3533999999999999</c:v>
                </c:pt>
                <c:pt idx="10">
                  <c:v>0.88829999999999998</c:v>
                </c:pt>
                <c:pt idx="11">
                  <c:v>0.86739999999999995</c:v>
                </c:pt>
                <c:pt idx="12">
                  <c:v>0.77370000000000005</c:v>
                </c:pt>
                <c:pt idx="13">
                  <c:v>1.129</c:v>
                </c:pt>
                <c:pt idx="14">
                  <c:v>0.42070000000000002</c:v>
                </c:pt>
                <c:pt idx="15">
                  <c:v>0.29320000000000002</c:v>
                </c:pt>
                <c:pt idx="16">
                  <c:v>0.48430000000000001</c:v>
                </c:pt>
                <c:pt idx="17">
                  <c:v>0.61319999999999997</c:v>
                </c:pt>
                <c:pt idx="18">
                  <c:v>0.81520000000000004</c:v>
                </c:pt>
                <c:pt idx="19">
                  <c:v>0.66549999999999998</c:v>
                </c:pt>
                <c:pt idx="20">
                  <c:v>0.74539999999999995</c:v>
                </c:pt>
                <c:pt idx="21">
                  <c:v>0.40799999999999997</c:v>
                </c:pt>
                <c:pt idx="22">
                  <c:v>0.42149999999999999</c:v>
                </c:pt>
                <c:pt idx="23">
                  <c:v>0.68620000000000003</c:v>
                </c:pt>
                <c:pt idx="24">
                  <c:v>0.4451</c:v>
                </c:pt>
                <c:pt idx="25">
                  <c:v>0.75009999999999999</c:v>
                </c:pt>
                <c:pt idx="26">
                  <c:v>0.81889999999999996</c:v>
                </c:pt>
                <c:pt idx="27">
                  <c:v>1.3343</c:v>
                </c:pt>
                <c:pt idx="28">
                  <c:v>0.69010000000000005</c:v>
                </c:pt>
                <c:pt idx="29">
                  <c:v>1.0184</c:v>
                </c:pt>
                <c:pt idx="30">
                  <c:v>1.4965999999999999</c:v>
                </c:pt>
                <c:pt idx="31">
                  <c:v>1.5466</c:v>
                </c:pt>
                <c:pt idx="32">
                  <c:v>0.58130000000000004</c:v>
                </c:pt>
                <c:pt idx="33">
                  <c:v>2.1457999999999999</c:v>
                </c:pt>
                <c:pt idx="34">
                  <c:v>0.65359999999999996</c:v>
                </c:pt>
                <c:pt idx="35">
                  <c:v>0.38090000000000002</c:v>
                </c:pt>
                <c:pt idx="36">
                  <c:v>1.4305000000000001</c:v>
                </c:pt>
                <c:pt idx="37">
                  <c:v>1.1892</c:v>
                </c:pt>
                <c:pt idx="38">
                  <c:v>1.1422000000000001</c:v>
                </c:pt>
                <c:pt idx="39">
                  <c:v>0.8589</c:v>
                </c:pt>
                <c:pt idx="40">
                  <c:v>1.6548</c:v>
                </c:pt>
                <c:pt idx="41">
                  <c:v>0.66459999999999997</c:v>
                </c:pt>
                <c:pt idx="42">
                  <c:v>1.736</c:v>
                </c:pt>
                <c:pt idx="43">
                  <c:v>0.751</c:v>
                </c:pt>
                <c:pt idx="44">
                  <c:v>0.85819999999999996</c:v>
                </c:pt>
                <c:pt idx="45">
                  <c:v>0.80069999999999997</c:v>
                </c:pt>
                <c:pt idx="46">
                  <c:v>1.798</c:v>
                </c:pt>
                <c:pt idx="47">
                  <c:v>0.64339999999999997</c:v>
                </c:pt>
                <c:pt idx="48">
                  <c:v>0.8569</c:v>
                </c:pt>
                <c:pt idx="49">
                  <c:v>1.3805000000000001</c:v>
                </c:pt>
                <c:pt idx="50">
                  <c:v>2.9357000000000002</c:v>
                </c:pt>
                <c:pt idx="51">
                  <c:v>1.2485999999999999</c:v>
                </c:pt>
                <c:pt idx="52">
                  <c:v>0.92030000000000001</c:v>
                </c:pt>
                <c:pt idx="53">
                  <c:v>1.4228000000000001</c:v>
                </c:pt>
                <c:pt idx="54">
                  <c:v>0.82940000000000003</c:v>
                </c:pt>
                <c:pt idx="55">
                  <c:v>0.86909999999999998</c:v>
                </c:pt>
                <c:pt idx="56">
                  <c:v>1.5174000000000001</c:v>
                </c:pt>
                <c:pt idx="57">
                  <c:v>1.6382000000000001</c:v>
                </c:pt>
                <c:pt idx="58">
                  <c:v>0.77600000000000002</c:v>
                </c:pt>
                <c:pt idx="59">
                  <c:v>0.61099999999999999</c:v>
                </c:pt>
              </c:numCache>
            </c:numRef>
          </c:xVal>
          <c:yVal>
            <c:numRef>
              <c:f>'Диаграммы сравнения КРР корр'!$M$2:$M$61</c:f>
              <c:numCache>
                <c:formatCode>0.00</c:formatCode>
                <c:ptCount val="60"/>
                <c:pt idx="0">
                  <c:v>0.89029999999999998</c:v>
                </c:pt>
                <c:pt idx="1">
                  <c:v>1.0577000000000001</c:v>
                </c:pt>
                <c:pt idx="2">
                  <c:v>0.61309999999999998</c:v>
                </c:pt>
                <c:pt idx="3">
                  <c:v>1.1637</c:v>
                </c:pt>
                <c:pt idx="4">
                  <c:v>1.2609999999999999</c:v>
                </c:pt>
                <c:pt idx="5">
                  <c:v>0.90569999999999995</c:v>
                </c:pt>
                <c:pt idx="6">
                  <c:v>0.80120000000000002</c:v>
                </c:pt>
                <c:pt idx="7">
                  <c:v>0.76459999999999995</c:v>
                </c:pt>
                <c:pt idx="8">
                  <c:v>0.3957</c:v>
                </c:pt>
                <c:pt idx="9">
                  <c:v>0.38190000000000002</c:v>
                </c:pt>
                <c:pt idx="10">
                  <c:v>0.44700000000000001</c:v>
                </c:pt>
                <c:pt idx="11">
                  <c:v>0.57509999999999994</c:v>
                </c:pt>
                <c:pt idx="12">
                  <c:v>0.78010000000000002</c:v>
                </c:pt>
                <c:pt idx="13">
                  <c:v>0.88729999999999998</c:v>
                </c:pt>
                <c:pt idx="14">
                  <c:v>0.35010000000000002</c:v>
                </c:pt>
                <c:pt idx="15">
                  <c:v>0.57410000000000005</c:v>
                </c:pt>
                <c:pt idx="16">
                  <c:v>0.34079999999999999</c:v>
                </c:pt>
                <c:pt idx="17">
                  <c:v>0.6915</c:v>
                </c:pt>
                <c:pt idx="18">
                  <c:v>0.81220000000000003</c:v>
                </c:pt>
                <c:pt idx="19">
                  <c:v>0.8569</c:v>
                </c:pt>
                <c:pt idx="20">
                  <c:v>1.7079</c:v>
                </c:pt>
                <c:pt idx="21">
                  <c:v>0.69930000000000003</c:v>
                </c:pt>
                <c:pt idx="22">
                  <c:v>0.85099999999999998</c:v>
                </c:pt>
                <c:pt idx="23">
                  <c:v>2.4144999999999999</c:v>
                </c:pt>
                <c:pt idx="24">
                  <c:v>0.70609999999999995</c:v>
                </c:pt>
                <c:pt idx="25">
                  <c:v>1.532</c:v>
                </c:pt>
                <c:pt idx="26">
                  <c:v>0.83189999999999997</c:v>
                </c:pt>
                <c:pt idx="27">
                  <c:v>1.9958</c:v>
                </c:pt>
                <c:pt idx="28">
                  <c:v>1.3919999999999999</c:v>
                </c:pt>
                <c:pt idx="29">
                  <c:v>1.3575999999999999</c:v>
                </c:pt>
                <c:pt idx="30">
                  <c:v>1.4097</c:v>
                </c:pt>
                <c:pt idx="31">
                  <c:v>1.2769999999999999</c:v>
                </c:pt>
                <c:pt idx="32">
                  <c:v>0.8841</c:v>
                </c:pt>
                <c:pt idx="33">
                  <c:v>1.4681999999999999</c:v>
                </c:pt>
                <c:pt idx="34">
                  <c:v>2.6747000000000001</c:v>
                </c:pt>
                <c:pt idx="35">
                  <c:v>0.87039999999999995</c:v>
                </c:pt>
                <c:pt idx="36">
                  <c:v>1.5939000000000001</c:v>
                </c:pt>
                <c:pt idx="37">
                  <c:v>1.806</c:v>
                </c:pt>
                <c:pt idx="38">
                  <c:v>1.2879</c:v>
                </c:pt>
                <c:pt idx="39">
                  <c:v>2.2035</c:v>
                </c:pt>
                <c:pt idx="40">
                  <c:v>1.6072</c:v>
                </c:pt>
                <c:pt idx="41">
                  <c:v>2.125</c:v>
                </c:pt>
                <c:pt idx="42">
                  <c:v>1.0127999999999999</c:v>
                </c:pt>
                <c:pt idx="43">
                  <c:v>1.1167</c:v>
                </c:pt>
                <c:pt idx="44">
                  <c:v>1.1585000000000001</c:v>
                </c:pt>
                <c:pt idx="45">
                  <c:v>1.0234000000000001</c:v>
                </c:pt>
                <c:pt idx="46">
                  <c:v>2.2017000000000002</c:v>
                </c:pt>
                <c:pt idx="47">
                  <c:v>1.0490999999999999</c:v>
                </c:pt>
                <c:pt idx="48">
                  <c:v>0.89770000000000005</c:v>
                </c:pt>
                <c:pt idx="49">
                  <c:v>0.6613</c:v>
                </c:pt>
                <c:pt idx="50">
                  <c:v>1.4715</c:v>
                </c:pt>
                <c:pt idx="51">
                  <c:v>1.5388999999999999</c:v>
                </c:pt>
                <c:pt idx="52">
                  <c:v>1.0959000000000001</c:v>
                </c:pt>
                <c:pt idx="53">
                  <c:v>1.4109</c:v>
                </c:pt>
                <c:pt idx="54">
                  <c:v>0.67179999999999995</c:v>
                </c:pt>
                <c:pt idx="55">
                  <c:v>0.97599999999999998</c:v>
                </c:pt>
                <c:pt idx="56">
                  <c:v>1.6812</c:v>
                </c:pt>
                <c:pt idx="57">
                  <c:v>1.1259999999999999</c:v>
                </c:pt>
                <c:pt idx="58">
                  <c:v>0.94750000000000001</c:v>
                </c:pt>
                <c:pt idx="59">
                  <c:v>0.79330000000000001</c:v>
                </c:pt>
              </c:numCache>
            </c:numRef>
          </c:yVal>
          <c:smooth val="0"/>
          <c:extLst>
            <c:ext xmlns:c16="http://schemas.microsoft.com/office/drawing/2014/chart" uri="{C3380CC4-5D6E-409C-BE32-E72D297353CC}">
              <c16:uniqueId val="{00000001-0B2F-4BE4-8236-54F9A3A077CA}"/>
            </c:ext>
          </c:extLst>
        </c:ser>
        <c:dLbls>
          <c:showLegendKey val="0"/>
          <c:showVal val="0"/>
          <c:showCatName val="0"/>
          <c:showSerName val="0"/>
          <c:showPercent val="0"/>
          <c:showBubbleSize val="0"/>
        </c:dLbls>
        <c:axId val="1252411200"/>
        <c:axId val="1252408288"/>
      </c:scatterChart>
      <c:valAx>
        <c:axId val="12524112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i="0" u="none" strike="noStrike" baseline="-25000">
                    <a:effectLst/>
                  </a:rPr>
                  <a:t>max</a:t>
                </a:r>
                <a:r>
                  <a:rPr lang="en-US" sz="1200" b="1"/>
                  <a:t> I</a:t>
                </a:r>
                <a:endParaRPr lang="ru-RU" sz="1200" b="1"/>
              </a:p>
            </c:rich>
          </c:tx>
          <c:overlay val="0"/>
          <c:spPr>
            <a:noFill/>
            <a:ln>
              <a:noFill/>
            </a:ln>
            <a:effectLst/>
          </c:spPr>
          <c:txPr>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52408288"/>
        <c:crosses val="autoZero"/>
        <c:crossBetween val="midCat"/>
      </c:valAx>
      <c:valAx>
        <c:axId val="12524082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i="0" u="none" strike="noStrike" baseline="-25000">
                    <a:effectLst/>
                  </a:rPr>
                  <a:t>max</a:t>
                </a:r>
                <a:r>
                  <a:rPr lang="en-US" sz="1200" b="1"/>
                  <a:t> II</a:t>
                </a:r>
                <a:endParaRPr lang="ru-RU" sz="1200" b="1"/>
              </a:p>
            </c:rich>
          </c:tx>
          <c:overlay val="0"/>
          <c:spPr>
            <a:noFill/>
            <a:ln>
              <a:noFill/>
            </a:ln>
            <a:effectLst/>
          </c:spPr>
          <c:txPr>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5241120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RU</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scatterChart>
        <c:scatterStyle val="lineMarker"/>
        <c:varyColors val="0"/>
        <c:ser>
          <c:idx val="0"/>
          <c:order val="0"/>
          <c:tx>
            <c:strRef>
              <c:f>'Диаграммы сравнения КРР корр'!$N$1</c:f>
              <c:strCache>
                <c:ptCount val="1"/>
                <c:pt idx="0">
                  <c:v>RU (II)</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'Диаграммы сравнения КРР корр'!$E$2:$E$61</c:f>
              <c:numCache>
                <c:formatCode>0.00</c:formatCode>
                <c:ptCount val="60"/>
                <c:pt idx="0">
                  <c:v>1.0718000000000001</c:v>
                </c:pt>
                <c:pt idx="1">
                  <c:v>0.85360000000000003</c:v>
                </c:pt>
                <c:pt idx="2">
                  <c:v>1.3078000000000001</c:v>
                </c:pt>
                <c:pt idx="3">
                  <c:v>0.79620000000000002</c:v>
                </c:pt>
                <c:pt idx="4">
                  <c:v>0.61419999999999997</c:v>
                </c:pt>
                <c:pt idx="5">
                  <c:v>1.1435</c:v>
                </c:pt>
                <c:pt idx="6">
                  <c:v>1.4419999999999999</c:v>
                </c:pt>
                <c:pt idx="7">
                  <c:v>1.1160000000000001</c:v>
                </c:pt>
                <c:pt idx="8">
                  <c:v>0.58930000000000005</c:v>
                </c:pt>
                <c:pt idx="9">
                  <c:v>0.56020000000000003</c:v>
                </c:pt>
                <c:pt idx="10">
                  <c:v>0.7883</c:v>
                </c:pt>
                <c:pt idx="11">
                  <c:v>0.61719999999999997</c:v>
                </c:pt>
                <c:pt idx="12">
                  <c:v>0.32700000000000001</c:v>
                </c:pt>
                <c:pt idx="13">
                  <c:v>0.9839</c:v>
                </c:pt>
                <c:pt idx="14">
                  <c:v>0.5403</c:v>
                </c:pt>
                <c:pt idx="15">
                  <c:v>0.46039999999999998</c:v>
                </c:pt>
                <c:pt idx="16">
                  <c:v>0.62180000000000002</c:v>
                </c:pt>
                <c:pt idx="17">
                  <c:v>0.44140000000000001</c:v>
                </c:pt>
                <c:pt idx="18">
                  <c:v>0.58099999999999996</c:v>
                </c:pt>
                <c:pt idx="19">
                  <c:v>0.58230000000000004</c:v>
                </c:pt>
                <c:pt idx="20">
                  <c:v>0.9194</c:v>
                </c:pt>
                <c:pt idx="21">
                  <c:v>0.50339999999999996</c:v>
                </c:pt>
                <c:pt idx="22">
                  <c:v>0.49919999999999998</c:v>
                </c:pt>
                <c:pt idx="23">
                  <c:v>0.50429999999999997</c:v>
                </c:pt>
                <c:pt idx="24">
                  <c:v>0.50090000000000001</c:v>
                </c:pt>
                <c:pt idx="25">
                  <c:v>0.66969999999999996</c:v>
                </c:pt>
                <c:pt idx="26">
                  <c:v>0.92</c:v>
                </c:pt>
                <c:pt idx="27">
                  <c:v>0.53520000000000001</c:v>
                </c:pt>
                <c:pt idx="28">
                  <c:v>0.71160000000000001</c:v>
                </c:pt>
                <c:pt idx="29">
                  <c:v>0.75509999999999999</c:v>
                </c:pt>
                <c:pt idx="30">
                  <c:v>2.2519</c:v>
                </c:pt>
                <c:pt idx="31">
                  <c:v>1.8771</c:v>
                </c:pt>
                <c:pt idx="32">
                  <c:v>0.45290000000000002</c:v>
                </c:pt>
                <c:pt idx="33">
                  <c:v>1.4247000000000001</c:v>
                </c:pt>
                <c:pt idx="34">
                  <c:v>0.62219999999999998</c:v>
                </c:pt>
                <c:pt idx="35">
                  <c:v>0.41799999999999998</c:v>
                </c:pt>
                <c:pt idx="36">
                  <c:v>1.6369</c:v>
                </c:pt>
                <c:pt idx="37">
                  <c:v>1.2042999999999999</c:v>
                </c:pt>
                <c:pt idx="38">
                  <c:v>1.0603</c:v>
                </c:pt>
                <c:pt idx="39">
                  <c:v>0.76190000000000002</c:v>
                </c:pt>
                <c:pt idx="40">
                  <c:v>1.6229</c:v>
                </c:pt>
                <c:pt idx="41">
                  <c:v>0.53180000000000005</c:v>
                </c:pt>
                <c:pt idx="42">
                  <c:v>1.1100000000000001</c:v>
                </c:pt>
                <c:pt idx="43">
                  <c:v>0.45839999999999997</c:v>
                </c:pt>
                <c:pt idx="44">
                  <c:v>0.62380000000000002</c:v>
                </c:pt>
                <c:pt idx="45">
                  <c:v>0.5746</c:v>
                </c:pt>
                <c:pt idx="46">
                  <c:v>1.1052</c:v>
                </c:pt>
                <c:pt idx="47">
                  <c:v>0.7006</c:v>
                </c:pt>
                <c:pt idx="48">
                  <c:v>1.1407</c:v>
                </c:pt>
                <c:pt idx="49">
                  <c:v>0.99890000000000001</c:v>
                </c:pt>
                <c:pt idx="50">
                  <c:v>1.5598000000000001</c:v>
                </c:pt>
                <c:pt idx="51">
                  <c:v>0.9294</c:v>
                </c:pt>
                <c:pt idx="52">
                  <c:v>0.84889999999999999</c:v>
                </c:pt>
                <c:pt idx="53">
                  <c:v>1.1613</c:v>
                </c:pt>
                <c:pt idx="54">
                  <c:v>0.69920000000000004</c:v>
                </c:pt>
                <c:pt idx="55">
                  <c:v>1.5258</c:v>
                </c:pt>
                <c:pt idx="56">
                  <c:v>1.3401000000000001</c:v>
                </c:pt>
                <c:pt idx="57">
                  <c:v>1.5353000000000001</c:v>
                </c:pt>
                <c:pt idx="58">
                  <c:v>0.93089999999999995</c:v>
                </c:pt>
                <c:pt idx="59">
                  <c:v>0.79779999999999995</c:v>
                </c:pt>
              </c:numCache>
            </c:numRef>
          </c:xVal>
          <c:yVal>
            <c:numRef>
              <c:f>'Диаграммы сравнения КРР корр'!$N$2:$N$61</c:f>
              <c:numCache>
                <c:formatCode>0.00</c:formatCode>
                <c:ptCount val="60"/>
                <c:pt idx="0">
                  <c:v>1.3092999999999999</c:v>
                </c:pt>
                <c:pt idx="1">
                  <c:v>0.70020000000000004</c:v>
                </c:pt>
                <c:pt idx="2">
                  <c:v>1.0613999999999999</c:v>
                </c:pt>
                <c:pt idx="3">
                  <c:v>0.95779999999999998</c:v>
                </c:pt>
                <c:pt idx="4">
                  <c:v>0.56079999999999997</c:v>
                </c:pt>
                <c:pt idx="5">
                  <c:v>0.55400000000000005</c:v>
                </c:pt>
                <c:pt idx="6">
                  <c:v>0.63070000000000004</c:v>
                </c:pt>
                <c:pt idx="7">
                  <c:v>0.73099999999999998</c:v>
                </c:pt>
                <c:pt idx="8">
                  <c:v>0.26229999999999998</c:v>
                </c:pt>
                <c:pt idx="9">
                  <c:v>0.57999999999999996</c:v>
                </c:pt>
                <c:pt idx="10">
                  <c:v>0.80620000000000003</c:v>
                </c:pt>
                <c:pt idx="11">
                  <c:v>0.60150000000000003</c:v>
                </c:pt>
                <c:pt idx="12">
                  <c:v>0.56410000000000005</c:v>
                </c:pt>
                <c:pt idx="13">
                  <c:v>0.64739999999999998</c:v>
                </c:pt>
                <c:pt idx="14">
                  <c:v>0.66239999999999999</c:v>
                </c:pt>
                <c:pt idx="15">
                  <c:v>0.46079999999999999</c:v>
                </c:pt>
                <c:pt idx="16">
                  <c:v>0.79300000000000004</c:v>
                </c:pt>
                <c:pt idx="17">
                  <c:v>0.45300000000000001</c:v>
                </c:pt>
                <c:pt idx="18">
                  <c:v>0.35809999999999997</c:v>
                </c:pt>
                <c:pt idx="19">
                  <c:v>1.1521999999999999</c:v>
                </c:pt>
                <c:pt idx="20">
                  <c:v>1.0448999999999999</c:v>
                </c:pt>
                <c:pt idx="21">
                  <c:v>1.2078</c:v>
                </c:pt>
                <c:pt idx="22">
                  <c:v>0.69189999999999996</c:v>
                </c:pt>
                <c:pt idx="23">
                  <c:v>1.2165999999999999</c:v>
                </c:pt>
                <c:pt idx="24">
                  <c:v>0.84279999999999999</c:v>
                </c:pt>
                <c:pt idx="25">
                  <c:v>1.6870000000000001</c:v>
                </c:pt>
                <c:pt idx="26">
                  <c:v>0.84099999999999997</c:v>
                </c:pt>
                <c:pt idx="27">
                  <c:v>1.7189000000000001</c:v>
                </c:pt>
                <c:pt idx="28">
                  <c:v>0.83009999999999995</c:v>
                </c:pt>
                <c:pt idx="29">
                  <c:v>1.2427999999999999</c:v>
                </c:pt>
                <c:pt idx="30">
                  <c:v>1.8019000000000001</c:v>
                </c:pt>
                <c:pt idx="31">
                  <c:v>0.9546</c:v>
                </c:pt>
                <c:pt idx="32">
                  <c:v>0.62129999999999996</c:v>
                </c:pt>
                <c:pt idx="33">
                  <c:v>0.96460000000000001</c:v>
                </c:pt>
                <c:pt idx="34">
                  <c:v>2.1366000000000001</c:v>
                </c:pt>
                <c:pt idx="35">
                  <c:v>0.97560000000000002</c:v>
                </c:pt>
                <c:pt idx="36">
                  <c:v>2.3447</c:v>
                </c:pt>
                <c:pt idx="37">
                  <c:v>1.2875000000000001</c:v>
                </c:pt>
                <c:pt idx="38">
                  <c:v>1.4823</c:v>
                </c:pt>
                <c:pt idx="39">
                  <c:v>1.2076</c:v>
                </c:pt>
                <c:pt idx="40">
                  <c:v>2.4243000000000001</c:v>
                </c:pt>
                <c:pt idx="41">
                  <c:v>0.73409999999999997</c:v>
                </c:pt>
                <c:pt idx="42">
                  <c:v>0.78400000000000003</c:v>
                </c:pt>
                <c:pt idx="43">
                  <c:v>0.88480000000000003</c:v>
                </c:pt>
                <c:pt idx="44">
                  <c:v>1.0846</c:v>
                </c:pt>
                <c:pt idx="45">
                  <c:v>0.91810000000000003</c:v>
                </c:pt>
                <c:pt idx="46">
                  <c:v>1.5692999999999999</c:v>
                </c:pt>
                <c:pt idx="47">
                  <c:v>0.74260000000000004</c:v>
                </c:pt>
                <c:pt idx="48">
                  <c:v>1.1617</c:v>
                </c:pt>
                <c:pt idx="49">
                  <c:v>0.84630000000000005</c:v>
                </c:pt>
                <c:pt idx="50">
                  <c:v>0.75609999999999999</c:v>
                </c:pt>
                <c:pt idx="51">
                  <c:v>1.1234999999999999</c:v>
                </c:pt>
                <c:pt idx="52">
                  <c:v>1.3565</c:v>
                </c:pt>
                <c:pt idx="53">
                  <c:v>1.0660000000000001</c:v>
                </c:pt>
                <c:pt idx="54">
                  <c:v>1.1032</c:v>
                </c:pt>
                <c:pt idx="55">
                  <c:v>1.9957</c:v>
                </c:pt>
                <c:pt idx="56">
                  <c:v>1.3427</c:v>
                </c:pt>
                <c:pt idx="57">
                  <c:v>0.95909999999999995</c:v>
                </c:pt>
                <c:pt idx="58">
                  <c:v>1.1613</c:v>
                </c:pt>
                <c:pt idx="59">
                  <c:v>0.70269999999999999</c:v>
                </c:pt>
              </c:numCache>
            </c:numRef>
          </c:yVal>
          <c:smooth val="0"/>
          <c:extLst>
            <c:ext xmlns:c16="http://schemas.microsoft.com/office/drawing/2014/chart" uri="{C3380CC4-5D6E-409C-BE32-E72D297353CC}">
              <c16:uniqueId val="{00000001-F821-4C96-B9AE-77B2DA8CDBC2}"/>
            </c:ext>
          </c:extLst>
        </c:ser>
        <c:dLbls>
          <c:showLegendKey val="0"/>
          <c:showVal val="0"/>
          <c:showCatName val="0"/>
          <c:showSerName val="0"/>
          <c:showPercent val="0"/>
          <c:showBubbleSize val="0"/>
        </c:dLbls>
        <c:axId val="1273368096"/>
        <c:axId val="1273370592"/>
      </c:scatterChart>
      <c:valAx>
        <c:axId val="127336809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i="0" u="none" strike="noStrike" baseline="-25000">
                    <a:effectLst/>
                  </a:rPr>
                  <a:t>max</a:t>
                </a:r>
                <a:r>
                  <a:rPr lang="en-US" sz="1200" b="1"/>
                  <a:t> I</a:t>
                </a:r>
                <a:endParaRPr lang="ru-RU" sz="1200" b="1"/>
              </a:p>
            </c:rich>
          </c:tx>
          <c:overlay val="0"/>
          <c:spPr>
            <a:noFill/>
            <a:ln>
              <a:noFill/>
            </a:ln>
            <a:effectLst/>
          </c:spPr>
          <c:txPr>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73370592"/>
        <c:crosses val="autoZero"/>
        <c:crossBetween val="midCat"/>
      </c:valAx>
      <c:valAx>
        <c:axId val="12733705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i="0" u="none" strike="noStrike" baseline="-25000">
                    <a:effectLst/>
                  </a:rPr>
                  <a:t>max</a:t>
                </a:r>
                <a:r>
                  <a:rPr lang="en-US" sz="1200" b="1"/>
                  <a:t> II</a:t>
                </a:r>
                <a:endParaRPr lang="ru-RU" sz="1200" b="1"/>
              </a:p>
            </c:rich>
          </c:tx>
          <c:overlay val="0"/>
          <c:spPr>
            <a:noFill/>
            <a:ln>
              <a:noFill/>
            </a:ln>
            <a:effectLst/>
          </c:spPr>
          <c:txPr>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7336809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pivotSource>
    <c:name>[К занятию 9 ЭРЯ и КРР глава 2.xlsx]ОХ N РЯ!Сводная таблица16</c:name>
    <c:fmtId val="-1"/>
  </c:pivotSource>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1"/>
              <a:t>Стадия </a:t>
            </a:r>
            <a:r>
              <a:rPr lang="en-US" sz="1200" b="1"/>
              <a:t>N</a:t>
            </a:r>
            <a:endParaRPr lang="ru-RU"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'ОХ N РЯ'!$B$3</c:f>
              <c:strCache>
                <c:ptCount val="1"/>
                <c:pt idx="0">
                  <c:v>Итог</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'ОХ N РЯ'!$A$4:$A$6</c:f>
              <c:strCache>
                <c:ptCount val="3"/>
                <c:pt idx="0">
                  <c:v>N0</c:v>
                </c:pt>
                <c:pt idx="1">
                  <c:v>N1</c:v>
                </c:pt>
                <c:pt idx="2">
                  <c:v>Nx</c:v>
                </c:pt>
              </c:strCache>
            </c:strRef>
          </c:cat>
          <c:val>
            <c:numRef>
              <c:f>'ОХ N РЯ'!$B$4:$B$6</c:f>
              <c:numCache>
                <c:formatCode>General</c:formatCode>
                <c:ptCount val="3"/>
                <c:pt idx="0">
                  <c:v>19</c:v>
                </c:pt>
                <c:pt idx="1">
                  <c:v>9</c:v>
                </c:pt>
                <c:pt idx="2">
                  <c:v>25</c:v>
                </c:pt>
              </c:numCache>
            </c:numRef>
          </c:val>
          <c:extLst>
            <c:ext xmlns:c16="http://schemas.microsoft.com/office/drawing/2014/chart" uri="{C3380CC4-5D6E-409C-BE32-E72D297353CC}">
              <c16:uniqueId val="{00000000-B5BC-4E51-B711-A8201D148144}"/>
            </c:ext>
          </c:extLst>
        </c:ser>
        <c:dLbls>
          <c:dLblPos val="outEnd"/>
          <c:showLegendKey val="0"/>
          <c:showVal val="1"/>
          <c:showCatName val="0"/>
          <c:showSerName val="0"/>
          <c:showPercent val="0"/>
          <c:showBubbleSize val="0"/>
        </c:dLbls>
        <c:gapWidth val="219"/>
        <c:overlap val="-27"/>
        <c:axId val="1967009791"/>
        <c:axId val="1967018527"/>
      </c:barChart>
      <c:catAx>
        <c:axId val="19670097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67018527"/>
        <c:crosses val="autoZero"/>
        <c:auto val="1"/>
        <c:lblAlgn val="ctr"/>
        <c:lblOffset val="100"/>
        <c:noMultiLvlLbl val="0"/>
      </c:catAx>
      <c:valAx>
        <c:axId val="19670185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6700979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 xmlns:c16="http://schemas.microsoft.com/office/drawing/2014/chart" uri="{E28EC0CA-F0BB-4C9C-879D-F8772B89E7AC}">
      <c16:pivotOptions16>
        <c16:showExpandCollapseFieldButtons val="1"/>
      </c16:pivotOptions16>
    </c:ext>
  </c:extLst>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RLL</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scatterChart>
        <c:scatterStyle val="lineMarker"/>
        <c:varyColors val="0"/>
        <c:ser>
          <c:idx val="0"/>
          <c:order val="0"/>
          <c:tx>
            <c:strRef>
              <c:f>'Диаграммы сравнения КРР корр'!$O$1</c:f>
              <c:strCache>
                <c:ptCount val="1"/>
                <c:pt idx="0">
                  <c:v>RLL (II)</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'Диаграммы сравнения КРР корр'!$F$2:$F$61</c:f>
              <c:numCache>
                <c:formatCode>0.00</c:formatCode>
                <c:ptCount val="60"/>
                <c:pt idx="0">
                  <c:v>1.2702</c:v>
                </c:pt>
                <c:pt idx="1">
                  <c:v>1.0275000000000001</c:v>
                </c:pt>
                <c:pt idx="2">
                  <c:v>0.67290000000000005</c:v>
                </c:pt>
                <c:pt idx="3">
                  <c:v>1.1175999999999999</c:v>
                </c:pt>
                <c:pt idx="4">
                  <c:v>0.78820000000000001</c:v>
                </c:pt>
                <c:pt idx="5">
                  <c:v>0.95530000000000004</c:v>
                </c:pt>
                <c:pt idx="6">
                  <c:v>1.5286</c:v>
                </c:pt>
                <c:pt idx="7">
                  <c:v>0.8669</c:v>
                </c:pt>
                <c:pt idx="8">
                  <c:v>0.64480000000000004</c:v>
                </c:pt>
                <c:pt idx="9">
                  <c:v>0.78390000000000004</c:v>
                </c:pt>
                <c:pt idx="10">
                  <c:v>1.1021000000000001</c:v>
                </c:pt>
                <c:pt idx="11">
                  <c:v>1.0688</c:v>
                </c:pt>
                <c:pt idx="12">
                  <c:v>0.95820000000000005</c:v>
                </c:pt>
                <c:pt idx="13">
                  <c:v>0.76160000000000005</c:v>
                </c:pt>
                <c:pt idx="14">
                  <c:v>0.60909999999999997</c:v>
                </c:pt>
                <c:pt idx="15">
                  <c:v>0.28570000000000001</c:v>
                </c:pt>
                <c:pt idx="16">
                  <c:v>0.50590000000000002</c:v>
                </c:pt>
                <c:pt idx="17">
                  <c:v>0.38290000000000002</c:v>
                </c:pt>
                <c:pt idx="18">
                  <c:v>0.61040000000000005</c:v>
                </c:pt>
                <c:pt idx="19">
                  <c:v>0.78900000000000003</c:v>
                </c:pt>
                <c:pt idx="20">
                  <c:v>0.85799999999999998</c:v>
                </c:pt>
                <c:pt idx="21">
                  <c:v>0.1153</c:v>
                </c:pt>
                <c:pt idx="22">
                  <c:v>0.5655</c:v>
                </c:pt>
                <c:pt idx="23">
                  <c:v>0.6855</c:v>
                </c:pt>
                <c:pt idx="24">
                  <c:v>0.59099999999999997</c:v>
                </c:pt>
                <c:pt idx="25">
                  <c:v>0.90800000000000003</c:v>
                </c:pt>
                <c:pt idx="26">
                  <c:v>0.93159999999999998</c:v>
                </c:pt>
                <c:pt idx="27">
                  <c:v>0.66900000000000004</c:v>
                </c:pt>
                <c:pt idx="28">
                  <c:v>0.8115</c:v>
                </c:pt>
                <c:pt idx="29">
                  <c:v>1.0942000000000001</c:v>
                </c:pt>
                <c:pt idx="30">
                  <c:v>0.94620000000000004</c:v>
                </c:pt>
                <c:pt idx="31">
                  <c:v>2.2650000000000001</c:v>
                </c:pt>
                <c:pt idx="32">
                  <c:v>0.4617</c:v>
                </c:pt>
                <c:pt idx="33">
                  <c:v>1.4926999999999999</c:v>
                </c:pt>
                <c:pt idx="34">
                  <c:v>0.77680000000000005</c:v>
                </c:pt>
                <c:pt idx="35">
                  <c:v>0.44419999999999998</c:v>
                </c:pt>
                <c:pt idx="36">
                  <c:v>0.93689999999999996</c:v>
                </c:pt>
                <c:pt idx="37">
                  <c:v>1.6556999999999999</c:v>
                </c:pt>
                <c:pt idx="38">
                  <c:v>0.87970000000000004</c:v>
                </c:pt>
                <c:pt idx="39">
                  <c:v>0.59360000000000002</c:v>
                </c:pt>
                <c:pt idx="40">
                  <c:v>1.6148</c:v>
                </c:pt>
                <c:pt idx="41">
                  <c:v>0.38800000000000001</c:v>
                </c:pt>
                <c:pt idx="42">
                  <c:v>1.4387000000000001</c:v>
                </c:pt>
                <c:pt idx="43">
                  <c:v>0.34599999999999997</c:v>
                </c:pt>
                <c:pt idx="44">
                  <c:v>0.8538</c:v>
                </c:pt>
                <c:pt idx="45">
                  <c:v>0.72240000000000004</c:v>
                </c:pt>
                <c:pt idx="46">
                  <c:v>1.2293000000000001</c:v>
                </c:pt>
                <c:pt idx="47">
                  <c:v>0.53090000000000004</c:v>
                </c:pt>
                <c:pt idx="48">
                  <c:v>1.1879</c:v>
                </c:pt>
                <c:pt idx="49">
                  <c:v>1.0149999999999999</c:v>
                </c:pt>
                <c:pt idx="50">
                  <c:v>1.0646</c:v>
                </c:pt>
                <c:pt idx="51">
                  <c:v>1.1423000000000001</c:v>
                </c:pt>
                <c:pt idx="52">
                  <c:v>0.78779999999999994</c:v>
                </c:pt>
                <c:pt idx="53">
                  <c:v>1.4469000000000001</c:v>
                </c:pt>
                <c:pt idx="54">
                  <c:v>0.97929999999999995</c:v>
                </c:pt>
                <c:pt idx="55">
                  <c:v>0.9244</c:v>
                </c:pt>
                <c:pt idx="56">
                  <c:v>0.76219999999999999</c:v>
                </c:pt>
                <c:pt idx="57">
                  <c:v>1.3353999999999999</c:v>
                </c:pt>
                <c:pt idx="58">
                  <c:v>0.92610000000000003</c:v>
                </c:pt>
                <c:pt idx="59">
                  <c:v>0.62490000000000001</c:v>
                </c:pt>
              </c:numCache>
            </c:numRef>
          </c:xVal>
          <c:yVal>
            <c:numRef>
              <c:f>'Диаграммы сравнения КРР корр'!$O$2:$O$61</c:f>
              <c:numCache>
                <c:formatCode>0.00</c:formatCode>
                <c:ptCount val="60"/>
                <c:pt idx="0">
                  <c:v>0.68630000000000002</c:v>
                </c:pt>
                <c:pt idx="1">
                  <c:v>1.0457000000000001</c:v>
                </c:pt>
                <c:pt idx="2">
                  <c:v>0.53869999999999996</c:v>
                </c:pt>
                <c:pt idx="3">
                  <c:v>1.2032</c:v>
                </c:pt>
                <c:pt idx="4">
                  <c:v>0.47449999999999998</c:v>
                </c:pt>
                <c:pt idx="5">
                  <c:v>0.72909999999999997</c:v>
                </c:pt>
                <c:pt idx="6">
                  <c:v>0.77070000000000005</c:v>
                </c:pt>
                <c:pt idx="7">
                  <c:v>1.1277999999999999</c:v>
                </c:pt>
                <c:pt idx="8">
                  <c:v>0.42149999999999999</c:v>
                </c:pt>
                <c:pt idx="9">
                  <c:v>0.63990000000000002</c:v>
                </c:pt>
                <c:pt idx="10">
                  <c:v>0.83489999999999998</c:v>
                </c:pt>
                <c:pt idx="11">
                  <c:v>0.44840000000000002</c:v>
                </c:pt>
                <c:pt idx="12">
                  <c:v>0.67989999999999995</c:v>
                </c:pt>
                <c:pt idx="13">
                  <c:v>0.752</c:v>
                </c:pt>
                <c:pt idx="14">
                  <c:v>0.53869999999999996</c:v>
                </c:pt>
                <c:pt idx="15">
                  <c:v>0.63649999999999995</c:v>
                </c:pt>
                <c:pt idx="16">
                  <c:v>0.18870000000000001</c:v>
                </c:pt>
                <c:pt idx="17">
                  <c:v>0.49120000000000003</c:v>
                </c:pt>
                <c:pt idx="18">
                  <c:v>0.71299999999999997</c:v>
                </c:pt>
                <c:pt idx="19">
                  <c:v>1.1879</c:v>
                </c:pt>
                <c:pt idx="20">
                  <c:v>0.63939999999999997</c:v>
                </c:pt>
                <c:pt idx="21">
                  <c:v>0.76739999999999997</c:v>
                </c:pt>
                <c:pt idx="22">
                  <c:v>0.7611</c:v>
                </c:pt>
                <c:pt idx="23">
                  <c:v>2.2450000000000001</c:v>
                </c:pt>
                <c:pt idx="24">
                  <c:v>0.72419999999999995</c:v>
                </c:pt>
                <c:pt idx="25">
                  <c:v>0.65749999999999997</c:v>
                </c:pt>
                <c:pt idx="26">
                  <c:v>1.2372000000000001</c:v>
                </c:pt>
                <c:pt idx="27">
                  <c:v>1.0640000000000001</c:v>
                </c:pt>
                <c:pt idx="28">
                  <c:v>1.028</c:v>
                </c:pt>
                <c:pt idx="29">
                  <c:v>1.4209000000000001</c:v>
                </c:pt>
                <c:pt idx="30">
                  <c:v>1.4718</c:v>
                </c:pt>
                <c:pt idx="31">
                  <c:v>1.3839999999999999</c:v>
                </c:pt>
                <c:pt idx="32">
                  <c:v>1.0481</c:v>
                </c:pt>
                <c:pt idx="33">
                  <c:v>1.2862</c:v>
                </c:pt>
                <c:pt idx="34">
                  <c:v>1.1167</c:v>
                </c:pt>
                <c:pt idx="35">
                  <c:v>0.89490000000000003</c:v>
                </c:pt>
                <c:pt idx="36">
                  <c:v>1.7405999999999999</c:v>
                </c:pt>
                <c:pt idx="37">
                  <c:v>2.3479999999999999</c:v>
                </c:pt>
                <c:pt idx="38">
                  <c:v>1.3262</c:v>
                </c:pt>
                <c:pt idx="39">
                  <c:v>1.0668</c:v>
                </c:pt>
                <c:pt idx="40">
                  <c:v>1.2588999999999999</c:v>
                </c:pt>
                <c:pt idx="41">
                  <c:v>0.5071</c:v>
                </c:pt>
                <c:pt idx="42">
                  <c:v>0.96209999999999996</c:v>
                </c:pt>
                <c:pt idx="43">
                  <c:v>2.4944000000000002</c:v>
                </c:pt>
                <c:pt idx="44">
                  <c:v>1.4919</c:v>
                </c:pt>
                <c:pt idx="45">
                  <c:v>1.2243999999999999</c:v>
                </c:pt>
                <c:pt idx="46">
                  <c:v>1.2698</c:v>
                </c:pt>
                <c:pt idx="47">
                  <c:v>0.95540000000000003</c:v>
                </c:pt>
                <c:pt idx="48">
                  <c:v>1.1675</c:v>
                </c:pt>
                <c:pt idx="49">
                  <c:v>0.98609999999999998</c:v>
                </c:pt>
                <c:pt idx="50">
                  <c:v>0.87</c:v>
                </c:pt>
                <c:pt idx="51">
                  <c:v>1.3422000000000001</c:v>
                </c:pt>
                <c:pt idx="52">
                  <c:v>1.3368</c:v>
                </c:pt>
                <c:pt idx="53">
                  <c:v>1.5323</c:v>
                </c:pt>
                <c:pt idx="54">
                  <c:v>0.85419999999999996</c:v>
                </c:pt>
                <c:pt idx="55">
                  <c:v>0.98709999999999998</c:v>
                </c:pt>
                <c:pt idx="56">
                  <c:v>1.4542999999999999</c:v>
                </c:pt>
                <c:pt idx="57">
                  <c:v>1.1679999999999999</c:v>
                </c:pt>
                <c:pt idx="58">
                  <c:v>1.2592000000000001</c:v>
                </c:pt>
                <c:pt idx="59">
                  <c:v>0.81159999999999999</c:v>
                </c:pt>
              </c:numCache>
            </c:numRef>
          </c:yVal>
          <c:smooth val="0"/>
          <c:extLst>
            <c:ext xmlns:c16="http://schemas.microsoft.com/office/drawing/2014/chart" uri="{C3380CC4-5D6E-409C-BE32-E72D297353CC}">
              <c16:uniqueId val="{00000001-B522-4564-91B7-578B14287C78}"/>
            </c:ext>
          </c:extLst>
        </c:ser>
        <c:dLbls>
          <c:showLegendKey val="0"/>
          <c:showVal val="0"/>
          <c:showCatName val="0"/>
          <c:showSerName val="0"/>
          <c:showPercent val="0"/>
          <c:showBubbleSize val="0"/>
        </c:dLbls>
        <c:axId val="1267623632"/>
        <c:axId val="1267624464"/>
      </c:scatterChart>
      <c:valAx>
        <c:axId val="126762363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i="0" u="none" strike="noStrike" baseline="-25000">
                    <a:effectLst/>
                  </a:rPr>
                  <a:t>max</a:t>
                </a:r>
                <a:r>
                  <a:rPr lang="en-US" sz="1200" b="1"/>
                  <a:t> I</a:t>
                </a:r>
                <a:endParaRPr lang="ru-RU" sz="1200" b="1"/>
              </a:p>
            </c:rich>
          </c:tx>
          <c:overlay val="0"/>
          <c:spPr>
            <a:noFill/>
            <a:ln>
              <a:noFill/>
            </a:ln>
            <a:effectLst/>
          </c:spPr>
          <c:txPr>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67624464"/>
        <c:crosses val="autoZero"/>
        <c:crossBetween val="midCat"/>
      </c:valAx>
      <c:valAx>
        <c:axId val="12676244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i="0" u="none" strike="noStrike" baseline="-25000">
                    <a:effectLst/>
                  </a:rPr>
                  <a:t>max</a:t>
                </a:r>
                <a:r>
                  <a:rPr lang="en-US" sz="1200" b="1"/>
                  <a:t> II</a:t>
                </a:r>
                <a:endParaRPr lang="ru-RU" sz="1200" b="1"/>
              </a:p>
            </c:rich>
          </c:tx>
          <c:overlay val="0"/>
          <c:spPr>
            <a:noFill/>
            <a:ln>
              <a:noFill/>
            </a:ln>
            <a:effectLst/>
          </c:spPr>
          <c:txPr>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6762363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RRI</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scatterChart>
        <c:scatterStyle val="lineMarker"/>
        <c:varyColors val="0"/>
        <c:ser>
          <c:idx val="0"/>
          <c:order val="0"/>
          <c:tx>
            <c:strRef>
              <c:f>'Диаграммы сравнения КРР корр'!$P$1</c:f>
              <c:strCache>
                <c:ptCount val="1"/>
                <c:pt idx="0">
                  <c:v>RRI (II)</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'Диаграммы сравнения КРР корр'!$G$2:$G$61</c:f>
              <c:numCache>
                <c:formatCode>0.00</c:formatCode>
                <c:ptCount val="60"/>
                <c:pt idx="0">
                  <c:v>1.3323</c:v>
                </c:pt>
                <c:pt idx="1">
                  <c:v>1.0057</c:v>
                </c:pt>
                <c:pt idx="2">
                  <c:v>1.0667</c:v>
                </c:pt>
                <c:pt idx="3">
                  <c:v>1.5214000000000001</c:v>
                </c:pt>
                <c:pt idx="4">
                  <c:v>1.0752999999999999</c:v>
                </c:pt>
                <c:pt idx="5">
                  <c:v>1.2581</c:v>
                </c:pt>
                <c:pt idx="6">
                  <c:v>0.9093</c:v>
                </c:pt>
                <c:pt idx="7">
                  <c:v>1.0225</c:v>
                </c:pt>
                <c:pt idx="8">
                  <c:v>0.97440000000000004</c:v>
                </c:pt>
                <c:pt idx="9">
                  <c:v>0.79200000000000004</c:v>
                </c:pt>
                <c:pt idx="10">
                  <c:v>1.0212000000000001</c:v>
                </c:pt>
                <c:pt idx="11">
                  <c:v>1.0179</c:v>
                </c:pt>
                <c:pt idx="12">
                  <c:v>0.76639999999999997</c:v>
                </c:pt>
                <c:pt idx="13">
                  <c:v>0.96640000000000004</c:v>
                </c:pt>
                <c:pt idx="14">
                  <c:v>0.51139999999999997</c:v>
                </c:pt>
                <c:pt idx="15">
                  <c:v>0.38940000000000002</c:v>
                </c:pt>
                <c:pt idx="16">
                  <c:v>0.54649999999999999</c:v>
                </c:pt>
                <c:pt idx="17">
                  <c:v>0.44090000000000001</c:v>
                </c:pt>
                <c:pt idx="18">
                  <c:v>0.52869999999999995</c:v>
                </c:pt>
                <c:pt idx="19">
                  <c:v>0.5786</c:v>
                </c:pt>
                <c:pt idx="20">
                  <c:v>1.0146999999999999</c:v>
                </c:pt>
                <c:pt idx="21">
                  <c:v>0.26400000000000001</c:v>
                </c:pt>
                <c:pt idx="22">
                  <c:v>0.51929999999999998</c:v>
                </c:pt>
                <c:pt idx="23">
                  <c:v>0.72970000000000002</c:v>
                </c:pt>
                <c:pt idx="24">
                  <c:v>0.68969999999999998</c:v>
                </c:pt>
                <c:pt idx="25">
                  <c:v>0.51759999999999995</c:v>
                </c:pt>
                <c:pt idx="26">
                  <c:v>0.8397</c:v>
                </c:pt>
                <c:pt idx="27">
                  <c:v>0.66810000000000003</c:v>
                </c:pt>
                <c:pt idx="28">
                  <c:v>1.1648000000000001</c:v>
                </c:pt>
                <c:pt idx="29">
                  <c:v>0.55669999999999997</c:v>
                </c:pt>
                <c:pt idx="30">
                  <c:v>0.7863</c:v>
                </c:pt>
                <c:pt idx="31">
                  <c:v>1.4702</c:v>
                </c:pt>
                <c:pt idx="32">
                  <c:v>0.63759999999999994</c:v>
                </c:pt>
                <c:pt idx="33">
                  <c:v>1.1778</c:v>
                </c:pt>
                <c:pt idx="34">
                  <c:v>0.58360000000000001</c:v>
                </c:pt>
                <c:pt idx="35">
                  <c:v>0.58889999999999998</c:v>
                </c:pt>
                <c:pt idx="36">
                  <c:v>0.70120000000000005</c:v>
                </c:pt>
                <c:pt idx="37">
                  <c:v>1.1412</c:v>
                </c:pt>
                <c:pt idx="38">
                  <c:v>0.56410000000000005</c:v>
                </c:pt>
                <c:pt idx="39">
                  <c:v>0.70689999999999997</c:v>
                </c:pt>
                <c:pt idx="40">
                  <c:v>1.0529999999999999</c:v>
                </c:pt>
                <c:pt idx="41">
                  <c:v>0.50939999999999996</c:v>
                </c:pt>
                <c:pt idx="42">
                  <c:v>0.68799999999999994</c:v>
                </c:pt>
                <c:pt idx="43">
                  <c:v>0.41070000000000001</c:v>
                </c:pt>
                <c:pt idx="44">
                  <c:v>0.51900000000000002</c:v>
                </c:pt>
                <c:pt idx="45">
                  <c:v>0.3463</c:v>
                </c:pt>
                <c:pt idx="46">
                  <c:v>0.92610000000000003</c:v>
                </c:pt>
                <c:pt idx="47">
                  <c:v>0.49049999999999999</c:v>
                </c:pt>
                <c:pt idx="48">
                  <c:v>0.73499999999999999</c:v>
                </c:pt>
                <c:pt idx="49">
                  <c:v>1.1698</c:v>
                </c:pt>
                <c:pt idx="50">
                  <c:v>1.6856</c:v>
                </c:pt>
                <c:pt idx="51">
                  <c:v>0.54830000000000001</c:v>
                </c:pt>
                <c:pt idx="52">
                  <c:v>0.4335</c:v>
                </c:pt>
                <c:pt idx="53">
                  <c:v>1.3482000000000001</c:v>
                </c:pt>
                <c:pt idx="54">
                  <c:v>0.52959999999999996</c:v>
                </c:pt>
                <c:pt idx="55">
                  <c:v>0.72460000000000002</c:v>
                </c:pt>
                <c:pt idx="56">
                  <c:v>1.2285999999999999</c:v>
                </c:pt>
                <c:pt idx="57">
                  <c:v>1.097</c:v>
                </c:pt>
                <c:pt idx="58">
                  <c:v>0.66979999999999995</c:v>
                </c:pt>
                <c:pt idx="59">
                  <c:v>0.77859999999999996</c:v>
                </c:pt>
              </c:numCache>
            </c:numRef>
          </c:xVal>
          <c:yVal>
            <c:numRef>
              <c:f>'Диаграммы сравнения КРР корр'!$P$2:$P$61</c:f>
              <c:numCache>
                <c:formatCode>0.00</c:formatCode>
                <c:ptCount val="60"/>
                <c:pt idx="0">
                  <c:v>0.75870000000000004</c:v>
                </c:pt>
                <c:pt idx="1">
                  <c:v>0.94240000000000002</c:v>
                </c:pt>
                <c:pt idx="2">
                  <c:v>1.0918000000000001</c:v>
                </c:pt>
                <c:pt idx="3">
                  <c:v>0.89459999999999995</c:v>
                </c:pt>
                <c:pt idx="4">
                  <c:v>0.75270000000000004</c:v>
                </c:pt>
                <c:pt idx="5">
                  <c:v>0.96479999999999999</c:v>
                </c:pt>
                <c:pt idx="6">
                  <c:v>0.68359999999999999</c:v>
                </c:pt>
                <c:pt idx="7">
                  <c:v>0.7389</c:v>
                </c:pt>
                <c:pt idx="8">
                  <c:v>0.54369999999999996</c:v>
                </c:pt>
                <c:pt idx="9">
                  <c:v>0.48249999999999998</c:v>
                </c:pt>
                <c:pt idx="10">
                  <c:v>0.64870000000000005</c:v>
                </c:pt>
                <c:pt idx="11">
                  <c:v>0.72940000000000005</c:v>
                </c:pt>
                <c:pt idx="12">
                  <c:v>1.177</c:v>
                </c:pt>
                <c:pt idx="13">
                  <c:v>0.62780000000000002</c:v>
                </c:pt>
                <c:pt idx="14">
                  <c:v>0.65549999999999997</c:v>
                </c:pt>
                <c:pt idx="15">
                  <c:v>0.57689999999999997</c:v>
                </c:pt>
                <c:pt idx="16">
                  <c:v>0.3977</c:v>
                </c:pt>
                <c:pt idx="17">
                  <c:v>0.39150000000000001</c:v>
                </c:pt>
                <c:pt idx="18">
                  <c:v>0.68369999999999997</c:v>
                </c:pt>
                <c:pt idx="19">
                  <c:v>0.73499999999999999</c:v>
                </c:pt>
                <c:pt idx="20">
                  <c:v>0.89670000000000005</c:v>
                </c:pt>
                <c:pt idx="21">
                  <c:v>0.77580000000000005</c:v>
                </c:pt>
                <c:pt idx="22">
                  <c:v>0.97160000000000002</c:v>
                </c:pt>
                <c:pt idx="23">
                  <c:v>1.2556</c:v>
                </c:pt>
                <c:pt idx="24">
                  <c:v>0.65620000000000001</c:v>
                </c:pt>
                <c:pt idx="25">
                  <c:v>0.84099999999999997</c:v>
                </c:pt>
                <c:pt idx="26">
                  <c:v>0.74639999999999995</c:v>
                </c:pt>
                <c:pt idx="27">
                  <c:v>1.3566</c:v>
                </c:pt>
                <c:pt idx="28">
                  <c:v>1.8012999999999999</c:v>
                </c:pt>
                <c:pt idx="29">
                  <c:v>0.85570000000000002</c:v>
                </c:pt>
                <c:pt idx="30">
                  <c:v>1.0546</c:v>
                </c:pt>
                <c:pt idx="31">
                  <c:v>0.78</c:v>
                </c:pt>
                <c:pt idx="32">
                  <c:v>0.74450000000000005</c:v>
                </c:pt>
                <c:pt idx="33">
                  <c:v>1.0174000000000001</c:v>
                </c:pt>
                <c:pt idx="34">
                  <c:v>1.3005</c:v>
                </c:pt>
                <c:pt idx="35">
                  <c:v>0.82130000000000003</c:v>
                </c:pt>
                <c:pt idx="36">
                  <c:v>0.9556</c:v>
                </c:pt>
                <c:pt idx="37">
                  <c:v>1.0170999999999999</c:v>
                </c:pt>
                <c:pt idx="38">
                  <c:v>0.76829999999999998</c:v>
                </c:pt>
                <c:pt idx="39">
                  <c:v>1.1031</c:v>
                </c:pt>
                <c:pt idx="40">
                  <c:v>1.2197</c:v>
                </c:pt>
                <c:pt idx="41">
                  <c:v>1.5448999999999999</c:v>
                </c:pt>
                <c:pt idx="42">
                  <c:v>0.72140000000000004</c:v>
                </c:pt>
                <c:pt idx="43">
                  <c:v>0.53269999999999995</c:v>
                </c:pt>
                <c:pt idx="44">
                  <c:v>0.75949999999999995</c:v>
                </c:pt>
                <c:pt idx="45">
                  <c:v>0.43880000000000002</c:v>
                </c:pt>
                <c:pt idx="46">
                  <c:v>0.98670000000000002</c:v>
                </c:pt>
                <c:pt idx="47">
                  <c:v>0.70109999999999995</c:v>
                </c:pt>
                <c:pt idx="48">
                  <c:v>0.67259999999999998</c:v>
                </c:pt>
                <c:pt idx="49">
                  <c:v>0.9667</c:v>
                </c:pt>
                <c:pt idx="50">
                  <c:v>0.76900000000000002</c:v>
                </c:pt>
                <c:pt idx="51">
                  <c:v>1.2505999999999999</c:v>
                </c:pt>
                <c:pt idx="52">
                  <c:v>0.82020000000000004</c:v>
                </c:pt>
                <c:pt idx="53">
                  <c:v>1.1958</c:v>
                </c:pt>
                <c:pt idx="54">
                  <c:v>0.5827</c:v>
                </c:pt>
                <c:pt idx="55">
                  <c:v>0.70189999999999997</c:v>
                </c:pt>
                <c:pt idx="56">
                  <c:v>0.75770000000000004</c:v>
                </c:pt>
                <c:pt idx="57">
                  <c:v>0.93789999999999996</c:v>
                </c:pt>
                <c:pt idx="58">
                  <c:v>0.75180000000000002</c:v>
                </c:pt>
                <c:pt idx="59">
                  <c:v>0.60719999999999996</c:v>
                </c:pt>
              </c:numCache>
            </c:numRef>
          </c:yVal>
          <c:smooth val="0"/>
          <c:extLst>
            <c:ext xmlns:c16="http://schemas.microsoft.com/office/drawing/2014/chart" uri="{C3380CC4-5D6E-409C-BE32-E72D297353CC}">
              <c16:uniqueId val="{00000001-04E0-4676-84A2-27CEB69A48F1}"/>
            </c:ext>
          </c:extLst>
        </c:ser>
        <c:dLbls>
          <c:showLegendKey val="0"/>
          <c:showVal val="0"/>
          <c:showCatName val="0"/>
          <c:showSerName val="0"/>
          <c:showPercent val="0"/>
          <c:showBubbleSize val="0"/>
        </c:dLbls>
        <c:axId val="958762496"/>
        <c:axId val="958759168"/>
      </c:scatterChart>
      <c:valAx>
        <c:axId val="95876249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i="0" u="none" strike="noStrike" baseline="-25000">
                    <a:effectLst/>
                  </a:rPr>
                  <a:t>max</a:t>
                </a:r>
                <a:r>
                  <a:rPr lang="en-US" sz="1200" b="1"/>
                  <a:t> I</a:t>
                </a:r>
                <a:endParaRPr lang="ru-RU" sz="1200" b="1"/>
              </a:p>
            </c:rich>
          </c:tx>
          <c:overlay val="0"/>
          <c:spPr>
            <a:noFill/>
            <a:ln>
              <a:noFill/>
            </a:ln>
            <a:effectLst/>
          </c:spPr>
          <c:txPr>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958759168"/>
        <c:crosses val="autoZero"/>
        <c:crossBetween val="midCat"/>
      </c:valAx>
      <c:valAx>
        <c:axId val="9587591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i="0" u="none" strike="noStrike" baseline="-25000">
                    <a:effectLst/>
                  </a:rPr>
                  <a:t>max</a:t>
                </a:r>
                <a:r>
                  <a:rPr lang="en-US" sz="1200" b="1"/>
                  <a:t> II</a:t>
                </a:r>
                <a:endParaRPr lang="ru-RU" sz="1200" b="1"/>
              </a:p>
            </c:rich>
          </c:tx>
          <c:layout>
            <c:manualLayout>
              <c:xMode val="edge"/>
              <c:yMode val="edge"/>
              <c:x val="2.7777777777777776E-2"/>
              <c:y val="0.33555956547098281"/>
            </c:manualLayout>
          </c:layout>
          <c:overlay val="0"/>
          <c:spPr>
            <a:noFill/>
            <a:ln>
              <a:noFill/>
            </a:ln>
            <a:effectLst/>
          </c:spPr>
          <c:txPr>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95876249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RP</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scatterChart>
        <c:scatterStyle val="lineMarker"/>
        <c:varyColors val="0"/>
        <c:ser>
          <c:idx val="0"/>
          <c:order val="0"/>
          <c:tx>
            <c:strRef>
              <c:f>'Диаграммы сравнения КРР корр'!$Q$1</c:f>
              <c:strCache>
                <c:ptCount val="1"/>
                <c:pt idx="0">
                  <c:v>RP (II)</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'Диаграммы сравнения КРР корр'!$H$2:$H$61</c:f>
              <c:numCache>
                <c:formatCode>0.00</c:formatCode>
                <c:ptCount val="60"/>
                <c:pt idx="0">
                  <c:v>0.90720000000000001</c:v>
                </c:pt>
                <c:pt idx="1">
                  <c:v>0.82799999999999996</c:v>
                </c:pt>
                <c:pt idx="2">
                  <c:v>1.0501</c:v>
                </c:pt>
                <c:pt idx="3">
                  <c:v>0.86299999999999999</c:v>
                </c:pt>
                <c:pt idx="4">
                  <c:v>1.2715000000000001</c:v>
                </c:pt>
                <c:pt idx="5">
                  <c:v>1.121</c:v>
                </c:pt>
                <c:pt idx="6">
                  <c:v>1.5311999999999999</c:v>
                </c:pt>
                <c:pt idx="7">
                  <c:v>1.0337000000000001</c:v>
                </c:pt>
                <c:pt idx="8">
                  <c:v>1.0737000000000001</c:v>
                </c:pt>
                <c:pt idx="9">
                  <c:v>0.63839999999999997</c:v>
                </c:pt>
                <c:pt idx="10">
                  <c:v>1.4131</c:v>
                </c:pt>
                <c:pt idx="11">
                  <c:v>1.4077999999999999</c:v>
                </c:pt>
                <c:pt idx="12">
                  <c:v>0.60829999999999995</c:v>
                </c:pt>
                <c:pt idx="13">
                  <c:v>0.95399999999999996</c:v>
                </c:pt>
                <c:pt idx="14">
                  <c:v>0.55710000000000004</c:v>
                </c:pt>
                <c:pt idx="15">
                  <c:v>0.50719999999999998</c:v>
                </c:pt>
                <c:pt idx="16">
                  <c:v>0.81489999999999996</c:v>
                </c:pt>
                <c:pt idx="17">
                  <c:v>0.53190000000000004</c:v>
                </c:pt>
                <c:pt idx="18">
                  <c:v>0.80289999999999995</c:v>
                </c:pt>
                <c:pt idx="19">
                  <c:v>0.84089999999999998</c:v>
                </c:pt>
                <c:pt idx="20">
                  <c:v>0.9234</c:v>
                </c:pt>
                <c:pt idx="21">
                  <c:v>0.3649</c:v>
                </c:pt>
                <c:pt idx="22">
                  <c:v>0.59919999999999995</c:v>
                </c:pt>
                <c:pt idx="23">
                  <c:v>0.58450000000000002</c:v>
                </c:pt>
                <c:pt idx="24">
                  <c:v>0.72899999999999998</c:v>
                </c:pt>
                <c:pt idx="25">
                  <c:v>0.51080000000000003</c:v>
                </c:pt>
                <c:pt idx="26">
                  <c:v>0.91569999999999996</c:v>
                </c:pt>
                <c:pt idx="27">
                  <c:v>0.52200000000000002</c:v>
                </c:pt>
                <c:pt idx="28">
                  <c:v>0.92279999999999995</c:v>
                </c:pt>
                <c:pt idx="29">
                  <c:v>0.88470000000000004</c:v>
                </c:pt>
                <c:pt idx="30">
                  <c:v>1.1920999999999999</c:v>
                </c:pt>
                <c:pt idx="31">
                  <c:v>3.903</c:v>
                </c:pt>
                <c:pt idx="32">
                  <c:v>0.61699999999999999</c:v>
                </c:pt>
                <c:pt idx="33">
                  <c:v>1.2392000000000001</c:v>
                </c:pt>
                <c:pt idx="34">
                  <c:v>0.81859999999999999</c:v>
                </c:pt>
                <c:pt idx="35">
                  <c:v>0.59509999999999996</c:v>
                </c:pt>
                <c:pt idx="36">
                  <c:v>1.2827999999999999</c:v>
                </c:pt>
                <c:pt idx="37">
                  <c:v>1.1893</c:v>
                </c:pt>
                <c:pt idx="38">
                  <c:v>1.1037999999999999</c:v>
                </c:pt>
                <c:pt idx="39">
                  <c:v>0.74339999999999995</c:v>
                </c:pt>
                <c:pt idx="40">
                  <c:v>0.95289999999999997</c:v>
                </c:pt>
                <c:pt idx="41">
                  <c:v>0.53869999999999996</c:v>
                </c:pt>
                <c:pt idx="42">
                  <c:v>1.1963999999999999</c:v>
                </c:pt>
                <c:pt idx="43">
                  <c:v>0.69799999999999995</c:v>
                </c:pt>
                <c:pt idx="44">
                  <c:v>0.75</c:v>
                </c:pt>
                <c:pt idx="45">
                  <c:v>0.46939999999999998</c:v>
                </c:pt>
                <c:pt idx="46">
                  <c:v>0.86680000000000001</c:v>
                </c:pt>
                <c:pt idx="47">
                  <c:v>0.65539999999999998</c:v>
                </c:pt>
                <c:pt idx="48">
                  <c:v>0.84889999999999999</c:v>
                </c:pt>
                <c:pt idx="49">
                  <c:v>1.3254999999999999</c:v>
                </c:pt>
                <c:pt idx="50">
                  <c:v>1.6477999999999999</c:v>
                </c:pt>
                <c:pt idx="51">
                  <c:v>0.74070000000000003</c:v>
                </c:pt>
                <c:pt idx="52">
                  <c:v>0.81100000000000005</c:v>
                </c:pt>
                <c:pt idx="53">
                  <c:v>1.4662999999999999</c:v>
                </c:pt>
                <c:pt idx="54">
                  <c:v>0.89139999999999997</c:v>
                </c:pt>
                <c:pt idx="55">
                  <c:v>1.5969</c:v>
                </c:pt>
                <c:pt idx="56">
                  <c:v>1.355</c:v>
                </c:pt>
                <c:pt idx="57">
                  <c:v>1.7184999999999999</c:v>
                </c:pt>
                <c:pt idx="58">
                  <c:v>0.95689999999999997</c:v>
                </c:pt>
                <c:pt idx="59">
                  <c:v>1.2072000000000001</c:v>
                </c:pt>
              </c:numCache>
            </c:numRef>
          </c:xVal>
          <c:yVal>
            <c:numRef>
              <c:f>'Диаграммы сравнения КРР корр'!$Q$2:$Q$61</c:f>
              <c:numCache>
                <c:formatCode>0.00</c:formatCode>
                <c:ptCount val="60"/>
                <c:pt idx="0">
                  <c:v>1.1286</c:v>
                </c:pt>
                <c:pt idx="1">
                  <c:v>0.94510000000000005</c:v>
                </c:pt>
                <c:pt idx="2">
                  <c:v>0.86850000000000005</c:v>
                </c:pt>
                <c:pt idx="3">
                  <c:v>0.50309999999999999</c:v>
                </c:pt>
                <c:pt idx="4">
                  <c:v>1.256</c:v>
                </c:pt>
                <c:pt idx="5">
                  <c:v>1.0871</c:v>
                </c:pt>
                <c:pt idx="6">
                  <c:v>0.54179999999999995</c:v>
                </c:pt>
                <c:pt idx="7">
                  <c:v>1.1129</c:v>
                </c:pt>
                <c:pt idx="8">
                  <c:v>0.4093</c:v>
                </c:pt>
                <c:pt idx="9">
                  <c:v>0.38700000000000001</c:v>
                </c:pt>
                <c:pt idx="10">
                  <c:v>0.66920000000000002</c:v>
                </c:pt>
                <c:pt idx="11">
                  <c:v>0.90749999999999997</c:v>
                </c:pt>
                <c:pt idx="12">
                  <c:v>0.61719999999999997</c:v>
                </c:pt>
                <c:pt idx="13">
                  <c:v>0.83250000000000002</c:v>
                </c:pt>
                <c:pt idx="14">
                  <c:v>0.77470000000000006</c:v>
                </c:pt>
                <c:pt idx="15">
                  <c:v>0.65349999999999997</c:v>
                </c:pt>
                <c:pt idx="16">
                  <c:v>0.2525</c:v>
                </c:pt>
                <c:pt idx="17">
                  <c:v>0.48330000000000001</c:v>
                </c:pt>
                <c:pt idx="18">
                  <c:v>0.76190000000000002</c:v>
                </c:pt>
                <c:pt idx="19">
                  <c:v>0.84889999999999999</c:v>
                </c:pt>
                <c:pt idx="20">
                  <c:v>1.1039000000000001</c:v>
                </c:pt>
                <c:pt idx="21">
                  <c:v>1.0829</c:v>
                </c:pt>
                <c:pt idx="22">
                  <c:v>1.3113999999999999</c:v>
                </c:pt>
                <c:pt idx="23">
                  <c:v>1.7635000000000001</c:v>
                </c:pt>
                <c:pt idx="24">
                  <c:v>1.2072000000000001</c:v>
                </c:pt>
                <c:pt idx="25">
                  <c:v>1.0810999999999999</c:v>
                </c:pt>
                <c:pt idx="26">
                  <c:v>0.83489999999999998</c:v>
                </c:pt>
                <c:pt idx="27">
                  <c:v>1.3021</c:v>
                </c:pt>
                <c:pt idx="28">
                  <c:v>1.071</c:v>
                </c:pt>
                <c:pt idx="29">
                  <c:v>1.3406</c:v>
                </c:pt>
                <c:pt idx="30">
                  <c:v>1.3704000000000001</c:v>
                </c:pt>
                <c:pt idx="31">
                  <c:v>1.3908</c:v>
                </c:pt>
                <c:pt idx="32">
                  <c:v>0.93940000000000001</c:v>
                </c:pt>
                <c:pt idx="33">
                  <c:v>1.488</c:v>
                </c:pt>
                <c:pt idx="34">
                  <c:v>1.4757</c:v>
                </c:pt>
                <c:pt idx="35">
                  <c:v>0.96499999999999997</c:v>
                </c:pt>
                <c:pt idx="36">
                  <c:v>1.3976999999999999</c:v>
                </c:pt>
                <c:pt idx="37">
                  <c:v>0.81410000000000005</c:v>
                </c:pt>
                <c:pt idx="38">
                  <c:v>1.3057000000000001</c:v>
                </c:pt>
                <c:pt idx="39">
                  <c:v>1.5057</c:v>
                </c:pt>
                <c:pt idx="40">
                  <c:v>1.4330000000000001</c:v>
                </c:pt>
                <c:pt idx="41">
                  <c:v>1.0153000000000001</c:v>
                </c:pt>
                <c:pt idx="42">
                  <c:v>0.92420000000000002</c:v>
                </c:pt>
                <c:pt idx="43">
                  <c:v>0.86750000000000005</c:v>
                </c:pt>
                <c:pt idx="44">
                  <c:v>1.4715</c:v>
                </c:pt>
                <c:pt idx="45">
                  <c:v>0.76959999999999995</c:v>
                </c:pt>
                <c:pt idx="46">
                  <c:v>1.0523</c:v>
                </c:pt>
                <c:pt idx="47">
                  <c:v>0.91310000000000002</c:v>
                </c:pt>
                <c:pt idx="48">
                  <c:v>1.026</c:v>
                </c:pt>
                <c:pt idx="49">
                  <c:v>0.74670000000000003</c:v>
                </c:pt>
                <c:pt idx="50">
                  <c:v>0.9768</c:v>
                </c:pt>
                <c:pt idx="51">
                  <c:v>1.1664000000000001</c:v>
                </c:pt>
                <c:pt idx="52">
                  <c:v>0.97629999999999995</c:v>
                </c:pt>
                <c:pt idx="53">
                  <c:v>1.1846000000000001</c:v>
                </c:pt>
                <c:pt idx="54">
                  <c:v>0.7581</c:v>
                </c:pt>
                <c:pt idx="55">
                  <c:v>1.1096999999999999</c:v>
                </c:pt>
                <c:pt idx="56">
                  <c:v>1.2589999999999999</c:v>
                </c:pt>
                <c:pt idx="57">
                  <c:v>1.0118</c:v>
                </c:pt>
                <c:pt idx="58">
                  <c:v>1.1486000000000001</c:v>
                </c:pt>
                <c:pt idx="59">
                  <c:v>0.92090000000000005</c:v>
                </c:pt>
              </c:numCache>
            </c:numRef>
          </c:yVal>
          <c:smooth val="0"/>
          <c:extLst>
            <c:ext xmlns:c16="http://schemas.microsoft.com/office/drawing/2014/chart" uri="{C3380CC4-5D6E-409C-BE32-E72D297353CC}">
              <c16:uniqueId val="{00000001-A73E-42CE-8DAF-F108CD4321B7}"/>
            </c:ext>
          </c:extLst>
        </c:ser>
        <c:dLbls>
          <c:showLegendKey val="0"/>
          <c:showVal val="0"/>
          <c:showCatName val="0"/>
          <c:showSerName val="0"/>
          <c:showPercent val="0"/>
          <c:showBubbleSize val="0"/>
        </c:dLbls>
        <c:axId val="1251638000"/>
        <c:axId val="1251634672"/>
      </c:scatterChart>
      <c:valAx>
        <c:axId val="12516380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i="0" u="none" strike="noStrike" baseline="-25000">
                    <a:effectLst/>
                  </a:rPr>
                  <a:t>max</a:t>
                </a:r>
                <a:r>
                  <a:rPr lang="en-US" sz="1200" b="1"/>
                  <a:t> I</a:t>
                </a:r>
                <a:endParaRPr lang="ru-RU" sz="1200" b="1"/>
              </a:p>
            </c:rich>
          </c:tx>
          <c:overlay val="0"/>
          <c:spPr>
            <a:noFill/>
            <a:ln>
              <a:noFill/>
            </a:ln>
            <a:effectLst/>
          </c:spPr>
          <c:txPr>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51634672"/>
        <c:crosses val="autoZero"/>
        <c:crossBetween val="midCat"/>
      </c:valAx>
      <c:valAx>
        <c:axId val="12516346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i="0" u="none" strike="noStrike" baseline="-25000">
                    <a:effectLst/>
                  </a:rPr>
                  <a:t>max</a:t>
                </a:r>
                <a:r>
                  <a:rPr lang="en-US" sz="1200" b="1"/>
                  <a:t> II</a:t>
                </a:r>
                <a:endParaRPr lang="ru-RU" sz="1200" b="1"/>
              </a:p>
            </c:rich>
          </c:tx>
          <c:overlay val="0"/>
          <c:spPr>
            <a:noFill/>
            <a:ln>
              <a:noFill/>
            </a:ln>
            <a:effectLst/>
          </c:spPr>
          <c:txPr>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5163800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RLI</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scatterChart>
        <c:scatterStyle val="lineMarker"/>
        <c:varyColors val="0"/>
        <c:ser>
          <c:idx val="0"/>
          <c:order val="0"/>
          <c:tx>
            <c:strRef>
              <c:f>'Диаграммы сравнения КРР корр'!$R$1</c:f>
              <c:strCache>
                <c:ptCount val="1"/>
                <c:pt idx="0">
                  <c:v>RLI (II)</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'Диаграммы сравнения КРР корр'!$I$2:$I$61</c:f>
              <c:numCache>
                <c:formatCode>0.00</c:formatCode>
                <c:ptCount val="60"/>
                <c:pt idx="0">
                  <c:v>0.97509999999999997</c:v>
                </c:pt>
                <c:pt idx="1">
                  <c:v>0.66300000000000003</c:v>
                </c:pt>
                <c:pt idx="2">
                  <c:v>0.75209999999999999</c:v>
                </c:pt>
                <c:pt idx="3">
                  <c:v>1.5349999999999999</c:v>
                </c:pt>
                <c:pt idx="4">
                  <c:v>0.77759999999999996</c:v>
                </c:pt>
                <c:pt idx="5">
                  <c:v>0.84730000000000005</c:v>
                </c:pt>
                <c:pt idx="6">
                  <c:v>1.6128</c:v>
                </c:pt>
                <c:pt idx="7">
                  <c:v>0.90480000000000005</c:v>
                </c:pt>
                <c:pt idx="8">
                  <c:v>0.87490000000000001</c:v>
                </c:pt>
                <c:pt idx="9">
                  <c:v>0.46889999999999998</c:v>
                </c:pt>
                <c:pt idx="10">
                  <c:v>0.58779999999999999</c:v>
                </c:pt>
                <c:pt idx="11">
                  <c:v>1.2330000000000001</c:v>
                </c:pt>
                <c:pt idx="12">
                  <c:v>0.40820000000000001</c:v>
                </c:pt>
                <c:pt idx="13">
                  <c:v>0.51819999999999999</c:v>
                </c:pt>
                <c:pt idx="14">
                  <c:v>0.58909999999999996</c:v>
                </c:pt>
                <c:pt idx="15">
                  <c:v>0.39910000000000001</c:v>
                </c:pt>
                <c:pt idx="16">
                  <c:v>0.48089999999999999</c:v>
                </c:pt>
                <c:pt idx="17">
                  <c:v>0.44800000000000001</c:v>
                </c:pt>
                <c:pt idx="18">
                  <c:v>0.59209999999999996</c:v>
                </c:pt>
                <c:pt idx="19">
                  <c:v>0.86150000000000004</c:v>
                </c:pt>
                <c:pt idx="20">
                  <c:v>0.50429999999999997</c:v>
                </c:pt>
                <c:pt idx="21">
                  <c:v>0.2087</c:v>
                </c:pt>
                <c:pt idx="22">
                  <c:v>0.63419999999999999</c:v>
                </c:pt>
                <c:pt idx="23">
                  <c:v>0.74219999999999997</c:v>
                </c:pt>
                <c:pt idx="24">
                  <c:v>0.50919999999999999</c:v>
                </c:pt>
                <c:pt idx="25">
                  <c:v>0.38319999999999999</c:v>
                </c:pt>
                <c:pt idx="26">
                  <c:v>0.86770000000000003</c:v>
                </c:pt>
                <c:pt idx="27">
                  <c:v>0.25790000000000002</c:v>
                </c:pt>
                <c:pt idx="28">
                  <c:v>0.46300000000000002</c:v>
                </c:pt>
                <c:pt idx="29">
                  <c:v>0.65859999999999996</c:v>
                </c:pt>
                <c:pt idx="30">
                  <c:v>0.86980000000000002</c:v>
                </c:pt>
                <c:pt idx="31">
                  <c:v>2.4015</c:v>
                </c:pt>
                <c:pt idx="32">
                  <c:v>0.52890000000000004</c:v>
                </c:pt>
                <c:pt idx="33">
                  <c:v>0.99880000000000002</c:v>
                </c:pt>
                <c:pt idx="34">
                  <c:v>0.58550000000000002</c:v>
                </c:pt>
                <c:pt idx="35">
                  <c:v>0.55840000000000001</c:v>
                </c:pt>
                <c:pt idx="36">
                  <c:v>1.1792</c:v>
                </c:pt>
                <c:pt idx="37">
                  <c:v>1.0827</c:v>
                </c:pt>
                <c:pt idx="38">
                  <c:v>0.77100000000000002</c:v>
                </c:pt>
                <c:pt idx="39">
                  <c:v>0.60129999999999995</c:v>
                </c:pt>
                <c:pt idx="40">
                  <c:v>0.73050000000000004</c:v>
                </c:pt>
                <c:pt idx="41">
                  <c:v>0.29909999999999998</c:v>
                </c:pt>
                <c:pt idx="42">
                  <c:v>0.84389999999999998</c:v>
                </c:pt>
                <c:pt idx="43">
                  <c:v>0.48420000000000002</c:v>
                </c:pt>
                <c:pt idx="44">
                  <c:v>0.58809999999999996</c:v>
                </c:pt>
                <c:pt idx="45">
                  <c:v>0.25819999999999999</c:v>
                </c:pt>
                <c:pt idx="46">
                  <c:v>0.75190000000000001</c:v>
                </c:pt>
                <c:pt idx="47">
                  <c:v>0.48949999999999999</c:v>
                </c:pt>
                <c:pt idx="48">
                  <c:v>1.0703</c:v>
                </c:pt>
                <c:pt idx="49">
                  <c:v>1.056</c:v>
                </c:pt>
                <c:pt idx="50">
                  <c:v>2.0392000000000001</c:v>
                </c:pt>
                <c:pt idx="51">
                  <c:v>0.5948</c:v>
                </c:pt>
                <c:pt idx="52">
                  <c:v>0.82210000000000005</c:v>
                </c:pt>
                <c:pt idx="53">
                  <c:v>1.1634</c:v>
                </c:pt>
                <c:pt idx="54">
                  <c:v>0.66439999999999999</c:v>
                </c:pt>
                <c:pt idx="55">
                  <c:v>0.59530000000000005</c:v>
                </c:pt>
                <c:pt idx="56">
                  <c:v>0.69940000000000002</c:v>
                </c:pt>
                <c:pt idx="57">
                  <c:v>0.81159999999999999</c:v>
                </c:pt>
                <c:pt idx="58">
                  <c:v>0.79049999999999998</c:v>
                </c:pt>
                <c:pt idx="59">
                  <c:v>0.93030000000000002</c:v>
                </c:pt>
              </c:numCache>
            </c:numRef>
          </c:xVal>
          <c:yVal>
            <c:numRef>
              <c:f>'Диаграммы сравнения КРР корр'!$R$2:$R$61</c:f>
              <c:numCache>
                <c:formatCode>0.00</c:formatCode>
                <c:ptCount val="60"/>
                <c:pt idx="0">
                  <c:v>0.72860000000000003</c:v>
                </c:pt>
                <c:pt idx="1">
                  <c:v>0.83150000000000002</c:v>
                </c:pt>
                <c:pt idx="2">
                  <c:v>0.64949999999999997</c:v>
                </c:pt>
                <c:pt idx="3">
                  <c:v>0.87309999999999999</c:v>
                </c:pt>
                <c:pt idx="4">
                  <c:v>0.4002</c:v>
                </c:pt>
                <c:pt idx="5">
                  <c:v>0.86040000000000005</c:v>
                </c:pt>
                <c:pt idx="6">
                  <c:v>0.54790000000000005</c:v>
                </c:pt>
                <c:pt idx="7">
                  <c:v>0.75490000000000002</c:v>
                </c:pt>
                <c:pt idx="8">
                  <c:v>0.31879999999999997</c:v>
                </c:pt>
                <c:pt idx="9">
                  <c:v>0.2097</c:v>
                </c:pt>
                <c:pt idx="10">
                  <c:v>0.68830000000000002</c:v>
                </c:pt>
                <c:pt idx="11">
                  <c:v>0.65090000000000003</c:v>
                </c:pt>
                <c:pt idx="12">
                  <c:v>0.57010000000000005</c:v>
                </c:pt>
                <c:pt idx="13">
                  <c:v>0.57089999999999996</c:v>
                </c:pt>
                <c:pt idx="14">
                  <c:v>0.50539999999999996</c:v>
                </c:pt>
                <c:pt idx="15">
                  <c:v>0.40350000000000003</c:v>
                </c:pt>
                <c:pt idx="16">
                  <c:v>0.33129999999999998</c:v>
                </c:pt>
                <c:pt idx="17">
                  <c:v>0.22770000000000001</c:v>
                </c:pt>
                <c:pt idx="18">
                  <c:v>0.63360000000000005</c:v>
                </c:pt>
                <c:pt idx="19">
                  <c:v>1.0981000000000001</c:v>
                </c:pt>
                <c:pt idx="20">
                  <c:v>1.8640000000000001</c:v>
                </c:pt>
                <c:pt idx="21">
                  <c:v>1.1307</c:v>
                </c:pt>
                <c:pt idx="22">
                  <c:v>1.1420999999999999</c:v>
                </c:pt>
                <c:pt idx="23">
                  <c:v>0.76539999999999997</c:v>
                </c:pt>
                <c:pt idx="24">
                  <c:v>0.7863</c:v>
                </c:pt>
                <c:pt idx="25">
                  <c:v>1.1938</c:v>
                </c:pt>
                <c:pt idx="26">
                  <c:v>1.6591</c:v>
                </c:pt>
                <c:pt idx="27">
                  <c:v>1.2516</c:v>
                </c:pt>
                <c:pt idx="28">
                  <c:v>1.1910000000000001</c:v>
                </c:pt>
                <c:pt idx="29">
                  <c:v>0.85329999999999995</c:v>
                </c:pt>
                <c:pt idx="30">
                  <c:v>1.3098000000000001</c:v>
                </c:pt>
                <c:pt idx="31">
                  <c:v>0.88109999999999999</c:v>
                </c:pt>
                <c:pt idx="32">
                  <c:v>0.80869999999999997</c:v>
                </c:pt>
                <c:pt idx="33">
                  <c:v>1.1071</c:v>
                </c:pt>
                <c:pt idx="34">
                  <c:v>1.0580000000000001</c:v>
                </c:pt>
                <c:pt idx="35">
                  <c:v>0.75639999999999996</c:v>
                </c:pt>
                <c:pt idx="36">
                  <c:v>0.83740000000000003</c:v>
                </c:pt>
                <c:pt idx="37">
                  <c:v>0.69689999999999996</c:v>
                </c:pt>
                <c:pt idx="38">
                  <c:v>1.0094000000000001</c:v>
                </c:pt>
                <c:pt idx="39">
                  <c:v>1.0066999999999999</c:v>
                </c:pt>
                <c:pt idx="40">
                  <c:v>0.87170000000000003</c:v>
                </c:pt>
                <c:pt idx="41">
                  <c:v>0.54200000000000004</c:v>
                </c:pt>
                <c:pt idx="42">
                  <c:v>0.87319999999999998</c:v>
                </c:pt>
                <c:pt idx="43">
                  <c:v>0.6643</c:v>
                </c:pt>
                <c:pt idx="44">
                  <c:v>0.85070000000000001</c:v>
                </c:pt>
                <c:pt idx="45">
                  <c:v>0.4234</c:v>
                </c:pt>
                <c:pt idx="46">
                  <c:v>1.1306</c:v>
                </c:pt>
                <c:pt idx="47">
                  <c:v>0.65559999999999996</c:v>
                </c:pt>
                <c:pt idx="48">
                  <c:v>0.81850000000000001</c:v>
                </c:pt>
                <c:pt idx="49">
                  <c:v>1.1359999999999999</c:v>
                </c:pt>
                <c:pt idx="50">
                  <c:v>0.72399999999999998</c:v>
                </c:pt>
                <c:pt idx="51">
                  <c:v>1.0266</c:v>
                </c:pt>
                <c:pt idx="52">
                  <c:v>0.95350000000000001</c:v>
                </c:pt>
                <c:pt idx="53">
                  <c:v>0.99450000000000005</c:v>
                </c:pt>
                <c:pt idx="54">
                  <c:v>0.70860000000000001</c:v>
                </c:pt>
                <c:pt idx="55">
                  <c:v>0.96589999999999998</c:v>
                </c:pt>
                <c:pt idx="56">
                  <c:v>1.1347</c:v>
                </c:pt>
                <c:pt idx="57">
                  <c:v>0.51080000000000003</c:v>
                </c:pt>
                <c:pt idx="58">
                  <c:v>0.78510000000000002</c:v>
                </c:pt>
                <c:pt idx="59">
                  <c:v>0.64870000000000005</c:v>
                </c:pt>
              </c:numCache>
            </c:numRef>
          </c:yVal>
          <c:smooth val="0"/>
          <c:extLst>
            <c:ext xmlns:c16="http://schemas.microsoft.com/office/drawing/2014/chart" uri="{C3380CC4-5D6E-409C-BE32-E72D297353CC}">
              <c16:uniqueId val="{00000001-75A5-405B-9EA1-8B57FDA85E00}"/>
            </c:ext>
          </c:extLst>
        </c:ser>
        <c:dLbls>
          <c:showLegendKey val="0"/>
          <c:showVal val="0"/>
          <c:showCatName val="0"/>
          <c:showSerName val="0"/>
          <c:showPercent val="0"/>
          <c:showBubbleSize val="0"/>
        </c:dLbls>
        <c:axId val="1252401856"/>
        <c:axId val="1252398528"/>
      </c:scatterChart>
      <c:valAx>
        <c:axId val="125240185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i="0" u="none" strike="noStrike" baseline="-25000">
                    <a:effectLst/>
                  </a:rPr>
                  <a:t>max</a:t>
                </a:r>
                <a:r>
                  <a:rPr lang="en-US" sz="1200" b="1"/>
                  <a:t> I</a:t>
                </a:r>
                <a:endParaRPr lang="ru-RU" sz="1200" b="1"/>
              </a:p>
            </c:rich>
          </c:tx>
          <c:overlay val="0"/>
          <c:spPr>
            <a:noFill/>
            <a:ln>
              <a:noFill/>
            </a:ln>
            <a:effectLst/>
          </c:spPr>
          <c:txPr>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52398528"/>
        <c:crosses val="autoZero"/>
        <c:crossBetween val="midCat"/>
      </c:valAx>
      <c:valAx>
        <c:axId val="12523985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i="0" u="none" strike="noStrike" baseline="-25000">
                    <a:effectLst/>
                  </a:rPr>
                  <a:t>max</a:t>
                </a:r>
                <a:r>
                  <a:rPr lang="en-US" sz="1200" b="1"/>
                  <a:t> II</a:t>
                </a:r>
                <a:endParaRPr lang="ru-RU" sz="1200" b="1"/>
              </a:p>
            </c:rich>
          </c:tx>
          <c:overlay val="0"/>
          <c:spPr>
            <a:noFill/>
            <a:ln>
              <a:noFill/>
            </a:ln>
            <a:effectLst/>
          </c:spPr>
          <c:txPr>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5240185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P</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scatterChart>
        <c:scatterStyle val="lineMarker"/>
        <c:varyColors val="0"/>
        <c:ser>
          <c:idx val="0"/>
          <c:order val="0"/>
          <c:tx>
            <c:strRef>
              <c:f>'Диаграммы сравнения КРР корр'!$S$1</c:f>
              <c:strCache>
                <c:ptCount val="1"/>
                <c:pt idx="0">
                  <c:v>P (II)</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'Диаграммы сравнения КРР корр'!$J$2:$J$61</c:f>
              <c:numCache>
                <c:formatCode>0.00</c:formatCode>
                <c:ptCount val="60"/>
                <c:pt idx="0">
                  <c:v>1.4847999999999999</c:v>
                </c:pt>
                <c:pt idx="1">
                  <c:v>1.8121</c:v>
                </c:pt>
                <c:pt idx="2">
                  <c:v>1.0331999999999999</c:v>
                </c:pt>
                <c:pt idx="3">
                  <c:v>1.2092000000000001</c:v>
                </c:pt>
                <c:pt idx="4">
                  <c:v>1.2238</c:v>
                </c:pt>
                <c:pt idx="5">
                  <c:v>1.1717</c:v>
                </c:pt>
                <c:pt idx="6">
                  <c:v>1.1789000000000001</c:v>
                </c:pt>
                <c:pt idx="7">
                  <c:v>1.1093</c:v>
                </c:pt>
                <c:pt idx="8">
                  <c:v>0.97440000000000004</c:v>
                </c:pt>
                <c:pt idx="9">
                  <c:v>1.1459999999999999</c:v>
                </c:pt>
                <c:pt idx="10">
                  <c:v>0.53449999999999998</c:v>
                </c:pt>
                <c:pt idx="11">
                  <c:v>1.8266</c:v>
                </c:pt>
                <c:pt idx="12">
                  <c:v>0.87170000000000003</c:v>
                </c:pt>
                <c:pt idx="13">
                  <c:v>0.92490000000000006</c:v>
                </c:pt>
                <c:pt idx="14">
                  <c:v>0.55230000000000001</c:v>
                </c:pt>
                <c:pt idx="15">
                  <c:v>0.39810000000000001</c:v>
                </c:pt>
                <c:pt idx="16">
                  <c:v>0.87770000000000004</c:v>
                </c:pt>
                <c:pt idx="17">
                  <c:v>0.54139999999999999</c:v>
                </c:pt>
                <c:pt idx="18">
                  <c:v>0.67390000000000005</c:v>
                </c:pt>
                <c:pt idx="19">
                  <c:v>0.59419999999999995</c:v>
                </c:pt>
                <c:pt idx="20">
                  <c:v>0.96</c:v>
                </c:pt>
                <c:pt idx="21">
                  <c:v>0.44550000000000001</c:v>
                </c:pt>
                <c:pt idx="22">
                  <c:v>0.66590000000000005</c:v>
                </c:pt>
                <c:pt idx="23">
                  <c:v>0.66930000000000001</c:v>
                </c:pt>
                <c:pt idx="24">
                  <c:v>0.67379999999999995</c:v>
                </c:pt>
                <c:pt idx="25">
                  <c:v>0.63980000000000004</c:v>
                </c:pt>
                <c:pt idx="26">
                  <c:v>0.76429999999999998</c:v>
                </c:pt>
                <c:pt idx="27">
                  <c:v>0.55020000000000002</c:v>
                </c:pt>
                <c:pt idx="28">
                  <c:v>0.45850000000000002</c:v>
                </c:pt>
                <c:pt idx="29">
                  <c:v>0.73109999999999997</c:v>
                </c:pt>
                <c:pt idx="30">
                  <c:v>1.1402000000000001</c:v>
                </c:pt>
                <c:pt idx="31">
                  <c:v>1.2663</c:v>
                </c:pt>
                <c:pt idx="32">
                  <c:v>0.58199999999999996</c:v>
                </c:pt>
                <c:pt idx="33">
                  <c:v>1.5062</c:v>
                </c:pt>
                <c:pt idx="34">
                  <c:v>0.72140000000000004</c:v>
                </c:pt>
                <c:pt idx="35">
                  <c:v>0.71860000000000002</c:v>
                </c:pt>
                <c:pt idx="36">
                  <c:v>0.88549999999999995</c:v>
                </c:pt>
                <c:pt idx="37">
                  <c:v>1.1406000000000001</c:v>
                </c:pt>
                <c:pt idx="38">
                  <c:v>0.71050000000000002</c:v>
                </c:pt>
                <c:pt idx="39">
                  <c:v>0.62060000000000004</c:v>
                </c:pt>
                <c:pt idx="40">
                  <c:v>0.71120000000000005</c:v>
                </c:pt>
                <c:pt idx="41">
                  <c:v>0.52880000000000005</c:v>
                </c:pt>
                <c:pt idx="42">
                  <c:v>1.0996999999999999</c:v>
                </c:pt>
                <c:pt idx="43">
                  <c:v>0.61019999999999996</c:v>
                </c:pt>
                <c:pt idx="44">
                  <c:v>0.65669999999999995</c:v>
                </c:pt>
                <c:pt idx="45">
                  <c:v>0.48</c:v>
                </c:pt>
                <c:pt idx="46">
                  <c:v>0.88700000000000001</c:v>
                </c:pt>
                <c:pt idx="47">
                  <c:v>0.77490000000000003</c:v>
                </c:pt>
                <c:pt idx="48">
                  <c:v>0.99929999999999997</c:v>
                </c:pt>
                <c:pt idx="49">
                  <c:v>1.1751</c:v>
                </c:pt>
                <c:pt idx="50">
                  <c:v>2.3134000000000001</c:v>
                </c:pt>
                <c:pt idx="51">
                  <c:v>0.79759999999999998</c:v>
                </c:pt>
                <c:pt idx="52">
                  <c:v>0.6139</c:v>
                </c:pt>
                <c:pt idx="53">
                  <c:v>0.90080000000000005</c:v>
                </c:pt>
                <c:pt idx="54">
                  <c:v>0.95220000000000005</c:v>
                </c:pt>
                <c:pt idx="55">
                  <c:v>0.95389999999999997</c:v>
                </c:pt>
                <c:pt idx="56">
                  <c:v>0.91249999999999998</c:v>
                </c:pt>
                <c:pt idx="57">
                  <c:v>1.0181</c:v>
                </c:pt>
                <c:pt idx="58">
                  <c:v>0.7177</c:v>
                </c:pt>
                <c:pt idx="59">
                  <c:v>1.0193000000000001</c:v>
                </c:pt>
              </c:numCache>
            </c:numRef>
          </c:xVal>
          <c:yVal>
            <c:numRef>
              <c:f>'Диаграммы сравнения КРР корр'!$S$2:$S$61</c:f>
              <c:numCache>
                <c:formatCode>0.00</c:formatCode>
                <c:ptCount val="60"/>
                <c:pt idx="0">
                  <c:v>1.5133000000000001</c:v>
                </c:pt>
                <c:pt idx="1">
                  <c:v>1.0019</c:v>
                </c:pt>
                <c:pt idx="2">
                  <c:v>1.0350999999999999</c:v>
                </c:pt>
                <c:pt idx="3">
                  <c:v>0.76590000000000003</c:v>
                </c:pt>
                <c:pt idx="4">
                  <c:v>1.0443</c:v>
                </c:pt>
                <c:pt idx="5">
                  <c:v>0.79830000000000001</c:v>
                </c:pt>
                <c:pt idx="6">
                  <c:v>0.67869999999999997</c:v>
                </c:pt>
                <c:pt idx="7">
                  <c:v>0.66720000000000002</c:v>
                </c:pt>
                <c:pt idx="8">
                  <c:v>0.59840000000000004</c:v>
                </c:pt>
                <c:pt idx="9">
                  <c:v>0.51859999999999995</c:v>
                </c:pt>
                <c:pt idx="10">
                  <c:v>0.54149999999999998</c:v>
                </c:pt>
                <c:pt idx="11">
                  <c:v>0.61719999999999997</c:v>
                </c:pt>
                <c:pt idx="12">
                  <c:v>0.96809999999999996</c:v>
                </c:pt>
                <c:pt idx="13">
                  <c:v>0.65800000000000003</c:v>
                </c:pt>
                <c:pt idx="14">
                  <c:v>0.44519999999999998</c:v>
                </c:pt>
                <c:pt idx="15">
                  <c:v>0.47370000000000001</c:v>
                </c:pt>
                <c:pt idx="16">
                  <c:v>0.42670000000000002</c:v>
                </c:pt>
                <c:pt idx="17">
                  <c:v>0.39369999999999999</c:v>
                </c:pt>
                <c:pt idx="18">
                  <c:v>0.81510000000000005</c:v>
                </c:pt>
                <c:pt idx="19">
                  <c:v>0.99929999999999997</c:v>
                </c:pt>
                <c:pt idx="20">
                  <c:v>1.4012</c:v>
                </c:pt>
                <c:pt idx="21">
                  <c:v>1.1213</c:v>
                </c:pt>
                <c:pt idx="22">
                  <c:v>1.1651</c:v>
                </c:pt>
                <c:pt idx="23">
                  <c:v>0.95440000000000003</c:v>
                </c:pt>
                <c:pt idx="24">
                  <c:v>0.89510000000000001</c:v>
                </c:pt>
                <c:pt idx="25">
                  <c:v>1.2557</c:v>
                </c:pt>
                <c:pt idx="26">
                  <c:v>1.1238999999999999</c:v>
                </c:pt>
                <c:pt idx="27">
                  <c:v>1.2000999999999999</c:v>
                </c:pt>
                <c:pt idx="28">
                  <c:v>0.85809999999999997</c:v>
                </c:pt>
                <c:pt idx="29">
                  <c:v>0.8851</c:v>
                </c:pt>
                <c:pt idx="30">
                  <c:v>1.7332000000000001</c:v>
                </c:pt>
                <c:pt idx="31">
                  <c:v>1.304</c:v>
                </c:pt>
                <c:pt idx="32">
                  <c:v>0.97070000000000001</c:v>
                </c:pt>
                <c:pt idx="33">
                  <c:v>0.92869999999999997</c:v>
                </c:pt>
                <c:pt idx="34">
                  <c:v>1.1701999999999999</c:v>
                </c:pt>
                <c:pt idx="35">
                  <c:v>0.98229999999999995</c:v>
                </c:pt>
                <c:pt idx="36">
                  <c:v>0.95509999999999995</c:v>
                </c:pt>
                <c:pt idx="37">
                  <c:v>0.90080000000000005</c:v>
                </c:pt>
                <c:pt idx="38">
                  <c:v>1.488</c:v>
                </c:pt>
                <c:pt idx="39">
                  <c:v>1.153</c:v>
                </c:pt>
                <c:pt idx="40">
                  <c:v>0.70730000000000004</c:v>
                </c:pt>
                <c:pt idx="41">
                  <c:v>1.026</c:v>
                </c:pt>
                <c:pt idx="42">
                  <c:v>0.90490000000000004</c:v>
                </c:pt>
                <c:pt idx="43">
                  <c:v>0.89100000000000001</c:v>
                </c:pt>
                <c:pt idx="44">
                  <c:v>0.9748</c:v>
                </c:pt>
                <c:pt idx="45">
                  <c:v>1.1034999999999999</c:v>
                </c:pt>
                <c:pt idx="46">
                  <c:v>1.2935000000000001</c:v>
                </c:pt>
                <c:pt idx="47">
                  <c:v>1.1982999999999999</c:v>
                </c:pt>
                <c:pt idx="48">
                  <c:v>2.6678000000000002</c:v>
                </c:pt>
                <c:pt idx="49">
                  <c:v>1.0373000000000001</c:v>
                </c:pt>
                <c:pt idx="50">
                  <c:v>1.0567</c:v>
                </c:pt>
                <c:pt idx="51">
                  <c:v>1.0683</c:v>
                </c:pt>
                <c:pt idx="52">
                  <c:v>0.92710000000000004</c:v>
                </c:pt>
                <c:pt idx="53">
                  <c:v>0.85029999999999994</c:v>
                </c:pt>
                <c:pt idx="54">
                  <c:v>0.93620000000000003</c:v>
                </c:pt>
                <c:pt idx="55">
                  <c:v>0.89649999999999996</c:v>
                </c:pt>
                <c:pt idx="56">
                  <c:v>1.1849000000000001</c:v>
                </c:pt>
                <c:pt idx="57">
                  <c:v>0.52810000000000001</c:v>
                </c:pt>
                <c:pt idx="58">
                  <c:v>1.0690999999999999</c:v>
                </c:pt>
                <c:pt idx="59">
                  <c:v>1.1962999999999999</c:v>
                </c:pt>
              </c:numCache>
            </c:numRef>
          </c:yVal>
          <c:smooth val="0"/>
          <c:extLst>
            <c:ext xmlns:c16="http://schemas.microsoft.com/office/drawing/2014/chart" uri="{C3380CC4-5D6E-409C-BE32-E72D297353CC}">
              <c16:uniqueId val="{00000001-9C5A-4609-9639-15E34D224E05}"/>
            </c:ext>
          </c:extLst>
        </c:ser>
        <c:dLbls>
          <c:showLegendKey val="0"/>
          <c:showVal val="0"/>
          <c:showCatName val="0"/>
          <c:showSerName val="0"/>
          <c:showPercent val="0"/>
          <c:showBubbleSize val="0"/>
        </c:dLbls>
        <c:axId val="1273364352"/>
        <c:axId val="1273358112"/>
      </c:scatterChart>
      <c:valAx>
        <c:axId val="127336435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i="0" u="none" strike="noStrike" baseline="-25000">
                    <a:effectLst/>
                  </a:rPr>
                  <a:t>max</a:t>
                </a:r>
                <a:r>
                  <a:rPr lang="en-US" sz="1200" b="1"/>
                  <a:t> I</a:t>
                </a:r>
                <a:endParaRPr lang="ru-RU" sz="1200" b="1"/>
              </a:p>
            </c:rich>
          </c:tx>
          <c:overlay val="0"/>
          <c:spPr>
            <a:noFill/>
            <a:ln>
              <a:noFill/>
            </a:ln>
            <a:effectLst/>
          </c:spPr>
          <c:txPr>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73358112"/>
        <c:crosses val="autoZero"/>
        <c:crossBetween val="midCat"/>
      </c:valAx>
      <c:valAx>
        <c:axId val="12733581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i="0" u="none" strike="noStrike" baseline="-25000">
                    <a:effectLst/>
                  </a:rPr>
                  <a:t>max</a:t>
                </a:r>
                <a:r>
                  <a:rPr lang="en-US" sz="1200" b="1"/>
                  <a:t> II</a:t>
                </a:r>
                <a:endParaRPr lang="ru-RU" sz="1200" b="1"/>
              </a:p>
            </c:rich>
          </c:tx>
          <c:overlay val="0"/>
          <c:spPr>
            <a:noFill/>
            <a:ln>
              <a:noFill/>
            </a:ln>
            <a:effectLst/>
          </c:spPr>
          <c:txPr>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7336435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pivotSource>
    <c:name>[К занятию 9 ЭРЯ и КРР глава 2.xlsx]ОХ FIGO РЯ!Сводная таблица21</c:name>
    <c:fmtId val="-1"/>
  </c:pivotSource>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1"/>
              <a:t>Стадия </a:t>
            </a:r>
            <a:r>
              <a:rPr lang="en-US" sz="1200" b="1"/>
              <a:t>FIGO</a:t>
            </a:r>
            <a:endParaRPr lang="ru-RU"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'ОХ FIGO РЯ'!$B$3</c:f>
              <c:strCache>
                <c:ptCount val="1"/>
                <c:pt idx="0">
                  <c:v>Итог</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'ОХ FIGO РЯ'!$A$4:$A$6</c:f>
              <c:strCache>
                <c:ptCount val="3"/>
                <c:pt idx="0">
                  <c:v>I</c:v>
                </c:pt>
                <c:pt idx="1">
                  <c:v>II</c:v>
                </c:pt>
                <c:pt idx="2">
                  <c:v>III</c:v>
                </c:pt>
              </c:strCache>
            </c:strRef>
          </c:cat>
          <c:val>
            <c:numRef>
              <c:f>'ОХ FIGO РЯ'!$B$4:$B$6</c:f>
              <c:numCache>
                <c:formatCode>General</c:formatCode>
                <c:ptCount val="3"/>
                <c:pt idx="0">
                  <c:v>8</c:v>
                </c:pt>
                <c:pt idx="1">
                  <c:v>13</c:v>
                </c:pt>
                <c:pt idx="2">
                  <c:v>32</c:v>
                </c:pt>
              </c:numCache>
            </c:numRef>
          </c:val>
          <c:extLst>
            <c:ext xmlns:c16="http://schemas.microsoft.com/office/drawing/2014/chart" uri="{C3380CC4-5D6E-409C-BE32-E72D297353CC}">
              <c16:uniqueId val="{00000000-F285-4888-A36B-58B1E0E5C357}"/>
            </c:ext>
          </c:extLst>
        </c:ser>
        <c:dLbls>
          <c:dLblPos val="outEnd"/>
          <c:showLegendKey val="0"/>
          <c:showVal val="1"/>
          <c:showCatName val="0"/>
          <c:showSerName val="0"/>
          <c:showPercent val="0"/>
          <c:showBubbleSize val="0"/>
        </c:dLbls>
        <c:gapWidth val="219"/>
        <c:overlap val="-27"/>
        <c:axId val="1921087167"/>
        <c:axId val="1921085503"/>
      </c:barChart>
      <c:catAx>
        <c:axId val="19210871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21085503"/>
        <c:crosses val="autoZero"/>
        <c:auto val="1"/>
        <c:lblAlgn val="ctr"/>
        <c:lblOffset val="100"/>
        <c:noMultiLvlLbl val="0"/>
      </c:catAx>
      <c:valAx>
        <c:axId val="192108550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2108716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 xmlns:c16="http://schemas.microsoft.com/office/drawing/2014/chart" uri="{E28EC0CA-F0BB-4C9C-879D-F8772B89E7AC}">
      <c16:pivotOptions16>
        <c16:showExpandCollapseFieldButtons val="1"/>
      </c16:pivotOptions16>
    </c:ext>
  </c:extLst>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pivotSource>
    <c:name>[К занятию 9 ЭРЯ и КРР глава 2.xlsx]ОХ гист РЯ!Сводная таблица30</c:name>
    <c:fmtId val="-1"/>
  </c:pivotSource>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1"/>
              <a:t>Гистология</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'ОХ гист РЯ'!$B$3</c:f>
              <c:strCache>
                <c:ptCount val="1"/>
                <c:pt idx="0">
                  <c:v>Итог</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'ОХ гист РЯ'!$A$4:$A$6</c:f>
              <c:strCache>
                <c:ptCount val="3"/>
                <c:pt idx="0">
                  <c:v>I</c:v>
                </c:pt>
                <c:pt idx="1">
                  <c:v>II</c:v>
                </c:pt>
                <c:pt idx="2">
                  <c:v>III</c:v>
                </c:pt>
              </c:strCache>
            </c:strRef>
          </c:cat>
          <c:val>
            <c:numRef>
              <c:f>'ОХ гист РЯ'!$B$4:$B$6</c:f>
              <c:numCache>
                <c:formatCode>General</c:formatCode>
                <c:ptCount val="3"/>
                <c:pt idx="0">
                  <c:v>21</c:v>
                </c:pt>
                <c:pt idx="1">
                  <c:v>15</c:v>
                </c:pt>
                <c:pt idx="2">
                  <c:v>17</c:v>
                </c:pt>
              </c:numCache>
            </c:numRef>
          </c:val>
          <c:extLst>
            <c:ext xmlns:c16="http://schemas.microsoft.com/office/drawing/2014/chart" uri="{C3380CC4-5D6E-409C-BE32-E72D297353CC}">
              <c16:uniqueId val="{00000000-B114-4538-997A-858C161C21AF}"/>
            </c:ext>
          </c:extLst>
        </c:ser>
        <c:dLbls>
          <c:dLblPos val="outEnd"/>
          <c:showLegendKey val="0"/>
          <c:showVal val="1"/>
          <c:showCatName val="0"/>
          <c:showSerName val="0"/>
          <c:showPercent val="0"/>
          <c:showBubbleSize val="0"/>
        </c:dLbls>
        <c:gapWidth val="219"/>
        <c:overlap val="-27"/>
        <c:axId val="1681081695"/>
        <c:axId val="1681081279"/>
      </c:barChart>
      <c:catAx>
        <c:axId val="1681081695"/>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81081279"/>
        <c:crosses val="autoZero"/>
        <c:auto val="1"/>
        <c:lblAlgn val="ctr"/>
        <c:lblOffset val="100"/>
        <c:noMultiLvlLbl val="0"/>
      </c:catAx>
      <c:valAx>
        <c:axId val="168108127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8108169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 xmlns:c16="http://schemas.microsoft.com/office/drawing/2014/chart" uri="{E28EC0CA-F0BB-4C9C-879D-F8772B89E7AC}">
      <c16:pivotOptions16>
        <c16:showExpandCollapseFieldButtons val="1"/>
      </c16:pivotOptions16>
    </c:ext>
  </c:extLst>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9525" cap="rnd">
              <a:solidFill>
                <a:schemeClr val="accent1"/>
              </a:solidFill>
              <a:round/>
            </a:ln>
            <a:effectLst>
              <a:outerShdw blurRad="57150" dist="19050" dir="5400000" algn="ctr" rotWithShape="0">
                <a:srgbClr val="000000">
                  <a:alpha val="63000"/>
                </a:srgbClr>
              </a:outerShdw>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cap="rnd">
                <a:solidFill>
                  <a:schemeClr val="accent1"/>
                </a:solidFill>
                <a:round/>
              </a:ln>
              <a:effectLst>
                <a:outerShdw blurRad="57150" dist="19050" dir="5400000" algn="ctr" rotWithShape="0">
                  <a:srgbClr val="000000">
                    <a:alpha val="63000"/>
                  </a:srgbClr>
                </a:outerShdw>
              </a:effectLst>
            </c:spPr>
          </c:marker>
          <c:dLbls>
            <c:dLbl>
              <c:idx val="16"/>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059-4274-84EB-F5CFCB2E182A}"/>
                </c:ext>
              </c:extLst>
            </c:dLbl>
            <c:dLbl>
              <c:idx val="21"/>
              <c:layout>
                <c:manualLayout>
                  <c:x val="-2.2662913922770107E-2"/>
                  <c:y val="3.84860147277190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059-4274-84EB-F5CFCB2E182A}"/>
                </c:ext>
              </c:extLst>
            </c:dLbl>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ln>
              <a:effectLst/>
            </c:spPr>
            <c:trendlineType val="linear"/>
            <c:dispRSqr val="0"/>
            <c:dispEq val="0"/>
          </c:trendline>
          <c:xVal>
            <c:numRef>
              <c:f>'\Users\HP\Desktop\Диссертация по главам\КРР\[+ Data CRC Покровский.xlsx]КРР свод'!$A$2:$A$61</c:f>
              <c:numCache>
                <c:formatCode>General</c:formatCode>
                <c:ptCount val="6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numCache>
            </c:numRef>
          </c:xVal>
          <c:yVal>
            <c:numRef>
              <c:f>'\Users\HP\Desktop\Диссертация по главам\КРР\[+ Data CRC Покровский.xlsx]КРР свод'!$C$2:$C$61</c:f>
              <c:numCache>
                <c:formatCode>General</c:formatCode>
                <c:ptCount val="60"/>
                <c:pt idx="0">
                  <c:v>70</c:v>
                </c:pt>
                <c:pt idx="1">
                  <c:v>57</c:v>
                </c:pt>
                <c:pt idx="2">
                  <c:v>60</c:v>
                </c:pt>
                <c:pt idx="3">
                  <c:v>68</c:v>
                </c:pt>
                <c:pt idx="4">
                  <c:v>74</c:v>
                </c:pt>
                <c:pt idx="5">
                  <c:v>41</c:v>
                </c:pt>
                <c:pt idx="6">
                  <c:v>74</c:v>
                </c:pt>
                <c:pt idx="7">
                  <c:v>68</c:v>
                </c:pt>
                <c:pt idx="8">
                  <c:v>57</c:v>
                </c:pt>
                <c:pt idx="9">
                  <c:v>62</c:v>
                </c:pt>
                <c:pt idx="10">
                  <c:v>75</c:v>
                </c:pt>
                <c:pt idx="11">
                  <c:v>60</c:v>
                </c:pt>
                <c:pt idx="12">
                  <c:v>76</c:v>
                </c:pt>
                <c:pt idx="13">
                  <c:v>47</c:v>
                </c:pt>
                <c:pt idx="14">
                  <c:v>62</c:v>
                </c:pt>
                <c:pt idx="15">
                  <c:v>58</c:v>
                </c:pt>
                <c:pt idx="16">
                  <c:v>81</c:v>
                </c:pt>
                <c:pt idx="17">
                  <c:v>54</c:v>
                </c:pt>
                <c:pt idx="18">
                  <c:v>58</c:v>
                </c:pt>
                <c:pt idx="19">
                  <c:v>61</c:v>
                </c:pt>
                <c:pt idx="20">
                  <c:v>68</c:v>
                </c:pt>
                <c:pt idx="21">
                  <c:v>39</c:v>
                </c:pt>
                <c:pt idx="22">
                  <c:v>45</c:v>
                </c:pt>
                <c:pt idx="23">
                  <c:v>40</c:v>
                </c:pt>
                <c:pt idx="24">
                  <c:v>59</c:v>
                </c:pt>
                <c:pt idx="25">
                  <c:v>64</c:v>
                </c:pt>
                <c:pt idx="26">
                  <c:v>63</c:v>
                </c:pt>
                <c:pt idx="27">
                  <c:v>52</c:v>
                </c:pt>
                <c:pt idx="28">
                  <c:v>44</c:v>
                </c:pt>
                <c:pt idx="29">
                  <c:v>65</c:v>
                </c:pt>
                <c:pt idx="30">
                  <c:v>68</c:v>
                </c:pt>
                <c:pt idx="31">
                  <c:v>58</c:v>
                </c:pt>
                <c:pt idx="32">
                  <c:v>58</c:v>
                </c:pt>
                <c:pt idx="33">
                  <c:v>55</c:v>
                </c:pt>
                <c:pt idx="34">
                  <c:v>66</c:v>
                </c:pt>
                <c:pt idx="35">
                  <c:v>77</c:v>
                </c:pt>
                <c:pt idx="36">
                  <c:v>73</c:v>
                </c:pt>
                <c:pt idx="37">
                  <c:v>63</c:v>
                </c:pt>
                <c:pt idx="38">
                  <c:v>56</c:v>
                </c:pt>
                <c:pt idx="39">
                  <c:v>49</c:v>
                </c:pt>
                <c:pt idx="40">
                  <c:v>69</c:v>
                </c:pt>
                <c:pt idx="41">
                  <c:v>64</c:v>
                </c:pt>
                <c:pt idx="42">
                  <c:v>41</c:v>
                </c:pt>
                <c:pt idx="43">
                  <c:v>51</c:v>
                </c:pt>
                <c:pt idx="44">
                  <c:v>59</c:v>
                </c:pt>
                <c:pt idx="45">
                  <c:v>42</c:v>
                </c:pt>
                <c:pt idx="46">
                  <c:v>57</c:v>
                </c:pt>
                <c:pt idx="47">
                  <c:v>63</c:v>
                </c:pt>
                <c:pt idx="48">
                  <c:v>62</c:v>
                </c:pt>
                <c:pt idx="49">
                  <c:v>71</c:v>
                </c:pt>
                <c:pt idx="50">
                  <c:v>68</c:v>
                </c:pt>
                <c:pt idx="51">
                  <c:v>69</c:v>
                </c:pt>
                <c:pt idx="52">
                  <c:v>41</c:v>
                </c:pt>
                <c:pt idx="53">
                  <c:v>68</c:v>
                </c:pt>
                <c:pt idx="54">
                  <c:v>57</c:v>
                </c:pt>
                <c:pt idx="55">
                  <c:v>67</c:v>
                </c:pt>
                <c:pt idx="56">
                  <c:v>56</c:v>
                </c:pt>
                <c:pt idx="57">
                  <c:v>47</c:v>
                </c:pt>
                <c:pt idx="58">
                  <c:v>50</c:v>
                </c:pt>
                <c:pt idx="59">
                  <c:v>60</c:v>
                </c:pt>
              </c:numCache>
            </c:numRef>
          </c:yVal>
          <c:smooth val="0"/>
          <c:extLst>
            <c:ext xmlns:c16="http://schemas.microsoft.com/office/drawing/2014/chart" uri="{C3380CC4-5D6E-409C-BE32-E72D297353CC}">
              <c16:uniqueId val="{00000002-E059-4274-84EB-F5CFCB2E182A}"/>
            </c:ext>
          </c:extLst>
        </c:ser>
        <c:dLbls>
          <c:showLegendKey val="0"/>
          <c:showVal val="0"/>
          <c:showCatName val="0"/>
          <c:showSerName val="0"/>
          <c:showPercent val="0"/>
          <c:showBubbleSize val="0"/>
        </c:dLbls>
        <c:axId val="1745468463"/>
        <c:axId val="1745469711"/>
      </c:scatterChart>
      <c:valAx>
        <c:axId val="1745468463"/>
        <c:scaling>
          <c:orientation val="minMax"/>
          <c:max val="6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solidFill>
                      <a:sysClr val="windowText" lastClr="000000"/>
                    </a:solidFill>
                  </a:rPr>
                  <a:t>n (60), Me (60)</a:t>
                </a:r>
                <a:endParaRPr lang="ru-RU" sz="1200" b="1">
                  <a:solidFill>
                    <a:sysClr val="windowText" lastClr="000000"/>
                  </a:solidFill>
                </a:endParaRPr>
              </a:p>
            </c:rich>
          </c:tx>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45469711"/>
        <c:crosses val="autoZero"/>
        <c:crossBetween val="midCat"/>
      </c:valAx>
      <c:valAx>
        <c:axId val="1745469711"/>
        <c:scaling>
          <c:orientation val="minMax"/>
          <c:min val="3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1">
                    <a:solidFill>
                      <a:sysClr val="windowText" lastClr="000000"/>
                    </a:solidFill>
                  </a:rPr>
                  <a:t>Возраст</a:t>
                </a:r>
              </a:p>
            </c:rich>
          </c:tx>
          <c:layout>
            <c:manualLayout>
              <c:xMode val="edge"/>
              <c:yMode val="edge"/>
              <c:x val="7.8147979044034845E-3"/>
              <c:y val="0.40188445480065887"/>
            </c:manualLayout>
          </c:layout>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4546846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a:t>Пол (</a:t>
            </a:r>
            <a:r>
              <a:rPr lang="en-US"/>
              <a:t>n = 60</a:t>
            </a:r>
            <a:r>
              <a:rPr lang="ru-RU"/>
              <a:t>)</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КРР!$C$91</c:f>
              <c:strCache>
                <c:ptCount val="1"/>
                <c:pt idx="0">
                  <c:v>Пол</c:v>
                </c:pt>
              </c:strCache>
            </c:strRef>
          </c:tx>
          <c:dPt>
            <c:idx val="0"/>
            <c:bubble3D val="0"/>
            <c:spPr>
              <a:solidFill>
                <a:srgbClr val="FFC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1-9464-4659-AE13-D0CF7CF1792A}"/>
              </c:ext>
            </c:extLst>
          </c:dPt>
          <c:dPt>
            <c:idx val="1"/>
            <c:bubble3D val="0"/>
            <c:spPr>
              <a:solidFill>
                <a:srgbClr val="00B0F0"/>
              </a:solidFill>
              <a:ln w="25400">
                <a:solidFill>
                  <a:schemeClr val="lt1"/>
                </a:solidFill>
              </a:ln>
              <a:effectLst/>
              <a:sp3d contourW="25400">
                <a:contourClr>
                  <a:schemeClr val="lt1"/>
                </a:contourClr>
              </a:sp3d>
            </c:spPr>
            <c:extLst>
              <c:ext xmlns:c16="http://schemas.microsoft.com/office/drawing/2014/chart" uri="{C3380CC4-5D6E-409C-BE32-E72D297353CC}">
                <c16:uniqueId val="{00000003-9464-4659-AE13-D0CF7CF1792A}"/>
              </c:ext>
            </c:extLst>
          </c:dPt>
          <c:dLbls>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КРР!$B$92:$B$93</c:f>
              <c:strCache>
                <c:ptCount val="2"/>
                <c:pt idx="0">
                  <c:v>Женщины (76,7%)</c:v>
                </c:pt>
                <c:pt idx="1">
                  <c:v>Мужчины (23,3%)</c:v>
                </c:pt>
              </c:strCache>
            </c:strRef>
          </c:cat>
          <c:val>
            <c:numRef>
              <c:f>КРР!$C$92:$C$93</c:f>
              <c:numCache>
                <c:formatCode>General</c:formatCode>
                <c:ptCount val="2"/>
                <c:pt idx="0">
                  <c:v>46</c:v>
                </c:pt>
                <c:pt idx="1">
                  <c:v>14</c:v>
                </c:pt>
              </c:numCache>
            </c:numRef>
          </c:val>
          <c:extLst>
            <c:ext xmlns:c16="http://schemas.microsoft.com/office/drawing/2014/chart" uri="{C3380CC4-5D6E-409C-BE32-E72D297353CC}">
              <c16:uniqueId val="{00000004-9464-4659-AE13-D0CF7CF1792A}"/>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1">
                <a:solidFill>
                  <a:sysClr val="windowText" lastClr="000000"/>
                </a:solidFill>
              </a:rPr>
              <a:t>Локализация</a:t>
            </a:r>
            <a:r>
              <a:rPr lang="ru-RU" sz="1200" b="1" baseline="0">
                <a:solidFill>
                  <a:sysClr val="windowText" lastClr="000000"/>
                </a:solidFill>
              </a:rPr>
              <a:t> первичной опухоли</a:t>
            </a:r>
            <a:endParaRPr lang="en-US" sz="1200" b="1">
              <a:solidFill>
                <a:sysClr val="windowText" lastClr="000000"/>
              </a:solidFill>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2777777777777778E-2"/>
          <c:y val="0.13223787167449139"/>
          <c:w val="0.88333333333333341"/>
          <c:h val="0.63525686049807151"/>
        </c:manualLayout>
      </c:layout>
      <c:pie3DChart>
        <c:varyColors val="1"/>
        <c:ser>
          <c:idx val="0"/>
          <c:order val="0"/>
          <c:tx>
            <c:strRef>
              <c:f>КРР!$C$106</c:f>
              <c:strCache>
                <c:ptCount val="1"/>
                <c:pt idx="0">
                  <c:v>n</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BE55-4EED-A9FE-46D7D5BD670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BE55-4EED-A9FE-46D7D5BD6709}"/>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BE55-4EED-A9FE-46D7D5BD6709}"/>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КРР!$B$107:$B$109</c:f>
              <c:strCache>
                <c:ptCount val="3"/>
                <c:pt idx="0">
                  <c:v>Ободочная кишка (33,3%)  </c:v>
                </c:pt>
                <c:pt idx="1">
                  <c:v>Сигмовидная кишка (31,7%)</c:v>
                </c:pt>
                <c:pt idx="2">
                  <c:v>Прямая кишка (35,0%)</c:v>
                </c:pt>
              </c:strCache>
            </c:strRef>
          </c:cat>
          <c:val>
            <c:numRef>
              <c:f>КРР!$C$107:$C$109</c:f>
              <c:numCache>
                <c:formatCode>General</c:formatCode>
                <c:ptCount val="3"/>
                <c:pt idx="0">
                  <c:v>20</c:v>
                </c:pt>
                <c:pt idx="1">
                  <c:v>19</c:v>
                </c:pt>
                <c:pt idx="2">
                  <c:v>21</c:v>
                </c:pt>
              </c:numCache>
            </c:numRef>
          </c:val>
          <c:extLst>
            <c:ext xmlns:c16="http://schemas.microsoft.com/office/drawing/2014/chart" uri="{C3380CC4-5D6E-409C-BE32-E72D297353CC}">
              <c16:uniqueId val="{00000006-BE55-4EED-A9FE-46D7D5BD6709}"/>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2.342366579177602E-2"/>
          <c:y val="0.84965435658570843"/>
          <c:w val="0.97537489063867011"/>
          <c:h val="0.12687146501053564"/>
        </c:manualLayout>
      </c:layout>
      <c:overlay val="0"/>
      <c:spPr>
        <a:noFill/>
        <a:ln>
          <a:noFill/>
        </a:ln>
        <a:effectLst/>
      </c:spPr>
      <c:txPr>
        <a:bodyPr rot="0" spcFirstLastPara="1" vertOverflow="ellipsis" vert="horz" wrap="square" anchor="ctr" anchorCtr="1"/>
        <a:lstStyle/>
        <a:p>
          <a:pPr>
            <a:defRPr sz="7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pivotSource>
    <c:name>[К занятию 9 ЭРЯ и КРР глава 2.xlsx]ОХ Т КРР!Сводная таблица47</c:name>
    <c:fmtId val="-1"/>
  </c:pivotSource>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1"/>
              <a:t>Стадия </a:t>
            </a:r>
            <a:r>
              <a:rPr lang="en-US" sz="1200" b="1"/>
              <a:t>T</a:t>
            </a:r>
            <a:endParaRPr lang="ru-RU"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'ОХ Т КРР'!$B$3</c:f>
              <c:strCache>
                <c:ptCount val="1"/>
                <c:pt idx="0">
                  <c:v>Итог</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'ОХ Т КРР'!$A$4:$A$7</c:f>
              <c:strCache>
                <c:ptCount val="4"/>
                <c:pt idx="0">
                  <c:v>T1</c:v>
                </c:pt>
                <c:pt idx="1">
                  <c:v>T2</c:v>
                </c:pt>
                <c:pt idx="2">
                  <c:v>T3</c:v>
                </c:pt>
                <c:pt idx="3">
                  <c:v>T4</c:v>
                </c:pt>
              </c:strCache>
            </c:strRef>
          </c:cat>
          <c:val>
            <c:numRef>
              <c:f>'ОХ Т КРР'!$B$4:$B$7</c:f>
              <c:numCache>
                <c:formatCode>General</c:formatCode>
                <c:ptCount val="4"/>
                <c:pt idx="0">
                  <c:v>1</c:v>
                </c:pt>
                <c:pt idx="1">
                  <c:v>9</c:v>
                </c:pt>
                <c:pt idx="2">
                  <c:v>28</c:v>
                </c:pt>
                <c:pt idx="3">
                  <c:v>22</c:v>
                </c:pt>
              </c:numCache>
            </c:numRef>
          </c:val>
          <c:extLst>
            <c:ext xmlns:c16="http://schemas.microsoft.com/office/drawing/2014/chart" uri="{C3380CC4-5D6E-409C-BE32-E72D297353CC}">
              <c16:uniqueId val="{00000000-0863-4BC1-81FC-8A4FDEDFDDA1}"/>
            </c:ext>
          </c:extLst>
        </c:ser>
        <c:dLbls>
          <c:dLblPos val="outEnd"/>
          <c:showLegendKey val="0"/>
          <c:showVal val="1"/>
          <c:showCatName val="0"/>
          <c:showSerName val="0"/>
          <c:showPercent val="0"/>
          <c:showBubbleSize val="0"/>
        </c:dLbls>
        <c:gapWidth val="219"/>
        <c:overlap val="-27"/>
        <c:axId val="2054474175"/>
        <c:axId val="2054475007"/>
      </c:barChart>
      <c:catAx>
        <c:axId val="20544741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54475007"/>
        <c:crosses val="autoZero"/>
        <c:auto val="1"/>
        <c:lblAlgn val="ctr"/>
        <c:lblOffset val="100"/>
        <c:noMultiLvlLbl val="0"/>
      </c:catAx>
      <c:valAx>
        <c:axId val="2054475007"/>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5447417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 xmlns:c16="http://schemas.microsoft.com/office/drawing/2014/chart" uri="{E28EC0CA-F0BB-4C9C-879D-F8772B89E7AC}">
      <c16:pivotOptions16>
        <c16:showExpandCollapseFieldButtons val="1"/>
      </c16:pivotOptions16>
    </c:ext>
  </c:extLst>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полу РЯ'!$A$2:$A$54</cx:f>
        <cx:lvl ptCount="53">
          <cx:pt idx="0">Ж</cx:pt>
          <cx:pt idx="1">Ж</cx:pt>
          <cx:pt idx="2">Ж</cx:pt>
          <cx:pt idx="3">Ж</cx:pt>
          <cx:pt idx="4">Ж</cx:pt>
          <cx:pt idx="5">Ж</cx:pt>
          <cx:pt idx="6">Ж</cx:pt>
          <cx:pt idx="7">Ж</cx:pt>
          <cx:pt idx="8">Ж</cx:pt>
          <cx:pt idx="9">Ж</cx:pt>
          <cx:pt idx="10">Ж</cx:pt>
          <cx:pt idx="11">Ж</cx:pt>
          <cx:pt idx="12">Ж</cx:pt>
          <cx:pt idx="13">Ж</cx:pt>
          <cx:pt idx="14">Ж</cx:pt>
          <cx:pt idx="15">Ж</cx:pt>
          <cx:pt idx="16">Ж</cx:pt>
          <cx:pt idx="17">Ж</cx:pt>
          <cx:pt idx="18">Ж</cx:pt>
          <cx:pt idx="19">Ж</cx:pt>
          <cx:pt idx="20">Ж</cx:pt>
          <cx:pt idx="21">Ж</cx:pt>
          <cx:pt idx="22">Ж</cx:pt>
          <cx:pt idx="23">Ж</cx:pt>
          <cx:pt idx="24">Ж</cx:pt>
          <cx:pt idx="25">Ж</cx:pt>
          <cx:pt idx="26">Ж</cx:pt>
          <cx:pt idx="27">Ж</cx:pt>
          <cx:pt idx="28">Ж</cx:pt>
          <cx:pt idx="29">Ж</cx:pt>
          <cx:pt idx="30">Ж</cx:pt>
          <cx:pt idx="31">Ж</cx:pt>
          <cx:pt idx="32">Ж</cx:pt>
          <cx:pt idx="33">Ж</cx:pt>
          <cx:pt idx="34">Ж</cx:pt>
          <cx:pt idx="35">Ж</cx:pt>
          <cx:pt idx="36">Ж</cx:pt>
          <cx:pt idx="37">Ж</cx:pt>
          <cx:pt idx="38">Ж</cx:pt>
          <cx:pt idx="39">Ж</cx:pt>
          <cx:pt idx="40">Ж</cx:pt>
          <cx:pt idx="41">Ж</cx:pt>
          <cx:pt idx="42">Ж</cx:pt>
          <cx:pt idx="43">Ж</cx:pt>
          <cx:pt idx="44">Ж</cx:pt>
          <cx:pt idx="45">Ж</cx:pt>
          <cx:pt idx="46">Ж</cx:pt>
          <cx:pt idx="47">Ж</cx:pt>
          <cx:pt idx="48">Ж</cx:pt>
          <cx:pt idx="49">Ж</cx:pt>
          <cx:pt idx="50">Ж</cx:pt>
          <cx:pt idx="51">Ж</cx:pt>
          <cx:pt idx="52">Ж</cx:pt>
        </cx:lvl>
      </cx:strDim>
      <cx:numDim type="val">
        <cx:f>'Ящик с усами  полу РЯ'!$B$2:$B$54</cx:f>
        <cx:lvl ptCount="53" formatCode="0,00">
          <cx:pt idx="0">0.87</cx:pt>
          <cx:pt idx="1">0.47999999999999998</cx:pt>
          <cx:pt idx="2">1.26</cx:pt>
          <cx:pt idx="3">0.53000000000000003</cx:pt>
          <cx:pt idx="4">0.62</cx:pt>
          <cx:pt idx="5">0.78000000000000003</cx:pt>
          <cx:pt idx="6">0.81000000000000005</cx:pt>
          <cx:pt idx="7">0.42999999999999999</cx:pt>
          <cx:pt idx="8">0.65000000000000002</cx:pt>
          <cx:pt idx="9">0.83999999999999997</cx:pt>
          <cx:pt idx="10">0.57999999999999996</cx:pt>
          <cx:pt idx="11">0.60999999999999999</cx:pt>
          <cx:pt idx="12">0.65000000000000002</cx:pt>
          <cx:pt idx="13">0.56000000000000005</cx:pt>
          <cx:pt idx="14">1.46</cx:pt>
          <cx:pt idx="15">0.79000000000000004</cx:pt>
          <cx:pt idx="16">0.44</cx:pt>
          <cx:pt idx="17">0.60999999999999999</cx:pt>
          <cx:pt idx="18">0.40000000000000002</cx:pt>
          <cx:pt idx="19">0.83999999999999997</cx:pt>
          <cx:pt idx="20">0.65000000000000002</cx:pt>
          <cx:pt idx="21">0.5</cx:pt>
          <cx:pt idx="22">1.29</cx:pt>
          <cx:pt idx="23">0.46000000000000002</cx:pt>
          <cx:pt idx="24">1.52</cx:pt>
          <cx:pt idx="25">0.54000000000000004</cx:pt>
          <cx:pt idx="26">0.19</cx:pt>
          <cx:pt idx="27">1.02</cx:pt>
          <cx:pt idx="28">1.9399999999999999</cx:pt>
          <cx:pt idx="29">0.77000000000000002</cx:pt>
          <cx:pt idx="30">0.69999999999999996</cx:pt>
          <cx:pt idx="31">1.1100000000000001</cx:pt>
          <cx:pt idx="32">1.45</cx:pt>
          <cx:pt idx="33">0.93999999999999995</cx:pt>
          <cx:pt idx="34">1.3</cx:pt>
          <cx:pt idx="35">1.1100000000000001</cx:pt>
          <cx:pt idx="36">1.8300000000000001</cx:pt>
          <cx:pt idx="37">1.05</cx:pt>
          <cx:pt idx="38">0.75</cx:pt>
          <cx:pt idx="39">1.5</cx:pt>
          <cx:pt idx="40">0.68999999999999995</cx:pt>
          <cx:pt idx="41">1.28</cx:pt>
          <cx:pt idx="42">1.3999999999999999</cx:pt>
          <cx:pt idx="43">0.82999999999999996</cx:pt>
          <cx:pt idx="44">1.96</cx:pt>
          <cx:pt idx="45">0.97999999999999998</cx:pt>
          <cx:pt idx="46">0.72999999999999998</cx:pt>
          <cx:pt idx="47">2.1200000000000001</cx:pt>
          <cx:pt idx="48">2.1000000000000001</cx:pt>
          <cx:pt idx="49">1.0600000000000001</cx:pt>
          <cx:pt idx="50">0.68000000000000005</cx:pt>
          <cx:pt idx="51">1.3600000000000001</cx:pt>
          <cx:pt idx="52">0.59999999999999998</cx:pt>
        </cx:lvl>
      </cx:numDim>
    </cx:data>
    <cx:data id="1">
      <cx:strDim type="cat">
        <cx:f>'Ящик с усами  полу РЯ'!$A$2:$A$54</cx:f>
        <cx:lvl ptCount="53">
          <cx:pt idx="0">Ж</cx:pt>
          <cx:pt idx="1">Ж</cx:pt>
          <cx:pt idx="2">Ж</cx:pt>
          <cx:pt idx="3">Ж</cx:pt>
          <cx:pt idx="4">Ж</cx:pt>
          <cx:pt idx="5">Ж</cx:pt>
          <cx:pt idx="6">Ж</cx:pt>
          <cx:pt idx="7">Ж</cx:pt>
          <cx:pt idx="8">Ж</cx:pt>
          <cx:pt idx="9">Ж</cx:pt>
          <cx:pt idx="10">Ж</cx:pt>
          <cx:pt idx="11">Ж</cx:pt>
          <cx:pt idx="12">Ж</cx:pt>
          <cx:pt idx="13">Ж</cx:pt>
          <cx:pt idx="14">Ж</cx:pt>
          <cx:pt idx="15">Ж</cx:pt>
          <cx:pt idx="16">Ж</cx:pt>
          <cx:pt idx="17">Ж</cx:pt>
          <cx:pt idx="18">Ж</cx:pt>
          <cx:pt idx="19">Ж</cx:pt>
          <cx:pt idx="20">Ж</cx:pt>
          <cx:pt idx="21">Ж</cx:pt>
          <cx:pt idx="22">Ж</cx:pt>
          <cx:pt idx="23">Ж</cx:pt>
          <cx:pt idx="24">Ж</cx:pt>
          <cx:pt idx="25">Ж</cx:pt>
          <cx:pt idx="26">Ж</cx:pt>
          <cx:pt idx="27">Ж</cx:pt>
          <cx:pt idx="28">Ж</cx:pt>
          <cx:pt idx="29">Ж</cx:pt>
          <cx:pt idx="30">Ж</cx:pt>
          <cx:pt idx="31">Ж</cx:pt>
          <cx:pt idx="32">Ж</cx:pt>
          <cx:pt idx="33">Ж</cx:pt>
          <cx:pt idx="34">Ж</cx:pt>
          <cx:pt idx="35">Ж</cx:pt>
          <cx:pt idx="36">Ж</cx:pt>
          <cx:pt idx="37">Ж</cx:pt>
          <cx:pt idx="38">Ж</cx:pt>
          <cx:pt idx="39">Ж</cx:pt>
          <cx:pt idx="40">Ж</cx:pt>
          <cx:pt idx="41">Ж</cx:pt>
          <cx:pt idx="42">Ж</cx:pt>
          <cx:pt idx="43">Ж</cx:pt>
          <cx:pt idx="44">Ж</cx:pt>
          <cx:pt idx="45">Ж</cx:pt>
          <cx:pt idx="46">Ж</cx:pt>
          <cx:pt idx="47">Ж</cx:pt>
          <cx:pt idx="48">Ж</cx:pt>
          <cx:pt idx="49">Ж</cx:pt>
          <cx:pt idx="50">Ж</cx:pt>
          <cx:pt idx="51">Ж</cx:pt>
          <cx:pt idx="52">Ж</cx:pt>
        </cx:lvl>
      </cx:strDim>
      <cx:numDim type="val">
        <cx:f>'Ящик с усами  полу РЯ'!$C$2:$C$54</cx:f>
        <cx:lvl ptCount="53" formatCode="0,00">
          <cx:pt idx="0">0.78000000000000003</cx:pt>
          <cx:pt idx="1">0.59999999999999998</cx:pt>
          <cx:pt idx="2">0.38</cx:pt>
          <cx:pt idx="3">0.39000000000000001</cx:pt>
          <cx:pt idx="4">0.66000000000000003</cx:pt>
          <cx:pt idx="5">0.53000000000000003</cx:pt>
          <cx:pt idx="6">0.5</cx:pt>
          <cx:pt idx="7">0.42999999999999999</cx:pt>
          <cx:pt idx="8">0.63</cx:pt>
          <cx:pt idx="9">0.75</cx:pt>
          <cx:pt idx="10">0.68000000000000005</cx:pt>
          <cx:pt idx="11">0.37</cx:pt>
          <cx:pt idx="12">0.54000000000000004</cx:pt>
          <cx:pt idx="13">0.57999999999999996</cx:pt>
          <cx:pt idx="14">0.41999999999999998</cx:pt>
          <cx:pt idx="15">0.73999999999999999</cx:pt>
          <cx:pt idx="16">0.78000000000000003</cx:pt>
          <cx:pt idx="17">0.94999999999999996</cx:pt>
          <cx:pt idx="18">0.40999999999999998</cx:pt>
          <cx:pt idx="19">0.54000000000000004</cx:pt>
          <cx:pt idx="20">0.48999999999999999</cx:pt>
          <cx:pt idx="21">0.62</cx:pt>
          <cx:pt idx="22">1.3799999999999999</cx:pt>
          <cx:pt idx="23">0.40999999999999998</cx:pt>
          <cx:pt idx="24">2</cx:pt>
          <cx:pt idx="25">0.56000000000000005</cx:pt>
          <cx:pt idx="26">0.40000000000000002</cx:pt>
          <cx:pt idx="27">0.68000000000000005</cx:pt>
          <cx:pt idx="28">1.48</cx:pt>
          <cx:pt idx="29">0.78000000000000003</cx:pt>
          <cx:pt idx="30">0.78000000000000003</cx:pt>
          <cx:pt idx="31">0.93999999999999995</cx:pt>
          <cx:pt idx="32">1.1799999999999999</cx:pt>
          <cx:pt idx="33">1.71</cx:pt>
          <cx:pt idx="34">1.9299999999999999</cx:pt>
          <cx:pt idx="35">0.89000000000000001</cx:pt>
          <cx:pt idx="36">1.25</cx:pt>
          <cx:pt idx="37">1.6299999999999999</cx:pt>
          <cx:pt idx="38">1.76</cx:pt>
          <cx:pt idx="39">1.1100000000000001</cx:pt>
          <cx:pt idx="40">0.47999999999999998</cx:pt>
          <cx:pt idx="41">0.54000000000000004</cx:pt>
          <cx:pt idx="42">0.98999999999999999</cx:pt>
          <cx:pt idx="43">1.1499999999999999</cx:pt>
          <cx:pt idx="44">0.82999999999999996</cx:pt>
          <cx:pt idx="45">0.85999999999999999</cx:pt>
          <cx:pt idx="46">1.0900000000000001</cx:pt>
          <cx:pt idx="47">1.1899999999999999</cx:pt>
          <cx:pt idx="48">0.96999999999999997</cx:pt>
          <cx:pt idx="49">0.80000000000000004</cx:pt>
          <cx:pt idx="50">1.4099999999999999</cx:pt>
          <cx:pt idx="51">0.63</cx:pt>
          <cx:pt idx="52">0.42999999999999999</cx:pt>
        </cx:lvl>
      </cx:numDim>
    </cx:data>
    <cx:data id="2">
      <cx:strDim type="cat">
        <cx:f>'Ящик с усами  полу РЯ'!$A$2:$A$54</cx:f>
        <cx:lvl ptCount="53">
          <cx:pt idx="0">Ж</cx:pt>
          <cx:pt idx="1">Ж</cx:pt>
          <cx:pt idx="2">Ж</cx:pt>
          <cx:pt idx="3">Ж</cx:pt>
          <cx:pt idx="4">Ж</cx:pt>
          <cx:pt idx="5">Ж</cx:pt>
          <cx:pt idx="6">Ж</cx:pt>
          <cx:pt idx="7">Ж</cx:pt>
          <cx:pt idx="8">Ж</cx:pt>
          <cx:pt idx="9">Ж</cx:pt>
          <cx:pt idx="10">Ж</cx:pt>
          <cx:pt idx="11">Ж</cx:pt>
          <cx:pt idx="12">Ж</cx:pt>
          <cx:pt idx="13">Ж</cx:pt>
          <cx:pt idx="14">Ж</cx:pt>
          <cx:pt idx="15">Ж</cx:pt>
          <cx:pt idx="16">Ж</cx:pt>
          <cx:pt idx="17">Ж</cx:pt>
          <cx:pt idx="18">Ж</cx:pt>
          <cx:pt idx="19">Ж</cx:pt>
          <cx:pt idx="20">Ж</cx:pt>
          <cx:pt idx="21">Ж</cx:pt>
          <cx:pt idx="22">Ж</cx:pt>
          <cx:pt idx="23">Ж</cx:pt>
          <cx:pt idx="24">Ж</cx:pt>
          <cx:pt idx="25">Ж</cx:pt>
          <cx:pt idx="26">Ж</cx:pt>
          <cx:pt idx="27">Ж</cx:pt>
          <cx:pt idx="28">Ж</cx:pt>
          <cx:pt idx="29">Ж</cx:pt>
          <cx:pt idx="30">Ж</cx:pt>
          <cx:pt idx="31">Ж</cx:pt>
          <cx:pt idx="32">Ж</cx:pt>
          <cx:pt idx="33">Ж</cx:pt>
          <cx:pt idx="34">Ж</cx:pt>
          <cx:pt idx="35">Ж</cx:pt>
          <cx:pt idx="36">Ж</cx:pt>
          <cx:pt idx="37">Ж</cx:pt>
          <cx:pt idx="38">Ж</cx:pt>
          <cx:pt idx="39">Ж</cx:pt>
          <cx:pt idx="40">Ж</cx:pt>
          <cx:pt idx="41">Ж</cx:pt>
          <cx:pt idx="42">Ж</cx:pt>
          <cx:pt idx="43">Ж</cx:pt>
          <cx:pt idx="44">Ж</cx:pt>
          <cx:pt idx="45">Ж</cx:pt>
          <cx:pt idx="46">Ж</cx:pt>
          <cx:pt idx="47">Ж</cx:pt>
          <cx:pt idx="48">Ж</cx:pt>
          <cx:pt idx="49">Ж</cx:pt>
          <cx:pt idx="50">Ж</cx:pt>
          <cx:pt idx="51">Ж</cx:pt>
          <cx:pt idx="52">Ж</cx:pt>
        </cx:lvl>
      </cx:strDim>
      <cx:numDim type="val">
        <cx:f>'Ящик с усами  полу РЯ'!$D$2:$D$54</cx:f>
        <cx:lvl ptCount="53" formatCode="0,00">
          <cx:pt idx="0">0.90000000000000002</cx:pt>
          <cx:pt idx="1">0.79000000000000004</cx:pt>
          <cx:pt idx="2">0.81999999999999995</cx:pt>
          <cx:pt idx="3">0.56000000000000005</cx:pt>
          <cx:pt idx="4">0.71999999999999997</cx:pt>
          <cx:pt idx="5">0.95999999999999996</cx:pt>
          <cx:pt idx="6">0.96999999999999997</cx:pt>
          <cx:pt idx="7">0.68000000000000005</cx:pt>
          <cx:pt idx="8">0.58999999999999997</cx:pt>
          <cx:pt idx="9">0.77000000000000002</cx:pt>
          <cx:pt idx="10">1.05</cx:pt>
          <cx:pt idx="11">0.71999999999999997</cx:pt>
          <cx:pt idx="12">1.0600000000000001</cx:pt>
          <cx:pt idx="13">0.66000000000000003</cx:pt>
          <cx:pt idx="14">0.65000000000000002</cx:pt>
          <cx:pt idx="15">0.72999999999999998</cx:pt>
          <cx:pt idx="16">0.55000000000000004</cx:pt>
          <cx:pt idx="17">0.71999999999999997</cx:pt>
          <cx:pt idx="18">0.42999999999999999</cx:pt>
          <cx:pt idx="19">0.92000000000000004</cx:pt>
          <cx:pt idx="20">0.56000000000000005</cx:pt>
          <cx:pt idx="21">0.93999999999999995</cx:pt>
          <cx:pt idx="22">1.55</cx:pt>
          <cx:pt idx="23">0.79000000000000004</cx:pt>
          <cx:pt idx="24">1.21</cx:pt>
          <cx:pt idx="25">0.81999999999999995</cx:pt>
          <cx:pt idx="26">0.46999999999999997</cx:pt>
          <cx:pt idx="27">0.67000000000000004</cx:pt>
          <cx:pt idx="28">2.0800000000000001</cx:pt>
          <cx:pt idx="29">1.1399999999999999</cx:pt>
          <cx:pt idx="30">1.46</cx:pt>
          <cx:pt idx="31">1.5</cx:pt>
          <cx:pt idx="32">1.05</cx:pt>
          <cx:pt idx="33">1.3799999999999999</cx:pt>
          <cx:pt idx="34">2.7799999999999998</cx:pt>
          <cx:pt idx="35">1.5700000000000001</cx:pt>
          <cx:pt idx="36">1.28</cx:pt>
          <cx:pt idx="37">0.96999999999999997</cx:pt>
          <cx:pt idx="38">1.1299999999999999</cx:pt>
          <cx:pt idx="39">1.4199999999999999</cx:pt>
          <cx:pt idx="40">0.47999999999999998</cx:pt>
          <cx:pt idx="41">1.02</cx:pt>
          <cx:pt idx="42">1.1200000000000001</cx:pt>
          <cx:pt idx="43">0.89000000000000001</cx:pt>
          <cx:pt idx="44">2.0800000000000001</cx:pt>
          <cx:pt idx="45">0.79000000000000004</cx:pt>
          <cx:pt idx="46">0.97999999999999998</cx:pt>
          <cx:pt idx="47">1.1699999999999999</cx:pt>
          <cx:pt idx="48">1.27</cx:pt>
          <cx:pt idx="49">1.45</cx:pt>
          <cx:pt idx="50">1.4099999999999999</cx:pt>
          <cx:pt idx="51">1.79</cx:pt>
          <cx:pt idx="52">0.56000000000000005</cx:pt>
        </cx:lvl>
      </cx:numDim>
    </cx:data>
    <cx:data id="3">
      <cx:strDim type="cat">
        <cx:f>'Ящик с усами  полу РЯ'!$A$2:$A$54</cx:f>
        <cx:lvl ptCount="53">
          <cx:pt idx="0">Ж</cx:pt>
          <cx:pt idx="1">Ж</cx:pt>
          <cx:pt idx="2">Ж</cx:pt>
          <cx:pt idx="3">Ж</cx:pt>
          <cx:pt idx="4">Ж</cx:pt>
          <cx:pt idx="5">Ж</cx:pt>
          <cx:pt idx="6">Ж</cx:pt>
          <cx:pt idx="7">Ж</cx:pt>
          <cx:pt idx="8">Ж</cx:pt>
          <cx:pt idx="9">Ж</cx:pt>
          <cx:pt idx="10">Ж</cx:pt>
          <cx:pt idx="11">Ж</cx:pt>
          <cx:pt idx="12">Ж</cx:pt>
          <cx:pt idx="13">Ж</cx:pt>
          <cx:pt idx="14">Ж</cx:pt>
          <cx:pt idx="15">Ж</cx:pt>
          <cx:pt idx="16">Ж</cx:pt>
          <cx:pt idx="17">Ж</cx:pt>
          <cx:pt idx="18">Ж</cx:pt>
          <cx:pt idx="19">Ж</cx:pt>
          <cx:pt idx="20">Ж</cx:pt>
          <cx:pt idx="21">Ж</cx:pt>
          <cx:pt idx="22">Ж</cx:pt>
          <cx:pt idx="23">Ж</cx:pt>
          <cx:pt idx="24">Ж</cx:pt>
          <cx:pt idx="25">Ж</cx:pt>
          <cx:pt idx="26">Ж</cx:pt>
          <cx:pt idx="27">Ж</cx:pt>
          <cx:pt idx="28">Ж</cx:pt>
          <cx:pt idx="29">Ж</cx:pt>
          <cx:pt idx="30">Ж</cx:pt>
          <cx:pt idx="31">Ж</cx:pt>
          <cx:pt idx="32">Ж</cx:pt>
          <cx:pt idx="33">Ж</cx:pt>
          <cx:pt idx="34">Ж</cx:pt>
          <cx:pt idx="35">Ж</cx:pt>
          <cx:pt idx="36">Ж</cx:pt>
          <cx:pt idx="37">Ж</cx:pt>
          <cx:pt idx="38">Ж</cx:pt>
          <cx:pt idx="39">Ж</cx:pt>
          <cx:pt idx="40">Ж</cx:pt>
          <cx:pt idx="41">Ж</cx:pt>
          <cx:pt idx="42">Ж</cx:pt>
          <cx:pt idx="43">Ж</cx:pt>
          <cx:pt idx="44">Ж</cx:pt>
          <cx:pt idx="45">Ж</cx:pt>
          <cx:pt idx="46">Ж</cx:pt>
          <cx:pt idx="47">Ж</cx:pt>
          <cx:pt idx="48">Ж</cx:pt>
          <cx:pt idx="49">Ж</cx:pt>
          <cx:pt idx="50">Ж</cx:pt>
          <cx:pt idx="51">Ж</cx:pt>
          <cx:pt idx="52">Ж</cx:pt>
        </cx:lvl>
      </cx:strDim>
      <cx:numDim type="val">
        <cx:f>'Ящик с усами  полу РЯ'!$E$2:$E$54</cx:f>
        <cx:lvl ptCount="53" formatCode="0,00">
          <cx:pt idx="0">0.93999999999999995</cx:pt>
          <cx:pt idx="1">1.1000000000000001</cx:pt>
          <cx:pt idx="2">0.85999999999999999</cx:pt>
          <cx:pt idx="3">0.69999999999999996</cx:pt>
          <cx:pt idx="4">0.64000000000000001</cx:pt>
          <cx:pt idx="5">0.62</cx:pt>
          <cx:pt idx="6">0.52000000000000002</cx:pt>
          <cx:pt idx="7">0.58999999999999997</cx:pt>
          <cx:pt idx="8">1.02</cx:pt>
          <cx:pt idx="9">0.56000000000000005</cx:pt>
          <cx:pt idx="10">0.93999999999999995</cx:pt>
          <cx:pt idx="11">0.64000000000000001</cx:pt>
          <cx:pt idx="12">0.72999999999999998</cx:pt>
          <cx:pt idx="13">0.53000000000000003</cx:pt>
          <cx:pt idx="14">0.68999999999999995</cx:pt>
          <cx:pt idx="15">0.47999999999999998</cx:pt>
          <cx:pt idx="16">0.72999999999999998</cx:pt>
          <cx:pt idx="17">0.70999999999999996</cx:pt>
          <cx:pt idx="18">0.33000000000000002</cx:pt>
          <cx:pt idx="19">0.75</cx:pt>
          <cx:pt idx="20">0.54000000000000004</cx:pt>
          <cx:pt idx="21">0.68000000000000005</cx:pt>
          <cx:pt idx="22">1.1699999999999999</cx:pt>
          <cx:pt idx="23">0.71999999999999997</cx:pt>
          <cx:pt idx="24">1.1000000000000001</cx:pt>
          <cx:pt idx="25">0.65000000000000002</cx:pt>
          <cx:pt idx="26">0.32000000000000001</cx:pt>
          <cx:pt idx="27">0.76000000000000001</cx:pt>
          <cx:pt idx="28">1.3899999999999999</cx:pt>
          <cx:pt idx="29">0.64000000000000001</cx:pt>
          <cx:pt idx="30">1.76</cx:pt>
          <cx:pt idx="31">1.03</cx:pt>
          <cx:pt idx="32">1.0700000000000001</cx:pt>
          <cx:pt idx="33">0.87</cx:pt>
          <cx:pt idx="34">1.47</cx:pt>
          <cx:pt idx="35">0.91000000000000003</cx:pt>
          <cx:pt idx="36">1.3100000000000001</cx:pt>
          <cx:pt idx="37">1.29</cx:pt>
          <cx:pt idx="38">0.82999999999999996</cx:pt>
          <cx:pt idx="39">2.1499999999999999</cx:pt>
          <cx:pt idx="40">0.40999999999999998</cx:pt>
          <cx:pt idx="41">1.45</cx:pt>
          <cx:pt idx="42">1.1599999999999999</cx:pt>
          <cx:pt idx="43">0.77000000000000002</cx:pt>
          <cx:pt idx="44">1.5800000000000001</cx:pt>
          <cx:pt idx="45">0.68999999999999995</cx:pt>
          <cx:pt idx="46">1.21</cx:pt>
          <cx:pt idx="47">0.70999999999999996</cx:pt>
          <cx:pt idx="48">1.26</cx:pt>
          <cx:pt idx="49">0.65000000000000002</cx:pt>
          <cx:pt idx="50">1.26</cx:pt>
          <cx:pt idx="51">1.5700000000000001</cx:pt>
          <cx:pt idx="52">0.28000000000000003</cx:pt>
        </cx:lvl>
      </cx:numDim>
    </cx:data>
    <cx:data id="4">
      <cx:strDim type="cat">
        <cx:f>'Ящик с усами  полу РЯ'!$A$2:$A$54</cx:f>
        <cx:lvl ptCount="53">
          <cx:pt idx="0">Ж</cx:pt>
          <cx:pt idx="1">Ж</cx:pt>
          <cx:pt idx="2">Ж</cx:pt>
          <cx:pt idx="3">Ж</cx:pt>
          <cx:pt idx="4">Ж</cx:pt>
          <cx:pt idx="5">Ж</cx:pt>
          <cx:pt idx="6">Ж</cx:pt>
          <cx:pt idx="7">Ж</cx:pt>
          <cx:pt idx="8">Ж</cx:pt>
          <cx:pt idx="9">Ж</cx:pt>
          <cx:pt idx="10">Ж</cx:pt>
          <cx:pt idx="11">Ж</cx:pt>
          <cx:pt idx="12">Ж</cx:pt>
          <cx:pt idx="13">Ж</cx:pt>
          <cx:pt idx="14">Ж</cx:pt>
          <cx:pt idx="15">Ж</cx:pt>
          <cx:pt idx="16">Ж</cx:pt>
          <cx:pt idx="17">Ж</cx:pt>
          <cx:pt idx="18">Ж</cx:pt>
          <cx:pt idx="19">Ж</cx:pt>
          <cx:pt idx="20">Ж</cx:pt>
          <cx:pt idx="21">Ж</cx:pt>
          <cx:pt idx="22">Ж</cx:pt>
          <cx:pt idx="23">Ж</cx:pt>
          <cx:pt idx="24">Ж</cx:pt>
          <cx:pt idx="25">Ж</cx:pt>
          <cx:pt idx="26">Ж</cx:pt>
          <cx:pt idx="27">Ж</cx:pt>
          <cx:pt idx="28">Ж</cx:pt>
          <cx:pt idx="29">Ж</cx:pt>
          <cx:pt idx="30">Ж</cx:pt>
          <cx:pt idx="31">Ж</cx:pt>
          <cx:pt idx="32">Ж</cx:pt>
          <cx:pt idx="33">Ж</cx:pt>
          <cx:pt idx="34">Ж</cx:pt>
          <cx:pt idx="35">Ж</cx:pt>
          <cx:pt idx="36">Ж</cx:pt>
          <cx:pt idx="37">Ж</cx:pt>
          <cx:pt idx="38">Ж</cx:pt>
          <cx:pt idx="39">Ж</cx:pt>
          <cx:pt idx="40">Ж</cx:pt>
          <cx:pt idx="41">Ж</cx:pt>
          <cx:pt idx="42">Ж</cx:pt>
          <cx:pt idx="43">Ж</cx:pt>
          <cx:pt idx="44">Ж</cx:pt>
          <cx:pt idx="45">Ж</cx:pt>
          <cx:pt idx="46">Ж</cx:pt>
          <cx:pt idx="47">Ж</cx:pt>
          <cx:pt idx="48">Ж</cx:pt>
          <cx:pt idx="49">Ж</cx:pt>
          <cx:pt idx="50">Ж</cx:pt>
          <cx:pt idx="51">Ж</cx:pt>
          <cx:pt idx="52">Ж</cx:pt>
        </cx:lvl>
      </cx:strDim>
      <cx:numDim type="val">
        <cx:f>'Ящик с усами  полу РЯ'!$F$2:$F$54</cx:f>
        <cx:lvl ptCount="53" formatCode="0,00">
          <cx:pt idx="0">1.1499999999999999</cx:pt>
          <cx:pt idx="1">0.85999999999999999</cx:pt>
          <cx:pt idx="2">0.68999999999999995</cx:pt>
          <cx:pt idx="3">1</cx:pt>
          <cx:pt idx="4">0.75</cx:pt>
          <cx:pt idx="5">1.04</cx:pt>
          <cx:pt idx="6">0.83999999999999997</cx:pt>
          <cx:pt idx="7">0.87</cx:pt>
          <cx:pt idx="8">0.56999999999999995</cx:pt>
          <cx:pt idx="9">0.77000000000000002</cx:pt>
          <cx:pt idx="10">0.93999999999999995</cx:pt>
          <cx:pt idx="11">0.57999999999999996</cx:pt>
          <cx:pt idx="12">0.68999999999999995</cx:pt>
          <cx:pt idx="13">0.76000000000000001</cx:pt>
          <cx:pt idx="14">0.79000000000000004</cx:pt>
          <cx:pt idx="15">1.01</cx:pt>
          <cx:pt idx="16">0.81000000000000005</cx:pt>
          <cx:pt idx="17">0.58999999999999997</cx:pt>
          <cx:pt idx="18">0.5</cx:pt>
          <cx:pt idx="19">0.96999999999999997</cx:pt>
          <cx:pt idx="20">0.54000000000000004</cx:pt>
          <cx:pt idx="21">0.89000000000000001</cx:pt>
          <cx:pt idx="22">1.6899999999999999</cx:pt>
          <cx:pt idx="23">0.53000000000000003</cx:pt>
          <cx:pt idx="24">1.4199999999999999</cx:pt>
          <cx:pt idx="25">0.68000000000000005</cx:pt>
          <cx:pt idx="26">0.68000000000000005</cx:pt>
          <cx:pt idx="27">1</cx:pt>
          <cx:pt idx="28">2.4199999999999999</cx:pt>
          <cx:pt idx="29">0.51000000000000001</cx:pt>
          <cx:pt idx="30">1.01</cx:pt>
          <cx:pt idx="31">1.04</cx:pt>
          <cx:pt idx="32">0.91000000000000003</cx:pt>
          <cx:pt idx="33">1.01</cx:pt>
          <cx:pt idx="34">1.52</cx:pt>
          <cx:pt idx="35">1.1299999999999999</cx:pt>
          <cx:pt idx="36">1.54</cx:pt>
          <cx:pt idx="37">2.0800000000000001</cx:pt>
          <cx:pt idx="38">1.6000000000000001</cx:pt>
          <cx:pt idx="39">1.3500000000000001</cx:pt>
          <cx:pt idx="40">0.60999999999999999</cx:pt>
          <cx:pt idx="41">0.80000000000000004</cx:pt>
          <cx:pt idx="42">1.4299999999999999</cx:pt>
          <cx:pt idx="43">1.1899999999999999</cx:pt>
          <cx:pt idx="44">3.3199999999999998</cx:pt>
          <cx:pt idx="45">0.73999999999999999</cx:pt>
          <cx:pt idx="46">0.97999999999999998</cx:pt>
          <cx:pt idx="47">0.92000000000000004</cx:pt>
          <cx:pt idx="48">1.3799999999999999</cx:pt>
          <cx:pt idx="49">1.0700000000000001</cx:pt>
          <cx:pt idx="50">1.0600000000000001</cx:pt>
          <cx:pt idx="51">2.6000000000000001</cx:pt>
          <cx:pt idx="52">0.48999999999999999</cx:pt>
        </cx:lvl>
      </cx:numDim>
    </cx:data>
    <cx:data id="5">
      <cx:strDim type="cat">
        <cx:f>'Ящик с усами  полу РЯ'!$A$2:$A$54</cx:f>
        <cx:lvl ptCount="53">
          <cx:pt idx="0">Ж</cx:pt>
          <cx:pt idx="1">Ж</cx:pt>
          <cx:pt idx="2">Ж</cx:pt>
          <cx:pt idx="3">Ж</cx:pt>
          <cx:pt idx="4">Ж</cx:pt>
          <cx:pt idx="5">Ж</cx:pt>
          <cx:pt idx="6">Ж</cx:pt>
          <cx:pt idx="7">Ж</cx:pt>
          <cx:pt idx="8">Ж</cx:pt>
          <cx:pt idx="9">Ж</cx:pt>
          <cx:pt idx="10">Ж</cx:pt>
          <cx:pt idx="11">Ж</cx:pt>
          <cx:pt idx="12">Ж</cx:pt>
          <cx:pt idx="13">Ж</cx:pt>
          <cx:pt idx="14">Ж</cx:pt>
          <cx:pt idx="15">Ж</cx:pt>
          <cx:pt idx="16">Ж</cx:pt>
          <cx:pt idx="17">Ж</cx:pt>
          <cx:pt idx="18">Ж</cx:pt>
          <cx:pt idx="19">Ж</cx:pt>
          <cx:pt idx="20">Ж</cx:pt>
          <cx:pt idx="21">Ж</cx:pt>
          <cx:pt idx="22">Ж</cx:pt>
          <cx:pt idx="23">Ж</cx:pt>
          <cx:pt idx="24">Ж</cx:pt>
          <cx:pt idx="25">Ж</cx:pt>
          <cx:pt idx="26">Ж</cx:pt>
          <cx:pt idx="27">Ж</cx:pt>
          <cx:pt idx="28">Ж</cx:pt>
          <cx:pt idx="29">Ж</cx:pt>
          <cx:pt idx="30">Ж</cx:pt>
          <cx:pt idx="31">Ж</cx:pt>
          <cx:pt idx="32">Ж</cx:pt>
          <cx:pt idx="33">Ж</cx:pt>
          <cx:pt idx="34">Ж</cx:pt>
          <cx:pt idx="35">Ж</cx:pt>
          <cx:pt idx="36">Ж</cx:pt>
          <cx:pt idx="37">Ж</cx:pt>
          <cx:pt idx="38">Ж</cx:pt>
          <cx:pt idx="39">Ж</cx:pt>
          <cx:pt idx="40">Ж</cx:pt>
          <cx:pt idx="41">Ж</cx:pt>
          <cx:pt idx="42">Ж</cx:pt>
          <cx:pt idx="43">Ж</cx:pt>
          <cx:pt idx="44">Ж</cx:pt>
          <cx:pt idx="45">Ж</cx:pt>
          <cx:pt idx="46">Ж</cx:pt>
          <cx:pt idx="47">Ж</cx:pt>
          <cx:pt idx="48">Ж</cx:pt>
          <cx:pt idx="49">Ж</cx:pt>
          <cx:pt idx="50">Ж</cx:pt>
          <cx:pt idx="51">Ж</cx:pt>
          <cx:pt idx="52">Ж</cx:pt>
        </cx:lvl>
      </cx:strDim>
      <cx:numDim type="val">
        <cx:f>'Ящик с усами  полу РЯ'!$G$2:$G$54</cx:f>
        <cx:lvl ptCount="53" formatCode="0,00">
          <cx:pt idx="0">0.51000000000000001</cx:pt>
          <cx:pt idx="1">0.55000000000000004</cx:pt>
          <cx:pt idx="2">0.57999999999999996</cx:pt>
          <cx:pt idx="3">0.35999999999999999</cx:pt>
          <cx:pt idx="4">0.47999999999999998</cx:pt>
          <cx:pt idx="5">0.46000000000000002</cx:pt>
          <cx:pt idx="6">0.39000000000000001</cx:pt>
          <cx:pt idx="7">0.40999999999999998</cx:pt>
          <cx:pt idx="8">0.53000000000000003</cx:pt>
          <cx:pt idx="9">0.32000000000000001</cx:pt>
          <cx:pt idx="10">0.44</cx:pt>
          <cx:pt idx="11">0.29999999999999999</cx:pt>
          <cx:pt idx="12">0.52000000000000002</cx:pt>
          <cx:pt idx="13">0.98999999999999999</cx:pt>
          <cx:pt idx="14">0.46999999999999997</cx:pt>
          <cx:pt idx="15">0.39000000000000001</cx:pt>
          <cx:pt idx="16">0.40000000000000002</cx:pt>
          <cx:pt idx="17">0.77000000000000002</cx:pt>
          <cx:pt idx="18">0.14999999999999999</cx:pt>
          <cx:pt idx="19">0.48999999999999999</cx:pt>
          <cx:pt idx="20">0.55000000000000004</cx:pt>
          <cx:pt idx="21">0.51000000000000001</cx:pt>
          <cx:pt idx="22">1.3700000000000001</cx:pt>
          <cx:pt idx="23">0.66000000000000003</cx:pt>
          <cx:pt idx="24">0.56999999999999995</cx:pt>
          <cx:pt idx="25">0.28999999999999998</cx:pt>
          <cx:pt idx="26">0.47999999999999998</cx:pt>
          <cx:pt idx="27">0.53000000000000003</cx:pt>
          <cx:pt idx="28">1.1100000000000001</cx:pt>
          <cx:pt idx="29">0.45000000000000001</cx:pt>
          <cx:pt idx="30">0.96999999999999997</cx:pt>
          <cx:pt idx="31">0.62</cx:pt>
          <cx:pt idx="32">0.75</cx:pt>
          <cx:pt idx="33">0.76000000000000001</cx:pt>
          <cx:pt idx="34">1.1100000000000001</cx:pt>
          <cx:pt idx="35">0.91000000000000003</cx:pt>
          <cx:pt idx="36">0.55000000000000004</cx:pt>
          <cx:pt idx="37">0.98999999999999999</cx:pt>
          <cx:pt idx="38">0.53000000000000003</cx:pt>
          <cx:pt idx="39">0.83999999999999997</cx:pt>
          <cx:pt idx="40">0.52000000000000002</cx:pt>
          <cx:pt idx="41">1.02</cx:pt>
          <cx:pt idx="42">1.05</cx:pt>
          <cx:pt idx="43">0.83999999999999997</cx:pt>
          <cx:pt idx="44">1.1000000000000001</cx:pt>
          <cx:pt idx="45">0.60999999999999999</cx:pt>
          <cx:pt idx="46">0.73999999999999999</cx:pt>
          <cx:pt idx="47">0.82999999999999996</cx:pt>
          <cx:pt idx="48">0.77000000000000002</cx:pt>
          <cx:pt idx="49">0.51000000000000001</cx:pt>
          <cx:pt idx="50">0.83999999999999997</cx:pt>
          <cx:pt idx="51">0.78000000000000003</cx:pt>
          <cx:pt idx="52">0.35999999999999999</cx:pt>
        </cx:lvl>
      </cx:numDim>
    </cx:data>
    <cx:data id="6">
      <cx:strDim type="cat">
        <cx:f>'Ящик с усами  полу РЯ'!$A$2:$A$54</cx:f>
        <cx:lvl ptCount="53">
          <cx:pt idx="0">Ж</cx:pt>
          <cx:pt idx="1">Ж</cx:pt>
          <cx:pt idx="2">Ж</cx:pt>
          <cx:pt idx="3">Ж</cx:pt>
          <cx:pt idx="4">Ж</cx:pt>
          <cx:pt idx="5">Ж</cx:pt>
          <cx:pt idx="6">Ж</cx:pt>
          <cx:pt idx="7">Ж</cx:pt>
          <cx:pt idx="8">Ж</cx:pt>
          <cx:pt idx="9">Ж</cx:pt>
          <cx:pt idx="10">Ж</cx:pt>
          <cx:pt idx="11">Ж</cx:pt>
          <cx:pt idx="12">Ж</cx:pt>
          <cx:pt idx="13">Ж</cx:pt>
          <cx:pt idx="14">Ж</cx:pt>
          <cx:pt idx="15">Ж</cx:pt>
          <cx:pt idx="16">Ж</cx:pt>
          <cx:pt idx="17">Ж</cx:pt>
          <cx:pt idx="18">Ж</cx:pt>
          <cx:pt idx="19">Ж</cx:pt>
          <cx:pt idx="20">Ж</cx:pt>
          <cx:pt idx="21">Ж</cx:pt>
          <cx:pt idx="22">Ж</cx:pt>
          <cx:pt idx="23">Ж</cx:pt>
          <cx:pt idx="24">Ж</cx:pt>
          <cx:pt idx="25">Ж</cx:pt>
          <cx:pt idx="26">Ж</cx:pt>
          <cx:pt idx="27">Ж</cx:pt>
          <cx:pt idx="28">Ж</cx:pt>
          <cx:pt idx="29">Ж</cx:pt>
          <cx:pt idx="30">Ж</cx:pt>
          <cx:pt idx="31">Ж</cx:pt>
          <cx:pt idx="32">Ж</cx:pt>
          <cx:pt idx="33">Ж</cx:pt>
          <cx:pt idx="34">Ж</cx:pt>
          <cx:pt idx="35">Ж</cx:pt>
          <cx:pt idx="36">Ж</cx:pt>
          <cx:pt idx="37">Ж</cx:pt>
          <cx:pt idx="38">Ж</cx:pt>
          <cx:pt idx="39">Ж</cx:pt>
          <cx:pt idx="40">Ж</cx:pt>
          <cx:pt idx="41">Ж</cx:pt>
          <cx:pt idx="42">Ж</cx:pt>
          <cx:pt idx="43">Ж</cx:pt>
          <cx:pt idx="44">Ж</cx:pt>
          <cx:pt idx="45">Ж</cx:pt>
          <cx:pt idx="46">Ж</cx:pt>
          <cx:pt idx="47">Ж</cx:pt>
          <cx:pt idx="48">Ж</cx:pt>
          <cx:pt idx="49">Ж</cx:pt>
          <cx:pt idx="50">Ж</cx:pt>
          <cx:pt idx="51">Ж</cx:pt>
          <cx:pt idx="52">Ж</cx:pt>
        </cx:lvl>
      </cx:strDim>
      <cx:numDim type="val">
        <cx:f>'Ящик с усами  полу РЯ'!$H$2:$H$54</cx:f>
        <cx:lvl ptCount="53" formatCode="0,00">
          <cx:pt idx="0">1.02</cx:pt>
          <cx:pt idx="1">1.3100000000000001</cx:pt>
          <cx:pt idx="2">0.76000000000000001</cx:pt>
          <cx:pt idx="3">0.68999999999999995</cx:pt>
          <cx:pt idx="4">0.69999999999999996</cx:pt>
          <cx:pt idx="5">0.82999999999999996</cx:pt>
          <cx:pt idx="6">0.5</cx:pt>
          <cx:pt idx="7">0.73999999999999999</cx:pt>
          <cx:pt idx="8">0.78000000000000003</cx:pt>
          <cx:pt idx="9">0.5</cx:pt>
          <cx:pt idx="10">0.63</cx:pt>
          <cx:pt idx="11">0.88</cx:pt>
          <cx:pt idx="12">0.68999999999999995</cx:pt>
          <cx:pt idx="13">1</cx:pt>
          <cx:pt idx="14">0.68999999999999995</cx:pt>
          <cx:pt idx="15">0.81999999999999995</cx:pt>
          <cx:pt idx="16">0.55000000000000004</cx:pt>
          <cx:pt idx="17">0.68000000000000005</cx:pt>
          <cx:pt idx="18">0.42999999999999999</cx:pt>
          <cx:pt idx="19">0.77000000000000002</cx:pt>
          <cx:pt idx="20">0.46000000000000002</cx:pt>
          <cx:pt idx="21">0.68000000000000005</cx:pt>
          <cx:pt idx="22">1.52</cx:pt>
          <cx:pt idx="23">1.04</cx:pt>
          <cx:pt idx="24">1.0900000000000001</cx:pt>
          <cx:pt idx="25">0.65000000000000002</cx:pt>
          <cx:pt idx="26">0.70999999999999996</cx:pt>
          <cx:pt idx="27">0.78000000000000003</cx:pt>
          <cx:pt idx="28">1.8700000000000001</cx:pt>
          <cx:pt idx="29">0.53000000000000003</cx:pt>
          <cx:pt idx="30">1.1299999999999999</cx:pt>
          <cx:pt idx="31">1.0600000000000001</cx:pt>
          <cx:pt idx="32">0.92000000000000004</cx:pt>
          <cx:pt idx="33">1</cx:pt>
          <cx:pt idx="34">1.5</cx:pt>
          <cx:pt idx="35">0.92000000000000004</cx:pt>
          <cx:pt idx="36">1.3799999999999999</cx:pt>
          <cx:pt idx="37">1.22</cx:pt>
          <cx:pt idx="38">0.92000000000000004</cx:pt>
          <cx:pt idx="39">1.95</cx:pt>
          <cx:pt idx="40">0.84999999999999998</cx:pt>
          <cx:pt idx="41">0.81999999999999995</cx:pt>
          <cx:pt idx="42">0.98999999999999999</cx:pt>
          <cx:pt idx="43">0.88</cx:pt>
          <cx:pt idx="44">1.45</cx:pt>
          <cx:pt idx="45">0.71999999999999997</cx:pt>
          <cx:pt idx="46">1.02</cx:pt>
          <cx:pt idx="47">1.21</cx:pt>
          <cx:pt idx="48">1.6299999999999999</cx:pt>
          <cx:pt idx="49">0.40999999999999998</cx:pt>
          <cx:pt idx="50">1.1799999999999999</cx:pt>
          <cx:pt idx="51">1.54</cx:pt>
          <cx:pt idx="52">0.37</cx:pt>
        </cx:lvl>
      </cx:numDim>
    </cx:data>
    <cx:data id="7">
      <cx:strDim type="cat">
        <cx:f>'Ящик с усами  полу РЯ'!$A$2:$A$54</cx:f>
        <cx:lvl ptCount="53">
          <cx:pt idx="0">Ж</cx:pt>
          <cx:pt idx="1">Ж</cx:pt>
          <cx:pt idx="2">Ж</cx:pt>
          <cx:pt idx="3">Ж</cx:pt>
          <cx:pt idx="4">Ж</cx:pt>
          <cx:pt idx="5">Ж</cx:pt>
          <cx:pt idx="6">Ж</cx:pt>
          <cx:pt idx="7">Ж</cx:pt>
          <cx:pt idx="8">Ж</cx:pt>
          <cx:pt idx="9">Ж</cx:pt>
          <cx:pt idx="10">Ж</cx:pt>
          <cx:pt idx="11">Ж</cx:pt>
          <cx:pt idx="12">Ж</cx:pt>
          <cx:pt idx="13">Ж</cx:pt>
          <cx:pt idx="14">Ж</cx:pt>
          <cx:pt idx="15">Ж</cx:pt>
          <cx:pt idx="16">Ж</cx:pt>
          <cx:pt idx="17">Ж</cx:pt>
          <cx:pt idx="18">Ж</cx:pt>
          <cx:pt idx="19">Ж</cx:pt>
          <cx:pt idx="20">Ж</cx:pt>
          <cx:pt idx="21">Ж</cx:pt>
          <cx:pt idx="22">Ж</cx:pt>
          <cx:pt idx="23">Ж</cx:pt>
          <cx:pt idx="24">Ж</cx:pt>
          <cx:pt idx="25">Ж</cx:pt>
          <cx:pt idx="26">Ж</cx:pt>
          <cx:pt idx="27">Ж</cx:pt>
          <cx:pt idx="28">Ж</cx:pt>
          <cx:pt idx="29">Ж</cx:pt>
          <cx:pt idx="30">Ж</cx:pt>
          <cx:pt idx="31">Ж</cx:pt>
          <cx:pt idx="32">Ж</cx:pt>
          <cx:pt idx="33">Ж</cx:pt>
          <cx:pt idx="34">Ж</cx:pt>
          <cx:pt idx="35">Ж</cx:pt>
          <cx:pt idx="36">Ж</cx:pt>
          <cx:pt idx="37">Ж</cx:pt>
          <cx:pt idx="38">Ж</cx:pt>
          <cx:pt idx="39">Ж</cx:pt>
          <cx:pt idx="40">Ж</cx:pt>
          <cx:pt idx="41">Ж</cx:pt>
          <cx:pt idx="42">Ж</cx:pt>
          <cx:pt idx="43">Ж</cx:pt>
          <cx:pt idx="44">Ж</cx:pt>
          <cx:pt idx="45">Ж</cx:pt>
          <cx:pt idx="46">Ж</cx:pt>
          <cx:pt idx="47">Ж</cx:pt>
          <cx:pt idx="48">Ж</cx:pt>
          <cx:pt idx="49">Ж</cx:pt>
          <cx:pt idx="50">Ж</cx:pt>
          <cx:pt idx="51">Ж</cx:pt>
          <cx:pt idx="52">Ж</cx:pt>
        </cx:lvl>
      </cx:strDim>
      <cx:numDim type="val">
        <cx:f>'Ящик с усами  полу РЯ'!$I$2:$I$54</cx:f>
        <cx:lvl ptCount="53" formatCode="0,00">
          <cx:pt idx="0">0.69999999999999996</cx:pt>
          <cx:pt idx="1">0.57999999999999996</cx:pt>
          <cx:pt idx="2">0.56000000000000005</cx:pt>
          <cx:pt idx="3">0.34999999999999998</cx:pt>
          <cx:pt idx="4">0.56999999999999995</cx:pt>
          <cx:pt idx="5">0.53000000000000003</cx:pt>
          <cx:pt idx="6">0.44</cx:pt>
          <cx:pt idx="7">0.38</cx:pt>
          <cx:pt idx="8">0.40000000000000002</cx:pt>
          <cx:pt idx="9">0.41999999999999998</cx:pt>
          <cx:pt idx="10">0.34000000000000002</cx:pt>
          <cx:pt idx="11">0.38</cx:pt>
          <cx:pt idx="12">0.46999999999999997</cx:pt>
          <cx:pt idx="13">0.92000000000000004</cx:pt>
          <cx:pt idx="14">0.45000000000000001</cx:pt>
          <cx:pt idx="15">0.52000000000000002</cx:pt>
          <cx:pt idx="16">0.32000000000000001</cx:pt>
          <cx:pt idx="17">0.58999999999999997</cx:pt>
          <cx:pt idx="18">0.31</cx:pt>
          <cx:pt idx="19">0.42999999999999999</cx:pt>
          <cx:pt idx="20">0.51000000000000001</cx:pt>
          <cx:pt idx="21">0.51000000000000001</cx:pt>
          <cx:pt idx="22">1.01</cx:pt>
          <cx:pt idx="23">0.53000000000000003</cx:pt>
          <cx:pt idx="24">0.80000000000000004</cx:pt>
          <cx:pt idx="25">0.39000000000000001</cx:pt>
          <cx:pt idx="26">0.40999999999999998</cx:pt>
          <cx:pt idx="27">0.44</cx:pt>
          <cx:pt idx="28">1.48</cx:pt>
          <cx:pt idx="29">0.59999999999999998</cx:pt>
          <cx:pt idx="30">1.3700000000000001</cx:pt>
          <cx:pt idx="31">0.59999999999999998</cx:pt>
          <cx:pt idx="32">1.1299999999999999</cx:pt>
          <cx:pt idx="33">0.68000000000000005</cx:pt>
          <cx:pt idx="34">0.98999999999999999</cx:pt>
          <cx:pt idx="35">0.96999999999999997</cx:pt>
          <cx:pt idx="36">0.62</cx:pt>
          <cx:pt idx="37">1.4099999999999999</cx:pt>
          <cx:pt idx="38">0.54000000000000004</cx:pt>
          <cx:pt idx="39">1.04</cx:pt>
          <cx:pt idx="40">0.53000000000000003</cx:pt>
          <cx:pt idx="41">0.78000000000000003</cx:pt>
          <cx:pt idx="42">0.88</cx:pt>
          <cx:pt idx="43">0.51000000000000001</cx:pt>
          <cx:pt idx="44">1.47</cx:pt>
          <cx:pt idx="45">0.60999999999999999</cx:pt>
          <cx:pt idx="46">0.59999999999999998</cx:pt>
          <cx:pt idx="47">0.67000000000000004</cx:pt>
          <cx:pt idx="48">1.1499999999999999</cx:pt>
          <cx:pt idx="49">0.56000000000000005</cx:pt>
          <cx:pt idx="50">1.1599999999999999</cx:pt>
          <cx:pt idx="51">0.69999999999999996</cx:pt>
          <cx:pt idx="52">0.44</cx:pt>
        </cx:lvl>
      </cx:numDim>
    </cx:data>
    <cx:data id="8">
      <cx:strDim type="cat">
        <cx:f>'Ящик с усами  полу РЯ'!$A$2:$A$54</cx:f>
        <cx:lvl ptCount="53">
          <cx:pt idx="0">Ж</cx:pt>
          <cx:pt idx="1">Ж</cx:pt>
          <cx:pt idx="2">Ж</cx:pt>
          <cx:pt idx="3">Ж</cx:pt>
          <cx:pt idx="4">Ж</cx:pt>
          <cx:pt idx="5">Ж</cx:pt>
          <cx:pt idx="6">Ж</cx:pt>
          <cx:pt idx="7">Ж</cx:pt>
          <cx:pt idx="8">Ж</cx:pt>
          <cx:pt idx="9">Ж</cx:pt>
          <cx:pt idx="10">Ж</cx:pt>
          <cx:pt idx="11">Ж</cx:pt>
          <cx:pt idx="12">Ж</cx:pt>
          <cx:pt idx="13">Ж</cx:pt>
          <cx:pt idx="14">Ж</cx:pt>
          <cx:pt idx="15">Ж</cx:pt>
          <cx:pt idx="16">Ж</cx:pt>
          <cx:pt idx="17">Ж</cx:pt>
          <cx:pt idx="18">Ж</cx:pt>
          <cx:pt idx="19">Ж</cx:pt>
          <cx:pt idx="20">Ж</cx:pt>
          <cx:pt idx="21">Ж</cx:pt>
          <cx:pt idx="22">Ж</cx:pt>
          <cx:pt idx="23">Ж</cx:pt>
          <cx:pt idx="24">Ж</cx:pt>
          <cx:pt idx="25">Ж</cx:pt>
          <cx:pt idx="26">Ж</cx:pt>
          <cx:pt idx="27">Ж</cx:pt>
          <cx:pt idx="28">Ж</cx:pt>
          <cx:pt idx="29">Ж</cx:pt>
          <cx:pt idx="30">Ж</cx:pt>
          <cx:pt idx="31">Ж</cx:pt>
          <cx:pt idx="32">Ж</cx:pt>
          <cx:pt idx="33">Ж</cx:pt>
          <cx:pt idx="34">Ж</cx:pt>
          <cx:pt idx="35">Ж</cx:pt>
          <cx:pt idx="36">Ж</cx:pt>
          <cx:pt idx="37">Ж</cx:pt>
          <cx:pt idx="38">Ж</cx:pt>
          <cx:pt idx="39">Ж</cx:pt>
          <cx:pt idx="40">Ж</cx:pt>
          <cx:pt idx="41">Ж</cx:pt>
          <cx:pt idx="42">Ж</cx:pt>
          <cx:pt idx="43">Ж</cx:pt>
          <cx:pt idx="44">Ж</cx:pt>
          <cx:pt idx="45">Ж</cx:pt>
          <cx:pt idx="46">Ж</cx:pt>
          <cx:pt idx="47">Ж</cx:pt>
          <cx:pt idx="48">Ж</cx:pt>
          <cx:pt idx="49">Ж</cx:pt>
          <cx:pt idx="50">Ж</cx:pt>
          <cx:pt idx="51">Ж</cx:pt>
          <cx:pt idx="52">Ж</cx:pt>
        </cx:lvl>
      </cx:strDim>
      <cx:numDim type="val">
        <cx:f>'Ящик с усами  полу РЯ'!$J$2:$J$54</cx:f>
        <cx:lvl ptCount="53" formatCode="0,00">
          <cx:pt idx="0">1.1699999999999999</cx:pt>
          <cx:pt idx="1">0.93999999999999995</cx:pt>
          <cx:pt idx="2">0.68000000000000005</cx:pt>
          <cx:pt idx="3">0.57999999999999996</cx:pt>
          <cx:pt idx="4">0.95999999999999996</cx:pt>
          <cx:pt idx="5">0.46000000000000002</cx:pt>
          <cx:pt idx="6">0.73999999999999999</cx:pt>
          <cx:pt idx="7">0.5</cx:pt>
          <cx:pt idx="8">0.64000000000000001</cx:pt>
          <cx:pt idx="9">0.90000000000000002</cx:pt>
          <cx:pt idx="10">0.66000000000000003</cx:pt>
          <cx:pt idx="11">0.78000000000000003</cx:pt>
          <cx:pt idx="12">0.63</cx:pt>
          <cx:pt idx="13">0.94999999999999996</cx:pt>
          <cx:pt idx="14">0.53000000000000003</cx:pt>
          <cx:pt idx="15">0.59999999999999998</cx:pt>
          <cx:pt idx="16">0.58999999999999997</cx:pt>
          <cx:pt idx="17">0.68000000000000005</cx:pt>
          <cx:pt idx="18">0.39000000000000001</cx:pt>
          <cx:pt idx="19">0.83999999999999997</cx:pt>
          <cx:pt idx="20">0.67000000000000004</cx:pt>
          <cx:pt idx="21">0.85999999999999999</cx:pt>
          <cx:pt idx="22">1.55</cx:pt>
          <cx:pt idx="23">0.65000000000000002</cx:pt>
          <cx:pt idx="24">1.23</cx:pt>
          <cx:pt idx="25">0.38</cx:pt>
          <cx:pt idx="26">0.63</cx:pt>
          <cx:pt idx="27">0.94999999999999996</cx:pt>
          <cx:pt idx="28">1.3999999999999999</cx:pt>
          <cx:pt idx="29">0.70999999999999996</cx:pt>
          <cx:pt idx="30">1.0700000000000001</cx:pt>
          <cx:pt idx="31">0.89000000000000001</cx:pt>
          <cx:pt idx="32">1.01</cx:pt>
          <cx:pt idx="33">0.97999999999999998</cx:pt>
          <cx:pt idx="34">1.6000000000000001</cx:pt>
          <cx:pt idx="35">0.98999999999999999</cx:pt>
          <cx:pt idx="36">1.4299999999999999</cx:pt>
          <cx:pt idx="37">1.3100000000000001</cx:pt>
          <cx:pt idx="38">1.75</cx:pt>
          <cx:pt idx="39">1.3600000000000001</cx:pt>
          <cx:pt idx="40">0.77000000000000002</cx:pt>
          <cx:pt idx="41">0.91000000000000003</cx:pt>
          <cx:pt idx="42">1.0600000000000001</cx:pt>
          <cx:pt idx="43">0.97999999999999998</cx:pt>
          <cx:pt idx="44">1.4299999999999999</cx:pt>
          <cx:pt idx="45">0.81999999999999995</cx:pt>
          <cx:pt idx="46">0.79000000000000004</cx:pt>
          <cx:pt idx="47">1.4299999999999999</cx:pt>
          <cx:pt idx="48">1.4199999999999999</cx:pt>
          <cx:pt idx="49">0.67000000000000004</cx:pt>
          <cx:pt idx="50">1.3600000000000001</cx:pt>
          <cx:pt idx="51">1.45</cx:pt>
          <cx:pt idx="52">0.55000000000000004</cx:pt>
        </cx:lvl>
      </cx:numDim>
    </cx:data>
  </cx:chartData>
  <cx:chart>
    <cx:plotArea>
      <cx:plotAreaRegion>
        <cx:series layoutId="boxWhisker" uniqueId="{C57CFF70-DEAD-47C1-AD3B-967E7EB3E54B}">
          <cx:tx>
            <cx:txData>
              <cx:f>'Ящик с усами  полу РЯ'!$B$1</cx:f>
              <cx:v>RE</cx:v>
            </cx:txData>
          </cx:tx>
          <cx:spPr>
            <a:solidFill>
              <a:srgbClr val="FFC000"/>
            </a:solidFill>
          </cx:spPr>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52"/>
            <cx:dataLabelHidden idx="53"/>
            <cx:dataLabelHidden idx="55"/>
            <cx:dataLabelHidden idx="56"/>
          </cx:dataLabels>
          <cx:dataId val="0"/>
          <cx:layoutPr>
            <cx:visibility meanLine="0" meanMarker="1" nonoutliers="0" outliers="1"/>
            <cx:statistics quartileMethod="exclusive"/>
          </cx:layoutPr>
        </cx:series>
        <cx:series layoutId="boxWhisker" uniqueId="{62790B0A-492B-484C-A37F-63D24962C591}">
          <cx:tx>
            <cx:txData>
              <cx:f>'Ящик с усами  полу РЯ'!$C$1</cx:f>
              <cx:v>RLH</cx:v>
            </cx:txData>
          </cx:tx>
          <cx:spPr>
            <a:solidFill>
              <a:srgbClr val="FFFF00"/>
            </a:solidFill>
          </cx:spPr>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51"/>
            <cx:dataLabelHidden idx="52"/>
            <cx:dataLabelHidden idx="53"/>
            <cx:dataLabelHidden idx="55"/>
            <cx:dataLabelHidden idx="56"/>
          </cx:dataLabels>
          <cx:dataId val="1"/>
          <cx:layoutPr>
            <cx:visibility meanLine="0" meanMarker="1" nonoutliers="0" outliers="1"/>
            <cx:statistics quartileMethod="exclusive"/>
          </cx:layoutPr>
        </cx:series>
        <cx:series layoutId="boxWhisker" uniqueId="{C0A8E13D-F1A4-4972-A316-4CAB09392379}">
          <cx:tx>
            <cx:txData>
              <cx:f>'Ящик с усами  полу РЯ'!$D$1</cx:f>
              <cx:v>RRL</cx:v>
            </cx:txData>
          </cx:tx>
          <cx:spPr>
            <a:solidFill>
              <a:srgbClr val="92D050"/>
            </a:solidFill>
          </cx:spPr>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51"/>
            <cx:dataLabelHidden idx="52"/>
            <cx:dataLabelHidden idx="53"/>
            <cx:dataLabelHidden idx="55"/>
            <cx:dataLabelHidden idx="56"/>
          </cx:dataLabels>
          <cx:dataId val="2"/>
          <cx:layoutPr>
            <cx:visibility meanLine="0" meanMarker="1" nonoutliers="0" outliers="1"/>
            <cx:statistics quartileMethod="exclusive"/>
          </cx:layoutPr>
        </cx:series>
        <cx:series layoutId="boxWhisker" uniqueId="{8C966703-84D6-40F0-9287-F6F571F54A07}">
          <cx:tx>
            <cx:txData>
              <cx:f>'Ящик с усами  полу РЯ'!$E$1</cx:f>
              <cx:v>RU</cx:v>
            </cx:txData>
          </cx:tx>
          <cx:spPr>
            <a:solidFill>
              <a:srgbClr val="00B0F0"/>
            </a:solidFill>
          </cx:spPr>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51"/>
            <cx:dataLabelHidden idx="52"/>
            <cx:dataLabelHidden idx="53"/>
            <cx:dataLabelHidden idx="55"/>
            <cx:dataLabelHidden idx="56"/>
          </cx:dataLabels>
          <cx:dataId val="3"/>
          <cx:layoutPr>
            <cx:visibility meanLine="0" meanMarker="1" nonoutliers="0" outliers="1"/>
            <cx:statistics quartileMethod="exclusive"/>
          </cx:layoutPr>
        </cx:series>
        <cx:series layoutId="boxWhisker" uniqueId="{A72B29F8-E6C6-4F59-92D5-40D71A5656E6}">
          <cx:tx>
            <cx:txData>
              <cx:f>'Ящик с усами  полу РЯ'!$F$1</cx:f>
              <cx:v>RLL</cx:v>
            </cx:txData>
          </cx:tx>
          <cx:spPr>
            <a:solidFill>
              <a:schemeClr val="accent3"/>
            </a:solidFill>
          </cx:spPr>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48"/>
            <cx:dataLabelHidden idx="49"/>
            <cx:dataLabelHidden idx="50"/>
            <cx:dataLabelHidden idx="51"/>
            <cx:dataLabelHidden idx="52"/>
            <cx:dataLabelHidden idx="53"/>
            <cx:dataLabelHidden idx="55"/>
            <cx:dataLabelHidden idx="56"/>
          </cx:dataLabels>
          <cx:dataId val="4"/>
          <cx:layoutPr>
            <cx:visibility meanLine="0" meanMarker="1" nonoutliers="0" outliers="1"/>
            <cx:statistics quartileMethod="exclusive"/>
          </cx:layoutPr>
        </cx:series>
        <cx:series layoutId="boxWhisker" uniqueId="{7B293118-23A7-4523-AF9F-A344F66E2E7D}">
          <cx:tx>
            <cx:txData>
              <cx:f>'Ящик с усами  полу РЯ'!$G$1</cx:f>
              <cx:v>RRI</cx:v>
            </cx:txData>
          </cx:tx>
          <cx:spPr>
            <a:solidFill>
              <a:schemeClr val="accent4"/>
            </a:solidFill>
          </cx:spPr>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52"/>
            <cx:dataLabelHidden idx="53"/>
            <cx:dataLabelHidden idx="55"/>
            <cx:dataLabelHidden idx="56"/>
          </cx:dataLabels>
          <cx:dataId val="5"/>
          <cx:layoutPr>
            <cx:visibility meanLine="0" meanMarker="1" nonoutliers="0" outliers="1"/>
            <cx:statistics quartileMethod="exclusive"/>
          </cx:layoutPr>
        </cx:series>
        <cx:series layoutId="boxWhisker" uniqueId="{B10ADA64-F281-4C02-9B80-6243875509C4}">
          <cx:tx>
            <cx:txData>
              <cx:f>'Ящик с усами  полу РЯ'!$H$1</cx:f>
              <cx:v>RP</cx:v>
            </cx:txData>
          </cx:tx>
          <cx:spPr>
            <a:solidFill>
              <a:schemeClr val="accent6"/>
            </a:solidFill>
          </cx:spPr>
          <cx:dataLabels>
            <cx:txPr>
              <a:bodyPr spcFirstLastPara="1" vertOverflow="ellipsis" horzOverflow="overflow" wrap="square" lIns="0" tIns="0" rIns="0" bIns="0" anchor="ctr" anchorCtr="1"/>
              <a:lstStyle/>
              <a:p>
                <a:pPr algn="ctr" rtl="0">
                  <a:defRPr sz="100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0"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54" pos="b">
              <cx:txPr>
                <a:bodyPr spcFirstLastPara="1" vertOverflow="ellipsis" horzOverflow="overflow" wrap="square" lIns="0" tIns="0" rIns="0" bIns="0" anchor="ctr" anchorCtr="1"/>
                <a:lstStyle/>
                <a:p>
                  <a:pPr algn="ctr" rtl="0">
                    <a:defRPr b="1"/>
                  </a:pPr>
                  <a:r>
                    <a:rPr lang="ru-RU" sz="1000" b="1" i="0" u="none" strike="noStrike" baseline="0">
                      <a:solidFill>
                        <a:sysClr val="windowText" lastClr="000000"/>
                      </a:solidFill>
                      <a:latin typeface="Times New Roman" panose="02020603050405020304" pitchFamily="18" charset="0"/>
                      <a:cs typeface="Times New Roman" panose="02020603050405020304" pitchFamily="18" charset="0"/>
                    </a:rPr>
                    <a:t>0,85</a:t>
                  </a:r>
                </a:p>
              </cx:txPr>
              <cx:visibility seriesName="0" categoryName="0" value="1"/>
              <cx:separator>, </cx:separator>
            </cx:dataLabel>
            <cx:dataLabelHidden idx="0"/>
            <cx:dataLabelHidden idx="50"/>
            <cx:dataLabelHidden idx="51"/>
            <cx:dataLabelHidden idx="52"/>
            <cx:dataLabelHidden idx="53"/>
            <cx:dataLabelHidden idx="55"/>
            <cx:dataLabelHidden idx="56"/>
          </cx:dataLabels>
          <cx:dataId val="6"/>
          <cx:layoutPr>
            <cx:visibility meanLine="0" meanMarker="1" nonoutliers="0" outliers="1"/>
            <cx:statistics quartileMethod="exclusive"/>
          </cx:layoutPr>
        </cx:series>
        <cx:series layoutId="boxWhisker" uniqueId="{7FE873F1-98AB-4AFC-8DD4-6D6AD365A3A7}">
          <cx:tx>
            <cx:txData>
              <cx:f>'Ящик с усами  полу РЯ'!$I$1</cx:f>
              <cx:v>RLI</cx:v>
            </cx:txData>
          </cx:tx>
          <cx:spPr>
            <a:solidFill>
              <a:schemeClr val="bg2">
                <a:lumMod val="90000"/>
              </a:schemeClr>
            </a:solidFill>
          </cx:spPr>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50"/>
            <cx:dataLabelHidden idx="51"/>
            <cx:dataLabelHidden idx="53"/>
            <cx:dataLabelHidden idx="55"/>
            <cx:dataLabelHidden idx="56"/>
          </cx:dataLabels>
          <cx:dataId val="7"/>
          <cx:layoutPr>
            <cx:visibility meanLine="0" meanMarker="1" nonoutliers="0" outliers="1"/>
            <cx:statistics quartileMethod="exclusive"/>
          </cx:layoutPr>
        </cx:series>
        <cx:series layoutId="boxWhisker" uniqueId="{3CB99853-CD61-4DD7-9D2D-075CA14950D1}">
          <cx:tx>
            <cx:txData>
              <cx:f>'Ящик с усами  полу РЯ'!$J$1</cx:f>
              <cx:v>P</cx:v>
            </cx:txData>
          </cx:tx>
          <cx:spPr>
            <a:solidFill>
              <a:schemeClr val="bg1">
                <a:lumMod val="65000"/>
              </a:schemeClr>
            </a:solidFill>
          </cx:spPr>
          <cx:dataLabels>
            <cx:txPr>
              <a:bodyPr spcFirstLastPara="1" vertOverflow="ellipsis" horzOverflow="overflow" wrap="square" lIns="0" tIns="0" rIns="0" bIns="0" anchor="ctr" anchorCtr="1"/>
              <a:lstStyle/>
              <a:p>
                <a:pPr algn="ctr" rtl="0">
                  <a:defRPr sz="100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0"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54" pos="b">
              <cx:txPr>
                <a:bodyPr spcFirstLastPara="1" vertOverflow="ellipsis" horzOverflow="overflow" wrap="square" lIns="0" tIns="0" rIns="0" bIns="0" anchor="ctr" anchorCtr="1"/>
                <a:lstStyle/>
                <a:p>
                  <a:pPr algn="ctr" rtl="0">
                    <a:defRPr b="1"/>
                  </a:pPr>
                  <a:r>
                    <a:rPr lang="ru-RU" sz="1000" b="1" i="0" u="none" strike="noStrike" baseline="0">
                      <a:solidFill>
                        <a:sysClr val="windowText" lastClr="000000"/>
                      </a:solidFill>
                      <a:latin typeface="Times New Roman" panose="02020603050405020304" pitchFamily="18" charset="0"/>
                      <a:cs typeface="Times New Roman" panose="02020603050405020304" pitchFamily="18" charset="0"/>
                    </a:rPr>
                    <a:t>0,89</a:t>
                  </a:r>
                </a:p>
              </cx:txPr>
              <cx:visibility seriesName="0" categoryName="0" value="1"/>
              <cx:separator>, </cx:separator>
            </cx:dataLabel>
            <cx:dataLabelHidden idx="0"/>
            <cx:dataLabelHidden idx="52"/>
            <cx:dataLabelHidden idx="53"/>
            <cx:dataLabelHidden idx="55"/>
            <cx:dataLabelHidden idx="56"/>
          </cx:dataLabels>
          <cx:dataId val="8"/>
          <cx:layoutPr>
            <cx:visibility meanLine="0" meanMarker="1" nonoutliers="0" outliers="1"/>
            <cx:statistics quartileMethod="exclusive"/>
          </cx:layoutPr>
        </cx:series>
      </cx:plotAreaRegion>
      <cx:axis id="0" hidden="1">
        <cx:catScaling gapWidth="1"/>
        <cx:title>
          <cx:tx>
            <cx:rich>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ru-RU" sz="1000" b="1" i="0" u="none" strike="noStrike" baseline="0">
                    <a:solidFill>
                      <a:sysClr val="windowText" lastClr="000000"/>
                    </a:solidFill>
                    <a:latin typeface="Times New Roman" panose="02020603050405020304" pitchFamily="18" charset="0"/>
                    <a:cs typeface="Times New Roman" panose="02020603050405020304" pitchFamily="18" charset="0"/>
                  </a:rPr>
                  <a:t>Пол, </a:t>
                </a:r>
                <a:r>
                  <a:rPr lang="en-US" sz="1000" b="1" i="0" u="none" strike="noStrike" baseline="0">
                    <a:solidFill>
                      <a:sysClr val="windowText" lastClr="000000"/>
                    </a:solidFill>
                    <a:latin typeface="Times New Roman" panose="02020603050405020304" pitchFamily="18" charset="0"/>
                    <a:cs typeface="Times New Roman" panose="02020603050405020304" pitchFamily="18" charset="0"/>
                  </a:rPr>
                  <a:t>PTL, M</a:t>
                </a: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rich>
          </cx:tx>
        </cx:title>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spcFirstLastPara="1" vertOverflow="ellipsis" horzOverflow="overflow" wrap="square" lIns="0" tIns="0" rIns="0" bIns="0" anchor="ctr" anchorCtr="1"/>
              <a:lstStyle/>
              <a:p>
                <a:pPr algn="ctr" rtl="0">
                  <a:defRPr/>
                </a:pPr>
                <a:r>
                  <a:rPr lang="en-US" sz="1200" b="1" i="0" u="none" strike="noStrike" baseline="0">
                    <a:solidFill>
                      <a:sysClr val="windowText" lastClr="000000"/>
                    </a:solidFill>
                    <a:latin typeface="Times New Roman" panose="02020603050405020304" pitchFamily="18" charset="0"/>
                    <a:cs typeface="Times New Roman" panose="02020603050405020304" pitchFamily="18" charset="0"/>
                  </a:rPr>
                  <a:t>SUV</a:t>
                </a:r>
                <a:r>
                  <a:rPr lang="en-US" sz="1200" b="1" i="0" u="none" strike="noStrike" baseline="-25000">
                    <a:solidFill>
                      <a:sysClr val="windowText" lastClr="000000"/>
                    </a:solidFill>
                    <a:latin typeface="Times New Roman" panose="02020603050405020304" pitchFamily="18" charset="0"/>
                    <a:cs typeface="Times New Roman" panose="02020603050405020304" pitchFamily="18" charset="0"/>
                  </a:rPr>
                  <a:t>max</a:t>
                </a:r>
                <a:endParaRPr lang="ru-RU" sz="1200" b="1" i="0" u="none" strike="noStrike"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10.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T РЯ'!$A$2:$A$54</cx:f>
        <cx:lvl ptCount="53">
          <cx:pt idx="0">T1</cx:pt>
          <cx:pt idx="1">T1</cx:pt>
          <cx:pt idx="2">T1</cx:pt>
          <cx:pt idx="3">T1</cx:pt>
          <cx:pt idx="4">T1</cx:pt>
          <cx:pt idx="5">T1</cx:pt>
          <cx:pt idx="6">T1</cx:pt>
          <cx:pt idx="7">T1</cx:pt>
          <cx:pt idx="8">T2</cx:pt>
          <cx:pt idx="9">T2</cx:pt>
          <cx:pt idx="10">T2</cx:pt>
          <cx:pt idx="11">T2</cx:pt>
          <cx:pt idx="12">T2</cx:pt>
          <cx:pt idx="13">T2</cx:pt>
          <cx:pt idx="14">T2</cx:pt>
          <cx:pt idx="15">T2</cx:pt>
          <cx:pt idx="16">T2</cx:pt>
          <cx:pt idx="17">T2</cx:pt>
          <cx:pt idx="18">T2</cx:pt>
          <cx:pt idx="19">T2</cx:pt>
          <cx:pt idx="20">T2</cx:pt>
          <cx:pt idx="21">T2</cx:pt>
          <cx:pt idx="22">T2</cx:pt>
          <cx:pt idx="23">T3</cx:pt>
          <cx:pt idx="24">T3</cx:pt>
          <cx:pt idx="25">T3</cx:pt>
          <cx:pt idx="26">T3</cx:pt>
          <cx:pt idx="27">T3</cx:pt>
          <cx:pt idx="28">T3</cx:pt>
          <cx:pt idx="29">T3</cx:pt>
          <cx:pt idx="30">T3</cx:pt>
          <cx:pt idx="31">T3</cx:pt>
          <cx:pt idx="32">T3</cx:pt>
          <cx:pt idx="33">T3</cx:pt>
          <cx:pt idx="34">T3</cx:pt>
          <cx:pt idx="35">T3</cx:pt>
          <cx:pt idx="36">T3</cx:pt>
          <cx:pt idx="37">T3</cx:pt>
          <cx:pt idx="38">T3</cx:pt>
          <cx:pt idx="39">T3</cx:pt>
          <cx:pt idx="40">T3</cx:pt>
          <cx:pt idx="41">T3</cx:pt>
          <cx:pt idx="42">T3</cx:pt>
          <cx:pt idx="43">T3</cx:pt>
          <cx:pt idx="44">T3</cx:pt>
          <cx:pt idx="45">T3</cx:pt>
          <cx:pt idx="46">T3</cx:pt>
          <cx:pt idx="47">T3</cx:pt>
          <cx:pt idx="48">T3</cx:pt>
          <cx:pt idx="49">T3</cx:pt>
          <cx:pt idx="50">T3</cx:pt>
          <cx:pt idx="51">T4</cx:pt>
          <cx:pt idx="52">T4</cx:pt>
        </cx:lvl>
      </cx:strDim>
      <cx:numDim type="val">
        <cx:f>'Ящик с усами T РЯ'!$J$2:$J$54</cx:f>
        <cx:lvl ptCount="53" formatCode="0,00">
          <cx:pt idx="0">0.95999999999999996</cx:pt>
          <cx:pt idx="1">0.64000000000000001</cx:pt>
          <cx:pt idx="2">0.68000000000000005</cx:pt>
          <cx:pt idx="3">0.39000000000000001</cx:pt>
          <cx:pt idx="4">0.94999999999999996</cx:pt>
          <cx:pt idx="5">0.97999999999999998</cx:pt>
          <cx:pt idx="6">1.4299999999999999</cx:pt>
          <cx:pt idx="7">1.4199999999999999</cx:pt>
          <cx:pt idx="8">0.93999999999999995</cx:pt>
          <cx:pt idx="9">0.73999999999999999</cx:pt>
          <cx:pt idx="10">0.5</cx:pt>
          <cx:pt idx="11">0.78000000000000003</cx:pt>
          <cx:pt idx="12">0.59999999999999998</cx:pt>
          <cx:pt idx="13">0.58999999999999997</cx:pt>
          <cx:pt idx="14">0.83999999999999997</cx:pt>
          <cx:pt idx="15">0.85999999999999999</cx:pt>
          <cx:pt idx="16">1.23</cx:pt>
          <cx:pt idx="17">0.38</cx:pt>
          <cx:pt idx="18">1.3999999999999999</cx:pt>
          <cx:pt idx="19">0.70999999999999996</cx:pt>
          <cx:pt idx="20">0.98999999999999999</cx:pt>
          <cx:pt idx="21">1.4299999999999999</cx:pt>
          <cx:pt idx="22">0.81999999999999995</cx:pt>
          <cx:pt idx="23">1.1699999999999999</cx:pt>
          <cx:pt idx="24">0.68000000000000005</cx:pt>
          <cx:pt idx="25">0.57999999999999996</cx:pt>
          <cx:pt idx="26">0.46000000000000002</cx:pt>
          <cx:pt idx="27">0.90000000000000002</cx:pt>
          <cx:pt idx="28">0.66000000000000003</cx:pt>
          <cx:pt idx="29">0.63</cx:pt>
          <cx:pt idx="30">0.94999999999999996</cx:pt>
          <cx:pt idx="31">0.53000000000000003</cx:pt>
          <cx:pt idx="32">0.67000000000000004</cx:pt>
          <cx:pt idx="33">1.55</cx:pt>
          <cx:pt idx="34">0.65000000000000002</cx:pt>
          <cx:pt idx="35">0.63</cx:pt>
          <cx:pt idx="36">1.0700000000000001</cx:pt>
          <cx:pt idx="37">0.89000000000000001</cx:pt>
          <cx:pt idx="38">1.6000000000000001</cx:pt>
          <cx:pt idx="39">1.3100000000000001</cx:pt>
          <cx:pt idx="40">1.3600000000000001</cx:pt>
          <cx:pt idx="41">0.77000000000000002</cx:pt>
          <cx:pt idx="42">0.91000000000000003</cx:pt>
          <cx:pt idx="43">1.0600000000000001</cx:pt>
          <cx:pt idx="44">0.97999999999999998</cx:pt>
          <cx:pt idx="45">0.79000000000000004</cx:pt>
          <cx:pt idx="46">1.4299999999999999</cx:pt>
          <cx:pt idx="47">0.67000000000000004</cx:pt>
          <cx:pt idx="48">1.3600000000000001</cx:pt>
          <cx:pt idx="49">1.45</cx:pt>
          <cx:pt idx="50">0.55000000000000004</cx:pt>
          <cx:pt idx="51">1.01</cx:pt>
          <cx:pt idx="52">1.75</cx:pt>
        </cx:lvl>
      </cx:numDim>
    </cx:data>
  </cx:chartData>
  <cx:chart>
    <cx:plotArea>
      <cx:plotAreaRegion>
        <cx:series layoutId="boxWhisker" uniqueId="{65780DC2-3462-4216-B209-CA71C1028744}">
          <cx:tx>
            <cx:txData>
              <cx:f>'Ящик с усами T РЯ'!$J$1</cx:f>
              <cx:v>P</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7"/>
            <cx:dataLabelHidden idx="8"/>
            <cx:dataLabelHidden idx="10"/>
            <cx:dataLabelHidden idx="11"/>
            <cx:dataLabelHidden idx="12"/>
            <cx:dataLabelHidden idx="26"/>
            <cx:dataLabelHidden idx="27"/>
            <cx:dataLabelHidden idx="29"/>
            <cx:dataLabelHidden idx="30"/>
            <cx:dataLabelHidden idx="31"/>
            <cx:dataLabelHidden idx="58"/>
            <cx:dataLabelHidden idx="59"/>
            <cx:dataLabelHidden idx="61"/>
            <cx:dataLabelHidden idx="62"/>
            <cx:dataLabelHidden idx="63"/>
            <cx:dataLabelHidden idx="64"/>
            <cx:dataLabelHidden idx="65"/>
            <cx:dataLabelHidden idx="67"/>
            <cx:dataLabelHidden idx="68"/>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max="1.6000000000000001"/>
        <cx:title>
          <cx:tx>
            <cx:rich>
              <a:bodyPr vertOverflow="overflow" horzOverflow="overflow" wrap="square" lIns="0" tIns="0" rIns="0" bIns="0"/>
              <a:lstStyle/>
              <a:p>
                <a:pPr algn="ctr" rtl="0">
                  <a:defRPr sz="12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chart>
</cx:chartSpace>
</file>

<file path=word/charts/chartEx100.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гистол КРР'!$A$2:$A$61</cx:f>
        <cx:lvl ptCount="60">
          <cx:pt idx="0">I</cx:pt>
          <cx:pt idx="1">I</cx:pt>
          <cx:pt idx="2">I</cx:pt>
          <cx:pt idx="3">I</cx:pt>
          <cx:pt idx="4">I</cx:pt>
          <cx:pt idx="5">I</cx:pt>
          <cx:pt idx="6">I</cx:pt>
          <cx:pt idx="7">I</cx:pt>
          <cx:pt idx="8">I</cx:pt>
          <cx:pt idx="9">I</cx:pt>
          <cx:pt idx="10">I</cx:pt>
          <cx:pt idx="11">I</cx:pt>
          <cx:pt idx="12">I</cx:pt>
          <cx:pt idx="13">I</cx:pt>
          <cx:pt idx="14">I</cx:pt>
          <cx:pt idx="15">I</cx:pt>
          <cx:pt idx="16">I</cx:pt>
          <cx:pt idx="17">I</cx:pt>
          <cx:pt idx="18">I</cx:pt>
          <cx:pt idx="19">I</cx:pt>
          <cx:pt idx="20">I</cx:pt>
          <cx:pt idx="21">I</cx:pt>
          <cx:pt idx="22">I</cx:pt>
          <cx:pt idx="23">I</cx:pt>
          <cx:pt idx="24">I</cx:pt>
          <cx:pt idx="25">I</cx:pt>
          <cx:pt idx="26">I</cx:pt>
          <cx:pt idx="27">I</cx:pt>
          <cx:pt idx="28">I</cx:pt>
          <cx:pt idx="29">I</cx:pt>
          <cx:pt idx="30">I</cx:pt>
          <cx:pt idx="31">II</cx:pt>
          <cx:pt idx="32">III</cx:pt>
          <cx:pt idx="33">III</cx:pt>
          <cx:pt idx="34">III</cx:pt>
          <cx:pt idx="35">III</cx:pt>
          <cx:pt idx="36">III</cx:pt>
          <cx:pt idx="37">III</cx:pt>
          <cx:pt idx="38">III</cx:pt>
          <cx:pt idx="39">III</cx:pt>
          <cx:pt idx="40">IV</cx:pt>
          <cx:pt idx="41">IV</cx:pt>
          <cx:pt idx="42">IV</cx:pt>
          <cx:pt idx="43">IV</cx:pt>
          <cx:pt idx="44">IV</cx:pt>
          <cx:pt idx="45">IV</cx:pt>
          <cx:pt idx="46">IV</cx:pt>
          <cx:pt idx="47">IV</cx:pt>
          <cx:pt idx="48">IV</cx:pt>
          <cx:pt idx="49">IV</cx:pt>
          <cx:pt idx="50">IV</cx:pt>
          <cx:pt idx="51">IV</cx:pt>
          <cx:pt idx="52">IV</cx:pt>
          <cx:pt idx="53">IV</cx:pt>
          <cx:pt idx="54">IV</cx:pt>
          <cx:pt idx="55">IV</cx:pt>
          <cx:pt idx="56">IV</cx:pt>
          <cx:pt idx="57">IV</cx:pt>
          <cx:pt idx="58">IV</cx:pt>
          <cx:pt idx="59">IV</cx:pt>
        </cx:lvl>
      </cx:strDim>
      <cx:numDim type="val">
        <cx:f>'Ящик с усами гистол КРР'!$I$2:$I$61</cx:f>
        <cx:lvl ptCount="60" formatCode="0,00">
          <cx:pt idx="0">0.97509999999999997</cx:pt>
          <cx:pt idx="1">0.66300000000000003</cx:pt>
          <cx:pt idx="2">1.5349999999999999</cx:pt>
          <cx:pt idx="3">0.77759999999999996</cx:pt>
          <cx:pt idx="4">0.87490000000000001</cx:pt>
          <cx:pt idx="5">0.46889999999999998</cx:pt>
          <cx:pt idx="6">1.2330000000000001</cx:pt>
          <cx:pt idx="7">0.40820000000000001</cx:pt>
          <cx:pt idx="8">0.39910000000000001</cx:pt>
          <cx:pt idx="9">0.44800000000000001</cx:pt>
          <cx:pt idx="10">0.86150000000000004</cx:pt>
          <cx:pt idx="11">0.2087</cx:pt>
          <cx:pt idx="12">0.25790000000000002</cx:pt>
          <cx:pt idx="13">0.46300000000000002</cx:pt>
          <cx:pt idx="14">0.65859999999999996</cx:pt>
          <cx:pt idx="15">0.52890000000000004</cx:pt>
          <cx:pt idx="16">1.1792</cx:pt>
          <cx:pt idx="17">1.0827</cx:pt>
          <cx:pt idx="18">0.73050000000000004</cx:pt>
          <cx:pt idx="19">0.29909999999999998</cx:pt>
          <cx:pt idx="20">0.48420000000000002</cx:pt>
          <cx:pt idx="21">0.58809999999999996</cx:pt>
          <cx:pt idx="22">0.25819999999999999</cx:pt>
          <cx:pt idx="23">0.75190000000000001</cx:pt>
          <cx:pt idx="24">0.48949999999999999</cx:pt>
          <cx:pt idx="25">1.0703</cx:pt>
          <cx:pt idx="26">2.0392000000000001</cx:pt>
          <cx:pt idx="27">0.66439999999999999</cx:pt>
          <cx:pt idx="28">0.59530000000000005</cx:pt>
          <cx:pt idx="29">0.69940000000000002</cx:pt>
          <cx:pt idx="30">0.93030000000000002</cx:pt>
          <cx:pt idx="31">1.6128</cx:pt>
          <cx:pt idx="32">0.50429999999999997</cx:pt>
          <cx:pt idx="33">0.63419999999999999</cx:pt>
          <cx:pt idx="34">0.38319999999999999</cx:pt>
          <cx:pt idx="35">0.86770000000000003</cx:pt>
          <cx:pt idx="36">0.86980000000000002</cx:pt>
          <cx:pt idx="37">2.4015</cx:pt>
          <cx:pt idx="38">0.58550000000000002</cx:pt>
          <cx:pt idx="39">0.5948</cx:pt>
          <cx:pt idx="40">0.75209999999999999</cx:pt>
          <cx:pt idx="41">0.84730000000000005</cx:pt>
          <cx:pt idx="42">0.90480000000000005</cx:pt>
          <cx:pt idx="43">0.58779999999999999</cx:pt>
          <cx:pt idx="44">0.51819999999999999</cx:pt>
          <cx:pt idx="45">0.58909999999999996</cx:pt>
          <cx:pt idx="46">0.48089999999999999</cx:pt>
          <cx:pt idx="47">0.59209999999999996</cx:pt>
          <cx:pt idx="48">0.74219999999999997</cx:pt>
          <cx:pt idx="49">0.50919999999999999</cx:pt>
          <cx:pt idx="50">0.99880000000000002</cx:pt>
          <cx:pt idx="51">0.55840000000000001</cx:pt>
          <cx:pt idx="52">0.77100000000000002</cx:pt>
          <cx:pt idx="53">0.60129999999999995</cx:pt>
          <cx:pt idx="54">0.84389999999999998</cx:pt>
          <cx:pt idx="55">1.056</cx:pt>
          <cx:pt idx="56">0.82210000000000005</cx:pt>
          <cx:pt idx="57">1.1634</cx:pt>
          <cx:pt idx="58">0.81159999999999999</cx:pt>
          <cx:pt idx="59">0.79049999999999998</cx:pt>
        </cx:lvl>
      </cx:numDim>
    </cx:data>
  </cx:chartData>
  <cx:chart>
    <cx:plotArea>
      <cx:plotAreaRegion>
        <cx:series layoutId="boxWhisker" uniqueId="{F013B6DB-637F-416F-B79B-708E26AAB40D}">
          <cx:tx>
            <cx:txData>
              <cx:f>'Ящик с усами гистол КРР'!$I$1</cx:f>
              <cx:v>RLI</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9"/>
            <cx:dataLabelHidden idx="30"/>
            <cx:dataLabelHidden idx="31"/>
            <cx:dataLabelHidden idx="33"/>
            <cx:dataLabelHidden idx="34"/>
            <cx:dataLabelHidden idx="35"/>
            <cx:dataLabelHidden idx="37"/>
            <cx:dataLabelHidden idx="38"/>
            <cx:dataLabelHidden idx="39"/>
            <cx:dataLabelHidden idx="40"/>
            <cx:dataLabelHidden idx="46"/>
            <cx:dataLabelHidden idx="47"/>
            <cx:dataLabelHidden idx="48"/>
            <cx:dataLabelHidden idx="50"/>
            <cx:dataLabelHidden idx="51"/>
            <cx:dataLabelHidden idx="52"/>
            <cx:dataLabelHidden idx="71"/>
            <cx:dataLabelHidden idx="72"/>
            <cx:dataLabelHidden idx="74"/>
            <cx:dataLabelHidden idx="75"/>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10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гистол КРР'!$A$2:$A$61</cx:f>
        <cx:lvl ptCount="60">
          <cx:pt idx="0">I</cx:pt>
          <cx:pt idx="1">I</cx:pt>
          <cx:pt idx="2">I</cx:pt>
          <cx:pt idx="3">I</cx:pt>
          <cx:pt idx="4">I</cx:pt>
          <cx:pt idx="5">I</cx:pt>
          <cx:pt idx="6">I</cx:pt>
          <cx:pt idx="7">I</cx:pt>
          <cx:pt idx="8">I</cx:pt>
          <cx:pt idx="9">I</cx:pt>
          <cx:pt idx="10">I</cx:pt>
          <cx:pt idx="11">I</cx:pt>
          <cx:pt idx="12">I</cx:pt>
          <cx:pt idx="13">I</cx:pt>
          <cx:pt idx="14">I</cx:pt>
          <cx:pt idx="15">I</cx:pt>
          <cx:pt idx="16">I</cx:pt>
          <cx:pt idx="17">I</cx:pt>
          <cx:pt idx="18">I</cx:pt>
          <cx:pt idx="19">I</cx:pt>
          <cx:pt idx="20">I</cx:pt>
          <cx:pt idx="21">I</cx:pt>
          <cx:pt idx="22">I</cx:pt>
          <cx:pt idx="23">I</cx:pt>
          <cx:pt idx="24">I</cx:pt>
          <cx:pt idx="25">I</cx:pt>
          <cx:pt idx="26">I</cx:pt>
          <cx:pt idx="27">I</cx:pt>
          <cx:pt idx="28">I</cx:pt>
          <cx:pt idx="29">I</cx:pt>
          <cx:pt idx="30">I</cx:pt>
          <cx:pt idx="31">II</cx:pt>
          <cx:pt idx="32">III</cx:pt>
          <cx:pt idx="33">III</cx:pt>
          <cx:pt idx="34">III</cx:pt>
          <cx:pt idx="35">III</cx:pt>
          <cx:pt idx="36">III</cx:pt>
          <cx:pt idx="37">III</cx:pt>
          <cx:pt idx="38">III</cx:pt>
          <cx:pt idx="39">III</cx:pt>
          <cx:pt idx="40">IV</cx:pt>
          <cx:pt idx="41">IV</cx:pt>
          <cx:pt idx="42">IV</cx:pt>
          <cx:pt idx="43">IV</cx:pt>
          <cx:pt idx="44">IV</cx:pt>
          <cx:pt idx="45">IV</cx:pt>
          <cx:pt idx="46">IV</cx:pt>
          <cx:pt idx="47">IV</cx:pt>
          <cx:pt idx="48">IV</cx:pt>
          <cx:pt idx="49">IV</cx:pt>
          <cx:pt idx="50">IV</cx:pt>
          <cx:pt idx="51">IV</cx:pt>
          <cx:pt idx="52">IV</cx:pt>
          <cx:pt idx="53">IV</cx:pt>
          <cx:pt idx="54">IV</cx:pt>
          <cx:pt idx="55">IV</cx:pt>
          <cx:pt idx="56">IV</cx:pt>
          <cx:pt idx="57">IV</cx:pt>
          <cx:pt idx="58">IV</cx:pt>
          <cx:pt idx="59">IV</cx:pt>
        </cx:lvl>
      </cx:strDim>
      <cx:numDim type="val">
        <cx:f>'Ящик с усами гистол КРР'!$J$2:$J$61</cx:f>
        <cx:lvl ptCount="60" formatCode="0,00">
          <cx:pt idx="0">1.4847999999999999</cx:pt>
          <cx:pt idx="1">1.8121</cx:pt>
          <cx:pt idx="2">1.2092000000000001</cx:pt>
          <cx:pt idx="3">1.2238</cx:pt>
          <cx:pt idx="4">0.97440000000000004</cx:pt>
          <cx:pt idx="5">1.1459999999999999</cx:pt>
          <cx:pt idx="6">1.8266</cx:pt>
          <cx:pt idx="7">0.87170000000000003</cx:pt>
          <cx:pt idx="8">0.39810000000000001</cx:pt>
          <cx:pt idx="9">0.54139999999999999</cx:pt>
          <cx:pt idx="10">0.59419999999999995</cx:pt>
          <cx:pt idx="11">0.44550000000000001</cx:pt>
          <cx:pt idx="12">0.55020000000000002</cx:pt>
          <cx:pt idx="13">0.45850000000000002</cx:pt>
          <cx:pt idx="14">0.73109999999999997</cx:pt>
          <cx:pt idx="15">0.58199999999999996</cx:pt>
          <cx:pt idx="16">0.88549999999999995</cx:pt>
          <cx:pt idx="17">1.1406000000000001</cx:pt>
          <cx:pt idx="18">0.71120000000000005</cx:pt>
          <cx:pt idx="19">0.52880000000000005</cx:pt>
          <cx:pt idx="20">0.61019999999999996</cx:pt>
          <cx:pt idx="21">0.65669999999999995</cx:pt>
          <cx:pt idx="22">0.47999999999999998</cx:pt>
          <cx:pt idx="23">0.88700000000000001</cx:pt>
          <cx:pt idx="24">0.77490000000000003</cx:pt>
          <cx:pt idx="25">0.99929999999999997</cx:pt>
          <cx:pt idx="26">2.3134000000000001</cx:pt>
          <cx:pt idx="27">0.95220000000000005</cx:pt>
          <cx:pt idx="28">0.95389999999999997</cx:pt>
          <cx:pt idx="29">0.91249999999999998</cx:pt>
          <cx:pt idx="30">1.0193000000000001</cx:pt>
          <cx:pt idx="31">1.1789000000000001</cx:pt>
          <cx:pt idx="32">0.95999999999999996</cx:pt>
          <cx:pt idx="33">0.66590000000000005</cx:pt>
          <cx:pt idx="34">0.63980000000000004</cx:pt>
          <cx:pt idx="35">0.76429999999999998</cx:pt>
          <cx:pt idx="36">1.1402000000000001</cx:pt>
          <cx:pt idx="37">1.2663</cx:pt>
          <cx:pt idx="38">0.72140000000000004</cx:pt>
          <cx:pt idx="39">0.79759999999999998</cx:pt>
          <cx:pt idx="40">1.0331999999999999</cx:pt>
          <cx:pt idx="41">1.1717</cx:pt>
          <cx:pt idx="42">1.1093</cx:pt>
          <cx:pt idx="43">0.53449999999999998</cx:pt>
          <cx:pt idx="44">0.92490000000000006</cx:pt>
          <cx:pt idx="45">0.55230000000000001</cx:pt>
          <cx:pt idx="46">0.87770000000000004</cx:pt>
          <cx:pt idx="47">0.67390000000000005</cx:pt>
          <cx:pt idx="48">0.66930000000000001</cx:pt>
          <cx:pt idx="49">0.67379999999999995</cx:pt>
          <cx:pt idx="50">1.5062</cx:pt>
          <cx:pt idx="51">0.71860000000000002</cx:pt>
          <cx:pt idx="52">0.71050000000000002</cx:pt>
          <cx:pt idx="53">0.62060000000000004</cx:pt>
          <cx:pt idx="54">1.0996999999999999</cx:pt>
          <cx:pt idx="55">1.1751</cx:pt>
          <cx:pt idx="56">0.6139</cx:pt>
          <cx:pt idx="57">0.90080000000000005</cx:pt>
          <cx:pt idx="58">1.0181</cx:pt>
          <cx:pt idx="59">0.7177</cx:pt>
        </cx:lvl>
      </cx:numDim>
    </cx:data>
  </cx:chartData>
  <cx:chart>
    <cx:plotArea>
      <cx:plotAreaRegion>
        <cx:series layoutId="boxWhisker" uniqueId="{4DE12C10-B3AF-4D51-A5F9-8BDB95F7FF43}">
          <cx:tx>
            <cx:txData>
              <cx:f>'Ящик с усами гистол КРР'!$J$1</cx:f>
              <cx:v>P</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9"/>
            <cx:dataLabelHidden idx="30"/>
            <cx:dataLabelHidden idx="31"/>
            <cx:dataLabelHidden idx="33"/>
            <cx:dataLabelHidden idx="34"/>
            <cx:dataLabelHidden idx="35"/>
            <cx:dataLabelHidden idx="37"/>
            <cx:dataLabelHidden idx="38"/>
            <cx:dataLabelHidden idx="39"/>
            <cx:dataLabelHidden idx="40"/>
            <cx:dataLabelHidden idx="47"/>
            <cx:dataLabelHidden idx="48"/>
            <cx:dataLabelHidden idx="50"/>
            <cx:dataLabelHidden idx="51"/>
            <cx:dataLabelHidden idx="52"/>
            <cx:dataLabelHidden idx="71"/>
            <cx:dataLabelHidden idx="72"/>
            <cx:dataLabelHidden idx="74"/>
            <cx:dataLabelHidden idx="75"/>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102.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'Ящик с усами nLM КРР'!$B$2:$B$45</cx:f>
        <cx:lvl ptCount="44" formatCode="0,00">
          <cx:pt idx="0">0.82410000000000005</cx:pt>
          <cx:pt idx="1">0.69850000000000001</cx:pt>
          <cx:pt idx="2">0.74199999999999999</cx:pt>
          <cx:pt idx="3">0.90969999999999995</cx:pt>
          <cx:pt idx="4">1.4327000000000001</cx:pt>
          <cx:pt idx="5">0.7117</cx:pt>
          <cx:pt idx="6">0.76449999999999996</cx:pt>
          <cx:pt idx="7">0.62109999999999999</cx:pt>
          <cx:pt idx="8">0.35809999999999997</cx:pt>
          <cx:pt idx="9">0.84330000000000005</cx:pt>
          <cx:pt idx="10">0.45229999999999998</cx:pt>
          <cx:pt idx="11">0.28999999999999998</cx:pt>
          <cx:pt idx="12">0.69840000000000002</cx:pt>
          <cx:pt idx="13">0.73650000000000004</cx:pt>
          <cx:pt idx="14">0.45279999999999998</cx:pt>
          <cx:pt idx="15">0.75439999999999996</cx:pt>
          <cx:pt idx="16">0.32979999999999998</cx:pt>
          <cx:pt idx="17">0.57020000000000004</cx:pt>
          <cx:pt idx="18">0.75580000000000003</cx:pt>
          <cx:pt idx="19">0.57520000000000004</cx:pt>
          <cx:pt idx="20">0.84140000000000004</cx:pt>
          <cx:pt idx="21">0.74839999999999995</cx:pt>
          <cx:pt idx="22">0.93720000000000003</cx:pt>
          <cx:pt idx="23">0.43290000000000001</cx:pt>
          <cx:pt idx="24">0.31180000000000002</cx:pt>
          <cx:pt idx="25">0.67210000000000003</cx:pt>
          <cx:pt idx="26">1.5047999999999999</cx:pt>
          <cx:pt idx="27">1.0861000000000001</cx:pt>
          <cx:pt idx="28">0.49209999999999998</cx:pt>
          <cx:pt idx="29">1.4490000000000001</cx:pt>
          <cx:pt idx="30">0.44690000000000002</cx:pt>
          <cx:pt idx="31">0.90910000000000002</cx:pt>
          <cx:pt idx="32">0.23119999999999999</cx:pt>
          <cx:pt idx="33">0.68540000000000001</cx:pt>
          <cx:pt idx="34">0.77370000000000005</cx:pt>
          <cx:pt idx="35">1.165</cx:pt>
          <cx:pt idx="36">1.5702</cx:pt>
          <cx:pt idx="37">0.49320000000000003</cx:pt>
          <cx:pt idx="38">1.1894</cx:pt>
          <cx:pt idx="39">1.4592000000000001</cx:pt>
          <cx:pt idx="40">1.2484</cx:pt>
          <cx:pt idx="41">1.2644</cx:pt>
          <cx:pt idx="42">1.0011000000000001</cx:pt>
          <cx:pt idx="43">1.4757</cx:pt>
        </cx:lvl>
      </cx:numDim>
    </cx:data>
    <cx:data id="1">
      <cx:numDim type="val">
        <cx:f>'Ящик с усами nLM КРР'!$B$48:$B$63</cx:f>
        <cx:lvl ptCount="16" formatCode="0,00">
          <cx:pt idx="0">0.92259999999999998</cx:pt>
          <cx:pt idx="1">0.85840000000000005</cx:pt>
          <cx:pt idx="2">0.92369999999999997</cx:pt>
          <cx:pt idx="3">0.66420000000000001</cx:pt>
          <cx:pt idx="4">0.75380000000000003</cx:pt>
          <cx:pt idx="5">0.50090000000000001</cx:pt>
          <cx:pt idx="6">0.65949999999999998</cx:pt>
          <cx:pt idx="7">1.5694999999999999</cx:pt>
          <cx:pt idx="8">1.2897000000000001</cx:pt>
          <cx:pt idx="9">1.0820000000000001</cx:pt>
          <cx:pt idx="10">1.0608</cx:pt>
          <cx:pt idx="11">1.2202999999999999</cx:pt>
          <cx:pt idx="12">0.8377</cx:pt>
          <cx:pt idx="13">0.33439999999999998</cx:pt>
          <cx:pt idx="14">0.92210000000000003</cx:pt>
          <cx:pt idx="15">1.1508</cx:pt>
        </cx:lvl>
      </cx:numDim>
    </cx:data>
    <cx:data id="2">
      <cx:numDim type="val">
        <cx:f>'Ящик с усами nLM КРР'!$K$2:$K$45</cx:f>
        <cx:lvl ptCount="44" formatCode="0,00">
          <cx:pt idx="0">0.67300000000000004</cx:pt>
          <cx:pt idx="1">0.45850000000000002</cx:pt>
          <cx:pt idx="2">0.56040000000000001</cx:pt>
          <cx:pt idx="3">0.51170000000000004</cx:pt>
          <cx:pt idx="4">0.79949999999999999</cx:pt>
          <cx:pt idx="5">0.43099999999999999</cx:pt>
          <cx:pt idx="6">0.40310000000000001</cx:pt>
          <cx:pt idx="7">0.39610000000000001</cx:pt>
          <cx:pt idx="8">0.37459999999999999</cx:pt>
          <cx:pt idx="9">0.61209999999999998</cx:pt>
          <cx:pt idx="10">0.42080000000000001</cx:pt>
          <cx:pt idx="11">0.43730000000000002</cx:pt>
          <cx:pt idx="12">0.5222</cx:pt>
          <cx:pt idx="13">1.2442</cx:pt>
          <cx:pt idx="14">0.79390000000000005</cx:pt>
          <cx:pt idx="15">1.3308</cx:pt>
          <cx:pt idx="16">0.72960000000000003</cx:pt>
          <cx:pt idx="17">0.9849</cx:pt>
          <cx:pt idx="18">1.5603</cx:pt>
          <cx:pt idx="19">1.1574</cx:pt>
          <cx:pt idx="20">1.1089</cx:pt>
          <cx:pt idx="21">1.2184999999999999</cx:pt>
          <cx:pt idx="22">1.4133</cx:pt>
          <cx:pt idx="23">0.78590000000000004</cx:pt>
          <cx:pt idx="24">0.85260000000000002</cx:pt>
          <cx:pt idx="25">0.99780000000000002</cx:pt>
          <cx:pt idx="26">1.9233</cx:pt>
          <cx:pt idx="27">1.5732999999999999</cx:pt>
          <cx:pt idx="28">1.2382</cx:pt>
          <cx:pt idx="29">1.1288</cx:pt>
          <cx:pt idx="30">0.98119999999999996</cx:pt>
          <cx:pt idx="31">1.3935</cx:pt>
          <cx:pt idx="32">1.5716000000000001</cx:pt>
          <cx:pt idx="33">0.69779999999999998</cx:pt>
          <cx:pt idx="34">1.1878</cx:pt>
          <cx:pt idx="35">0.83099999999999996</cx:pt>
          <cx:pt idx="36">1.3549</cx:pt>
          <cx:pt idx="37">0.88290000000000002</cx:pt>
          <cx:pt idx="38">1.3282</cx:pt>
          <cx:pt idx="39">1.5469999999999999</cx:pt>
          <cx:pt idx="40">1.1523000000000001</cx:pt>
          <cx:pt idx="41">1.111</cx:pt>
          <cx:pt idx="42">1.0591999999999999</cx:pt>
          <cx:pt idx="43">0.9052</cx:pt>
        </cx:lvl>
      </cx:numDim>
    </cx:data>
    <cx:data id="3">
      <cx:numDim type="val">
        <cx:f>'Ящик с усами nLM КРР'!$K$48:$K$63</cx:f>
        <cx:lvl ptCount="16" formatCode="0,00">
          <cx:pt idx="0">0.76539999999999997</cx:pt>
          <cx:pt idx="1">0.69469999999999998</cx:pt>
          <cx:pt idx="2">0.54339999999999999</cx:pt>
          <cx:pt idx="3">0.8589</cx:pt>
          <cx:pt idx="4">0.42820000000000003</cx:pt>
          <cx:pt idx="5">1.0743</cx:pt>
          <cx:pt idx="6">3.2004999999999999</cx:pt>
          <cx:pt idx="7">1.1258999999999999</cx:pt>
          <cx:pt idx="8">0.99029999999999996</cx:pt>
          <cx:pt idx="9">0.7117</cx:pt>
          <cx:pt idx="10">1.2101999999999999</cx:pt>
          <cx:pt idx="11">1.1863999999999999</cx:pt>
          <cx:pt idx="12">2.0367000000000002</cx:pt>
          <cx:pt idx="13">1.1329</cx:pt>
          <cx:pt idx="14">0.97789999999999999</cx:pt>
          <cx:pt idx="15">0.78900000000000003</cx:pt>
        </cx:lvl>
      </cx:numDim>
    </cx:data>
  </cx:chartData>
  <cx:chart>
    <cx:title pos="t" align="ctr" overlay="0">
      <cx:tx>
        <cx:rich>
          <a:bodyPr spcFirstLastPara="1" vertOverflow="ellipsis" horzOverflow="overflow" wrap="square" lIns="0" tIns="0" rIns="0" bIns="0" anchor="ctr" anchorCtr="1"/>
          <a:lstStyle/>
          <a:p>
            <a:pPr algn="ctr" rtl="0">
              <a:defRPr sz="12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latin typeface="Times New Roman" panose="02020603050405020304" pitchFamily="18" charset="0"/>
                <a:cs typeface="Times New Roman" panose="02020603050405020304" pitchFamily="18" charset="0"/>
              </a:rPr>
              <a:t>RE</a:t>
            </a:r>
            <a:endParaRPr lang="ru-RU" sz="1200" b="1" i="0" u="none" strike="noStrike" baseline="0">
              <a:solidFill>
                <a:sysClr val="windowText" lastClr="000000"/>
              </a:solidFill>
              <a:latin typeface="Times New Roman" panose="02020603050405020304" pitchFamily="18" charset="0"/>
              <a:cs typeface="Times New Roman" panose="02020603050405020304" pitchFamily="18" charset="0"/>
            </a:endParaRPr>
          </a:p>
        </cx:rich>
      </cx:tx>
    </cx:title>
    <cx:plotArea>
      <cx:plotAreaRegion>
        <cx:series layoutId="boxWhisker" uniqueId="{194D7990-8BA0-4D84-BA51-47BA9AC84D95}">
          <cx:tx>
            <cx:txData>
              <cx:f>'Ящик с усами nLM КРР'!$B$1</cx:f>
              <cx:v>nLM I</cx:v>
            </cx:txData>
          </cx:tx>
          <cx:spPr>
            <a:solidFill>
              <a:srgbClr val="92D05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43"/>
            <cx:dataLabelHidden idx="44"/>
            <cx:dataLabelHidden idx="46"/>
            <cx:dataLabelHidden idx="47"/>
          </cx:dataLabels>
          <cx:dataId val="0"/>
          <cx:layoutPr>
            <cx:visibility meanLine="0" meanMarker="1" nonoutliers="0" outliers="1"/>
            <cx:statistics quartileMethod="exclusive"/>
          </cx:layoutPr>
        </cx:series>
        <cx:series layoutId="boxWhisker" uniqueId="{9E87C395-CDD0-45D8-B829-C6F1396AD62D}">
          <cx:tx>
            <cx:txData>
              <cx:f>'Ящик с усами nLM КРР'!$B$47</cx:f>
              <cx:v>pLM 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5"/>
            <cx:dataLabelHidden idx="16"/>
            <cx:dataLabelHidden idx="18"/>
            <cx:dataLabelHidden idx="19"/>
          </cx:dataLabels>
          <cx:dataId val="1"/>
          <cx:layoutPr>
            <cx:visibility meanLine="0" meanMarker="1" nonoutliers="0" outliers="1"/>
            <cx:statistics quartileMethod="exclusive"/>
          </cx:layoutPr>
        </cx:series>
        <cx:series layoutId="boxWhisker" uniqueId="{7298AD0E-FC86-4A90-92D9-E1FA28B65A8B}">
          <cx:tx>
            <cx:txData>
              <cx:f>'Ящик с усами nLM КРР'!$K$1</cx:f>
              <cx:v>nLM II</cx:v>
            </cx:txData>
          </cx:tx>
          <cx:spPr>
            <a:solidFill>
              <a:srgbClr val="92D05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43"/>
            <cx:dataLabelHidden idx="44"/>
            <cx:dataLabelHidden idx="46"/>
            <cx:dataLabelHidden idx="47"/>
          </cx:dataLabels>
          <cx:dataId val="2"/>
          <cx:layoutPr>
            <cx:visibility meanLine="0" meanMarker="1" nonoutliers="0" outliers="1"/>
            <cx:statistics quartileMethod="exclusive"/>
          </cx:layoutPr>
        </cx:series>
        <cx:series layoutId="boxWhisker" uniqueId="{FB2C3556-D991-4301-AB76-7C5F507E45DA}">
          <cx:tx>
            <cx:txData>
              <cx:f>'Ящик с усами nLM КРР'!$K$47</cx:f>
              <cx:v>pLM II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3"/>
            <cx:dataLabelHidden idx="14"/>
            <cx:dataLabelHidden idx="15"/>
            <cx:dataLabelHidden idx="16"/>
            <cx:dataLabelHidden idx="18"/>
            <cx:dataLabelHidden idx="19"/>
          </cx:dataLabels>
          <cx:dataId val="3"/>
          <cx:layoutPr>
            <cx:visibility meanLine="0" meanMarker="1" nonoutliers="0" outliers="1"/>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spcFirstLastPara="1" vertOverflow="ellipsis" horzOverflow="overflow" wrap="square" lIns="0" tIns="0" rIns="0" bIns="0" anchor="ctr" anchorCtr="1"/>
              <a:lstStyle/>
              <a:p>
                <a:pPr algn="ctr" rtl="0">
                  <a:defRPr sz="12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latin typeface="Times New Roman" panose="02020603050405020304" pitchFamily="18" charset="0"/>
                    <a:cs typeface="Times New Roman" panose="02020603050405020304" pitchFamily="18" charset="0"/>
                  </a:rPr>
                  <a:t>SUV</a:t>
                </a:r>
                <a:r>
                  <a:rPr lang="en-US" sz="1200" b="1" i="0" u="none" strike="noStrike" baseline="-25000">
                    <a:solidFill>
                      <a:sysClr val="windowText" lastClr="000000"/>
                    </a:solidFill>
                    <a:latin typeface="Times New Roman" panose="02020603050405020304" pitchFamily="18" charset="0"/>
                    <a:cs typeface="Times New Roman" panose="02020603050405020304" pitchFamily="18" charset="0"/>
                  </a:rPr>
                  <a:t>max</a:t>
                </a:r>
                <a:endParaRPr lang="ru-RU" sz="1200" b="1" i="0" u="none" strike="noStrike"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r" align="ctr" overlay="0">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103.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'Ящик с усами nLM КРР'!$C$2:$C$45</cx:f>
        <cx:lvl ptCount="44" formatCode="0,00">
          <cx:pt idx="0">0.61709999999999998</cx:pt>
          <cx:pt idx="1">1.0873999999999999</cx:pt>
          <cx:pt idx="2">0.64649999999999996</cx:pt>
          <cx:pt idx="3">1.0783</cx:pt>
          <cx:pt idx="4">0.50770000000000004</cx:pt>
          <cx:pt idx="5">0.94389999999999996</cx:pt>
          <cx:pt idx="6">0.88039999999999996</cx:pt>
          <cx:pt idx="7">0.4703</cx:pt>
          <cx:pt idx="8">0.42599999999999999</cx:pt>
          <cx:pt idx="9">0.67930000000000001</cx:pt>
          <cx:pt idx="10">0.46879999999999999</cx:pt>
          <cx:pt idx="11">0.51319999999999999</cx:pt>
          <cx:pt idx="12">0.38769999999999999</cx:pt>
          <cx:pt idx="13">0.67789999999999995</cx:pt>
          <cx:pt idx="14">0.46339999999999998</cx:pt>
          <cx:pt idx="15">1.0066999999999999</cx:pt>
          <cx:pt idx="16">0.36990000000000001</cx:pt>
          <cx:pt idx="17">0.58940000000000003</cx:pt>
          <cx:pt idx="18">0.61609999999999998</cx:pt>
          <cx:pt idx="19">0.65780000000000005</cx:pt>
          <cx:pt idx="20">0.79669999999999996</cx:pt>
          <cx:pt idx="21">0.63570000000000004</cx:pt>
          <cx:pt idx="22">0.73240000000000005</cx:pt>
          <cx:pt idx="23">0.53680000000000005</cx:pt>
          <cx:pt idx="24">0.61339999999999995</cx:pt>
          <cx:pt idx="25">0.4103</cx:pt>
          <cx:pt idx="26">1.3130999999999999</cx:pt>
          <cx:pt idx="27">0.87909999999999999</cx:pt>
          <cx:pt idx="28">0.5252</cx:pt>
          <cx:pt idx="29">1.0989</cx:pt>
          <cx:pt idx="30">0.31259999999999999</cx:pt>
          <cx:pt idx="31">0.53690000000000004</cx:pt>
          <cx:pt idx="32">0.47910000000000003</cx:pt>
          <cx:pt idx="33">0.60140000000000005</cx:pt>
          <cx:pt idx="34">0.92920000000000003</cx:pt>
          <cx:pt idx="35">0.60029999999999994</cx:pt>
          <cx:pt idx="36">1.6329</cx:pt>
          <cx:pt idx="37">0.80989999999999995</cx:pt>
          <cx:pt idx="38">0.83279999999999998</cx:pt>
          <cx:pt idx="39">0.874</cx:pt>
          <cx:pt idx="40">2.0908000000000002</cx:pt>
          <cx:pt idx="41">1.4639</cx:pt>
          <cx:pt idx="42">1.3025</cx:pt>
          <cx:pt idx="43">0.6885</cx:pt>
        </cx:lvl>
      </cx:numDim>
    </cx:data>
    <cx:data id="1">
      <cx:numDim type="val">
        <cx:f>'Ящик с усами nLM КРР'!$C$48:$C$63</cx:f>
        <cx:lvl ptCount="16" formatCode="0,00">
          <cx:pt idx="0">1.5485</cx:pt>
          <cx:pt idx="1">1.6116999999999999</cx:pt>
          <cx:pt idx="2">1.1812</cx:pt>
          <cx:pt idx="3">2.2414000000000001</cx:pt>
          <cx:pt idx="4">0.42380000000000001</cx:pt>
          <cx:pt idx="5">0.81820000000000004</cx:pt>
          <cx:pt idx="6">0.4037</cx:pt>
          <cx:pt idx="7">1.1529</cx:pt>
          <cx:pt idx="8">0.73599999999999999</cx:pt>
          <cx:pt idx="9">1.4714</cx:pt>
          <cx:pt idx="10">1.5860000000000001</cx:pt>
          <cx:pt idx="11">1.0931999999999999</cx:pt>
          <cx:pt idx="12">0.54420000000000002</cx:pt>
          <cx:pt idx="13">0.50419999999999998</cx:pt>
          <cx:pt idx="14">0.81489999999999996</cx:pt>
          <cx:pt idx="15">0.75880000000000003</cx:pt>
        </cx:lvl>
      </cx:numDim>
    </cx:data>
    <cx:data id="2">
      <cx:numDim type="val">
        <cx:f>'Ящик с усами nLM КРР'!$L$2:$L$45</cx:f>
        <cx:lvl ptCount="44" formatCode="0,00">
          <cx:pt idx="0">0.46579999999999999</cx:pt>
          <cx:pt idx="1">0.63490000000000002</cx:pt>
          <cx:pt idx="2">0.63519999999999999</cx:pt>
          <cx:pt idx="3">1.2004999999999999</cx:pt>
          <cx:pt idx="4">0.33350000000000002</cx:pt>
          <cx:pt idx="5">0.28000000000000003</cx:pt>
          <cx:pt idx="6">0.52629999999999999</cx:pt>
          <cx:pt idx="7">0.33029999999999998</cx:pt>
          <cx:pt idx="8">0.6492</cx:pt>
          <cx:pt idx="9">0.50049999999999994</cx:pt>
          <cx:pt idx="10">0.4899</cx:pt>
          <cx:pt idx="11">0.65580000000000005</cx:pt>
          <cx:pt idx="12">0.39939999999999998</cx:pt>
          <cx:pt idx="13">0.82550000000000001</cx:pt>
          <cx:pt idx="14">0.77400000000000002</cx:pt>
          <cx:pt idx="15">0.99490000000000001</cx:pt>
          <cx:pt idx="16">0.97470000000000001</cx:pt>
          <cx:pt idx="17">1.0819000000000001</cx:pt>
          <cx:pt idx="18">1.1974</cx:pt>
          <cx:pt idx="19">0.46999999999999997</cx:pt>
          <cx:pt idx="20">0.74160000000000004</cx:pt>
          <cx:pt idx="21">1.1265000000000001</cx:pt>
          <cx:pt idx="22">0.80000000000000004</cx:pt>
          <cx:pt idx="23">1.1535</cx:pt>
          <cx:pt idx="24">1.0447</cx:pt>
          <cx:pt idx="25">0.98080000000000001</cx:pt>
          <cx:pt idx="26">1.2542</cx:pt>
          <cx:pt idx="27">1.4312</cx:pt>
          <cx:pt idx="28">1.2025999999999999</cx:pt>
          <cx:pt idx="29">0.80279999999999996</cx:pt>
          <cx:pt idx="30">0.7782</cx:pt>
          <cx:pt idx="31">1.0077</cx:pt>
          <cx:pt idx="32">1.2935000000000001</cx:pt>
          <cx:pt idx="33">0.79149999999999998</cx:pt>
          <cx:pt idx="34">1.1198999999999999</cx:pt>
          <cx:pt idx="35">0.76619999999999999</cx:pt>
          <cx:pt idx="36">0.80320000000000003</cx:pt>
          <cx:pt idx="37">0.85289999999999999</cx:pt>
          <cx:pt idx="38">1.0465</cx:pt>
          <cx:pt idx="39">0.99770000000000003</cx:pt>
          <cx:pt idx="40">1.3529</cx:pt>
          <cx:pt idx="41">1.3232999999999999</cx:pt>
          <cx:pt idx="42">1.5443</cx:pt>
          <cx:pt idx="43">0.74639999999999995</cx:pt>
        </cx:lvl>
      </cx:numDim>
    </cx:data>
    <cx:data id="3">
      <cx:numDim type="val">
        <cx:f>'Ящик с усами nLM КРР'!$L$48:$L$63</cx:f>
        <cx:lvl ptCount="16" formatCode="0,00">
          <cx:pt idx="0">1.3197000000000001</cx:pt>
          <cx:pt idx="1">1.2939000000000001</cx:pt>
          <cx:pt idx="2">0.84260000000000002</cx:pt>
          <cx:pt idx="3">0.96389999999999998</cx:pt>
          <cx:pt idx="4">0.3695</cx:pt>
          <cx:pt idx="5">1.5484</cx:pt>
          <cx:pt idx="6">3.2237</cx:pt>
          <cx:pt idx="7">1.0738000000000001</cx:pt>
          <cx:pt idx="8">0.80079999999999996</cx:pt>
          <cx:pt idx="9">1.2956000000000001</cx:pt>
          <cx:pt idx="10">1.3070999999999999</cx:pt>
          <cx:pt idx="11">0.98209999999999997</cx:pt>
          <cx:pt idx="12">0.88480000000000003</cx:pt>
          <cx:pt idx="13">1.0003</cx:pt>
          <cx:pt idx="14">0.78769999999999996</cx:pt>
          <cx:pt idx="15">0.57250000000000001</cx:pt>
        </cx:lvl>
      </cx:numDim>
    </cx:data>
  </cx:chartData>
  <cx:chart>
    <cx:title pos="t" align="ctr" overlay="0">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RLH</a:t>
            </a:r>
            <a:endParaRPr lang="ru-KZ" sz="1200" b="1">
              <a:solidFill>
                <a:sysClr val="windowText" lastClr="000000"/>
              </a:solidFill>
              <a:latin typeface="Times New Roman" panose="02020603050405020304" pitchFamily="18" charset="0"/>
              <a:cs typeface="Times New Roman" panose="02020603050405020304" pitchFamily="18" charset="0"/>
            </a:endParaRPr>
          </a:p>
        </cx:rich>
      </cx:tx>
    </cx:title>
    <cx:plotArea>
      <cx:plotAreaRegion>
        <cx:series layoutId="boxWhisker" uniqueId="{3F5C7ADB-CCD5-444C-8046-E99A96D89BDC}">
          <cx:tx>
            <cx:txData>
              <cx:f>'Ящик с усами nLM КРР'!$C$1</cx:f>
              <cx:v>nLM I</cx:v>
            </cx:txData>
          </cx:tx>
          <cx:spPr>
            <a:solidFill>
              <a:srgbClr val="92D05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41"/>
            <cx:dataLabelHidden idx="42"/>
            <cx:dataLabelHidden idx="43"/>
            <cx:dataLabelHidden idx="44"/>
            <cx:dataLabelHidden idx="46"/>
            <cx:dataLabelHidden idx="47"/>
          </cx:dataLabels>
          <cx:dataId val="0"/>
          <cx:layoutPr>
            <cx:visibility meanLine="0" meanMarker="1" nonoutliers="0" outliers="1"/>
            <cx:statistics quartileMethod="exclusive"/>
          </cx:layoutPr>
        </cx:series>
        <cx:series layoutId="boxWhisker" uniqueId="{745C0190-098F-4AD3-AF54-66571EF3F4F8}">
          <cx:tx>
            <cx:txData>
              <cx:f>'Ящик с усами nLM КРР'!$C$47</cx:f>
              <cx:v>pLM 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5"/>
            <cx:dataLabelHidden idx="16"/>
            <cx:dataLabelHidden idx="18"/>
            <cx:dataLabelHidden idx="19"/>
          </cx:dataLabels>
          <cx:dataId val="1"/>
          <cx:layoutPr>
            <cx:visibility meanLine="0" meanMarker="1" nonoutliers="0" outliers="1"/>
            <cx:statistics quartileMethod="exclusive"/>
          </cx:layoutPr>
        </cx:series>
        <cx:series layoutId="boxWhisker" uniqueId="{CA4E9F16-CA9B-4FAA-8AC3-C346107FC0D8}">
          <cx:tx>
            <cx:txData>
              <cx:f>'Ящик с усами nLM КРР'!$L$1</cx:f>
              <cx:v>nLM II</cx:v>
            </cx:txData>
          </cx:tx>
          <cx:spPr>
            <a:solidFill>
              <a:srgbClr val="92D05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45" pos="b">
              <cx:visibility seriesName="0" categoryName="0" value="1"/>
              <cx:separator>, </cx:separator>
            </cx:dataLabel>
            <cx:dataLabelHidden idx="0"/>
            <cx:dataLabelHidden idx="43"/>
            <cx:dataLabelHidden idx="44"/>
            <cx:dataLabelHidden idx="46"/>
            <cx:dataLabelHidden idx="47"/>
          </cx:dataLabels>
          <cx:dataId val="2"/>
          <cx:layoutPr>
            <cx:visibility meanLine="0" meanMarker="1" nonoutliers="0" outliers="1"/>
            <cx:statistics quartileMethod="exclusive"/>
          </cx:layoutPr>
        </cx:series>
        <cx:series layoutId="boxWhisker" uniqueId="{F28E9C3B-4BC1-48E6-8326-D014223557F8}">
          <cx:tx>
            <cx:txData>
              <cx:f>'Ящик с усами nLM КРР'!$L$47</cx:f>
              <cx:v>pLM II</cx:v>
            </cx:txData>
          </cx:tx>
          <cx:spPr>
            <a:solidFill>
              <a:srgbClr val="0070C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17" pos="b">
              <cx:visibility seriesName="0" categoryName="0" value="1"/>
              <cx:separator>, </cx:separator>
            </cx:dataLabel>
            <cx:dataLabelHidden idx="0"/>
            <cx:dataLabelHidden idx="14"/>
            <cx:dataLabelHidden idx="15"/>
            <cx:dataLabelHidden idx="16"/>
            <cx:dataLabelHidden idx="18"/>
            <cx:dataLabelHidden idx="19"/>
          </cx:dataLabels>
          <cx:dataId val="3"/>
          <cx:layoutPr>
            <cx:visibility meanLine="0" meanMarker="1" nonoutliers="0" outliers="1"/>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r" align="ctr" overlay="0">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104.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'Ящик с усами nLM КРР'!$D$2:$D$45</cx:f>
        <cx:lvl ptCount="44" formatCode="0,00">
          <cx:pt idx="0">0.93430000000000002</cx:pt>
          <cx:pt idx="1">0.75590000000000002</cx:pt>
          <cx:pt idx="2">1.0347</cx:pt>
          <cx:pt idx="3">0.73980000000000001</cx:pt>
          <cx:pt idx="4">0.6976</cx:pt>
          <cx:pt idx="5">1.3533999999999999</cx:pt>
          <cx:pt idx="6">0.88829999999999998</cx:pt>
          <cx:pt idx="7">0.86739999999999995</cx:pt>
          <cx:pt idx="8">0.77370000000000005</cx:pt>
          <cx:pt idx="9">1.129</cx:pt>
          <cx:pt idx="10">0.42070000000000002</cx:pt>
          <cx:pt idx="11">0.29320000000000002</cx:pt>
          <cx:pt idx="12">0.61319999999999997</cx:pt>
          <cx:pt idx="13">0.81520000000000004</cx:pt>
          <cx:pt idx="14">0.66549999999999998</cx:pt>
          <cx:pt idx="15">0.74539999999999995</cx:pt>
          <cx:pt idx="16">0.40799999999999997</cx:pt>
          <cx:pt idx="17">0.42149999999999999</cx:pt>
          <cx:pt idx="18">0.68620000000000003</cx:pt>
          <cx:pt idx="19">0.75009999999999999</cx:pt>
          <cx:pt idx="20">0.81889999999999996</cx:pt>
          <cx:pt idx="21">0.69010000000000005</cx:pt>
          <cx:pt idx="22">1.0184</cx:pt>
          <cx:pt idx="23">0.58130000000000004</cx:pt>
          <cx:pt idx="24">0.65359999999999996</cx:pt>
          <cx:pt idx="25">0.38090000000000002</cx:pt>
          <cx:pt idx="26">1.1892</cx:pt>
          <cx:pt idx="27">1.1422000000000001</cx:pt>
          <cx:pt idx="28">0.8589</cx:pt>
          <cx:pt idx="29">1.736</cx:pt>
          <cx:pt idx="30">0.751</cx:pt>
          <cx:pt idx="31">0.85819999999999996</cx:pt>
          <cx:pt idx="32">0.80069999999999997</cx:pt>
          <cx:pt idx="33">1.798</cx:pt>
          <cx:pt idx="34">0.8569</cx:pt>
          <cx:pt idx="35">1.3805000000000001</cx:pt>
          <cx:pt idx="36">2.9357000000000002</cx:pt>
          <cx:pt idx="37">0.92030000000000001</cx:pt>
          <cx:pt idx="38">1.4228000000000001</cx:pt>
          <cx:pt idx="39">0.82940000000000003</cx:pt>
          <cx:pt idx="40">0.86909999999999998</cx:pt>
          <cx:pt idx="41">1.6382000000000001</cx:pt>
          <cx:pt idx="42">0.77600000000000002</cx:pt>
          <cx:pt idx="43">0.61099999999999999</cx:pt>
        </cx:lvl>
      </cx:numDim>
    </cx:data>
    <cx:data id="1">
      <cx:numDim type="val">
        <cx:f>'Ящик с усами nLM КРР'!$D$48:$D$63</cx:f>
        <cx:lvl ptCount="16" formatCode="0,00">
          <cx:pt idx="0">1.8083</cx:pt>
          <cx:pt idx="1">1.1706000000000001</cx:pt>
          <cx:pt idx="2">0.8155</cx:pt>
          <cx:pt idx="3">1.0499000000000001</cx:pt>
          <cx:pt idx="4">0.48430000000000001</cx:pt>
          <cx:pt idx="5">0.4451</cx:pt>
          <cx:pt idx="6">1.3343</cx:pt>
          <cx:pt idx="7">1.4965999999999999</cx:pt>
          <cx:pt idx="8">1.5466</cx:pt>
          <cx:pt idx="9">2.1457999999999999</cx:pt>
          <cx:pt idx="10">1.4305000000000001</cx:pt>
          <cx:pt idx="11">1.6548</cx:pt>
          <cx:pt idx="12">0.66459999999999997</cx:pt>
          <cx:pt idx="13">0.64339999999999997</cx:pt>
          <cx:pt idx="14">1.2485999999999999</cx:pt>
          <cx:pt idx="15">1.5174000000000001</cx:pt>
        </cx:lvl>
      </cx:numDim>
    </cx:data>
    <cx:data id="2">
      <cx:numDim type="val">
        <cx:f>'Ящик с усами nLM КРР'!$M$2:$M$45</cx:f>
        <cx:lvl ptCount="44" formatCode="0,00">
          <cx:pt idx="0">1.2609999999999999</cx:pt>
          <cx:pt idx="1">0.90569999999999995</cx:pt>
          <cx:pt idx="2">0.80120000000000002</cx:pt>
          <cx:pt idx="3">0.76459999999999995</cx:pt>
          <cx:pt idx="4">0.3957</cx:pt>
          <cx:pt idx="5">0.38190000000000002</cx:pt>
          <cx:pt idx="6">0.44700000000000001</cx:pt>
          <cx:pt idx="7">0.57509999999999994</cx:pt>
          <cx:pt idx="8">0.78010000000000002</cx:pt>
          <cx:pt idx="9">0.88729999999999998</cx:pt>
          <cx:pt idx="10">0.35010000000000002</cx:pt>
          <cx:pt idx="11">0.57410000000000005</cx:pt>
          <cx:pt idx="12">0.6915</cx:pt>
          <cx:pt idx="13">0.81220000000000003</cx:pt>
          <cx:pt idx="14">0.8569</cx:pt>
          <cx:pt idx="15">1.7079</cx:pt>
          <cx:pt idx="16">0.69930000000000003</cx:pt>
          <cx:pt idx="17">0.85099999999999998</cx:pt>
          <cx:pt idx="18">2.4144999999999999</cx:pt>
          <cx:pt idx="19">1.532</cx:pt>
          <cx:pt idx="20">0.83189999999999997</cx:pt>
          <cx:pt idx="21">1.3919999999999999</cx:pt>
          <cx:pt idx="22">1.3575999999999999</cx:pt>
          <cx:pt idx="23">0.8841</cx:pt>
          <cx:pt idx="24">2.6747000000000001</cx:pt>
          <cx:pt idx="25">0.87039999999999995</cx:pt>
          <cx:pt idx="26">1.806</cx:pt>
          <cx:pt idx="27">1.2879</cx:pt>
          <cx:pt idx="28">2.2035</cx:pt>
          <cx:pt idx="29">1.0127999999999999</cx:pt>
          <cx:pt idx="30">1.1167</cx:pt>
          <cx:pt idx="31">1.1585000000000001</cx:pt>
          <cx:pt idx="32">1.0234000000000001</cx:pt>
          <cx:pt idx="33">2.2017000000000002</cx:pt>
          <cx:pt idx="34">0.89770000000000005</cx:pt>
          <cx:pt idx="35">0.6613</cx:pt>
          <cx:pt idx="36">1.4715</cx:pt>
          <cx:pt idx="37">1.0959000000000001</cx:pt>
          <cx:pt idx="38">1.4109</cx:pt>
          <cx:pt idx="39">0.67179999999999995</cx:pt>
          <cx:pt idx="40">0.97599999999999998</cx:pt>
          <cx:pt idx="41">1.1259999999999999</cx:pt>
          <cx:pt idx="42">0.94750000000000001</cx:pt>
          <cx:pt idx="43">0.79330000000000001</cx:pt>
        </cx:lvl>
      </cx:numDim>
    </cx:data>
    <cx:data id="3">
      <cx:numDim type="val">
        <cx:f>'Ящик с усами nLM КРР'!$M$48:$M$63</cx:f>
        <cx:lvl ptCount="16" formatCode="0,00">
          <cx:pt idx="0">0.89029999999999998</cx:pt>
          <cx:pt idx="1">1.0577000000000001</cx:pt>
          <cx:pt idx="2">0.61309999999999998</cx:pt>
          <cx:pt idx="3">1.1637</cx:pt>
          <cx:pt idx="4">0.34079999999999999</cx:pt>
          <cx:pt idx="5">0.70609999999999995</cx:pt>
          <cx:pt idx="6">1.9958</cx:pt>
          <cx:pt idx="7">1.4097</cx:pt>
          <cx:pt idx="8">1.2769999999999999</cx:pt>
          <cx:pt idx="9">1.4681999999999999</cx:pt>
          <cx:pt idx="10">1.5939000000000001</cx:pt>
          <cx:pt idx="11">1.6072</cx:pt>
          <cx:pt idx="12">2.125</cx:pt>
          <cx:pt idx="13">1.0490999999999999</cx:pt>
          <cx:pt idx="14">1.5388999999999999</cx:pt>
          <cx:pt idx="15">1.6812</cx:pt>
        </cx:lvl>
      </cx:numDim>
    </cx:data>
  </cx:chartData>
  <cx:chart>
    <cx:title pos="t" align="ctr" overlay="0">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RRL</a:t>
            </a:r>
            <a:endParaRPr lang="ru-KZ" sz="1200" b="1">
              <a:solidFill>
                <a:sysClr val="windowText" lastClr="000000"/>
              </a:solidFill>
              <a:latin typeface="Times New Roman" panose="02020603050405020304" pitchFamily="18" charset="0"/>
              <a:cs typeface="Times New Roman" panose="02020603050405020304" pitchFamily="18" charset="0"/>
            </a:endParaRPr>
          </a:p>
        </cx:rich>
      </cx:tx>
    </cx:title>
    <cx:plotArea>
      <cx:plotAreaRegion>
        <cx:series layoutId="boxWhisker" uniqueId="{98097C59-3C88-427C-840A-536D64D6F85A}">
          <cx:tx>
            <cx:txData>
              <cx:f>'Ящик с усами nLM КРР'!$D$1</cx:f>
              <cx:v>nLM I</cx:v>
            </cx:txData>
          </cx:tx>
          <cx:spPr>
            <a:solidFill>
              <a:srgbClr val="92D050"/>
            </a:solidFill>
          </cx:spPr>
          <cx:dataLabels pos="l">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 idx="47" pos="b">
              <cx:txPr>
                <a:bodyPr spcFirstLastPara="1" vertOverflow="ellipsis" horzOverflow="overflow" wrap="square" lIns="0" tIns="0" rIns="0" bIns="0" anchor="ctr" anchorCtr="1"/>
                <a:lstStyle/>
                <a:p>
                  <a:pPr algn="ctr" rtl="0">
                    <a:defRPr/>
                  </a:pPr>
                  <a:r>
                    <a:rPr lang="ru-RU" sz="1000" b="1" i="0" u="none" strike="noStrike" baseline="0">
                      <a:solidFill>
                        <a:sysClr val="windowText" lastClr="000000"/>
                      </a:solidFill>
                      <a:latin typeface="Times New Roman" panose="02020603050405020304" pitchFamily="18" charset="0"/>
                      <a:cs typeface="Times New Roman" panose="02020603050405020304" pitchFamily="18" charset="0"/>
                    </a:rPr>
                    <a:t>0,92</a:t>
                  </a:r>
                </a:p>
              </cx:txPr>
              <cx:visibility seriesName="0" categoryName="0" value="1"/>
              <cx:separator>, </cx:separator>
            </cx:dataLabel>
            <cx:dataLabelHidden idx="0"/>
            <cx:dataLabelHidden idx="39"/>
            <cx:dataLabelHidden idx="40"/>
            <cx:dataLabelHidden idx="41"/>
            <cx:dataLabelHidden idx="43"/>
            <cx:dataLabelHidden idx="44"/>
            <cx:dataLabelHidden idx="45"/>
            <cx:dataLabelHidden idx="46"/>
          </cx:dataLabels>
          <cx:dataId val="0"/>
          <cx:layoutPr>
            <cx:visibility meanLine="0" meanMarker="1" nonoutliers="0" outliers="1"/>
            <cx:statistics quartileMethod="exclusive"/>
          </cx:layoutPr>
        </cx:series>
        <cx:series layoutId="boxWhisker" uniqueId="{47EA90B7-5444-4125-B86E-E4A1A37EA0FC}">
          <cx:tx>
            <cx:txData>
              <cx:f>'Ящик с усами nLM КРР'!$D$47</cx:f>
              <cx:v>pLM I</cx:v>
            </cx:txData>
          </cx:tx>
          <cx:spPr>
            <a:solidFill>
              <a:srgbClr val="0070C0"/>
            </a:solidFill>
          </cx:spPr>
          <cx:dataLabels>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17" pos="b">
              <cx:txPr>
                <a:bodyPr spcFirstLastPara="1" vertOverflow="ellipsis" horzOverflow="overflow" wrap="square" lIns="0" tIns="0" rIns="0" bIns="0" anchor="ctr" anchorCtr="1"/>
                <a:lstStyle/>
                <a:p>
                  <a:pPr algn="ctr" rtl="0">
                    <a:defRPr/>
                  </a:pPr>
                  <a:r>
                    <a:rPr lang="ru-RU" sz="1000" b="1" i="0" u="none" strike="noStrike" baseline="0">
                      <a:solidFill>
                        <a:sysClr val="windowText" lastClr="000000"/>
                      </a:solidFill>
                      <a:latin typeface="Times New Roman" panose="02020603050405020304" pitchFamily="18" charset="0"/>
                      <a:cs typeface="Times New Roman" panose="02020603050405020304" pitchFamily="18" charset="0"/>
                    </a:rPr>
                    <a:t>1,29</a:t>
                  </a:r>
                </a:p>
              </cx:txPr>
              <cx:visibility seriesName="0" categoryName="0" value="1"/>
              <cx:separator>, </cx:separator>
            </cx:dataLabel>
            <cx:dataLabelHidden idx="0"/>
            <cx:dataLabelHidden idx="15"/>
            <cx:dataLabelHidden idx="16"/>
            <cx:dataLabelHidden idx="18"/>
            <cx:dataLabelHidden idx="19"/>
          </cx:dataLabels>
          <cx:dataId val="1"/>
          <cx:layoutPr>
            <cx:visibility meanLine="0" meanMarker="1" nonoutliers="0" outliers="1"/>
            <cx:statistics quartileMethod="exclusive"/>
          </cx:layoutPr>
        </cx:series>
        <cx:series layoutId="boxWhisker" uniqueId="{E4C65217-032B-43C1-9698-D2D8DE106DD6}">
          <cx:tx>
            <cx:txData>
              <cx:f>'Ящик с усами nLM КРР'!$M$1</cx:f>
              <cx:v>nLM II</cx:v>
            </cx:txData>
          </cx:tx>
          <cx:spPr>
            <a:solidFill>
              <a:srgbClr val="92D050"/>
            </a:solidFill>
          </cx:spPr>
          <cx:dataLabels>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45" pos="b">
              <cx:txPr>
                <a:bodyPr spcFirstLastPara="1" vertOverflow="ellipsis" horzOverflow="overflow" wrap="square" lIns="0" tIns="0" rIns="0" bIns="0" anchor="ctr" anchorCtr="1"/>
                <a:lstStyle/>
                <a:p>
                  <a:pPr algn="ctr" rtl="0">
                    <a:defRPr/>
                  </a:pPr>
                  <a:r>
                    <a:rPr lang="ru-RU" sz="1000" b="1" i="0" u="none" strike="noStrike" baseline="0">
                      <a:solidFill>
                        <a:sysClr val="windowText" lastClr="000000"/>
                      </a:solidFill>
                      <a:latin typeface="Times New Roman" panose="02020603050405020304" pitchFamily="18" charset="0"/>
                      <a:cs typeface="Times New Roman" panose="02020603050405020304" pitchFamily="18" charset="0"/>
                    </a:rPr>
                    <a:t>0,90</a:t>
                  </a:r>
                </a:p>
              </cx:txPr>
              <cx:visibility seriesName="0" categoryName="0" value="1"/>
              <cx:separator>, </cx:separator>
            </cx:dataLabel>
            <cx:dataLabelHidden idx="0"/>
            <cx:dataLabelHidden idx="39"/>
            <cx:dataLabelHidden idx="40"/>
            <cx:dataLabelHidden idx="42"/>
            <cx:dataLabelHidden idx="43"/>
            <cx:dataLabelHidden idx="44"/>
            <cx:dataLabelHidden idx="46"/>
            <cx:dataLabelHidden idx="47"/>
          </cx:dataLabels>
          <cx:dataId val="2"/>
          <cx:layoutPr>
            <cx:visibility meanLine="0" meanMarker="1" nonoutliers="0" outliers="1"/>
            <cx:statistics quartileMethod="exclusive"/>
          </cx:layoutPr>
        </cx:series>
        <cx:series layoutId="boxWhisker" uniqueId="{C3DEDFE6-C1F0-45C0-BBE9-7EFC14D56136}">
          <cx:tx>
            <cx:txData>
              <cx:f>'Ящик с усами nLM КРР'!$M$47</cx:f>
              <cx:v>pLM II</cx:v>
            </cx:txData>
          </cx:tx>
          <cx:spPr>
            <a:solidFill>
              <a:srgbClr val="0070C0"/>
            </a:solidFill>
          </cx:spPr>
          <cx:dataLabels>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17" pos="b">
              <cx:txPr>
                <a:bodyPr spcFirstLastPara="1" vertOverflow="ellipsis" horzOverflow="overflow" wrap="square" lIns="0" tIns="0" rIns="0" bIns="0" anchor="ctr" anchorCtr="1"/>
                <a:lstStyle/>
                <a:p>
                  <a:pPr algn="ctr" rtl="0">
                    <a:defRPr/>
                  </a:pPr>
                  <a:r>
                    <a:rPr lang="ru-RU" sz="1000" b="1" i="0" u="none" strike="noStrike" baseline="0">
                      <a:solidFill>
                        <a:sysClr val="windowText" lastClr="000000"/>
                      </a:solidFill>
                      <a:latin typeface="Times New Roman" panose="02020603050405020304" pitchFamily="18" charset="0"/>
                      <a:cs typeface="Times New Roman" panose="02020603050405020304" pitchFamily="18" charset="0"/>
                    </a:rPr>
                    <a:t>1,34</a:t>
                  </a:r>
                </a:p>
              </cx:txPr>
              <cx:visibility seriesName="0" categoryName="0" value="1"/>
              <cx:separator>, </cx:separator>
            </cx:dataLabel>
            <cx:dataLabelHidden idx="0"/>
            <cx:dataLabelHidden idx="15"/>
            <cx:dataLabelHidden idx="16"/>
            <cx:dataLabelHidden idx="18"/>
            <cx:dataLabelHidden idx="19"/>
          </cx:dataLabels>
          <cx:dataId val="3"/>
          <cx:layoutPr>
            <cx:visibility meanLine="0" meanMarker="1" nonoutliers="0" outliers="1"/>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r" align="ctr" overlay="0">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105.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'Ящик с усами nLM КРР'!$E$2:$E$45</cx:f>
        <cx:lvl ptCount="44" formatCode="0,00">
          <cx:pt idx="0">0.61419999999999997</cx:pt>
          <cx:pt idx="1">1.1435</cx:pt>
          <cx:pt idx="2">1.4419999999999999</cx:pt>
          <cx:pt idx="3">1.1160000000000001</cx:pt>
          <cx:pt idx="4">0.58930000000000005</cx:pt>
          <cx:pt idx="5">0.56020000000000003</cx:pt>
          <cx:pt idx="6">0.7883</cx:pt>
          <cx:pt idx="7">0.61719999999999997</cx:pt>
          <cx:pt idx="8">0.32700000000000001</cx:pt>
          <cx:pt idx="9">0.9839</cx:pt>
          <cx:pt idx="10">0.5403</cx:pt>
          <cx:pt idx="11">0.46039999999999998</cx:pt>
          <cx:pt idx="12">0.44140000000000001</cx:pt>
          <cx:pt idx="13">0.58099999999999996</cx:pt>
          <cx:pt idx="14">0.58230000000000004</cx:pt>
          <cx:pt idx="15">0.9194</cx:pt>
          <cx:pt idx="16">0.50339999999999996</cx:pt>
          <cx:pt idx="17">0.49919999999999998</cx:pt>
          <cx:pt idx="18">0.50429999999999997</cx:pt>
          <cx:pt idx="19">0.66969999999999996</cx:pt>
          <cx:pt idx="20">0.92000000000000004</cx:pt>
          <cx:pt idx="21">0.71160000000000001</cx:pt>
          <cx:pt idx="22">0.75509999999999999</cx:pt>
          <cx:pt idx="23">0.45290000000000002</cx:pt>
          <cx:pt idx="24">0.62219999999999998</cx:pt>
          <cx:pt idx="25">0.41799999999999998</cx:pt>
          <cx:pt idx="26">1.2042999999999999</cx:pt>
          <cx:pt idx="27">1.0603</cx:pt>
          <cx:pt idx="28">0.76190000000000002</cx:pt>
          <cx:pt idx="29">1.1100000000000001</cx:pt>
          <cx:pt idx="30">0.45839999999999997</cx:pt>
          <cx:pt idx="31">0.62380000000000002</cx:pt>
          <cx:pt idx="32">0.5746</cx:pt>
          <cx:pt idx="33">1.1052</cx:pt>
          <cx:pt idx="34">1.1407</cx:pt>
          <cx:pt idx="35">0.99890000000000001</cx:pt>
          <cx:pt idx="36">1.5598000000000001</cx:pt>
          <cx:pt idx="37">0.84889999999999999</cx:pt>
          <cx:pt idx="38">1.1613</cx:pt>
          <cx:pt idx="39">0.69920000000000004</cx:pt>
          <cx:pt idx="40">1.5258</cx:pt>
          <cx:pt idx="41">1.5353000000000001</cx:pt>
          <cx:pt idx="42">0.93089999999999995</cx:pt>
          <cx:pt idx="43">0.79779999999999995</cx:pt>
        </cx:lvl>
      </cx:numDim>
    </cx:data>
    <cx:data id="1">
      <cx:numDim type="val">
        <cx:f>'Ящик с усами nLM КРР'!$E$48:$E$63</cx:f>
        <cx:lvl ptCount="16" formatCode="0,00">
          <cx:pt idx="0">1.0718000000000001</cx:pt>
          <cx:pt idx="1">0.85360000000000003</cx:pt>
          <cx:pt idx="2">1.3078000000000001</cx:pt>
          <cx:pt idx="3">0.79620000000000002</cx:pt>
          <cx:pt idx="4">0.62180000000000002</cx:pt>
          <cx:pt idx="5">0.50090000000000001</cx:pt>
          <cx:pt idx="6">0.53520000000000001</cx:pt>
          <cx:pt idx="7">2.2519</cx:pt>
          <cx:pt idx="8">1.8771</cx:pt>
          <cx:pt idx="9">1.4247000000000001</cx:pt>
          <cx:pt idx="10">1.6369</cx:pt>
          <cx:pt idx="11">1.6229</cx:pt>
          <cx:pt idx="12">0.53180000000000005</cx:pt>
          <cx:pt idx="13">0.7006</cx:pt>
          <cx:pt idx="14">0.9294</cx:pt>
          <cx:pt idx="15">1.3401000000000001</cx:pt>
        </cx:lvl>
      </cx:numDim>
    </cx:data>
    <cx:data id="2">
      <cx:numDim type="val">
        <cx:f>'Ящик с усами nLM КРР'!$N$2:$N$45</cx:f>
        <cx:lvl ptCount="44" formatCode="0,00">
          <cx:pt idx="0">0.56079999999999997</cx:pt>
          <cx:pt idx="1">0.55400000000000005</cx:pt>
          <cx:pt idx="2">0.63070000000000004</cx:pt>
          <cx:pt idx="3">0.73099999999999998</cx:pt>
          <cx:pt idx="4">0.26229999999999998</cx:pt>
          <cx:pt idx="5">0.57999999999999996</cx:pt>
          <cx:pt idx="6">0.80620000000000003</cx:pt>
          <cx:pt idx="7">0.60150000000000003</cx:pt>
          <cx:pt idx="8">0.56410000000000005</cx:pt>
          <cx:pt idx="9">0.64739999999999998</cx:pt>
          <cx:pt idx="10">0.66239999999999999</cx:pt>
          <cx:pt idx="11">0.46079999999999999</cx:pt>
          <cx:pt idx="12">0.45300000000000001</cx:pt>
          <cx:pt idx="13">0.35809999999999997</cx:pt>
          <cx:pt idx="14">1.1521999999999999</cx:pt>
          <cx:pt idx="15">1.0448999999999999</cx:pt>
          <cx:pt idx="16">1.2078</cx:pt>
          <cx:pt idx="17">0.69189999999999996</cx:pt>
          <cx:pt idx="18">1.2165999999999999</cx:pt>
          <cx:pt idx="19">1.6870000000000001</cx:pt>
          <cx:pt idx="20">0.84099999999999997</cx:pt>
          <cx:pt idx="21">0.83009999999999995</cx:pt>
          <cx:pt idx="22">1.2427999999999999</cx:pt>
          <cx:pt idx="23">0.62129999999999996</cx:pt>
          <cx:pt idx="24">2.1366000000000001</cx:pt>
          <cx:pt idx="25">0.97560000000000002</cx:pt>
          <cx:pt idx="26">1.2875000000000001</cx:pt>
          <cx:pt idx="27">1.4823</cx:pt>
          <cx:pt idx="28">1.2076</cx:pt>
          <cx:pt idx="29">0.78400000000000003</cx:pt>
          <cx:pt idx="30">0.88480000000000003</cx:pt>
          <cx:pt idx="31">1.0846</cx:pt>
          <cx:pt idx="32">0.91810000000000003</cx:pt>
          <cx:pt idx="33">1.5692999999999999</cx:pt>
          <cx:pt idx="34">1.1617</cx:pt>
          <cx:pt idx="35">0.84630000000000005</cx:pt>
          <cx:pt idx="36">0.75609999999999999</cx:pt>
          <cx:pt idx="37">1.3565</cx:pt>
          <cx:pt idx="38">1.0660000000000001</cx:pt>
          <cx:pt idx="39">1.1032</cx:pt>
          <cx:pt idx="40">1.9957</cx:pt>
          <cx:pt idx="41">0.95909999999999995</cx:pt>
          <cx:pt idx="42">1.1613</cx:pt>
          <cx:pt idx="43">0.70269999999999999</cx:pt>
        </cx:lvl>
      </cx:numDim>
    </cx:data>
    <cx:data id="3">
      <cx:numDim type="val">
        <cx:f>'Ящик с усами nLM КРР'!$N$48:$N$63</cx:f>
        <cx:lvl ptCount="16" formatCode="0,00">
          <cx:pt idx="0">1.3092999999999999</cx:pt>
          <cx:pt idx="1">0.70020000000000004</cx:pt>
          <cx:pt idx="2">1.0613999999999999</cx:pt>
          <cx:pt idx="3">0.95779999999999998</cx:pt>
          <cx:pt idx="4">0.79300000000000004</cx:pt>
          <cx:pt idx="5">0.84279999999999999</cx:pt>
          <cx:pt idx="6">1.7189000000000001</cx:pt>
          <cx:pt idx="7">1.8019000000000001</cx:pt>
          <cx:pt idx="8">0.9546</cx:pt>
          <cx:pt idx="9">0.96460000000000001</cx:pt>
          <cx:pt idx="10">2.3447</cx:pt>
          <cx:pt idx="11">2.4243000000000001</cx:pt>
          <cx:pt idx="12">0.73409999999999997</cx:pt>
          <cx:pt idx="13">0.74260000000000004</cx:pt>
          <cx:pt idx="14">1.1234999999999999</cx:pt>
          <cx:pt idx="15">1.3427</cx:pt>
        </cx:lvl>
      </cx:numDim>
    </cx:data>
  </cx:chartData>
  <cx:chart>
    <cx:title pos="t" align="ctr" overlay="0">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RU</a:t>
            </a:r>
            <a:endParaRPr lang="ru-KZ" sz="1200" b="1">
              <a:solidFill>
                <a:sysClr val="windowText" lastClr="000000"/>
              </a:solidFill>
              <a:latin typeface="Times New Roman" panose="02020603050405020304" pitchFamily="18" charset="0"/>
              <a:cs typeface="Times New Roman" panose="02020603050405020304" pitchFamily="18" charset="0"/>
            </a:endParaRPr>
          </a:p>
        </cx:rich>
      </cx:tx>
    </cx:title>
    <cx:plotArea>
      <cx:plotAreaRegion>
        <cx:series layoutId="boxWhisker" uniqueId="{DF81AC3D-7B45-404D-9466-1BB2968032AA}">
          <cx:tx>
            <cx:txData>
              <cx:f>'Ящик с усами nLM КРР'!$E$1</cx:f>
              <cx:v>nLM I</cx:v>
            </cx:txData>
          </cx:tx>
          <cx:spPr>
            <a:solidFill>
              <a:srgbClr val="92D05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45" pos="b">
              <cx:visibility seriesName="0" categoryName="0" value="1"/>
              <cx:separator>, </cx:separator>
            </cx:dataLabel>
            <cx:dataLabelHidden idx="0"/>
            <cx:dataLabelHidden idx="43"/>
            <cx:dataLabelHidden idx="44"/>
            <cx:dataLabelHidden idx="46"/>
            <cx:dataLabelHidden idx="47"/>
          </cx:dataLabels>
          <cx:dataId val="0"/>
          <cx:layoutPr>
            <cx:visibility meanLine="0" meanMarker="1" nonoutliers="0" outliers="1"/>
            <cx:statistics quartileMethod="exclusive"/>
          </cx:layoutPr>
        </cx:series>
        <cx:series layoutId="boxWhisker" uniqueId="{73233907-89BD-4949-B5DC-E6C453DEFB80}">
          <cx:tx>
            <cx:txData>
              <cx:f>'Ящик с усами nLM КРР'!$E$47</cx:f>
              <cx:v>pLM I</cx:v>
            </cx:txData>
          </cx:tx>
          <cx:spPr>
            <a:solidFill>
              <a:srgbClr val="0070C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17" pos="b">
              <cx:visibility seriesName="0" categoryName="0" value="1"/>
              <cx:separator>, </cx:separator>
            </cx:dataLabel>
            <cx:dataLabelHidden idx="0"/>
            <cx:dataLabelHidden idx="15"/>
            <cx:dataLabelHidden idx="16"/>
            <cx:dataLabelHidden idx="18"/>
            <cx:dataLabelHidden idx="19"/>
          </cx:dataLabels>
          <cx:dataId val="1"/>
          <cx:layoutPr>
            <cx:visibility meanLine="0" meanMarker="1" nonoutliers="0" outliers="1"/>
            <cx:statistics quartileMethod="exclusive"/>
          </cx:layoutPr>
        </cx:series>
        <cx:series layoutId="boxWhisker" uniqueId="{27AD20D9-947F-4273-AB0E-FD2B02E87BD7}">
          <cx:tx>
            <cx:txData>
              <cx:f>'Ящик с усами nLM КРР'!$N$1</cx:f>
              <cx:v>nLM II</cx:v>
            </cx:txData>
          </cx:tx>
          <cx:spPr>
            <a:solidFill>
              <a:srgbClr val="92D05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45" pos="b">
              <cx:visibility seriesName="0" categoryName="0" value="1"/>
              <cx:separator>, </cx:separator>
            </cx:dataLabel>
            <cx:dataLabelHidden idx="0"/>
            <cx:dataLabelHidden idx="42"/>
            <cx:dataLabelHidden idx="43"/>
            <cx:dataLabelHidden idx="44"/>
            <cx:dataLabelHidden idx="46"/>
            <cx:dataLabelHidden idx="47"/>
          </cx:dataLabels>
          <cx:dataId val="2"/>
          <cx:layoutPr>
            <cx:visibility meanLine="0" meanMarker="1" nonoutliers="0" outliers="1"/>
            <cx:statistics quartileMethod="exclusive"/>
          </cx:layoutPr>
        </cx:series>
        <cx:series layoutId="boxWhisker" uniqueId="{3F6813BB-8C7A-44A3-B8F9-81B8FC1F770E}">
          <cx:tx>
            <cx:txData>
              <cx:f>'Ящик с усами nLM КРР'!$N$47</cx:f>
              <cx:v>pLM II</cx:v>
            </cx:txData>
          </cx:tx>
          <cx:spPr>
            <a:solidFill>
              <a:srgbClr val="0070C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17" pos="b">
              <cx:visibility seriesName="0" categoryName="0" value="1"/>
              <cx:separator>, </cx:separator>
            </cx:dataLabel>
            <cx:dataLabelHidden idx="0"/>
            <cx:dataLabelHidden idx="15"/>
            <cx:dataLabelHidden idx="16"/>
            <cx:dataLabelHidden idx="18"/>
            <cx:dataLabelHidden idx="19"/>
          </cx:dataLabels>
          <cx:dataId val="3"/>
          <cx:layoutPr>
            <cx:visibility meanLine="0" meanMarker="1" nonoutliers="0" outliers="1"/>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r" align="ctr" overlay="0">
      <cx:txPr>
        <a:bodyPr spcFirstLastPara="1" vertOverflow="ellipsis" horzOverflow="overflow" wrap="square" lIns="0" tIns="0" rIns="0" bIns="0" anchor="ctr" anchorCtr="1"/>
        <a:lstStyle/>
        <a:p>
          <a:pPr algn="ctr" rtl="0">
            <a:defRPr sz="100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0" i="0" u="none" strike="noStrike" baseline="0">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106.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'Ящик с усами nLM КРР'!$F$2:$F$45</cx:f>
        <cx:lvl ptCount="44" formatCode="0,00">
          <cx:pt idx="0">0.78820000000000001</cx:pt>
          <cx:pt idx="1">0.95530000000000004</cx:pt>
          <cx:pt idx="2">1.5286</cx:pt>
          <cx:pt idx="3">0.8669</cx:pt>
          <cx:pt idx="4">0.64480000000000004</cx:pt>
          <cx:pt idx="5">0.78390000000000004</cx:pt>
          <cx:pt idx="6">1.1021000000000001</cx:pt>
          <cx:pt idx="7">1.0688</cx:pt>
          <cx:pt idx="8">0.95820000000000005</cx:pt>
          <cx:pt idx="9">0.76160000000000005</cx:pt>
          <cx:pt idx="10">0.60909999999999997</cx:pt>
          <cx:pt idx="11">0.28570000000000001</cx:pt>
          <cx:pt idx="12">0.38290000000000002</cx:pt>
          <cx:pt idx="13">0.61040000000000005</cx:pt>
          <cx:pt idx="14">0.78900000000000003</cx:pt>
          <cx:pt idx="15">0.85799999999999998</cx:pt>
          <cx:pt idx="16">0.1153</cx:pt>
          <cx:pt idx="17">0.5655</cx:pt>
          <cx:pt idx="18">0.6855</cx:pt>
          <cx:pt idx="19">0.90800000000000003</cx:pt>
          <cx:pt idx="20">0.93159999999999998</cx:pt>
          <cx:pt idx="21">0.8115</cx:pt>
          <cx:pt idx="22">1.0942000000000001</cx:pt>
          <cx:pt idx="23">0.4617</cx:pt>
          <cx:pt idx="24">0.77680000000000005</cx:pt>
          <cx:pt idx="25">0.44419999999999998</cx:pt>
          <cx:pt idx="26">1.6556999999999999</cx:pt>
          <cx:pt idx="27">0.87970000000000004</cx:pt>
          <cx:pt idx="28">0.59360000000000002</cx:pt>
          <cx:pt idx="29">1.4387000000000001</cx:pt>
          <cx:pt idx="30">0.34599999999999997</cx:pt>
          <cx:pt idx="31">0.8538</cx:pt>
          <cx:pt idx="32">0.72240000000000004</cx:pt>
          <cx:pt idx="33">1.2293000000000001</cx:pt>
          <cx:pt idx="34">1.1879</cx:pt>
          <cx:pt idx="35">1.0149999999999999</cx:pt>
          <cx:pt idx="36">1.0646</cx:pt>
          <cx:pt idx="37">0.78779999999999994</cx:pt>
          <cx:pt idx="38">1.4469000000000001</cx:pt>
          <cx:pt idx="39">0.97929999999999995</cx:pt>
          <cx:pt idx="40">0.9244</cx:pt>
          <cx:pt idx="41">1.3353999999999999</cx:pt>
          <cx:pt idx="42">0.92610000000000003</cx:pt>
          <cx:pt idx="43">0.62490000000000001</cx:pt>
        </cx:lvl>
      </cx:numDim>
    </cx:data>
    <cx:data id="1">
      <cx:numDim type="val">
        <cx:f>'Ящик с усами nLM КРР'!$F$48:$F$63</cx:f>
        <cx:lvl ptCount="16" formatCode="0,00">
          <cx:pt idx="0">1.2702</cx:pt>
          <cx:pt idx="1">1.0275000000000001</cx:pt>
          <cx:pt idx="2">0.67290000000000005</cx:pt>
          <cx:pt idx="3">1.1175999999999999</cx:pt>
          <cx:pt idx="4">0.50590000000000002</cx:pt>
          <cx:pt idx="5">0.59099999999999997</cx:pt>
          <cx:pt idx="6">0.66900000000000004</cx:pt>
          <cx:pt idx="7">0.94620000000000004</cx:pt>
          <cx:pt idx="8">2.2650000000000001</cx:pt>
          <cx:pt idx="9">1.4926999999999999</cx:pt>
          <cx:pt idx="10">0.93689999999999996</cx:pt>
          <cx:pt idx="11">1.6148</cx:pt>
          <cx:pt idx="12">0.38800000000000001</cx:pt>
          <cx:pt idx="13">0.53090000000000004</cx:pt>
          <cx:pt idx="14">1.1423000000000001</cx:pt>
          <cx:pt idx="15">0.76219999999999999</cx:pt>
        </cx:lvl>
      </cx:numDim>
    </cx:data>
    <cx:data id="2">
      <cx:numDim type="val">
        <cx:f>'Ящик с усами nLM КРР'!$O$2:$O$45</cx:f>
        <cx:lvl ptCount="44" formatCode="0,00">
          <cx:pt idx="0">0.47449999999999998</cx:pt>
          <cx:pt idx="1">0.72909999999999997</cx:pt>
          <cx:pt idx="2">0.77070000000000005</cx:pt>
          <cx:pt idx="3">1.1277999999999999</cx:pt>
          <cx:pt idx="4">0.42149999999999999</cx:pt>
          <cx:pt idx="5">0.63990000000000002</cx:pt>
          <cx:pt idx="6">0.83489999999999998</cx:pt>
          <cx:pt idx="7">0.44840000000000002</cx:pt>
          <cx:pt idx="8">0.67989999999999995</cx:pt>
          <cx:pt idx="9">0.752</cx:pt>
          <cx:pt idx="10">0.53869999999999996</cx:pt>
          <cx:pt idx="11">0.63649999999999995</cx:pt>
          <cx:pt idx="12">0.49120000000000003</cx:pt>
          <cx:pt idx="13">0.71299999999999997</cx:pt>
          <cx:pt idx="14">1.1879</cx:pt>
          <cx:pt idx="15">0.63939999999999997</cx:pt>
          <cx:pt idx="16">0.76739999999999997</cx:pt>
          <cx:pt idx="17">0.7611</cx:pt>
          <cx:pt idx="18">2.2450000000000001</cx:pt>
          <cx:pt idx="19">0.65749999999999997</cx:pt>
          <cx:pt idx="20">1.2372000000000001</cx:pt>
          <cx:pt idx="21">1.028</cx:pt>
          <cx:pt idx="22">1.4209000000000001</cx:pt>
          <cx:pt idx="23">1.0481</cx:pt>
          <cx:pt idx="24">1.1167</cx:pt>
          <cx:pt idx="25">0.89490000000000003</cx:pt>
          <cx:pt idx="26">2.3479999999999999</cx:pt>
          <cx:pt idx="27">1.3262</cx:pt>
          <cx:pt idx="28">1.0668</cx:pt>
          <cx:pt idx="29">0.96209999999999996</cx:pt>
          <cx:pt idx="30">2.4944000000000002</cx:pt>
          <cx:pt idx="31">1.4919</cx:pt>
          <cx:pt idx="32">1.2243999999999999</cx:pt>
          <cx:pt idx="33">1.2698</cx:pt>
          <cx:pt idx="34">1.1675</cx:pt>
          <cx:pt idx="35">0.98609999999999998</cx:pt>
          <cx:pt idx="36">0.87</cx:pt>
          <cx:pt idx="37">1.3368</cx:pt>
          <cx:pt idx="38">1.5323</cx:pt>
          <cx:pt idx="39">0.85419999999999996</cx:pt>
          <cx:pt idx="40">0.98709999999999998</cx:pt>
          <cx:pt idx="41">1.1679999999999999</cx:pt>
          <cx:pt idx="42">1.2592000000000001</cx:pt>
          <cx:pt idx="43">0.81159999999999999</cx:pt>
        </cx:lvl>
      </cx:numDim>
    </cx:data>
    <cx:data id="3">
      <cx:numDim type="val">
        <cx:f>'Ящик с усами nLM КРР'!$O$48:$O$63</cx:f>
        <cx:lvl ptCount="16" formatCode="0,00">
          <cx:pt idx="0">0.68630000000000002</cx:pt>
          <cx:pt idx="1">1.0457000000000001</cx:pt>
          <cx:pt idx="2">0.53869999999999996</cx:pt>
          <cx:pt idx="3">1.2032</cx:pt>
          <cx:pt idx="4">0.18870000000000001</cx:pt>
          <cx:pt idx="5">0.72419999999999995</cx:pt>
          <cx:pt idx="6">1.0640000000000001</cx:pt>
          <cx:pt idx="7">1.4718</cx:pt>
          <cx:pt idx="8">1.3839999999999999</cx:pt>
          <cx:pt idx="9">1.2862</cx:pt>
          <cx:pt idx="10">1.7405999999999999</cx:pt>
          <cx:pt idx="11">1.2588999999999999</cx:pt>
          <cx:pt idx="12">0.5071</cx:pt>
          <cx:pt idx="13">0.95540000000000003</cx:pt>
          <cx:pt idx="14">1.3422000000000001</cx:pt>
          <cx:pt idx="15">1.4542999999999999</cx:pt>
        </cx:lvl>
      </cx:numDim>
    </cx:data>
  </cx:chartData>
  <cx:chart>
    <cx:title pos="t" align="ctr" overlay="0">
      <cx:tx>
        <cx:rich>
          <a:bodyPr spcFirstLastPara="1" vertOverflow="ellipsis" horzOverflow="overflow" wrap="square" lIns="0" tIns="0" rIns="0" bIns="0" anchor="ctr" anchorCtr="1"/>
          <a:lstStyle/>
          <a:p>
            <a:pPr algn="ctr" rtl="0">
              <a:defRPr sz="12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latin typeface="Times New Roman" panose="02020603050405020304" pitchFamily="18" charset="0"/>
                <a:cs typeface="Times New Roman" panose="02020603050405020304" pitchFamily="18" charset="0"/>
              </a:rPr>
              <a:t>RLL</a:t>
            </a:r>
            <a:endParaRPr lang="ru-RU" sz="1200" b="1" i="0" u="none" strike="noStrike" baseline="0">
              <a:solidFill>
                <a:sysClr val="windowText" lastClr="000000"/>
              </a:solidFill>
              <a:latin typeface="Times New Roman" panose="02020603050405020304" pitchFamily="18" charset="0"/>
              <a:cs typeface="Times New Roman" panose="02020603050405020304" pitchFamily="18" charset="0"/>
            </a:endParaRPr>
          </a:p>
        </cx:rich>
      </cx:tx>
    </cx:title>
    <cx:plotArea>
      <cx:plotAreaRegion>
        <cx:series layoutId="boxWhisker" uniqueId="{7B01C441-6104-4CBE-AA0B-F45765D1FC5F}">
          <cx:tx>
            <cx:txData>
              <cx:f>'Ящик с усами nLM КРР'!$F$1</cx:f>
              <cx:v>nLM I</cx:v>
            </cx:txData>
          </cx:tx>
          <cx:spPr>
            <a:solidFill>
              <a:srgbClr val="92D05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45" pos="b">
              <cx:visibility seriesName="0" categoryName="0" value="1"/>
              <cx:separator>, </cx:separator>
            </cx:dataLabel>
            <cx:dataLabelHidden idx="0"/>
            <cx:dataLabelHidden idx="43"/>
            <cx:dataLabelHidden idx="44"/>
            <cx:dataLabelHidden idx="46"/>
            <cx:dataLabelHidden idx="47"/>
          </cx:dataLabels>
          <cx:dataId val="0"/>
          <cx:layoutPr>
            <cx:visibility meanLine="0" meanMarker="1" nonoutliers="0" outliers="1"/>
            <cx:statistics quartileMethod="exclusive"/>
          </cx:layoutPr>
        </cx:series>
        <cx:series layoutId="boxWhisker" uniqueId="{17978980-CE73-43EF-B7BB-00ED0343A1C6}">
          <cx:tx>
            <cx:txData>
              <cx:f>'Ящик с усами nLM КРР'!$F$47</cx:f>
              <cx:v>pLM I</cx:v>
            </cx:txData>
          </cx:tx>
          <cx:spPr>
            <a:solidFill>
              <a:srgbClr val="0070C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17" pos="b">
              <cx:visibility seriesName="0" categoryName="0" value="1"/>
              <cx:separator>, </cx:separator>
            </cx:dataLabel>
            <cx:dataLabelHidden idx="0"/>
            <cx:dataLabelHidden idx="14"/>
            <cx:dataLabelHidden idx="15"/>
            <cx:dataLabelHidden idx="16"/>
            <cx:dataLabelHidden idx="18"/>
            <cx:dataLabelHidden idx="19"/>
          </cx:dataLabels>
          <cx:dataId val="1"/>
          <cx:layoutPr>
            <cx:visibility meanLine="0" meanMarker="1" nonoutliers="0" outliers="1"/>
            <cx:statistics quartileMethod="exclusive"/>
          </cx:layoutPr>
        </cx:series>
        <cx:series layoutId="boxWhisker" uniqueId="{37CE077B-08B3-4A51-88E7-6466EB95FD5F}">
          <cx:tx>
            <cx:txData>
              <cx:f>'Ящик с усами nLM КРР'!$O$1</cx:f>
              <cx:v>nLM II</cx:v>
            </cx:txData>
          </cx:tx>
          <cx:spPr>
            <a:solidFill>
              <a:srgbClr val="92D05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45" pos="b">
              <cx:visibility seriesName="0" categoryName="0" value="1"/>
              <cx:separator>, </cx:separator>
            </cx:dataLabel>
            <cx:dataLabelHidden idx="0"/>
            <cx:dataLabelHidden idx="40"/>
            <cx:dataLabelHidden idx="41"/>
            <cx:dataLabelHidden idx="42"/>
            <cx:dataLabelHidden idx="43"/>
            <cx:dataLabelHidden idx="44"/>
            <cx:dataLabelHidden idx="46"/>
            <cx:dataLabelHidden idx="47"/>
          </cx:dataLabels>
          <cx:dataId val="2"/>
          <cx:layoutPr>
            <cx:visibility meanLine="0" meanMarker="1" nonoutliers="0" outliers="1"/>
            <cx:statistics quartileMethod="exclusive"/>
          </cx:layoutPr>
        </cx:series>
        <cx:series layoutId="boxWhisker" uniqueId="{434EFC45-73A9-499C-825C-9A7F8BD5B21D}">
          <cx:tx>
            <cx:txData>
              <cx:f>'Ящик с усами nLM КРР'!$O$47</cx:f>
              <cx:v>pLM II</cx:v>
            </cx:txData>
          </cx:tx>
          <cx:spPr>
            <a:solidFill>
              <a:srgbClr val="0070C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17" pos="b">
              <cx:visibility seriesName="0" categoryName="0" value="1"/>
              <cx:separator>, </cx:separator>
            </cx:dataLabel>
            <cx:dataLabelHidden idx="0"/>
            <cx:dataLabelHidden idx="15"/>
            <cx:dataLabelHidden idx="16"/>
            <cx:dataLabelHidden idx="18"/>
            <cx:dataLabelHidden idx="19"/>
          </cx:dataLabels>
          <cx:dataId val="3"/>
          <cx:layoutPr>
            <cx:visibility meanLine="0" meanMarker="1" nonoutliers="0" outliers="1"/>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spcFirstLastPara="1" vertOverflow="ellipsis" horzOverflow="overflow" wrap="square" lIns="0" tIns="0" rIns="0" bIns="0" anchor="ctr" anchorCtr="1"/>
              <a:lstStyle/>
              <a:p>
                <a:pPr algn="ctr" rtl="0">
                  <a:defRPr sz="12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latin typeface="Times New Roman" panose="02020603050405020304" pitchFamily="18" charset="0"/>
                    <a:cs typeface="Times New Roman" panose="02020603050405020304" pitchFamily="18" charset="0"/>
                  </a:rPr>
                  <a:t>SUV</a:t>
                </a:r>
                <a:r>
                  <a:rPr lang="en-US" sz="1200" b="1" i="0" u="none" strike="noStrike" baseline="-25000">
                    <a:solidFill>
                      <a:sysClr val="windowText" lastClr="000000"/>
                    </a:solidFill>
                    <a:latin typeface="Times New Roman" panose="02020603050405020304" pitchFamily="18" charset="0"/>
                    <a:cs typeface="Times New Roman" panose="02020603050405020304" pitchFamily="18" charset="0"/>
                  </a:rPr>
                  <a:t>max</a:t>
                </a:r>
                <a:endParaRPr lang="ru-RU" sz="1200" b="1" i="0" u="none" strike="noStrike"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r" align="ctr" overlay="0">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107.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'Ящик с усами nLM КРР'!$G$2:$G$45</cx:f>
        <cx:lvl ptCount="44" formatCode="0,00">
          <cx:pt idx="0">1.0752999999999999</cx:pt>
          <cx:pt idx="1">1.2581</cx:pt>
          <cx:pt idx="2">0.9093</cx:pt>
          <cx:pt idx="3">1.0225</cx:pt>
          <cx:pt idx="4">0.97440000000000004</cx:pt>
          <cx:pt idx="5">0.79200000000000004</cx:pt>
          <cx:pt idx="6">1.0212000000000001</cx:pt>
          <cx:pt idx="7">1.0179</cx:pt>
          <cx:pt idx="8">0.76639999999999997</cx:pt>
          <cx:pt idx="9">0.96640000000000004</cx:pt>
          <cx:pt idx="10">0.51139999999999997</cx:pt>
          <cx:pt idx="11">0.38940000000000002</cx:pt>
          <cx:pt idx="12">0.44090000000000001</cx:pt>
          <cx:pt idx="13">0.52869999999999995</cx:pt>
          <cx:pt idx="14">0.5786</cx:pt>
          <cx:pt idx="15">1.0146999999999999</cx:pt>
          <cx:pt idx="16">0.26400000000000001</cx:pt>
          <cx:pt idx="17">0.51929999999999998</cx:pt>
          <cx:pt idx="18">0.72970000000000002</cx:pt>
          <cx:pt idx="19">0.51759999999999995</cx:pt>
          <cx:pt idx="20">0.8397</cx:pt>
          <cx:pt idx="21">1.1648000000000001</cx:pt>
          <cx:pt idx="22">0.55669999999999997</cx:pt>
          <cx:pt idx="23">0.63759999999999994</cx:pt>
          <cx:pt idx="24">0.58360000000000001</cx:pt>
          <cx:pt idx="25">0.58889999999999998</cx:pt>
          <cx:pt idx="26">1.1412</cx:pt>
          <cx:pt idx="27">0.56410000000000005</cx:pt>
          <cx:pt idx="28">0.70689999999999997</cx:pt>
          <cx:pt idx="29">0.68799999999999994</cx:pt>
          <cx:pt idx="30">0.41070000000000001</cx:pt>
          <cx:pt idx="31">0.51900000000000002</cx:pt>
          <cx:pt idx="32">0.3463</cx:pt>
          <cx:pt idx="33">0.92610000000000003</cx:pt>
          <cx:pt idx="34">0.73499999999999999</cx:pt>
          <cx:pt idx="35">1.1698</cx:pt>
          <cx:pt idx="36">1.6856</cx:pt>
          <cx:pt idx="37">0.4335</cx:pt>
          <cx:pt idx="38">1.3482000000000001</cx:pt>
          <cx:pt idx="39">0.52959999999999996</cx:pt>
          <cx:pt idx="40">0.72460000000000002</cx:pt>
          <cx:pt idx="41">1.097</cx:pt>
          <cx:pt idx="42">0.66979999999999995</cx:pt>
          <cx:pt idx="43">0.77859999999999996</cx:pt>
        </cx:lvl>
      </cx:numDim>
    </cx:data>
    <cx:data id="1">
      <cx:numDim type="val">
        <cx:f>'Ящик с усами nLM КРР'!$G$48:$G$63</cx:f>
        <cx:lvl ptCount="16" formatCode="0,00">
          <cx:pt idx="0">1.3323</cx:pt>
          <cx:pt idx="1">1.0057</cx:pt>
          <cx:pt idx="2">1.0667</cx:pt>
          <cx:pt idx="3">1.5214000000000001</cx:pt>
          <cx:pt idx="4">0.54649999999999999</cx:pt>
          <cx:pt idx="5">0.68969999999999998</cx:pt>
          <cx:pt idx="6">0.66810000000000003</cx:pt>
          <cx:pt idx="7">0.7863</cx:pt>
          <cx:pt idx="8">1.4702</cx:pt>
          <cx:pt idx="9">1.1778</cx:pt>
          <cx:pt idx="10">0.70120000000000005</cx:pt>
          <cx:pt idx="11">1.0529999999999999</cx:pt>
          <cx:pt idx="12">0.50939999999999996</cx:pt>
          <cx:pt idx="13">0.49049999999999999</cx:pt>
          <cx:pt idx="14">0.54830000000000001</cx:pt>
          <cx:pt idx="15">1.2285999999999999</cx:pt>
        </cx:lvl>
      </cx:numDim>
    </cx:data>
    <cx:data id="2">
      <cx:numDim type="val">
        <cx:f>'Ящик с усами nLM КРР'!$P$2:$P$45</cx:f>
        <cx:lvl ptCount="44" formatCode="0,00">
          <cx:pt idx="0">0.75270000000000004</cx:pt>
          <cx:pt idx="1">0.96479999999999999</cx:pt>
          <cx:pt idx="2">0.68359999999999999</cx:pt>
          <cx:pt idx="3">0.7389</cx:pt>
          <cx:pt idx="4">0.54369999999999996</cx:pt>
          <cx:pt idx="5">0.48249999999999998</cx:pt>
          <cx:pt idx="6">0.64870000000000005</cx:pt>
          <cx:pt idx="7">0.72940000000000005</cx:pt>
          <cx:pt idx="8">1.177</cx:pt>
          <cx:pt idx="9">0.62780000000000002</cx:pt>
          <cx:pt idx="10">0.65549999999999997</cx:pt>
          <cx:pt idx="11">0.57689999999999997</cx:pt>
          <cx:pt idx="12">0.39150000000000001</cx:pt>
          <cx:pt idx="13">0.68369999999999997</cx:pt>
          <cx:pt idx="14">0.73499999999999999</cx:pt>
          <cx:pt idx="15">0.89670000000000005</cx:pt>
          <cx:pt idx="16">0.77580000000000005</cx:pt>
          <cx:pt idx="17">0.97160000000000002</cx:pt>
          <cx:pt idx="18">1.2556</cx:pt>
          <cx:pt idx="19">0.84099999999999997</cx:pt>
          <cx:pt idx="20">0.74639999999999995</cx:pt>
          <cx:pt idx="21">1.8012999999999999</cx:pt>
          <cx:pt idx="22">0.85570000000000002</cx:pt>
          <cx:pt idx="23">0.74450000000000005</cx:pt>
          <cx:pt idx="24">1.3005</cx:pt>
          <cx:pt idx="25">0.82130000000000003</cx:pt>
          <cx:pt idx="26">1.0170999999999999</cx:pt>
          <cx:pt idx="27">0.76829999999999998</cx:pt>
          <cx:pt idx="28">1.1031</cx:pt>
          <cx:pt idx="29">0.72140000000000004</cx:pt>
          <cx:pt idx="30">0.53269999999999995</cx:pt>
          <cx:pt idx="31">0.75949999999999995</cx:pt>
          <cx:pt idx="32">0.43880000000000002</cx:pt>
          <cx:pt idx="33">0.98670000000000002</cx:pt>
          <cx:pt idx="34">0.67259999999999998</cx:pt>
          <cx:pt idx="35">0.9667</cx:pt>
          <cx:pt idx="36">0.76900000000000002</cx:pt>
          <cx:pt idx="37">0.82020000000000004</cx:pt>
          <cx:pt idx="38">1.1958</cx:pt>
          <cx:pt idx="39">0.5827</cx:pt>
          <cx:pt idx="40">0.70189999999999997</cx:pt>
          <cx:pt idx="41">0.93789999999999996</cx:pt>
          <cx:pt idx="42">0.75180000000000002</cx:pt>
          <cx:pt idx="43">0.60719999999999996</cx:pt>
        </cx:lvl>
      </cx:numDim>
    </cx:data>
    <cx:data id="3">
      <cx:numDim type="val">
        <cx:f>'Ящик с усами nLM КРР'!$P$48:$P$63</cx:f>
        <cx:lvl ptCount="16" formatCode="0,00">
          <cx:pt idx="0">0.75870000000000004</cx:pt>
          <cx:pt idx="1">0.94240000000000002</cx:pt>
          <cx:pt idx="2">1.0918000000000001</cx:pt>
          <cx:pt idx="3">0.89459999999999995</cx:pt>
          <cx:pt idx="4">0.3977</cx:pt>
          <cx:pt idx="5">0.65620000000000001</cx:pt>
          <cx:pt idx="6">1.3566</cx:pt>
          <cx:pt idx="7">1.0546</cx:pt>
          <cx:pt idx="8">0.78000000000000003</cx:pt>
          <cx:pt idx="9">1.0174000000000001</cx:pt>
          <cx:pt idx="10">0.9556</cx:pt>
          <cx:pt idx="11">1.2197</cx:pt>
          <cx:pt idx="12">1.5448999999999999</cx:pt>
          <cx:pt idx="13">0.70109999999999995</cx:pt>
          <cx:pt idx="14">1.2505999999999999</cx:pt>
          <cx:pt idx="15">0.75770000000000004</cx:pt>
        </cx:lvl>
      </cx:numDim>
    </cx:data>
  </cx:chartData>
  <cx:chart>
    <cx:title pos="t" align="ctr" overlay="0">
      <cx:tx>
        <cx:rich>
          <a:bodyPr spcFirstLastPara="1" vertOverflow="ellipsis" horzOverflow="overflow" wrap="square" lIns="0" tIns="0" rIns="0" bIns="0" anchor="ctr" anchorCtr="1"/>
          <a:lstStyle/>
          <a:p>
            <a:pPr algn="ctr" rtl="0">
              <a:defRPr sz="12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latin typeface="Times New Roman" panose="02020603050405020304" pitchFamily="18" charset="0"/>
                <a:cs typeface="Times New Roman" panose="02020603050405020304" pitchFamily="18" charset="0"/>
              </a:rPr>
              <a:t>RRI</a:t>
            </a:r>
            <a:endParaRPr lang="ru-RU" sz="1200" b="1" i="0" u="none" strike="noStrike" baseline="0">
              <a:solidFill>
                <a:sysClr val="windowText" lastClr="000000"/>
              </a:solidFill>
              <a:latin typeface="Times New Roman" panose="02020603050405020304" pitchFamily="18" charset="0"/>
              <a:cs typeface="Times New Roman" panose="02020603050405020304" pitchFamily="18" charset="0"/>
            </a:endParaRPr>
          </a:p>
        </cx:rich>
      </cx:tx>
    </cx:title>
    <cx:plotArea>
      <cx:plotAreaRegion>
        <cx:series layoutId="boxWhisker" uniqueId="{BC423A63-B14D-4112-9DF3-07C1685F4DA8}">
          <cx:tx>
            <cx:txData>
              <cx:f>'Ящик с усами nLM КРР'!$G$1</cx:f>
              <cx:v>nLM I</cx:v>
            </cx:txData>
          </cx:tx>
          <cx:spPr>
            <a:solidFill>
              <a:srgbClr val="92D05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45" pos="b">
              <cx:visibility seriesName="0" categoryName="0" value="1"/>
              <cx:separator>, </cx:separator>
            </cx:dataLabel>
            <cx:dataLabelHidden idx="0"/>
            <cx:dataLabelHidden idx="43"/>
            <cx:dataLabelHidden idx="44"/>
            <cx:dataLabelHidden idx="46"/>
            <cx:dataLabelHidden idx="47"/>
          </cx:dataLabels>
          <cx:dataId val="0"/>
          <cx:layoutPr>
            <cx:visibility meanLine="0" meanMarker="1" nonoutliers="0" outliers="1"/>
            <cx:statistics quartileMethod="exclusive"/>
          </cx:layoutPr>
        </cx:series>
        <cx:series layoutId="boxWhisker" uniqueId="{36860714-5507-458E-8811-FCDFA395A35E}">
          <cx:tx>
            <cx:txData>
              <cx:f>'Ящик с усами nLM КРР'!$G$47</cx:f>
              <cx:v>pLM I</cx:v>
            </cx:txData>
          </cx:tx>
          <cx:spPr>
            <a:solidFill>
              <a:srgbClr val="0070C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17" pos="b">
              <cx:visibility seriesName="0" categoryName="0" value="1"/>
              <cx:separator>, </cx:separator>
            </cx:dataLabel>
            <cx:dataLabelHidden idx="0"/>
            <cx:dataLabelHidden idx="15"/>
            <cx:dataLabelHidden idx="16"/>
            <cx:dataLabelHidden idx="18"/>
            <cx:dataLabelHidden idx="19"/>
          </cx:dataLabels>
          <cx:dataId val="1"/>
          <cx:layoutPr>
            <cx:visibility meanLine="0" meanMarker="1" nonoutliers="0" outliers="1"/>
            <cx:statistics quartileMethod="exclusive"/>
          </cx:layoutPr>
        </cx:series>
        <cx:series layoutId="boxWhisker" uniqueId="{859E85B1-47AC-46BD-8BE2-4ED51837F82C}">
          <cx:tx>
            <cx:txData>
              <cx:f>'Ящик с усами nLM КРР'!$P$1</cx:f>
              <cx:v>nLM II</cx:v>
            </cx:txData>
          </cx:tx>
          <cx:spPr>
            <a:solidFill>
              <a:srgbClr val="92D05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45" pos="b">
              <cx:visibility seriesName="0" categoryName="0" value="1"/>
              <cx:separator>, </cx:separator>
            </cx:dataLabel>
            <cx:dataLabelHidden idx="0"/>
            <cx:dataLabelHidden idx="42"/>
            <cx:dataLabelHidden idx="43"/>
            <cx:dataLabelHidden idx="44"/>
            <cx:dataLabelHidden idx="46"/>
            <cx:dataLabelHidden idx="47"/>
          </cx:dataLabels>
          <cx:dataId val="2"/>
          <cx:layoutPr>
            <cx:visibility meanLine="0" meanMarker="1" nonoutliers="0" outliers="1"/>
            <cx:statistics quartileMethod="exclusive"/>
          </cx:layoutPr>
        </cx:series>
        <cx:series layoutId="boxWhisker" uniqueId="{EEDD1947-7266-44C0-867C-A553B2DF9F2B}">
          <cx:tx>
            <cx:txData>
              <cx:f>'Ящик с усами nLM КРР'!$P$47</cx:f>
              <cx:v>pLM II</cx:v>
            </cx:txData>
          </cx:tx>
          <cx:spPr>
            <a:solidFill>
              <a:srgbClr val="0070C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17" pos="b">
              <cx:visibility seriesName="0" categoryName="0" value="1"/>
              <cx:separator>, </cx:separator>
            </cx:dataLabel>
            <cx:dataLabelHidden idx="0"/>
            <cx:dataLabelHidden idx="15"/>
            <cx:dataLabelHidden idx="16"/>
            <cx:dataLabelHidden idx="18"/>
            <cx:dataLabelHidden idx="19"/>
          </cx:dataLabels>
          <cx:dataId val="3"/>
          <cx:layoutPr>
            <cx:visibility meanLine="0" meanMarker="1" nonoutliers="0" outliers="1"/>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spcFirstLastPara="1" vertOverflow="ellipsis" horzOverflow="overflow" wrap="square" lIns="0" tIns="0" rIns="0" bIns="0" anchor="ctr" anchorCtr="1"/>
              <a:lstStyle/>
              <a:p>
                <a:pPr algn="ctr" rtl="0">
                  <a:defRPr sz="12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latin typeface="Times New Roman" panose="02020603050405020304" pitchFamily="18" charset="0"/>
                    <a:cs typeface="Times New Roman" panose="02020603050405020304" pitchFamily="18" charset="0"/>
                  </a:rPr>
                  <a:t>SUV</a:t>
                </a:r>
                <a:r>
                  <a:rPr lang="en-US" sz="1200" b="1" i="0" u="none" strike="noStrike" baseline="-25000">
                    <a:solidFill>
                      <a:sysClr val="windowText" lastClr="000000"/>
                    </a:solidFill>
                    <a:latin typeface="Times New Roman" panose="02020603050405020304" pitchFamily="18" charset="0"/>
                    <a:cs typeface="Times New Roman" panose="02020603050405020304" pitchFamily="18" charset="0"/>
                  </a:rPr>
                  <a:t>max</a:t>
                </a:r>
                <a:endParaRPr lang="ru-RU" sz="1200" b="1" i="0" u="none" strike="noStrike"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r" align="ctr" overlay="0">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108.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'Ящик с усами nLM КРР'!$H$2:$H$45</cx:f>
        <cx:lvl ptCount="44" formatCode="0,00">
          <cx:pt idx="0">1.2715000000000001</cx:pt>
          <cx:pt idx="1">1.121</cx:pt>
          <cx:pt idx="2">1.5311999999999999</cx:pt>
          <cx:pt idx="3">1.0337000000000001</cx:pt>
          <cx:pt idx="4">1.0737000000000001</cx:pt>
          <cx:pt idx="5">0.63839999999999997</cx:pt>
          <cx:pt idx="6">1.4131</cx:pt>
          <cx:pt idx="7">1.4077999999999999</cx:pt>
          <cx:pt idx="8">0.60829999999999995</cx:pt>
          <cx:pt idx="9">0.95399999999999996</cx:pt>
          <cx:pt idx="10">0.55710000000000004</cx:pt>
          <cx:pt idx="11">0.50719999999999998</cx:pt>
          <cx:pt idx="12">0.53190000000000004</cx:pt>
          <cx:pt idx="13">0.80289999999999995</cx:pt>
          <cx:pt idx="14">0.84089999999999998</cx:pt>
          <cx:pt idx="15">0.9234</cx:pt>
          <cx:pt idx="16">0.3649</cx:pt>
          <cx:pt idx="17">0.59919999999999995</cx:pt>
          <cx:pt idx="18">0.58450000000000002</cx:pt>
          <cx:pt idx="19">0.51080000000000003</cx:pt>
          <cx:pt idx="20">0.91569999999999996</cx:pt>
          <cx:pt idx="21">0.92279999999999995</cx:pt>
          <cx:pt idx="22">0.88470000000000004</cx:pt>
          <cx:pt idx="23">0.61699999999999999</cx:pt>
          <cx:pt idx="24">0.81859999999999999</cx:pt>
          <cx:pt idx="25">0.59509999999999996</cx:pt>
          <cx:pt idx="26">1.1893</cx:pt>
          <cx:pt idx="27">1.1037999999999999</cx:pt>
          <cx:pt idx="28">0.74339999999999995</cx:pt>
          <cx:pt idx="29">1.1963999999999999</cx:pt>
          <cx:pt idx="30">0.69799999999999995</cx:pt>
          <cx:pt idx="31">0.75</cx:pt>
          <cx:pt idx="32">0.46939999999999998</cx:pt>
          <cx:pt idx="33">0.86680000000000001</cx:pt>
          <cx:pt idx="34">0.84889999999999999</cx:pt>
          <cx:pt idx="35">1.3254999999999999</cx:pt>
          <cx:pt idx="36">1.6477999999999999</cx:pt>
          <cx:pt idx="37">0.81100000000000005</cx:pt>
          <cx:pt idx="38">1.4662999999999999</cx:pt>
          <cx:pt idx="39">0.89139999999999997</cx:pt>
          <cx:pt idx="40">1.5969</cx:pt>
          <cx:pt idx="41">1.7184999999999999</cx:pt>
          <cx:pt idx="42">0.95689999999999997</cx:pt>
          <cx:pt idx="43">1.2072000000000001</cx:pt>
        </cx:lvl>
      </cx:numDim>
    </cx:data>
    <cx:data id="1">
      <cx:numDim type="val">
        <cx:f>'Ящик с усами nLM КРР'!$H$48:$H$63</cx:f>
        <cx:lvl ptCount="16" formatCode="0,00">
          <cx:pt idx="0">0.90720000000000001</cx:pt>
          <cx:pt idx="1">0.82799999999999996</cx:pt>
          <cx:pt idx="2">1.0501</cx:pt>
          <cx:pt idx="3">0.86299999999999999</cx:pt>
          <cx:pt idx="4">0.81489999999999996</cx:pt>
          <cx:pt idx="5">0.72899999999999998</cx:pt>
          <cx:pt idx="6">0.52200000000000002</cx:pt>
          <cx:pt idx="7">1.1920999999999999</cx:pt>
          <cx:pt idx="8">3.903</cx:pt>
          <cx:pt idx="9">1.2392000000000001</cx:pt>
          <cx:pt idx="10">1.2827999999999999</cx:pt>
          <cx:pt idx="11">0.95289999999999997</cx:pt>
          <cx:pt idx="12">0.53869999999999996</cx:pt>
          <cx:pt idx="13">0.65539999999999998</cx:pt>
          <cx:pt idx="14">0.74070000000000003</cx:pt>
          <cx:pt idx="15">1.355</cx:pt>
        </cx:lvl>
      </cx:numDim>
    </cx:data>
    <cx:data id="2">
      <cx:numDim type="val">
        <cx:f>'Ящик с усами nLM КРР'!$Q$2:$Q$45</cx:f>
        <cx:lvl ptCount="44" formatCode="0,00">
          <cx:pt idx="0">1.256</cx:pt>
          <cx:pt idx="1">1.0871</cx:pt>
          <cx:pt idx="2">0.54179999999999995</cx:pt>
          <cx:pt idx="3">1.1129</cx:pt>
          <cx:pt idx="4">0.4093</cx:pt>
          <cx:pt idx="5">0.38700000000000001</cx:pt>
          <cx:pt idx="6">0.66920000000000002</cx:pt>
          <cx:pt idx="7">0.90749999999999997</cx:pt>
          <cx:pt idx="8">0.61719999999999997</cx:pt>
          <cx:pt idx="9">0.83250000000000002</cx:pt>
          <cx:pt idx="10">0.77470000000000006</cx:pt>
          <cx:pt idx="11">0.65349999999999997</cx:pt>
          <cx:pt idx="12">0.48330000000000001</cx:pt>
          <cx:pt idx="13">0.76190000000000002</cx:pt>
          <cx:pt idx="14">0.84889999999999999</cx:pt>
          <cx:pt idx="15">1.1039000000000001</cx:pt>
          <cx:pt idx="16">1.0829</cx:pt>
          <cx:pt idx="17">1.3113999999999999</cx:pt>
          <cx:pt idx="18">1.7635000000000001</cx:pt>
          <cx:pt idx="19">1.0810999999999999</cx:pt>
          <cx:pt idx="20">0.83489999999999998</cx:pt>
          <cx:pt idx="21">1.071</cx:pt>
          <cx:pt idx="22">1.3406</cx:pt>
          <cx:pt idx="23">0.93940000000000001</cx:pt>
          <cx:pt idx="24">1.4757</cx:pt>
          <cx:pt idx="25">0.96499999999999997</cx:pt>
          <cx:pt idx="26">0.81410000000000005</cx:pt>
          <cx:pt idx="27">1.3057000000000001</cx:pt>
          <cx:pt idx="28">1.5057</cx:pt>
          <cx:pt idx="29">0.92420000000000002</cx:pt>
          <cx:pt idx="30">0.86750000000000005</cx:pt>
          <cx:pt idx="31">1.4715</cx:pt>
          <cx:pt idx="32">0.76959999999999995</cx:pt>
          <cx:pt idx="33">1.0523</cx:pt>
          <cx:pt idx="34">1.026</cx:pt>
          <cx:pt idx="35">0.74670000000000003</cx:pt>
          <cx:pt idx="36">0.9768</cx:pt>
          <cx:pt idx="37">0.97629999999999995</cx:pt>
          <cx:pt idx="38">1.1846000000000001</cx:pt>
          <cx:pt idx="39">0.7581</cx:pt>
          <cx:pt idx="40">1.1096999999999999</cx:pt>
          <cx:pt idx="41">1.0118</cx:pt>
          <cx:pt idx="42">1.1486000000000001</cx:pt>
          <cx:pt idx="43">0.92090000000000005</cx:pt>
        </cx:lvl>
      </cx:numDim>
    </cx:data>
    <cx:data id="3">
      <cx:numDim type="val">
        <cx:f>'Ящик с усами nLM КРР'!$Q$48:$Q$63</cx:f>
        <cx:lvl ptCount="16" formatCode="0,00">
          <cx:pt idx="0">1.1286</cx:pt>
          <cx:pt idx="1">0.94510000000000005</cx:pt>
          <cx:pt idx="2">0.86850000000000005</cx:pt>
          <cx:pt idx="3">0.50309999999999999</cx:pt>
          <cx:pt idx="4">0.2525</cx:pt>
          <cx:pt idx="5">1.2072000000000001</cx:pt>
          <cx:pt idx="6">1.3021</cx:pt>
          <cx:pt idx="7">1.3704000000000001</cx:pt>
          <cx:pt idx="8">1.3908</cx:pt>
          <cx:pt idx="9">1.488</cx:pt>
          <cx:pt idx="10">1.3976999999999999</cx:pt>
          <cx:pt idx="11">1.4330000000000001</cx:pt>
          <cx:pt idx="12">1.0153000000000001</cx:pt>
          <cx:pt idx="13">0.91310000000000002</cx:pt>
          <cx:pt idx="14">1.1664000000000001</cx:pt>
          <cx:pt idx="15">1.2589999999999999</cx:pt>
        </cx:lvl>
      </cx:numDim>
    </cx:data>
  </cx:chartData>
  <cx:chart>
    <cx:title pos="t" align="ctr" overlay="0">
      <cx:tx>
        <cx:rich>
          <a:bodyPr spcFirstLastPara="1" vertOverflow="ellipsis" horzOverflow="overflow" wrap="square" lIns="0" tIns="0" rIns="0" bIns="0" anchor="ctr" anchorCtr="1"/>
          <a:lstStyle/>
          <a:p>
            <a:pPr algn="ctr" rtl="0">
              <a:defRPr sz="12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latin typeface="Times New Roman" panose="02020603050405020304" pitchFamily="18" charset="0"/>
                <a:cs typeface="Times New Roman" panose="02020603050405020304" pitchFamily="18" charset="0"/>
              </a:rPr>
              <a:t>RP</a:t>
            </a:r>
            <a:endParaRPr lang="ru-RU" sz="1200" b="1" i="0" u="none" strike="noStrike" baseline="0">
              <a:solidFill>
                <a:sysClr val="windowText" lastClr="000000"/>
              </a:solidFill>
              <a:latin typeface="Times New Roman" panose="02020603050405020304" pitchFamily="18" charset="0"/>
              <a:cs typeface="Times New Roman" panose="02020603050405020304" pitchFamily="18" charset="0"/>
            </a:endParaRPr>
          </a:p>
        </cx:rich>
      </cx:tx>
    </cx:title>
    <cx:plotArea>
      <cx:plotAreaRegion>
        <cx:series layoutId="boxWhisker" uniqueId="{B1BDDC1B-097C-481C-96BA-E7884598E9E4}">
          <cx:tx>
            <cx:txData>
              <cx:f>'Ящик с усами nLM КРР'!$H$1</cx:f>
              <cx:v>nLM I</cx:v>
            </cx:txData>
          </cx:tx>
          <cx:spPr>
            <a:solidFill>
              <a:srgbClr val="92D05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43"/>
            <cx:dataLabelHidden idx="44"/>
            <cx:dataLabelHidden idx="46"/>
            <cx:dataLabelHidden idx="47"/>
          </cx:dataLabels>
          <cx:dataId val="0"/>
          <cx:layoutPr>
            <cx:visibility meanLine="0" meanMarker="1" nonoutliers="0" outliers="1"/>
            <cx:statistics quartileMethod="exclusive"/>
          </cx:layoutPr>
        </cx:series>
        <cx:series layoutId="boxWhisker" uniqueId="{70F9E007-F725-4DDF-AA03-5D3DA14A80A1}">
          <cx:tx>
            <cx:txData>
              <cx:f>'Ящик с усами nLM КРР'!$H$47</cx:f>
              <cx:v>pLM 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4"/>
            <cx:dataLabelHidden idx="15"/>
            <cx:dataLabelHidden idx="16"/>
            <cx:dataLabelHidden idx="18"/>
            <cx:dataLabelHidden idx="19"/>
          </cx:dataLabels>
          <cx:dataId val="1"/>
          <cx:layoutPr>
            <cx:visibility meanLine="0" meanMarker="1" nonoutliers="0" outliers="1"/>
            <cx:statistics quartileMethod="exclusive"/>
          </cx:layoutPr>
        </cx:series>
        <cx:series layoutId="boxWhisker" uniqueId="{FF5710A2-DBCF-49DB-BA7E-ACC1A6D0BB0C}">
          <cx:tx>
            <cx:txData>
              <cx:f>'Ящик с усами nLM КРР'!$Q$1</cx:f>
              <cx:v>nLM II</cx:v>
            </cx:txData>
          </cx:tx>
          <cx:spPr>
            <a:solidFill>
              <a:srgbClr val="92D05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42"/>
            <cx:dataLabelHidden idx="43"/>
            <cx:dataLabelHidden idx="44"/>
            <cx:dataLabelHidden idx="46"/>
            <cx:dataLabelHidden idx="47"/>
          </cx:dataLabels>
          <cx:dataId val="2"/>
          <cx:layoutPr>
            <cx:visibility meanLine="0" meanMarker="1" nonoutliers="0" outliers="1"/>
            <cx:statistics quartileMethod="exclusive"/>
          </cx:layoutPr>
        </cx:series>
        <cx:series layoutId="boxWhisker" uniqueId="{83AB45F7-58F1-4E21-927B-447CDE05F461}">
          <cx:tx>
            <cx:txData>
              <cx:f>'Ящик с усами nLM КРР'!$Q$47</cx:f>
              <cx:v>pLM II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5"/>
            <cx:dataLabelHidden idx="16"/>
            <cx:dataLabelHidden idx="18"/>
            <cx:dataLabelHidden idx="19"/>
          </cx:dataLabels>
          <cx:dataId val="3"/>
          <cx:layoutPr>
            <cx:visibility meanLine="0" meanMarker="1" nonoutliers="0" outliers="1"/>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spcFirstLastPara="1" vertOverflow="ellipsis" horzOverflow="overflow" wrap="square" lIns="0" tIns="0" rIns="0" bIns="0" anchor="ctr" anchorCtr="1"/>
              <a:lstStyle/>
              <a:p>
                <a:pPr algn="ctr" rtl="0">
                  <a:defRPr sz="12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latin typeface="Times New Roman" panose="02020603050405020304" pitchFamily="18" charset="0"/>
                    <a:cs typeface="Times New Roman" panose="02020603050405020304" pitchFamily="18" charset="0"/>
                  </a:rPr>
                  <a:t>SUV</a:t>
                </a:r>
                <a:r>
                  <a:rPr lang="en-US" sz="1200" b="1" i="0" u="none" strike="noStrike" baseline="-25000">
                    <a:solidFill>
                      <a:sysClr val="windowText" lastClr="000000"/>
                    </a:solidFill>
                    <a:latin typeface="Times New Roman" panose="02020603050405020304" pitchFamily="18" charset="0"/>
                    <a:cs typeface="Times New Roman" panose="02020603050405020304" pitchFamily="18" charset="0"/>
                  </a:rPr>
                  <a:t>max</a:t>
                </a:r>
                <a:endParaRPr lang="ru-RU" sz="1200" b="1" i="0" u="none" strike="noStrike"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r" align="ctr" overlay="0">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109.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'Ящик с усами nLM КРР'!$I$2:$I$45</cx:f>
        <cx:lvl ptCount="44" formatCode="0,00">
          <cx:pt idx="0">0.77759999999999996</cx:pt>
          <cx:pt idx="1">0.84730000000000005</cx:pt>
          <cx:pt idx="2">1.6128</cx:pt>
          <cx:pt idx="3">0.90480000000000005</cx:pt>
          <cx:pt idx="4">0.87490000000000001</cx:pt>
          <cx:pt idx="5">0.46889999999999998</cx:pt>
          <cx:pt idx="6">0.58779999999999999</cx:pt>
          <cx:pt idx="7">1.2330000000000001</cx:pt>
          <cx:pt idx="8">0.40820000000000001</cx:pt>
          <cx:pt idx="9">0.51819999999999999</cx:pt>
          <cx:pt idx="10">0.58909999999999996</cx:pt>
          <cx:pt idx="11">0.39910000000000001</cx:pt>
          <cx:pt idx="12">0.44800000000000001</cx:pt>
          <cx:pt idx="13">0.59209999999999996</cx:pt>
          <cx:pt idx="14">0.86150000000000004</cx:pt>
          <cx:pt idx="15">0.50429999999999997</cx:pt>
          <cx:pt idx="16">0.2087</cx:pt>
          <cx:pt idx="17">0.63419999999999999</cx:pt>
          <cx:pt idx="18">0.74219999999999997</cx:pt>
          <cx:pt idx="19">0.38319999999999999</cx:pt>
          <cx:pt idx="20">0.86770000000000003</cx:pt>
          <cx:pt idx="21">0.46300000000000002</cx:pt>
          <cx:pt idx="22">0.65859999999999996</cx:pt>
          <cx:pt idx="23">0.52890000000000004</cx:pt>
          <cx:pt idx="24">0.58550000000000002</cx:pt>
          <cx:pt idx="25">0.55840000000000001</cx:pt>
          <cx:pt idx="26">1.0827</cx:pt>
          <cx:pt idx="27">0.77100000000000002</cx:pt>
          <cx:pt idx="28">0.60129999999999995</cx:pt>
          <cx:pt idx="29">0.84389999999999998</cx:pt>
          <cx:pt idx="30">0.48420000000000002</cx:pt>
          <cx:pt idx="31">0.58809999999999996</cx:pt>
          <cx:pt idx="32">0.25819999999999999</cx:pt>
          <cx:pt idx="33">0.75190000000000001</cx:pt>
          <cx:pt idx="34">1.0703</cx:pt>
          <cx:pt idx="35">1.056</cx:pt>
          <cx:pt idx="36">2.0392000000000001</cx:pt>
          <cx:pt idx="37">0.82210000000000005</cx:pt>
          <cx:pt idx="38">1.1634</cx:pt>
          <cx:pt idx="39">0.66439999999999999</cx:pt>
          <cx:pt idx="40">0.59530000000000005</cx:pt>
          <cx:pt idx="41">0.81159999999999999</cx:pt>
          <cx:pt idx="42">0.79049999999999998</cx:pt>
          <cx:pt idx="43">0.93030000000000002</cx:pt>
        </cx:lvl>
      </cx:numDim>
    </cx:data>
    <cx:data id="1">
      <cx:numDim type="val">
        <cx:f>'Ящик с усами nLM КРР'!$I$48:$I$63</cx:f>
        <cx:lvl ptCount="16" formatCode="0,00">
          <cx:pt idx="0">0.97509999999999997</cx:pt>
          <cx:pt idx="1">0.66300000000000003</cx:pt>
          <cx:pt idx="2">0.75209999999999999</cx:pt>
          <cx:pt idx="3">1.5349999999999999</cx:pt>
          <cx:pt idx="4">0.48089999999999999</cx:pt>
          <cx:pt idx="5">0.50919999999999999</cx:pt>
          <cx:pt idx="6">0.25790000000000002</cx:pt>
          <cx:pt idx="7">0.86980000000000002</cx:pt>
          <cx:pt idx="8">2.4015</cx:pt>
          <cx:pt idx="9">0.99880000000000002</cx:pt>
          <cx:pt idx="10">1.1792</cx:pt>
          <cx:pt idx="11">0.73050000000000004</cx:pt>
          <cx:pt idx="12">0.29909999999999998</cx:pt>
          <cx:pt idx="13">0.48949999999999999</cx:pt>
          <cx:pt idx="14">0.5948</cx:pt>
          <cx:pt idx="15">0.69940000000000002</cx:pt>
        </cx:lvl>
      </cx:numDim>
    </cx:data>
    <cx:data id="2">
      <cx:numDim type="val">
        <cx:f>'Ящик с усами nLM КРР'!$R$2:$R$45</cx:f>
        <cx:lvl ptCount="44" formatCode="0,00">
          <cx:pt idx="0">0.4002</cx:pt>
          <cx:pt idx="1">0.86040000000000005</cx:pt>
          <cx:pt idx="2">0.54790000000000005</cx:pt>
          <cx:pt idx="3">0.75490000000000002</cx:pt>
          <cx:pt idx="4">0.31879999999999997</cx:pt>
          <cx:pt idx="5">0.2097</cx:pt>
          <cx:pt idx="6">0.68830000000000002</cx:pt>
          <cx:pt idx="7">0.65090000000000003</cx:pt>
          <cx:pt idx="8">0.57010000000000005</cx:pt>
          <cx:pt idx="9">0.57089999999999996</cx:pt>
          <cx:pt idx="10">0.50539999999999996</cx:pt>
          <cx:pt idx="11">0.40350000000000003</cx:pt>
          <cx:pt idx="12">0.22770000000000001</cx:pt>
          <cx:pt idx="13">0.63360000000000005</cx:pt>
          <cx:pt idx="14">1.0981000000000001</cx:pt>
          <cx:pt idx="15">1.8640000000000001</cx:pt>
          <cx:pt idx="16">1.1307</cx:pt>
          <cx:pt idx="17">1.1420999999999999</cx:pt>
          <cx:pt idx="18">0.76539999999999997</cx:pt>
          <cx:pt idx="19">1.1938</cx:pt>
          <cx:pt idx="20">1.6591</cx:pt>
          <cx:pt idx="21">1.1910000000000001</cx:pt>
          <cx:pt idx="22">0.85329999999999995</cx:pt>
          <cx:pt idx="23">0.80869999999999997</cx:pt>
          <cx:pt idx="24">1.0580000000000001</cx:pt>
          <cx:pt idx="25">0.75639999999999996</cx:pt>
          <cx:pt idx="26">0.69689999999999996</cx:pt>
          <cx:pt idx="27">1.0094000000000001</cx:pt>
          <cx:pt idx="28">1.0066999999999999</cx:pt>
          <cx:pt idx="29">0.87319999999999998</cx:pt>
          <cx:pt idx="30">0.6643</cx:pt>
          <cx:pt idx="31">0.85070000000000001</cx:pt>
          <cx:pt idx="32">0.4234</cx:pt>
          <cx:pt idx="33">1.1306</cx:pt>
          <cx:pt idx="34">0.81850000000000001</cx:pt>
          <cx:pt idx="35">1.1359999999999999</cx:pt>
          <cx:pt idx="36">0.72399999999999998</cx:pt>
          <cx:pt idx="37">0.95350000000000001</cx:pt>
          <cx:pt idx="38">0.99450000000000005</cx:pt>
          <cx:pt idx="39">0.70860000000000001</cx:pt>
          <cx:pt idx="40">0.96589999999999998</cx:pt>
          <cx:pt idx="41">0.51080000000000003</cx:pt>
          <cx:pt idx="42">0.78510000000000002</cx:pt>
          <cx:pt idx="43">0.64870000000000005</cx:pt>
        </cx:lvl>
      </cx:numDim>
    </cx:data>
    <cx:data id="3">
      <cx:numDim type="val">
        <cx:f>'Ящик с усами nLM КРР'!$R$48:$R$63</cx:f>
        <cx:lvl ptCount="16" formatCode="0,00">
          <cx:pt idx="0">0.72860000000000003</cx:pt>
          <cx:pt idx="1">0.83150000000000002</cx:pt>
          <cx:pt idx="2">0.64949999999999997</cx:pt>
          <cx:pt idx="3">0.87309999999999999</cx:pt>
          <cx:pt idx="4">0.33129999999999998</cx:pt>
          <cx:pt idx="5">0.7863</cx:pt>
          <cx:pt idx="6">1.2516</cx:pt>
          <cx:pt idx="7">1.3098000000000001</cx:pt>
          <cx:pt idx="8">0.88109999999999999</cx:pt>
          <cx:pt idx="9">1.1071</cx:pt>
          <cx:pt idx="10">0.83740000000000003</cx:pt>
          <cx:pt idx="11">0.87170000000000003</cx:pt>
          <cx:pt idx="12">0.54200000000000004</cx:pt>
          <cx:pt idx="13">0.65559999999999996</cx:pt>
          <cx:pt idx="14">1.0266</cx:pt>
          <cx:pt idx="15">1.1347</cx:pt>
        </cx:lvl>
      </cx:numDim>
    </cx:data>
  </cx:chartData>
  <cx:chart>
    <cx:title pos="t" align="ctr" overlay="0">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RLI</a:t>
            </a:r>
            <a:endParaRPr lang="ru-KZ" sz="1200" b="1">
              <a:solidFill>
                <a:sysClr val="windowText" lastClr="000000"/>
              </a:solidFill>
              <a:latin typeface="Times New Roman" panose="02020603050405020304" pitchFamily="18" charset="0"/>
              <a:cs typeface="Times New Roman" panose="02020603050405020304" pitchFamily="18" charset="0"/>
            </a:endParaRPr>
          </a:p>
        </cx:rich>
      </cx:tx>
    </cx:title>
    <cx:plotArea>
      <cx:plotAreaRegion>
        <cx:series layoutId="boxWhisker" uniqueId="{5E22127E-A5E1-4D65-9A98-8AC881718CEE}">
          <cx:tx>
            <cx:txData>
              <cx:f>'Ящик с усами nLM КРР'!$I$1</cx:f>
              <cx:v>nLM I</cx:v>
            </cx:txData>
          </cx:tx>
          <cx:spPr>
            <a:solidFill>
              <a:srgbClr val="92D05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41"/>
            <cx:dataLabelHidden idx="42"/>
            <cx:dataLabelHidden idx="43"/>
            <cx:dataLabelHidden idx="44"/>
            <cx:dataLabelHidden idx="46"/>
            <cx:dataLabelHidden idx="47"/>
          </cx:dataLabels>
          <cx:dataId val="0"/>
          <cx:layoutPr>
            <cx:visibility meanLine="0" meanMarker="1" nonoutliers="0" outliers="1"/>
            <cx:statistics quartileMethod="exclusive"/>
          </cx:layoutPr>
        </cx:series>
        <cx:series layoutId="boxWhisker" uniqueId="{2E721832-000A-453E-A7B5-9B818FD18BC8}">
          <cx:tx>
            <cx:txData>
              <cx:f>'Ящик с усами nLM КРР'!$I$47</cx:f>
              <cx:v>pLM 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4"/>
            <cx:dataLabelHidden idx="15"/>
            <cx:dataLabelHidden idx="16"/>
            <cx:dataLabelHidden idx="18"/>
            <cx:dataLabelHidden idx="19"/>
          </cx:dataLabels>
          <cx:dataId val="1"/>
          <cx:layoutPr>
            <cx:visibility meanLine="0" meanMarker="1" nonoutliers="0" outliers="1"/>
            <cx:statistics quartileMethod="exclusive"/>
          </cx:layoutPr>
        </cx:series>
        <cx:series layoutId="boxWhisker" uniqueId="{32F70B53-2C14-473C-A8F2-6A46E1CFF27F}">
          <cx:tx>
            <cx:txData>
              <cx:f>'Ящик с усами nLM КРР'!$R$1</cx:f>
              <cx:v>nLM II</cx:v>
            </cx:txData>
          </cx:tx>
          <cx:spPr>
            <a:solidFill>
              <a:srgbClr val="92D05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41"/>
            <cx:dataLabelHidden idx="42"/>
            <cx:dataLabelHidden idx="43"/>
            <cx:dataLabelHidden idx="44"/>
            <cx:dataLabelHidden idx="46"/>
            <cx:dataLabelHidden idx="47"/>
          </cx:dataLabels>
          <cx:dataId val="2"/>
          <cx:layoutPr>
            <cx:visibility meanLine="0" meanMarker="1" nonoutliers="0" outliers="1"/>
            <cx:statistics quartileMethod="exclusive"/>
          </cx:layoutPr>
        </cx:series>
        <cx:series layoutId="boxWhisker" uniqueId="{000BBA36-5E25-4640-855D-0F9C6F7B9848}">
          <cx:tx>
            <cx:txData>
              <cx:f>'Ящик с усами nLM КРР'!$R$47</cx:f>
              <cx:v>pLM II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5"/>
            <cx:dataLabelHidden idx="16"/>
            <cx:dataLabelHidden idx="18"/>
            <cx:dataLabelHidden idx="19"/>
          </cx:dataLabels>
          <cx:dataId val="3"/>
          <cx:layoutPr>
            <cx:visibility meanLine="0" meanMarker="1" nonoutliers="0" outliers="1"/>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r" align="ctr" overlay="0">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1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N РЯ'!$A$2:$A$54</cx:f>
        <cx:lvl ptCount="53">
          <cx:pt idx="0">N0</cx:pt>
          <cx:pt idx="1">N0</cx:pt>
          <cx:pt idx="2">N0</cx:pt>
          <cx:pt idx="3">N0</cx:pt>
          <cx:pt idx="4">N0</cx:pt>
          <cx:pt idx="5">N0</cx:pt>
          <cx:pt idx="6">N0</cx:pt>
          <cx:pt idx="7">N0</cx:pt>
          <cx:pt idx="8">N0</cx:pt>
          <cx:pt idx="9">N0</cx:pt>
          <cx:pt idx="10">N0</cx:pt>
          <cx:pt idx="11">N0</cx:pt>
          <cx:pt idx="12">N0</cx:pt>
          <cx:pt idx="13">N0</cx:pt>
          <cx:pt idx="14">N0</cx:pt>
          <cx:pt idx="15">N0</cx:pt>
          <cx:pt idx="16">N0</cx:pt>
          <cx:pt idx="17">N0</cx:pt>
          <cx:pt idx="18">N0</cx:pt>
          <cx:pt idx="19">N1</cx:pt>
          <cx:pt idx="20">N1</cx:pt>
          <cx:pt idx="21">N1</cx:pt>
          <cx:pt idx="22">N1</cx:pt>
          <cx:pt idx="23">N1</cx:pt>
          <cx:pt idx="24">N1</cx:pt>
          <cx:pt idx="25">N1</cx:pt>
          <cx:pt idx="26">N1</cx:pt>
          <cx:pt idx="27">N1</cx:pt>
          <cx:pt idx="28">Nx</cx:pt>
          <cx:pt idx="29">Nx</cx:pt>
          <cx:pt idx="30">Nx</cx:pt>
          <cx:pt idx="31">Nx</cx:pt>
          <cx:pt idx="32">Nx</cx:pt>
          <cx:pt idx="33">Nx</cx:pt>
          <cx:pt idx="34">Nx</cx:pt>
          <cx:pt idx="35">Nx</cx:pt>
          <cx:pt idx="36">Nx</cx:pt>
          <cx:pt idx="37">Nx</cx:pt>
          <cx:pt idx="38">Nx</cx:pt>
          <cx:pt idx="39">Nx</cx:pt>
          <cx:pt idx="40">Nx</cx:pt>
          <cx:pt idx="41">Nx</cx:pt>
          <cx:pt idx="42">Nx</cx:pt>
          <cx:pt idx="43">Nx</cx:pt>
          <cx:pt idx="44">Nx</cx:pt>
          <cx:pt idx="45">Nx</cx:pt>
          <cx:pt idx="46">Nx</cx:pt>
          <cx:pt idx="47">Nx</cx:pt>
          <cx:pt idx="48">Nx</cx:pt>
          <cx:pt idx="49">Nx</cx:pt>
          <cx:pt idx="50">Nx</cx:pt>
          <cx:pt idx="51">Nx</cx:pt>
          <cx:pt idx="52">Nx</cx:pt>
        </cx:lvl>
      </cx:strDim>
      <cx:numDim type="val">
        <cx:f>'Ящик с усами N РЯ'!$B$2:$B$54</cx:f>
        <cx:lvl ptCount="53" formatCode="0,00">
          <cx:pt idx="0">0.47999999999999998</cx:pt>
          <cx:pt idx="1">0.62</cx:pt>
          <cx:pt idx="2">0.81000000000000005</cx:pt>
          <cx:pt idx="3">0.42999999999999999</cx:pt>
          <cx:pt idx="4">0.65000000000000002</cx:pt>
          <cx:pt idx="5">1.46</cx:pt>
          <cx:pt idx="6">0.79000000000000004</cx:pt>
          <cx:pt idx="7">0.44</cx:pt>
          <cx:pt idx="8">0.40000000000000002</cx:pt>
          <cx:pt idx="9">1.52</cx:pt>
          <cx:pt idx="10">0.54000000000000004</cx:pt>
          <cx:pt idx="11">1.02</cx:pt>
          <cx:pt idx="12">1.45</cx:pt>
          <cx:pt idx="13">1.1100000000000001</cx:pt>
          <cx:pt idx="14">0.68999999999999995</cx:pt>
          <cx:pt idx="15">1.3999999999999999</cx:pt>
          <cx:pt idx="16">0.97999999999999998</cx:pt>
          <cx:pt idx="17">2.1000000000000001</cx:pt>
          <cx:pt idx="18">1.0600000000000001</cx:pt>
          <cx:pt idx="19">0.87</cx:pt>
          <cx:pt idx="20">1.26</cx:pt>
          <cx:pt idx="21">0.83999999999999997</cx:pt>
          <cx:pt idx="22">1.29</cx:pt>
          <cx:pt idx="23">0.19</cx:pt>
          <cx:pt idx="24">0.75</cx:pt>
          <cx:pt idx="25">1.5</cx:pt>
          <cx:pt idx="26">0.82999999999999996</cx:pt>
          <cx:pt idx="27">1.3600000000000001</cx:pt>
          <cx:pt idx="28">0.53000000000000003</cx:pt>
          <cx:pt idx="29">0.78000000000000003</cx:pt>
          <cx:pt idx="30">0.57999999999999996</cx:pt>
          <cx:pt idx="31">0.60999999999999999</cx:pt>
          <cx:pt idx="32">0.65000000000000002</cx:pt>
          <cx:pt idx="33">0.56000000000000005</cx:pt>
          <cx:pt idx="34">0.60999999999999999</cx:pt>
          <cx:pt idx="35">0.83999999999999997</cx:pt>
          <cx:pt idx="36">0.65000000000000002</cx:pt>
          <cx:pt idx="37">0.5</cx:pt>
          <cx:pt idx="38">0.46000000000000002</cx:pt>
          <cx:pt idx="39">1.9399999999999999</cx:pt>
          <cx:pt idx="40">0.77000000000000002</cx:pt>
          <cx:pt idx="41">0.69999999999999996</cx:pt>
          <cx:pt idx="42">1.1100000000000001</cx:pt>
          <cx:pt idx="43">0.93999999999999995</cx:pt>
          <cx:pt idx="44">1.3</cx:pt>
          <cx:pt idx="45">1.8300000000000001</cx:pt>
          <cx:pt idx="46">1.05</cx:pt>
          <cx:pt idx="47">1.28</cx:pt>
          <cx:pt idx="48">1.96</cx:pt>
          <cx:pt idx="49">0.72999999999999998</cx:pt>
          <cx:pt idx="50">2.1200000000000001</cx:pt>
          <cx:pt idx="51">0.68000000000000005</cx:pt>
          <cx:pt idx="52">0.59999999999999998</cx:pt>
        </cx:lvl>
      </cx:numDim>
    </cx:data>
  </cx:chartData>
  <cx:chart>
    <cx:plotArea>
      <cx:plotAreaRegion>
        <cx:series layoutId="boxWhisker" uniqueId="{FD327585-4A6C-43A9-AFD2-B271ABB9E0C0}">
          <cx:tx>
            <cx:txData>
              <cx:f>'Ящик с усами N РЯ'!$B$1</cx:f>
              <cx:v>RE</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8"/>
            <cx:dataLabelHidden idx="19"/>
            <cx:dataLabelHidden idx="21"/>
            <cx:dataLabelHidden idx="22"/>
            <cx:dataLabelHidden idx="23"/>
            <cx:dataLabelHidden idx="31"/>
            <cx:dataLabelHidden idx="32"/>
            <cx:dataLabelHidden idx="34"/>
            <cx:dataLabelHidden idx="35"/>
            <cx:dataLabelHidden idx="36"/>
            <cx:dataLabelHidden idx="59"/>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110.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'Ящик с усами nLM КРР'!$J$2:$J$45</cx:f>
        <cx:lvl ptCount="44" formatCode="0,00">
          <cx:pt idx="0">1.2238</cx:pt>
          <cx:pt idx="1">1.1717</cx:pt>
          <cx:pt idx="2">1.1789000000000001</cx:pt>
          <cx:pt idx="3">1.1093</cx:pt>
          <cx:pt idx="4">0.97440000000000004</cx:pt>
          <cx:pt idx="5">1.1459999999999999</cx:pt>
          <cx:pt idx="6">0.53449999999999998</cx:pt>
          <cx:pt idx="7">1.8266</cx:pt>
          <cx:pt idx="8">0.87170000000000003</cx:pt>
          <cx:pt idx="9">0.92490000000000006</cx:pt>
          <cx:pt idx="10">0.55230000000000001</cx:pt>
          <cx:pt idx="11">0.39810000000000001</cx:pt>
          <cx:pt idx="12">0.54139999999999999</cx:pt>
          <cx:pt idx="13">0.67390000000000005</cx:pt>
          <cx:pt idx="14">0.59419999999999995</cx:pt>
          <cx:pt idx="15">0.95999999999999996</cx:pt>
          <cx:pt idx="16">0.44550000000000001</cx:pt>
          <cx:pt idx="17">0.66590000000000005</cx:pt>
          <cx:pt idx="18">0.66930000000000001</cx:pt>
          <cx:pt idx="19">0.63980000000000004</cx:pt>
          <cx:pt idx="20">0.76429999999999998</cx:pt>
          <cx:pt idx="21">0.45850000000000002</cx:pt>
          <cx:pt idx="22">0.73109999999999997</cx:pt>
          <cx:pt idx="23">0.58199999999999996</cx:pt>
          <cx:pt idx="24">0.72140000000000004</cx:pt>
          <cx:pt idx="25">0.71860000000000002</cx:pt>
          <cx:pt idx="26">1.1406000000000001</cx:pt>
          <cx:pt idx="27">0.71050000000000002</cx:pt>
          <cx:pt idx="28">0.62060000000000004</cx:pt>
          <cx:pt idx="29">1.0996999999999999</cx:pt>
          <cx:pt idx="30">0.61019999999999996</cx:pt>
          <cx:pt idx="31">0.65669999999999995</cx:pt>
          <cx:pt idx="32">0.47999999999999998</cx:pt>
          <cx:pt idx="33">0.88700000000000001</cx:pt>
          <cx:pt idx="34">0.99929999999999997</cx:pt>
          <cx:pt idx="35">1.1751</cx:pt>
          <cx:pt idx="36">2.3134000000000001</cx:pt>
          <cx:pt idx="37">0.6139</cx:pt>
          <cx:pt idx="38">0.90080000000000005</cx:pt>
          <cx:pt idx="39">0.95220000000000005</cx:pt>
          <cx:pt idx="40">0.95389999999999997</cx:pt>
          <cx:pt idx="41">1.0181</cx:pt>
          <cx:pt idx="42">0.7177</cx:pt>
          <cx:pt idx="43">1.0193000000000001</cx:pt>
        </cx:lvl>
      </cx:numDim>
    </cx:data>
    <cx:data id="1">
      <cx:numDim type="val">
        <cx:f>'Ящик с усами nLM КРР'!$J$48:$J$63</cx:f>
        <cx:lvl ptCount="16" formatCode="0,00">
          <cx:pt idx="0">1.4847999999999999</cx:pt>
          <cx:pt idx="1">1.8121</cx:pt>
          <cx:pt idx="2">1.0331999999999999</cx:pt>
          <cx:pt idx="3">1.2092000000000001</cx:pt>
          <cx:pt idx="4">0.87770000000000004</cx:pt>
          <cx:pt idx="5">0.67379999999999995</cx:pt>
          <cx:pt idx="6">0.55020000000000002</cx:pt>
          <cx:pt idx="7">1.1402000000000001</cx:pt>
          <cx:pt idx="8">1.2663</cx:pt>
          <cx:pt idx="9">1.5062</cx:pt>
          <cx:pt idx="10">0.88549999999999995</cx:pt>
          <cx:pt idx="11">0.71120000000000005</cx:pt>
          <cx:pt idx="12">0.52880000000000005</cx:pt>
          <cx:pt idx="13">0.77490000000000003</cx:pt>
          <cx:pt idx="14">0.79759999999999998</cx:pt>
          <cx:pt idx="15">0.91249999999999998</cx:pt>
        </cx:lvl>
      </cx:numDim>
    </cx:data>
    <cx:data id="2">
      <cx:numDim type="val">
        <cx:f>'Ящик с усами nLM КРР'!$S$2:$S$45</cx:f>
        <cx:lvl ptCount="44" formatCode="0,00">
          <cx:pt idx="0">1.0443</cx:pt>
          <cx:pt idx="1">0.79830000000000001</cx:pt>
          <cx:pt idx="2">0.67869999999999997</cx:pt>
          <cx:pt idx="3">0.66720000000000002</cx:pt>
          <cx:pt idx="4">0.59840000000000004</cx:pt>
          <cx:pt idx="5">0.51859999999999995</cx:pt>
          <cx:pt idx="6">0.54149999999999998</cx:pt>
          <cx:pt idx="7">0.61719999999999997</cx:pt>
          <cx:pt idx="8">0.96809999999999996</cx:pt>
          <cx:pt idx="9">0.65800000000000003</cx:pt>
          <cx:pt idx="10">0.44519999999999998</cx:pt>
          <cx:pt idx="11">0.47370000000000001</cx:pt>
          <cx:pt idx="12">0.39369999999999999</cx:pt>
          <cx:pt idx="13">0.81510000000000005</cx:pt>
          <cx:pt idx="14">0.99929999999999997</cx:pt>
          <cx:pt idx="15">1.4012</cx:pt>
          <cx:pt idx="16">1.1213</cx:pt>
          <cx:pt idx="17">1.1651</cx:pt>
          <cx:pt idx="18">0.95440000000000003</cx:pt>
          <cx:pt idx="19">1.2557</cx:pt>
          <cx:pt idx="20">1.1238999999999999</cx:pt>
          <cx:pt idx="21">0.85809999999999997</cx:pt>
          <cx:pt idx="22">0.8851</cx:pt>
          <cx:pt idx="23">0.97070000000000001</cx:pt>
          <cx:pt idx="24">1.1701999999999999</cx:pt>
          <cx:pt idx="25">0.98229999999999995</cx:pt>
          <cx:pt idx="26">0.90080000000000005</cx:pt>
          <cx:pt idx="27">1.488</cx:pt>
          <cx:pt idx="28">1.153</cx:pt>
          <cx:pt idx="29">0.90490000000000004</cx:pt>
          <cx:pt idx="30">0.89100000000000001</cx:pt>
          <cx:pt idx="31">0.9748</cx:pt>
          <cx:pt idx="32">1.1034999999999999</cx:pt>
          <cx:pt idx="33">1.2935000000000001</cx:pt>
          <cx:pt idx="34">2.6678000000000002</cx:pt>
          <cx:pt idx="35">1.0373000000000001</cx:pt>
          <cx:pt idx="36">1.0567</cx:pt>
          <cx:pt idx="37">0.92710000000000004</cx:pt>
          <cx:pt idx="38">0.85029999999999994</cx:pt>
          <cx:pt idx="39">0.93620000000000003</cx:pt>
          <cx:pt idx="40">0.89649999999999996</cx:pt>
          <cx:pt idx="41">0.52810000000000001</cx:pt>
          <cx:pt idx="42">1.0690999999999999</cx:pt>
          <cx:pt idx="43">1.1962999999999999</cx:pt>
        </cx:lvl>
      </cx:numDim>
    </cx:data>
    <cx:data id="3">
      <cx:numDim type="val">
        <cx:f>'Ящик с усами nLM КРР'!$S$48:$S$63</cx:f>
        <cx:lvl ptCount="16" formatCode="0,00">
          <cx:pt idx="0">1.5133000000000001</cx:pt>
          <cx:pt idx="1">1.0019</cx:pt>
          <cx:pt idx="2">1.0350999999999999</cx:pt>
          <cx:pt idx="3">0.76590000000000003</cx:pt>
          <cx:pt idx="4">0.42670000000000002</cx:pt>
          <cx:pt idx="5">0.89510000000000001</cx:pt>
          <cx:pt idx="6">1.2000999999999999</cx:pt>
          <cx:pt idx="7">1.7332000000000001</cx:pt>
          <cx:pt idx="8">1.304</cx:pt>
          <cx:pt idx="9">0.92869999999999997</cx:pt>
          <cx:pt idx="10">0.95509999999999995</cx:pt>
          <cx:pt idx="11">0.70730000000000004</cx:pt>
          <cx:pt idx="12">1.026</cx:pt>
          <cx:pt idx="13">1.1982999999999999</cx:pt>
          <cx:pt idx="14">1.0683</cx:pt>
          <cx:pt idx="15">1.1849000000000001</cx:pt>
        </cx:lvl>
      </cx:numDim>
    </cx:data>
  </cx:chartData>
  <cx:chart>
    <cx:title pos="t" align="ctr" overlay="0">
      <cx:tx>
        <cx:rich>
          <a:bodyPr spcFirstLastPara="1" vertOverflow="ellipsis" horzOverflow="overflow" wrap="square" lIns="0" tIns="0" rIns="0" bIns="0" anchor="ctr" anchorCtr="1"/>
          <a:lstStyle/>
          <a:p>
            <a:pPr algn="ctr" rtl="0">
              <a:defRPr sz="12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latin typeface="Times New Roman" panose="02020603050405020304" pitchFamily="18" charset="0"/>
                <a:cs typeface="Times New Roman" panose="02020603050405020304" pitchFamily="18" charset="0"/>
              </a:rPr>
              <a:t>P</a:t>
            </a:r>
            <a:endParaRPr lang="ru-RU" sz="1200" b="1" i="0" u="none" strike="noStrike" baseline="0">
              <a:solidFill>
                <a:sysClr val="windowText" lastClr="000000"/>
              </a:solidFill>
              <a:latin typeface="Times New Roman" panose="02020603050405020304" pitchFamily="18" charset="0"/>
              <a:cs typeface="Times New Roman" panose="02020603050405020304" pitchFamily="18" charset="0"/>
            </a:endParaRPr>
          </a:p>
        </cx:rich>
      </cx:tx>
    </cx:title>
    <cx:plotArea>
      <cx:plotAreaRegion>
        <cx:series layoutId="boxWhisker" uniqueId="{666F4118-7D2C-4697-B203-9501074AE1EF}">
          <cx:tx>
            <cx:txData>
              <cx:f>'Ящик с усами nLM КРР'!$J$1</cx:f>
              <cx:v>nLM I</cx:v>
            </cx:txData>
          </cx:tx>
          <cx:spPr>
            <a:solidFill>
              <a:srgbClr val="92D05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41"/>
            <cx:dataLabelHidden idx="42"/>
            <cx:dataLabelHidden idx="43"/>
            <cx:dataLabelHidden idx="44"/>
            <cx:dataLabelHidden idx="46"/>
            <cx:dataLabelHidden idx="47"/>
          </cx:dataLabels>
          <cx:dataId val="0"/>
          <cx:layoutPr>
            <cx:visibility meanLine="0" meanMarker="1" nonoutliers="0" outliers="1"/>
            <cx:statistics quartileMethod="exclusive"/>
          </cx:layoutPr>
        </cx:series>
        <cx:series layoutId="boxWhisker" uniqueId="{79FF87D4-AD94-4863-A20E-BDB26A82448F}">
          <cx:tx>
            <cx:txData>
              <cx:f>'Ящик с усами nLM КРР'!$J$47</cx:f>
              <cx:v>pLM 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5"/>
            <cx:dataLabelHidden idx="16"/>
            <cx:dataLabelHidden idx="18"/>
            <cx:dataLabelHidden idx="19"/>
          </cx:dataLabels>
          <cx:dataId val="1"/>
          <cx:layoutPr>
            <cx:visibility meanLine="0" meanMarker="1" nonoutliers="0" outliers="1"/>
            <cx:statistics quartileMethod="exclusive"/>
          </cx:layoutPr>
        </cx:series>
        <cx:series layoutId="boxWhisker" uniqueId="{891870CE-516B-41A7-985F-E91F4600ACA8}">
          <cx:tx>
            <cx:txData>
              <cx:f>'Ящик с усами nLM КРР'!$S$1</cx:f>
              <cx:v>nLM II</cx:v>
            </cx:txData>
          </cx:tx>
          <cx:spPr>
            <a:solidFill>
              <a:srgbClr val="92D05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42"/>
            <cx:dataLabelHidden idx="43"/>
            <cx:dataLabelHidden idx="44"/>
            <cx:dataLabelHidden idx="46"/>
            <cx:dataLabelHidden idx="47"/>
          </cx:dataLabels>
          <cx:dataId val="2"/>
          <cx:layoutPr>
            <cx:visibility meanLine="0" meanMarker="1" nonoutliers="0" outliers="1"/>
            <cx:statistics quartileMethod="exclusive"/>
          </cx:layoutPr>
        </cx:series>
        <cx:series layoutId="boxWhisker" uniqueId="{F3F13346-463D-4175-8CD4-ADACD09CB942}">
          <cx:tx>
            <cx:txData>
              <cx:f>'Ящик с усами nLM КРР'!$S$47</cx:f>
              <cx:v>pLM II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
            <cx:dataLabelHidden idx="14"/>
            <cx:dataLabelHidden idx="15"/>
            <cx:dataLabelHidden idx="16"/>
            <cx:dataLabelHidden idx="18"/>
            <cx:dataLabelHidden idx="19"/>
          </cx:dataLabels>
          <cx:dataId val="3"/>
          <cx:layoutPr>
            <cx:visibility meanLine="0" meanMarker="1" nonoutliers="0" outliers="1"/>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9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a:solidFill>
                <a:sysClr val="windowText" lastClr="000000"/>
              </a:solidFill>
              <a:latin typeface="Times New Roman" panose="02020603050405020304" pitchFamily="18" charset="0"/>
              <a:cs typeface="Times New Roman" panose="02020603050405020304" pitchFamily="18" charset="0"/>
            </a:endParaRPr>
          </a:p>
        </cx:txPr>
      </cx:axis>
    </cx:plotArea>
    <cx:legend pos="r" align="ctr" overlay="0">
      <cx:txPr>
        <a:bodyPr vertOverflow="overflow" horzOverflow="overflow" wrap="square" lIns="0" tIns="0" rIns="0" bIns="0"/>
        <a:lstStyle/>
        <a:p>
          <a:pPr algn="ctr" rtl="0">
            <a:defRPr sz="9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12.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N РЯ'!$A$2:$A$54</cx:f>
        <cx:lvl ptCount="53">
          <cx:pt idx="0">N0</cx:pt>
          <cx:pt idx="1">N0</cx:pt>
          <cx:pt idx="2">N0</cx:pt>
          <cx:pt idx="3">N0</cx:pt>
          <cx:pt idx="4">N0</cx:pt>
          <cx:pt idx="5">N0</cx:pt>
          <cx:pt idx="6">N0</cx:pt>
          <cx:pt idx="7">N0</cx:pt>
          <cx:pt idx="8">N0</cx:pt>
          <cx:pt idx="9">N0</cx:pt>
          <cx:pt idx="10">N0</cx:pt>
          <cx:pt idx="11">N0</cx:pt>
          <cx:pt idx="12">N0</cx:pt>
          <cx:pt idx="13">N0</cx:pt>
          <cx:pt idx="14">N0</cx:pt>
          <cx:pt idx="15">N0</cx:pt>
          <cx:pt idx="16">N0</cx:pt>
          <cx:pt idx="17">N0</cx:pt>
          <cx:pt idx="18">N0</cx:pt>
          <cx:pt idx="19">N1</cx:pt>
          <cx:pt idx="20">N1</cx:pt>
          <cx:pt idx="21">N1</cx:pt>
          <cx:pt idx="22">N1</cx:pt>
          <cx:pt idx="23">N1</cx:pt>
          <cx:pt idx="24">N1</cx:pt>
          <cx:pt idx="25">N1</cx:pt>
          <cx:pt idx="26">N1</cx:pt>
          <cx:pt idx="27">N1</cx:pt>
          <cx:pt idx="28">Nx</cx:pt>
          <cx:pt idx="29">Nx</cx:pt>
          <cx:pt idx="30">Nx</cx:pt>
          <cx:pt idx="31">Nx</cx:pt>
          <cx:pt idx="32">Nx</cx:pt>
          <cx:pt idx="33">Nx</cx:pt>
          <cx:pt idx="34">Nx</cx:pt>
          <cx:pt idx="35">Nx</cx:pt>
          <cx:pt idx="36">Nx</cx:pt>
          <cx:pt idx="37">Nx</cx:pt>
          <cx:pt idx="38">Nx</cx:pt>
          <cx:pt idx="39">Nx</cx:pt>
          <cx:pt idx="40">Nx</cx:pt>
          <cx:pt idx="41">Nx</cx:pt>
          <cx:pt idx="42">Nx</cx:pt>
          <cx:pt idx="43">Nx</cx:pt>
          <cx:pt idx="44">Nx</cx:pt>
          <cx:pt idx="45">Nx</cx:pt>
          <cx:pt idx="46">Nx</cx:pt>
          <cx:pt idx="47">Nx</cx:pt>
          <cx:pt idx="48">Nx</cx:pt>
          <cx:pt idx="49">Nx</cx:pt>
          <cx:pt idx="50">Nx</cx:pt>
          <cx:pt idx="51">Nx</cx:pt>
          <cx:pt idx="52">Nx</cx:pt>
        </cx:lvl>
      </cx:strDim>
      <cx:numDim type="val">
        <cx:f>'Ящик с усами N РЯ'!$C$2:$C$54</cx:f>
        <cx:lvl ptCount="53" formatCode="0,00">
          <cx:pt idx="0">0.59999999999999998</cx:pt>
          <cx:pt idx="1">0.66000000000000003</cx:pt>
          <cx:pt idx="2">0.5</cx:pt>
          <cx:pt idx="3">0.42999999999999999</cx:pt>
          <cx:pt idx="4">0.63</cx:pt>
          <cx:pt idx="5">0.41999999999999998</cx:pt>
          <cx:pt idx="6">0.73999999999999999</cx:pt>
          <cx:pt idx="7">0.78000000000000003</cx:pt>
          <cx:pt idx="8">0.40999999999999998</cx:pt>
          <cx:pt idx="9">2</cx:pt>
          <cx:pt idx="10">0.56000000000000005</cx:pt>
          <cx:pt idx="11">0.68000000000000005</cx:pt>
          <cx:pt idx="12">1.1799999999999999</cx:pt>
          <cx:pt idx="13">0.89000000000000001</cx:pt>
          <cx:pt idx="14">0.47999999999999998</cx:pt>
          <cx:pt idx="15">0.98999999999999999</cx:pt>
          <cx:pt idx="16">0.85999999999999999</cx:pt>
          <cx:pt idx="17">0.96999999999999997</cx:pt>
          <cx:pt idx="18">0.80000000000000004</cx:pt>
          <cx:pt idx="19">0.78000000000000003</cx:pt>
          <cx:pt idx="20">0.38</cx:pt>
          <cx:pt idx="21">0.75</cx:pt>
          <cx:pt idx="22">1.3799999999999999</cx:pt>
          <cx:pt idx="23">0.40000000000000002</cx:pt>
          <cx:pt idx="24">1.76</cx:pt>
          <cx:pt idx="25">1.1100000000000001</cx:pt>
          <cx:pt idx="26">1.1499999999999999</cx:pt>
          <cx:pt idx="27">0.63</cx:pt>
          <cx:pt idx="28">0.39000000000000001</cx:pt>
          <cx:pt idx="29">0.53000000000000003</cx:pt>
          <cx:pt idx="30">0.68000000000000005</cx:pt>
          <cx:pt idx="31">0.37</cx:pt>
          <cx:pt idx="32">0.54000000000000004</cx:pt>
          <cx:pt idx="33">0.57999999999999996</cx:pt>
          <cx:pt idx="34">0.94999999999999996</cx:pt>
          <cx:pt idx="35">0.54000000000000004</cx:pt>
          <cx:pt idx="36">0.48999999999999999</cx:pt>
          <cx:pt idx="37">0.62</cx:pt>
          <cx:pt idx="38">0.40999999999999998</cx:pt>
          <cx:pt idx="39">1.48</cx:pt>
          <cx:pt idx="40">0.78000000000000003</cx:pt>
          <cx:pt idx="41">0.78000000000000003</cx:pt>
          <cx:pt idx="42">0.93999999999999995</cx:pt>
          <cx:pt idx="43">1.71</cx:pt>
          <cx:pt idx="44">1.9299999999999999</cx:pt>
          <cx:pt idx="45">1.25</cx:pt>
          <cx:pt idx="46">1.6299999999999999</cx:pt>
          <cx:pt idx="47">0.54000000000000004</cx:pt>
          <cx:pt idx="48">0.82999999999999996</cx:pt>
          <cx:pt idx="49">1.0900000000000001</cx:pt>
          <cx:pt idx="50">1.1899999999999999</cx:pt>
          <cx:pt idx="51">1.4099999999999999</cx:pt>
          <cx:pt idx="52">0.42999999999999999</cx:pt>
        </cx:lvl>
      </cx:numDim>
    </cx:data>
  </cx:chartData>
  <cx:chart>
    <cx:plotArea>
      <cx:plotAreaRegion>
        <cx:series layoutId="boxWhisker" uniqueId="{A592FB03-4AAD-408B-8B25-DA0BABB45C42}">
          <cx:tx>
            <cx:txData>
              <cx:f>'Ящик с усами N РЯ'!$C$1</cx:f>
              <cx:v>RLH</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7"/>
            <cx:dataLabelHidden idx="18"/>
            <cx:dataLabelHidden idx="19"/>
            <cx:dataLabelHidden idx="21"/>
            <cx:dataLabelHidden idx="22"/>
            <cx:dataLabelHidden idx="23"/>
            <cx:dataLabelHidden idx="31"/>
            <cx:dataLabelHidden idx="32"/>
            <cx:dataLabelHidden idx="34"/>
            <cx:dataLabelHidden idx="35"/>
            <cx:dataLabelHidden idx="36"/>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13.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N РЯ'!$A$2:$A$54</cx:f>
        <cx:lvl ptCount="53">
          <cx:pt idx="0">N0</cx:pt>
          <cx:pt idx="1">N0</cx:pt>
          <cx:pt idx="2">N0</cx:pt>
          <cx:pt idx="3">N0</cx:pt>
          <cx:pt idx="4">N0</cx:pt>
          <cx:pt idx="5">N0</cx:pt>
          <cx:pt idx="6">N0</cx:pt>
          <cx:pt idx="7">N0</cx:pt>
          <cx:pt idx="8">N0</cx:pt>
          <cx:pt idx="9">N0</cx:pt>
          <cx:pt idx="10">N0</cx:pt>
          <cx:pt idx="11">N0</cx:pt>
          <cx:pt idx="12">N0</cx:pt>
          <cx:pt idx="13">N0</cx:pt>
          <cx:pt idx="14">N0</cx:pt>
          <cx:pt idx="15">N0</cx:pt>
          <cx:pt idx="16">N0</cx:pt>
          <cx:pt idx="17">N0</cx:pt>
          <cx:pt idx="18">N0</cx:pt>
          <cx:pt idx="19">N1</cx:pt>
          <cx:pt idx="20">N1</cx:pt>
          <cx:pt idx="21">N1</cx:pt>
          <cx:pt idx="22">N1</cx:pt>
          <cx:pt idx="23">N1</cx:pt>
          <cx:pt idx="24">N1</cx:pt>
          <cx:pt idx="25">N1</cx:pt>
          <cx:pt idx="26">N1</cx:pt>
          <cx:pt idx="27">N1</cx:pt>
          <cx:pt idx="28">Nx</cx:pt>
          <cx:pt idx="29">Nx</cx:pt>
          <cx:pt idx="30">Nx</cx:pt>
          <cx:pt idx="31">Nx</cx:pt>
          <cx:pt idx="32">Nx</cx:pt>
          <cx:pt idx="33">Nx</cx:pt>
          <cx:pt idx="34">Nx</cx:pt>
          <cx:pt idx="35">Nx</cx:pt>
          <cx:pt idx="36">Nx</cx:pt>
          <cx:pt idx="37">Nx</cx:pt>
          <cx:pt idx="38">Nx</cx:pt>
          <cx:pt idx="39">Nx</cx:pt>
          <cx:pt idx="40">Nx</cx:pt>
          <cx:pt idx="41">Nx</cx:pt>
          <cx:pt idx="42">Nx</cx:pt>
          <cx:pt idx="43">Nx</cx:pt>
          <cx:pt idx="44">Nx</cx:pt>
          <cx:pt idx="45">Nx</cx:pt>
          <cx:pt idx="46">Nx</cx:pt>
          <cx:pt idx="47">Nx</cx:pt>
          <cx:pt idx="48">Nx</cx:pt>
          <cx:pt idx="49">Nx</cx:pt>
          <cx:pt idx="50">Nx</cx:pt>
          <cx:pt idx="51">Nx</cx:pt>
          <cx:pt idx="52">Nx</cx:pt>
        </cx:lvl>
      </cx:strDim>
      <cx:numDim type="val">
        <cx:f>'Ящик с усами N РЯ'!$D$2:$D$54</cx:f>
        <cx:lvl ptCount="53" formatCode="0,00">
          <cx:pt idx="0">0.79000000000000004</cx:pt>
          <cx:pt idx="1">0.71999999999999997</cx:pt>
          <cx:pt idx="2">0.96999999999999997</cx:pt>
          <cx:pt idx="3">0.68000000000000005</cx:pt>
          <cx:pt idx="4">0.58999999999999997</cx:pt>
          <cx:pt idx="5">0.65000000000000002</cx:pt>
          <cx:pt idx="6">0.72999999999999998</cx:pt>
          <cx:pt idx="7">0.55000000000000004</cx:pt>
          <cx:pt idx="8">0.42999999999999999</cx:pt>
          <cx:pt idx="9">1.21</cx:pt>
          <cx:pt idx="10">0.81999999999999995</cx:pt>
          <cx:pt idx="11">0.67000000000000004</cx:pt>
          <cx:pt idx="12">1.05</cx:pt>
          <cx:pt idx="13">1.5700000000000001</cx:pt>
          <cx:pt idx="14">0.47999999999999998</cx:pt>
          <cx:pt idx="15">1.1200000000000001</cx:pt>
          <cx:pt idx="16">0.79000000000000004</cx:pt>
          <cx:pt idx="17">1.27</cx:pt>
          <cx:pt idx="18">1.45</cx:pt>
          <cx:pt idx="19">0.90000000000000002</cx:pt>
          <cx:pt idx="20">0.81999999999999995</cx:pt>
          <cx:pt idx="21">0.77000000000000002</cx:pt>
          <cx:pt idx="22">1.55</cx:pt>
          <cx:pt idx="23">0.46999999999999997</cx:pt>
          <cx:pt idx="24">1.1299999999999999</cx:pt>
          <cx:pt idx="25">1.4199999999999999</cx:pt>
          <cx:pt idx="26">0.89000000000000001</cx:pt>
          <cx:pt idx="27">1.79</cx:pt>
          <cx:pt idx="28">0.56000000000000005</cx:pt>
          <cx:pt idx="29">0.95999999999999996</cx:pt>
          <cx:pt idx="30">1.05</cx:pt>
          <cx:pt idx="31">0.71999999999999997</cx:pt>
          <cx:pt idx="32">1.0600000000000001</cx:pt>
          <cx:pt idx="33">0.66000000000000003</cx:pt>
          <cx:pt idx="34">0.71999999999999997</cx:pt>
          <cx:pt idx="35">0.92000000000000004</cx:pt>
          <cx:pt idx="36">0.56000000000000005</cx:pt>
          <cx:pt idx="37">0.93999999999999995</cx:pt>
          <cx:pt idx="38">0.79000000000000004</cx:pt>
          <cx:pt idx="39">2.0800000000000001</cx:pt>
          <cx:pt idx="40">1.1399999999999999</cx:pt>
          <cx:pt idx="41">1.46</cx:pt>
          <cx:pt idx="42">1.5</cx:pt>
          <cx:pt idx="43">1.3799999999999999</cx:pt>
          <cx:pt idx="44">2.7799999999999998</cx:pt>
          <cx:pt idx="45">1.28</cx:pt>
          <cx:pt idx="46">0.96999999999999997</cx:pt>
          <cx:pt idx="47">1.02</cx:pt>
          <cx:pt idx="48">2.0800000000000001</cx:pt>
          <cx:pt idx="49">0.97999999999999998</cx:pt>
          <cx:pt idx="50">1.1699999999999999</cx:pt>
          <cx:pt idx="51">1.4099999999999999</cx:pt>
          <cx:pt idx="52">0.56000000000000005</cx:pt>
        </cx:lvl>
      </cx:numDim>
    </cx:data>
  </cx:chartData>
  <cx:chart>
    <cx:plotArea>
      <cx:plotAreaRegion>
        <cx:series layoutId="boxWhisker" uniqueId="{7929EA06-98AF-408C-8A54-229AF88FB148}">
          <cx:tx>
            <cx:txData>
              <cx:f>'Ящик с усами N РЯ'!$D$1</cx:f>
              <cx:v>RRL</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8"/>
            <cx:dataLabelHidden idx="19"/>
            <cx:dataLabelHidden idx="21"/>
            <cx:dataLabelHidden idx="22"/>
            <cx:dataLabelHidden idx="23"/>
            <cx:dataLabelHidden idx="31"/>
            <cx:dataLabelHidden idx="32"/>
            <cx:dataLabelHidden idx="34"/>
            <cx:dataLabelHidden idx="35"/>
            <cx:dataLabelHidden idx="36"/>
            <cx:dataLabelHidden idx="59"/>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14.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N РЯ'!$A$2:$A$54</cx:f>
        <cx:lvl ptCount="53">
          <cx:pt idx="0">N0</cx:pt>
          <cx:pt idx="1">N0</cx:pt>
          <cx:pt idx="2">N0</cx:pt>
          <cx:pt idx="3">N0</cx:pt>
          <cx:pt idx="4">N0</cx:pt>
          <cx:pt idx="5">N0</cx:pt>
          <cx:pt idx="6">N0</cx:pt>
          <cx:pt idx="7">N0</cx:pt>
          <cx:pt idx="8">N0</cx:pt>
          <cx:pt idx="9">N0</cx:pt>
          <cx:pt idx="10">N0</cx:pt>
          <cx:pt idx="11">N0</cx:pt>
          <cx:pt idx="12">N0</cx:pt>
          <cx:pt idx="13">N0</cx:pt>
          <cx:pt idx="14">N0</cx:pt>
          <cx:pt idx="15">N0</cx:pt>
          <cx:pt idx="16">N0</cx:pt>
          <cx:pt idx="17">N0</cx:pt>
          <cx:pt idx="18">N0</cx:pt>
          <cx:pt idx="19">N1</cx:pt>
          <cx:pt idx="20">N1</cx:pt>
          <cx:pt idx="21">N1</cx:pt>
          <cx:pt idx="22">N1</cx:pt>
          <cx:pt idx="23">N1</cx:pt>
          <cx:pt idx="24">N1</cx:pt>
          <cx:pt idx="25">N1</cx:pt>
          <cx:pt idx="26">N1</cx:pt>
          <cx:pt idx="27">N1</cx:pt>
          <cx:pt idx="28">Nx</cx:pt>
          <cx:pt idx="29">Nx</cx:pt>
          <cx:pt idx="30">Nx</cx:pt>
          <cx:pt idx="31">Nx</cx:pt>
          <cx:pt idx="32">Nx</cx:pt>
          <cx:pt idx="33">Nx</cx:pt>
          <cx:pt idx="34">Nx</cx:pt>
          <cx:pt idx="35">Nx</cx:pt>
          <cx:pt idx="36">Nx</cx:pt>
          <cx:pt idx="37">Nx</cx:pt>
          <cx:pt idx="38">Nx</cx:pt>
          <cx:pt idx="39">Nx</cx:pt>
          <cx:pt idx="40">Nx</cx:pt>
          <cx:pt idx="41">Nx</cx:pt>
          <cx:pt idx="42">Nx</cx:pt>
          <cx:pt idx="43">Nx</cx:pt>
          <cx:pt idx="44">Nx</cx:pt>
          <cx:pt idx="45">Nx</cx:pt>
          <cx:pt idx="46">Nx</cx:pt>
          <cx:pt idx="47">Nx</cx:pt>
          <cx:pt idx="48">Nx</cx:pt>
          <cx:pt idx="49">Nx</cx:pt>
          <cx:pt idx="50">Nx</cx:pt>
          <cx:pt idx="51">Nx</cx:pt>
          <cx:pt idx="52">Nx</cx:pt>
        </cx:lvl>
      </cx:strDim>
      <cx:numDim type="val">
        <cx:f>'Ящик с усами N РЯ'!$E$2:$E$54</cx:f>
        <cx:lvl ptCount="53" formatCode="0,00">
          <cx:pt idx="0">1.1000000000000001</cx:pt>
          <cx:pt idx="1">0.64000000000000001</cx:pt>
          <cx:pt idx="2">0.52000000000000002</cx:pt>
          <cx:pt idx="3">0.58999999999999997</cx:pt>
          <cx:pt idx="4">1.02</cx:pt>
          <cx:pt idx="5">0.68999999999999995</cx:pt>
          <cx:pt idx="6">0.47999999999999998</cx:pt>
          <cx:pt idx="7">0.72999999999999998</cx:pt>
          <cx:pt idx="8">0.33000000000000002</cx:pt>
          <cx:pt idx="9">1.1000000000000001</cx:pt>
          <cx:pt idx="10">0.65000000000000002</cx:pt>
          <cx:pt idx="11">0.76000000000000001</cx:pt>
          <cx:pt idx="12">1.0700000000000001</cx:pt>
          <cx:pt idx="13">0.91000000000000003</cx:pt>
          <cx:pt idx="14">0.40999999999999998</cx:pt>
          <cx:pt idx="15">1.1599999999999999</cx:pt>
          <cx:pt idx="16">0.68999999999999995</cx:pt>
          <cx:pt idx="17">1.26</cx:pt>
          <cx:pt idx="18">0.65000000000000002</cx:pt>
          <cx:pt idx="19">0.93999999999999995</cx:pt>
          <cx:pt idx="20">0.85999999999999999</cx:pt>
          <cx:pt idx="21">0.56000000000000005</cx:pt>
          <cx:pt idx="22">1.1699999999999999</cx:pt>
          <cx:pt idx="23">0.32000000000000001</cx:pt>
          <cx:pt idx="24">0.82999999999999996</cx:pt>
          <cx:pt idx="25">2.1499999999999999</cx:pt>
          <cx:pt idx="26">0.77000000000000002</cx:pt>
          <cx:pt idx="27">1.5700000000000001</cx:pt>
          <cx:pt idx="28">0.69999999999999996</cx:pt>
          <cx:pt idx="29">0.62</cx:pt>
          <cx:pt idx="30">0.93999999999999995</cx:pt>
          <cx:pt idx="31">0.64000000000000001</cx:pt>
          <cx:pt idx="32">0.72999999999999998</cx:pt>
          <cx:pt idx="33">0.53000000000000003</cx:pt>
          <cx:pt idx="34">0.70999999999999996</cx:pt>
          <cx:pt idx="35">0.75</cx:pt>
          <cx:pt idx="36">0.54000000000000004</cx:pt>
          <cx:pt idx="37">0.68000000000000005</cx:pt>
          <cx:pt idx="38">0.71999999999999997</cx:pt>
          <cx:pt idx="39">1.3899999999999999</cx:pt>
          <cx:pt idx="40">0.64000000000000001</cx:pt>
          <cx:pt idx="41">1.76</cx:pt>
          <cx:pt idx="42">1.03</cx:pt>
          <cx:pt idx="43">0.87</cx:pt>
          <cx:pt idx="44">1.47</cx:pt>
          <cx:pt idx="45">1.3100000000000001</cx:pt>
          <cx:pt idx="46">1.29</cx:pt>
          <cx:pt idx="47">1.45</cx:pt>
          <cx:pt idx="48">1.5800000000000001</cx:pt>
          <cx:pt idx="49">1.21</cx:pt>
          <cx:pt idx="50">0.70999999999999996</cx:pt>
          <cx:pt idx="51">1.26</cx:pt>
          <cx:pt idx="52">0.28000000000000003</cx:pt>
        </cx:lvl>
      </cx:numDim>
    </cx:data>
  </cx:chartData>
  <cx:chart>
    <cx:plotArea>
      <cx:plotAreaRegion>
        <cx:series layoutId="boxWhisker" uniqueId="{868CBB75-35A2-43A2-B3D2-85E25700BABD}">
          <cx:tx>
            <cx:txData>
              <cx:f>'Ящик с усами N РЯ'!$E$1</cx:f>
              <cx:v>RU</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8"/>
            <cx:dataLabelHidden idx="19"/>
            <cx:dataLabelHidden idx="21"/>
            <cx:dataLabelHidden idx="22"/>
            <cx:dataLabelHidden idx="23"/>
            <cx:dataLabelHidden idx="31"/>
            <cx:dataLabelHidden idx="32"/>
            <cx:dataLabelHidden idx="34"/>
            <cx:dataLabelHidden idx="35"/>
            <cx:dataLabelHidden idx="36"/>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15.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N РЯ'!$A$2:$A$54</cx:f>
        <cx:lvl ptCount="53">
          <cx:pt idx="0">N0</cx:pt>
          <cx:pt idx="1">N0</cx:pt>
          <cx:pt idx="2">N0</cx:pt>
          <cx:pt idx="3">N0</cx:pt>
          <cx:pt idx="4">N0</cx:pt>
          <cx:pt idx="5">N0</cx:pt>
          <cx:pt idx="6">N0</cx:pt>
          <cx:pt idx="7">N0</cx:pt>
          <cx:pt idx="8">N0</cx:pt>
          <cx:pt idx="9">N0</cx:pt>
          <cx:pt idx="10">N0</cx:pt>
          <cx:pt idx="11">N0</cx:pt>
          <cx:pt idx="12">N0</cx:pt>
          <cx:pt idx="13">N0</cx:pt>
          <cx:pt idx="14">N0</cx:pt>
          <cx:pt idx="15">N0</cx:pt>
          <cx:pt idx="16">N0</cx:pt>
          <cx:pt idx="17">N0</cx:pt>
          <cx:pt idx="18">N0</cx:pt>
          <cx:pt idx="19">N1</cx:pt>
          <cx:pt idx="20">N1</cx:pt>
          <cx:pt idx="21">N1</cx:pt>
          <cx:pt idx="22">N1</cx:pt>
          <cx:pt idx="23">N1</cx:pt>
          <cx:pt idx="24">N1</cx:pt>
          <cx:pt idx="25">N1</cx:pt>
          <cx:pt idx="26">N1</cx:pt>
          <cx:pt idx="27">N1</cx:pt>
          <cx:pt idx="28">Nx</cx:pt>
          <cx:pt idx="29">Nx</cx:pt>
          <cx:pt idx="30">Nx</cx:pt>
          <cx:pt idx="31">Nx</cx:pt>
          <cx:pt idx="32">Nx</cx:pt>
          <cx:pt idx="33">Nx</cx:pt>
          <cx:pt idx="34">Nx</cx:pt>
          <cx:pt idx="35">Nx</cx:pt>
          <cx:pt idx="36">Nx</cx:pt>
          <cx:pt idx="37">Nx</cx:pt>
          <cx:pt idx="38">Nx</cx:pt>
          <cx:pt idx="39">Nx</cx:pt>
          <cx:pt idx="40">Nx</cx:pt>
          <cx:pt idx="41">Nx</cx:pt>
          <cx:pt idx="42">Nx</cx:pt>
          <cx:pt idx="43">Nx</cx:pt>
          <cx:pt idx="44">Nx</cx:pt>
          <cx:pt idx="45">Nx</cx:pt>
          <cx:pt idx="46">Nx</cx:pt>
          <cx:pt idx="47">Nx</cx:pt>
          <cx:pt idx="48">Nx</cx:pt>
          <cx:pt idx="49">Nx</cx:pt>
          <cx:pt idx="50">Nx</cx:pt>
          <cx:pt idx="51">Nx</cx:pt>
          <cx:pt idx="52">Nx</cx:pt>
        </cx:lvl>
      </cx:strDim>
      <cx:numDim type="val">
        <cx:f>'Ящик с усами N РЯ'!$F$2:$F$54</cx:f>
        <cx:lvl ptCount="53" formatCode="0,00">
          <cx:pt idx="0">0.85999999999999999</cx:pt>
          <cx:pt idx="1">0.75</cx:pt>
          <cx:pt idx="2">0.83999999999999997</cx:pt>
          <cx:pt idx="3">0.87</cx:pt>
          <cx:pt idx="4">0.56999999999999995</cx:pt>
          <cx:pt idx="5">0.79000000000000004</cx:pt>
          <cx:pt idx="6">1.01</cx:pt>
          <cx:pt idx="7">0.81000000000000005</cx:pt>
          <cx:pt idx="8">0.5</cx:pt>
          <cx:pt idx="9">1.4199999999999999</cx:pt>
          <cx:pt idx="10">0.68000000000000005</cx:pt>
          <cx:pt idx="11">1</cx:pt>
          <cx:pt idx="12">0.91000000000000003</cx:pt>
          <cx:pt idx="13">1.1299999999999999</cx:pt>
          <cx:pt idx="14">0.60999999999999999</cx:pt>
          <cx:pt idx="15">1.4299999999999999</cx:pt>
          <cx:pt idx="16">0.73999999999999999</cx:pt>
          <cx:pt idx="17">1.3799999999999999</cx:pt>
          <cx:pt idx="18">1.0700000000000001</cx:pt>
          <cx:pt idx="19">1.1499999999999999</cx:pt>
          <cx:pt idx="20">0.68999999999999995</cx:pt>
          <cx:pt idx="21">0.77000000000000002</cx:pt>
          <cx:pt idx="22">1.6899999999999999</cx:pt>
          <cx:pt idx="23">0.68000000000000005</cx:pt>
          <cx:pt idx="24">1.6000000000000001</cx:pt>
          <cx:pt idx="25">1.3500000000000001</cx:pt>
          <cx:pt idx="26">1.1899999999999999</cx:pt>
          <cx:pt idx="27">2.6000000000000001</cx:pt>
          <cx:pt idx="28">1</cx:pt>
          <cx:pt idx="29">1.04</cx:pt>
          <cx:pt idx="30">0.93999999999999995</cx:pt>
          <cx:pt idx="31">0.57999999999999996</cx:pt>
          <cx:pt idx="32">0.68999999999999995</cx:pt>
          <cx:pt idx="33">0.76000000000000001</cx:pt>
          <cx:pt idx="34">0.58999999999999997</cx:pt>
          <cx:pt idx="35">0.96999999999999997</cx:pt>
          <cx:pt idx="36">0.54000000000000004</cx:pt>
          <cx:pt idx="37">0.89000000000000001</cx:pt>
          <cx:pt idx="38">0.53000000000000003</cx:pt>
          <cx:pt idx="39">2.4199999999999999</cx:pt>
          <cx:pt idx="40">0.51000000000000001</cx:pt>
          <cx:pt idx="41">1.01</cx:pt>
          <cx:pt idx="42">1.04</cx:pt>
          <cx:pt idx="43">1.01</cx:pt>
          <cx:pt idx="44">1.52</cx:pt>
          <cx:pt idx="45">1.54</cx:pt>
          <cx:pt idx="46">2.0800000000000001</cx:pt>
          <cx:pt idx="47">0.80000000000000004</cx:pt>
          <cx:pt idx="48">3.3199999999999998</cx:pt>
          <cx:pt idx="49">0.97999999999999998</cx:pt>
          <cx:pt idx="50">0.92000000000000004</cx:pt>
          <cx:pt idx="51">1.0600000000000001</cx:pt>
          <cx:pt idx="52">0.48999999999999999</cx:pt>
        </cx:lvl>
      </cx:numDim>
    </cx:data>
  </cx:chartData>
  <cx:chart>
    <cx:plotArea>
      <cx:plotAreaRegion>
        <cx:series layoutId="boxWhisker" uniqueId="{DCCA5326-3C0C-457F-A204-9B1EED5C557C}">
          <cx:tx>
            <cx:txData>
              <cx:f>'Ящик с усами N РЯ'!$F$1</cx:f>
              <cx:v>RLL</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8"/>
            <cx:dataLabelHidden idx="19"/>
            <cx:dataLabelHidden idx="21"/>
            <cx:dataLabelHidden idx="22"/>
            <cx:dataLabelHidden idx="23"/>
            <cx:dataLabelHidden idx="31"/>
            <cx:dataLabelHidden idx="32"/>
            <cx:dataLabelHidden idx="34"/>
            <cx:dataLabelHidden idx="35"/>
            <cx:dataLabelHidden idx="36"/>
            <cx:dataLabelHidden idx="57"/>
            <cx:dataLabelHidden idx="58"/>
            <cx:dataLabelHidden idx="59"/>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16.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N РЯ'!$A$2:$A$54</cx:f>
        <cx:lvl ptCount="53">
          <cx:pt idx="0">N0</cx:pt>
          <cx:pt idx="1">N0</cx:pt>
          <cx:pt idx="2">N0</cx:pt>
          <cx:pt idx="3">N0</cx:pt>
          <cx:pt idx="4">N0</cx:pt>
          <cx:pt idx="5">N0</cx:pt>
          <cx:pt idx="6">N0</cx:pt>
          <cx:pt idx="7">N0</cx:pt>
          <cx:pt idx="8">N0</cx:pt>
          <cx:pt idx="9">N0</cx:pt>
          <cx:pt idx="10">N0</cx:pt>
          <cx:pt idx="11">N0</cx:pt>
          <cx:pt idx="12">N0</cx:pt>
          <cx:pt idx="13">N0</cx:pt>
          <cx:pt idx="14">N0</cx:pt>
          <cx:pt idx="15">N0</cx:pt>
          <cx:pt idx="16">N0</cx:pt>
          <cx:pt idx="17">N0</cx:pt>
          <cx:pt idx="18">N0</cx:pt>
          <cx:pt idx="19">N1</cx:pt>
          <cx:pt idx="20">N1</cx:pt>
          <cx:pt idx="21">N1</cx:pt>
          <cx:pt idx="22">N1</cx:pt>
          <cx:pt idx="23">N1</cx:pt>
          <cx:pt idx="24">N1</cx:pt>
          <cx:pt idx="25">N1</cx:pt>
          <cx:pt idx="26">N1</cx:pt>
          <cx:pt idx="27">N1</cx:pt>
          <cx:pt idx="28">Nx</cx:pt>
          <cx:pt idx="29">Nx</cx:pt>
          <cx:pt idx="30">Nx</cx:pt>
          <cx:pt idx="31">Nx</cx:pt>
          <cx:pt idx="32">Nx</cx:pt>
          <cx:pt idx="33">Nx</cx:pt>
          <cx:pt idx="34">Nx</cx:pt>
          <cx:pt idx="35">Nx</cx:pt>
          <cx:pt idx="36">Nx</cx:pt>
          <cx:pt idx="37">Nx</cx:pt>
          <cx:pt idx="38">Nx</cx:pt>
          <cx:pt idx="39">Nx</cx:pt>
          <cx:pt idx="40">Nx</cx:pt>
          <cx:pt idx="41">Nx</cx:pt>
          <cx:pt idx="42">Nx</cx:pt>
          <cx:pt idx="43">Nx</cx:pt>
          <cx:pt idx="44">Nx</cx:pt>
          <cx:pt idx="45">Nx</cx:pt>
          <cx:pt idx="46">Nx</cx:pt>
          <cx:pt idx="47">Nx</cx:pt>
          <cx:pt idx="48">Nx</cx:pt>
          <cx:pt idx="49">Nx</cx:pt>
          <cx:pt idx="50">Nx</cx:pt>
          <cx:pt idx="51">Nx</cx:pt>
          <cx:pt idx="52">Nx</cx:pt>
        </cx:lvl>
      </cx:strDim>
      <cx:numDim type="val">
        <cx:f>'Ящик с усами N РЯ'!$G$2:$G$54</cx:f>
        <cx:lvl ptCount="53" formatCode="0,00">
          <cx:pt idx="0">0.55000000000000004</cx:pt>
          <cx:pt idx="1">0.47999999999999998</cx:pt>
          <cx:pt idx="2">0.39000000000000001</cx:pt>
          <cx:pt idx="3">0.40999999999999998</cx:pt>
          <cx:pt idx="4">0.53000000000000003</cx:pt>
          <cx:pt idx="5">0.46999999999999997</cx:pt>
          <cx:pt idx="6">0.39000000000000001</cx:pt>
          <cx:pt idx="7">0.40000000000000002</cx:pt>
          <cx:pt idx="8">0.14999999999999999</cx:pt>
          <cx:pt idx="9">0.56999999999999995</cx:pt>
          <cx:pt idx="10">0.28999999999999998</cx:pt>
          <cx:pt idx="11">0.53000000000000003</cx:pt>
          <cx:pt idx="12">0.75</cx:pt>
          <cx:pt idx="13">0.91000000000000003</cx:pt>
          <cx:pt idx="14">0.52000000000000002</cx:pt>
          <cx:pt idx="15">1.05</cx:pt>
          <cx:pt idx="16">0.60999999999999999</cx:pt>
          <cx:pt idx="17">0.77000000000000002</cx:pt>
          <cx:pt idx="18">0.51000000000000001</cx:pt>
          <cx:pt idx="19">0.51000000000000001</cx:pt>
          <cx:pt idx="20">0.57999999999999996</cx:pt>
          <cx:pt idx="21">0.32000000000000001</cx:pt>
          <cx:pt idx="22">1.3700000000000001</cx:pt>
          <cx:pt idx="23">0.47999999999999998</cx:pt>
          <cx:pt idx="24">0.53000000000000003</cx:pt>
          <cx:pt idx="25">0.83999999999999997</cx:pt>
          <cx:pt idx="26">0.83999999999999997</cx:pt>
          <cx:pt idx="27">0.78000000000000003</cx:pt>
          <cx:pt idx="28">0.35999999999999999</cx:pt>
          <cx:pt idx="29">0.46000000000000002</cx:pt>
          <cx:pt idx="30">0.44</cx:pt>
          <cx:pt idx="31">0.29999999999999999</cx:pt>
          <cx:pt idx="32">0.52000000000000002</cx:pt>
          <cx:pt idx="33">0.98999999999999999</cx:pt>
          <cx:pt idx="34">0.77000000000000002</cx:pt>
          <cx:pt idx="35">0.48999999999999999</cx:pt>
          <cx:pt idx="36">0.55000000000000004</cx:pt>
          <cx:pt idx="37">0.51000000000000001</cx:pt>
          <cx:pt idx="38">0.66000000000000003</cx:pt>
          <cx:pt idx="39">1.1100000000000001</cx:pt>
          <cx:pt idx="40">0.45000000000000001</cx:pt>
          <cx:pt idx="41">0.96999999999999997</cx:pt>
          <cx:pt idx="42">0.62</cx:pt>
          <cx:pt idx="43">0.76000000000000001</cx:pt>
          <cx:pt idx="44">1.1100000000000001</cx:pt>
          <cx:pt idx="45">0.55000000000000004</cx:pt>
          <cx:pt idx="46">0.98999999999999999</cx:pt>
          <cx:pt idx="47">1.02</cx:pt>
          <cx:pt idx="48">1.1000000000000001</cx:pt>
          <cx:pt idx="49">0.73999999999999999</cx:pt>
          <cx:pt idx="50">0.82999999999999996</cx:pt>
          <cx:pt idx="51">0.83999999999999997</cx:pt>
          <cx:pt idx="52">0.35999999999999999</cx:pt>
        </cx:lvl>
      </cx:numDim>
    </cx:data>
  </cx:chartData>
  <cx:chart>
    <cx:plotArea>
      <cx:plotAreaRegion>
        <cx:series layoutId="boxWhisker" uniqueId="{A93333F0-FD6B-4F2F-AD29-58D4E8FA80A2}">
          <cx:tx>
            <cx:txData>
              <cx:f>'Ящик с усами N РЯ'!$G$1</cx:f>
              <cx:v>RRI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7"/>
            <cx:dataLabelHidden idx="18"/>
            <cx:dataLabelHidden idx="19"/>
            <cx:dataLabelHidden idx="21"/>
            <cx:dataLabelHidden idx="22"/>
            <cx:dataLabelHidden idx="23"/>
            <cx:dataLabelHidden idx="30"/>
            <cx:dataLabelHidden idx="31"/>
            <cx:dataLabelHidden idx="32"/>
            <cx:dataLabelHidden idx="34"/>
            <cx:dataLabelHidden idx="35"/>
            <cx:dataLabelHidden idx="36"/>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17.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N РЯ'!$A$2:$A$54</cx:f>
        <cx:lvl ptCount="53">
          <cx:pt idx="0">N0</cx:pt>
          <cx:pt idx="1">N0</cx:pt>
          <cx:pt idx="2">N0</cx:pt>
          <cx:pt idx="3">N0</cx:pt>
          <cx:pt idx="4">N0</cx:pt>
          <cx:pt idx="5">N0</cx:pt>
          <cx:pt idx="6">N0</cx:pt>
          <cx:pt idx="7">N0</cx:pt>
          <cx:pt idx="8">N0</cx:pt>
          <cx:pt idx="9">N0</cx:pt>
          <cx:pt idx="10">N0</cx:pt>
          <cx:pt idx="11">N0</cx:pt>
          <cx:pt idx="12">N0</cx:pt>
          <cx:pt idx="13">N0</cx:pt>
          <cx:pt idx="14">N0</cx:pt>
          <cx:pt idx="15">N0</cx:pt>
          <cx:pt idx="16">N0</cx:pt>
          <cx:pt idx="17">N0</cx:pt>
          <cx:pt idx="18">N0</cx:pt>
          <cx:pt idx="19">N1</cx:pt>
          <cx:pt idx="20">N1</cx:pt>
          <cx:pt idx="21">N1</cx:pt>
          <cx:pt idx="22">N1</cx:pt>
          <cx:pt idx="23">N1</cx:pt>
          <cx:pt idx="24">N1</cx:pt>
          <cx:pt idx="25">N1</cx:pt>
          <cx:pt idx="26">N1</cx:pt>
          <cx:pt idx="27">N1</cx:pt>
          <cx:pt idx="28">Nx</cx:pt>
          <cx:pt idx="29">Nx</cx:pt>
          <cx:pt idx="30">Nx</cx:pt>
          <cx:pt idx="31">Nx</cx:pt>
          <cx:pt idx="32">Nx</cx:pt>
          <cx:pt idx="33">Nx</cx:pt>
          <cx:pt idx="34">Nx</cx:pt>
          <cx:pt idx="35">Nx</cx:pt>
          <cx:pt idx="36">Nx</cx:pt>
          <cx:pt idx="37">Nx</cx:pt>
          <cx:pt idx="38">Nx</cx:pt>
          <cx:pt idx="39">Nx</cx:pt>
          <cx:pt idx="40">Nx</cx:pt>
          <cx:pt idx="41">Nx</cx:pt>
          <cx:pt idx="42">Nx</cx:pt>
          <cx:pt idx="43">Nx</cx:pt>
          <cx:pt idx="44">Nx</cx:pt>
          <cx:pt idx="45">Nx</cx:pt>
          <cx:pt idx="46">Nx</cx:pt>
          <cx:pt idx="47">Nx</cx:pt>
          <cx:pt idx="48">Nx</cx:pt>
          <cx:pt idx="49">Nx</cx:pt>
          <cx:pt idx="50">Nx</cx:pt>
          <cx:pt idx="51">Nx</cx:pt>
          <cx:pt idx="52">Nx</cx:pt>
        </cx:lvl>
      </cx:strDim>
      <cx:numDim type="val">
        <cx:f>'Ящик с усами N РЯ'!$H$2:$H$54</cx:f>
        <cx:lvl ptCount="53" formatCode="0,00">
          <cx:pt idx="0">1.3100000000000001</cx:pt>
          <cx:pt idx="1">0.69999999999999996</cx:pt>
          <cx:pt idx="2">0.5</cx:pt>
          <cx:pt idx="3">0.73999999999999999</cx:pt>
          <cx:pt idx="4">0.78000000000000003</cx:pt>
          <cx:pt idx="5">0.68999999999999995</cx:pt>
          <cx:pt idx="6">0.81999999999999995</cx:pt>
          <cx:pt idx="7">0.55000000000000004</cx:pt>
          <cx:pt idx="8">0.42999999999999999</cx:pt>
          <cx:pt idx="9">1.0900000000000001</cx:pt>
          <cx:pt idx="10">0.65000000000000002</cx:pt>
          <cx:pt idx="11">0.78000000000000003</cx:pt>
          <cx:pt idx="12">0.92000000000000004</cx:pt>
          <cx:pt idx="13">0.92000000000000004</cx:pt>
          <cx:pt idx="14">0.84999999999999998</cx:pt>
          <cx:pt idx="15">0.98999999999999999</cx:pt>
          <cx:pt idx="16">0.71999999999999997</cx:pt>
          <cx:pt idx="17">1.6299999999999999</cx:pt>
          <cx:pt idx="18">0.40999999999999998</cx:pt>
          <cx:pt idx="19">1.02</cx:pt>
          <cx:pt idx="20">0.76000000000000001</cx:pt>
          <cx:pt idx="21">0.5</cx:pt>
          <cx:pt idx="22">1.52</cx:pt>
          <cx:pt idx="23">0.70999999999999996</cx:pt>
          <cx:pt idx="24">0.92000000000000004</cx:pt>
          <cx:pt idx="25">1.95</cx:pt>
          <cx:pt idx="26">0.88</cx:pt>
          <cx:pt idx="27">1.54</cx:pt>
          <cx:pt idx="28">0.68999999999999995</cx:pt>
          <cx:pt idx="29">0.82999999999999996</cx:pt>
          <cx:pt idx="30">0.63</cx:pt>
          <cx:pt idx="31">0.88</cx:pt>
          <cx:pt idx="32">0.68999999999999995</cx:pt>
          <cx:pt idx="33">1</cx:pt>
          <cx:pt idx="34">0.68000000000000005</cx:pt>
          <cx:pt idx="35">0.77000000000000002</cx:pt>
          <cx:pt idx="36">0.46000000000000002</cx:pt>
          <cx:pt idx="37">0.68000000000000005</cx:pt>
          <cx:pt idx="38">1.04</cx:pt>
          <cx:pt idx="39">1.8700000000000001</cx:pt>
          <cx:pt idx="40">0.53000000000000003</cx:pt>
          <cx:pt idx="41">1.1299999999999999</cx:pt>
          <cx:pt idx="42">1.0600000000000001</cx:pt>
          <cx:pt idx="43">1</cx:pt>
          <cx:pt idx="44">1.5</cx:pt>
          <cx:pt idx="45">1.3799999999999999</cx:pt>
          <cx:pt idx="46">1.22</cx:pt>
          <cx:pt idx="47">0.81999999999999995</cx:pt>
          <cx:pt idx="48">1.45</cx:pt>
          <cx:pt idx="49">1.02</cx:pt>
          <cx:pt idx="50">1.21</cx:pt>
          <cx:pt idx="51">1.1799999999999999</cx:pt>
          <cx:pt idx="52">0.37</cx:pt>
        </cx:lvl>
      </cx:numDim>
    </cx:data>
  </cx:chartData>
  <cx:chart>
    <cx:plotArea>
      <cx:plotAreaRegion>
        <cx:series layoutId="boxWhisker" uniqueId="{24E74A39-D08E-4739-9EF6-626373081F77}">
          <cx:tx>
            <cx:txData>
              <cx:f>'Ящик с усами N РЯ'!$H$1</cx:f>
              <cx:v>RP</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7"/>
            <cx:dataLabelHidden idx="18"/>
            <cx:dataLabelHidden idx="19"/>
            <cx:dataLabelHidden idx="21"/>
            <cx:dataLabelHidden idx="22"/>
            <cx:dataLabelHidden idx="23"/>
            <cx:dataLabelHidden idx="31"/>
            <cx:dataLabelHidden idx="32"/>
            <cx:dataLabelHidden idx="34"/>
            <cx:dataLabelHidden idx="35"/>
            <cx:dataLabelHidden idx="36"/>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18.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N РЯ'!$A$2:$A$54</cx:f>
        <cx:lvl ptCount="53">
          <cx:pt idx="0">N0</cx:pt>
          <cx:pt idx="1">N0</cx:pt>
          <cx:pt idx="2">N0</cx:pt>
          <cx:pt idx="3">N0</cx:pt>
          <cx:pt idx="4">N0</cx:pt>
          <cx:pt idx="5">N0</cx:pt>
          <cx:pt idx="6">N0</cx:pt>
          <cx:pt idx="7">N0</cx:pt>
          <cx:pt idx="8">N0</cx:pt>
          <cx:pt idx="9">N0</cx:pt>
          <cx:pt idx="10">N0</cx:pt>
          <cx:pt idx="11">N0</cx:pt>
          <cx:pt idx="12">N0</cx:pt>
          <cx:pt idx="13">N0</cx:pt>
          <cx:pt idx="14">N0</cx:pt>
          <cx:pt idx="15">N0</cx:pt>
          <cx:pt idx="16">N0</cx:pt>
          <cx:pt idx="17">N0</cx:pt>
          <cx:pt idx="18">N0</cx:pt>
          <cx:pt idx="19">N1</cx:pt>
          <cx:pt idx="20">N1</cx:pt>
          <cx:pt idx="21">N1</cx:pt>
          <cx:pt idx="22">N1</cx:pt>
          <cx:pt idx="23">N1</cx:pt>
          <cx:pt idx="24">N1</cx:pt>
          <cx:pt idx="25">N1</cx:pt>
          <cx:pt idx="26">N1</cx:pt>
          <cx:pt idx="27">N1</cx:pt>
          <cx:pt idx="28">Nx</cx:pt>
          <cx:pt idx="29">Nx</cx:pt>
          <cx:pt idx="30">Nx</cx:pt>
          <cx:pt idx="31">Nx</cx:pt>
          <cx:pt idx="32">Nx</cx:pt>
          <cx:pt idx="33">Nx</cx:pt>
          <cx:pt idx="34">Nx</cx:pt>
          <cx:pt idx="35">Nx</cx:pt>
          <cx:pt idx="36">Nx</cx:pt>
          <cx:pt idx="37">Nx</cx:pt>
          <cx:pt idx="38">Nx</cx:pt>
          <cx:pt idx="39">Nx</cx:pt>
          <cx:pt idx="40">Nx</cx:pt>
          <cx:pt idx="41">Nx</cx:pt>
          <cx:pt idx="42">Nx</cx:pt>
          <cx:pt idx="43">Nx</cx:pt>
          <cx:pt idx="44">Nx</cx:pt>
          <cx:pt idx="45">Nx</cx:pt>
          <cx:pt idx="46">Nx</cx:pt>
          <cx:pt idx="47">Nx</cx:pt>
          <cx:pt idx="48">Nx</cx:pt>
          <cx:pt idx="49">Nx</cx:pt>
          <cx:pt idx="50">Nx</cx:pt>
          <cx:pt idx="51">Nx</cx:pt>
          <cx:pt idx="52">Nx</cx:pt>
        </cx:lvl>
      </cx:strDim>
      <cx:numDim type="val">
        <cx:f>'Ящик с усами N РЯ'!$I$2:$I$54</cx:f>
        <cx:lvl ptCount="53" formatCode="0,00">
          <cx:pt idx="0">0.57999999999999996</cx:pt>
          <cx:pt idx="1">0.56999999999999995</cx:pt>
          <cx:pt idx="2">0.44</cx:pt>
          <cx:pt idx="3">0.38</cx:pt>
          <cx:pt idx="4">0.40000000000000002</cx:pt>
          <cx:pt idx="5">0.45000000000000001</cx:pt>
          <cx:pt idx="6">0.52000000000000002</cx:pt>
          <cx:pt idx="7">0.32000000000000001</cx:pt>
          <cx:pt idx="8">0.31</cx:pt>
          <cx:pt idx="9">0.80000000000000004</cx:pt>
          <cx:pt idx="10">0.39000000000000001</cx:pt>
          <cx:pt idx="11">0.44</cx:pt>
          <cx:pt idx="12">1.1299999999999999</cx:pt>
          <cx:pt idx="13">0.96999999999999997</cx:pt>
          <cx:pt idx="14">0.53000000000000003</cx:pt>
          <cx:pt idx="15">0.88</cx:pt>
          <cx:pt idx="16">0.60999999999999999</cx:pt>
          <cx:pt idx="17">1.1499999999999999</cx:pt>
          <cx:pt idx="18">0.56000000000000005</cx:pt>
          <cx:pt idx="19">0.69999999999999996</cx:pt>
          <cx:pt idx="20">0.56000000000000005</cx:pt>
          <cx:pt idx="21">0.41999999999999998</cx:pt>
          <cx:pt idx="22">1.01</cx:pt>
          <cx:pt idx="23">0.40999999999999998</cx:pt>
          <cx:pt idx="24">0.54000000000000004</cx:pt>
          <cx:pt idx="25">1.04</cx:pt>
          <cx:pt idx="26">0.51000000000000001</cx:pt>
          <cx:pt idx="27">0.69999999999999996</cx:pt>
          <cx:pt idx="28">0.34999999999999998</cx:pt>
          <cx:pt idx="29">0.53000000000000003</cx:pt>
          <cx:pt idx="30">0.34000000000000002</cx:pt>
          <cx:pt idx="31">0.38</cx:pt>
          <cx:pt idx="32">0.46999999999999997</cx:pt>
          <cx:pt idx="33">0.92000000000000004</cx:pt>
          <cx:pt idx="34">0.58999999999999997</cx:pt>
          <cx:pt idx="35">0.42999999999999999</cx:pt>
          <cx:pt idx="36">0.51000000000000001</cx:pt>
          <cx:pt idx="37">0.51000000000000001</cx:pt>
          <cx:pt idx="38">0.53000000000000003</cx:pt>
          <cx:pt idx="39">1.48</cx:pt>
          <cx:pt idx="40">0.59999999999999998</cx:pt>
          <cx:pt idx="41">1.3700000000000001</cx:pt>
          <cx:pt idx="42">0.59999999999999998</cx:pt>
          <cx:pt idx="43">0.68000000000000005</cx:pt>
          <cx:pt idx="44">0.98999999999999999</cx:pt>
          <cx:pt idx="45">0.62</cx:pt>
          <cx:pt idx="46">1.4099999999999999</cx:pt>
          <cx:pt idx="47">0.78000000000000003</cx:pt>
          <cx:pt idx="48">1.47</cx:pt>
          <cx:pt idx="49">0.59999999999999998</cx:pt>
          <cx:pt idx="50">0.67000000000000004</cx:pt>
          <cx:pt idx="51">1.1599999999999999</cx:pt>
          <cx:pt idx="52">0.44</cx:pt>
        </cx:lvl>
      </cx:numDim>
    </cx:data>
  </cx:chartData>
  <cx:chart>
    <cx:plotArea>
      <cx:plotAreaRegion>
        <cx:series layoutId="boxWhisker" uniqueId="{C2046D29-7D2D-4C91-ACD4-82B56B2F94E5}">
          <cx:tx>
            <cx:txData>
              <cx:f>'Ящик с усами N РЯ'!$I$1</cx:f>
              <cx:v>RLI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8"/>
            <cx:dataLabelHidden idx="19"/>
            <cx:dataLabelHidden idx="21"/>
            <cx:dataLabelHidden idx="22"/>
            <cx:dataLabelHidden idx="23"/>
            <cx:dataLabelHidden idx="31"/>
            <cx:dataLabelHidden idx="32"/>
            <cx:dataLabelHidden idx="34"/>
            <cx:dataLabelHidden idx="35"/>
            <cx:dataLabelHidden idx="36"/>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19.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N РЯ'!$A$2:$A$54</cx:f>
        <cx:lvl ptCount="53">
          <cx:pt idx="0">N0</cx:pt>
          <cx:pt idx="1">N0</cx:pt>
          <cx:pt idx="2">N0</cx:pt>
          <cx:pt idx="3">N0</cx:pt>
          <cx:pt idx="4">N0</cx:pt>
          <cx:pt idx="5">N0</cx:pt>
          <cx:pt idx="6">N0</cx:pt>
          <cx:pt idx="7">N0</cx:pt>
          <cx:pt idx="8">N0</cx:pt>
          <cx:pt idx="9">N0</cx:pt>
          <cx:pt idx="10">N0</cx:pt>
          <cx:pt idx="11">N0</cx:pt>
          <cx:pt idx="12">N0</cx:pt>
          <cx:pt idx="13">N0</cx:pt>
          <cx:pt idx="14">N0</cx:pt>
          <cx:pt idx="15">N0</cx:pt>
          <cx:pt idx="16">N0</cx:pt>
          <cx:pt idx="17">N0</cx:pt>
          <cx:pt idx="18">N0</cx:pt>
          <cx:pt idx="19">N1</cx:pt>
          <cx:pt idx="20">N1</cx:pt>
          <cx:pt idx="21">N1</cx:pt>
          <cx:pt idx="22">N1</cx:pt>
          <cx:pt idx="23">N1</cx:pt>
          <cx:pt idx="24">N1</cx:pt>
          <cx:pt idx="25">N1</cx:pt>
          <cx:pt idx="26">N1</cx:pt>
          <cx:pt idx="27">N1</cx:pt>
          <cx:pt idx="28">Nx</cx:pt>
          <cx:pt idx="29">Nx</cx:pt>
          <cx:pt idx="30">Nx</cx:pt>
          <cx:pt idx="31">Nx</cx:pt>
          <cx:pt idx="32">Nx</cx:pt>
          <cx:pt idx="33">Nx</cx:pt>
          <cx:pt idx="34">Nx</cx:pt>
          <cx:pt idx="35">Nx</cx:pt>
          <cx:pt idx="36">Nx</cx:pt>
          <cx:pt idx="37">Nx</cx:pt>
          <cx:pt idx="38">Nx</cx:pt>
          <cx:pt idx="39">Nx</cx:pt>
          <cx:pt idx="40">Nx</cx:pt>
          <cx:pt idx="41">Nx</cx:pt>
          <cx:pt idx="42">Nx</cx:pt>
          <cx:pt idx="43">Nx</cx:pt>
          <cx:pt idx="44">Nx</cx:pt>
          <cx:pt idx="45">Nx</cx:pt>
          <cx:pt idx="46">Nx</cx:pt>
          <cx:pt idx="47">Nx</cx:pt>
          <cx:pt idx="48">Nx</cx:pt>
          <cx:pt idx="49">Nx</cx:pt>
          <cx:pt idx="50">Nx</cx:pt>
          <cx:pt idx="51">Nx</cx:pt>
          <cx:pt idx="52">Nx</cx:pt>
        </cx:lvl>
      </cx:strDim>
      <cx:numDim type="val">
        <cx:f>'Ящик с усами N РЯ'!$J$2:$J$54</cx:f>
        <cx:lvl ptCount="53" formatCode="0,00">
          <cx:pt idx="0">0.93999999999999995</cx:pt>
          <cx:pt idx="1">0.95999999999999996</cx:pt>
          <cx:pt idx="2">0.73999999999999999</cx:pt>
          <cx:pt idx="3">0.5</cx:pt>
          <cx:pt idx="4">0.64000000000000001</cx:pt>
          <cx:pt idx="5">0.53000000000000003</cx:pt>
          <cx:pt idx="6">0.59999999999999998</cx:pt>
          <cx:pt idx="7">0.58999999999999997</cx:pt>
          <cx:pt idx="8">0.39000000000000001</cx:pt>
          <cx:pt idx="9">1.23</cx:pt>
          <cx:pt idx="10">0.38</cx:pt>
          <cx:pt idx="11">0.94999999999999996</cx:pt>
          <cx:pt idx="12">1.01</cx:pt>
          <cx:pt idx="13">0.98999999999999999</cx:pt>
          <cx:pt idx="14">0.77000000000000002</cx:pt>
          <cx:pt idx="15">1.0600000000000001</cx:pt>
          <cx:pt idx="16">0.81999999999999995</cx:pt>
          <cx:pt idx="17">1.4199999999999999</cx:pt>
          <cx:pt idx="18">0.67000000000000004</cx:pt>
          <cx:pt idx="19">1.1699999999999999</cx:pt>
          <cx:pt idx="20">0.68000000000000005</cx:pt>
          <cx:pt idx="21">0.90000000000000002</cx:pt>
          <cx:pt idx="22">1.55</cx:pt>
          <cx:pt idx="23">0.63</cx:pt>
          <cx:pt idx="24">1.75</cx:pt>
          <cx:pt idx="25">1.3600000000000001</cx:pt>
          <cx:pt idx="26">0.97999999999999998</cx:pt>
          <cx:pt idx="27">1.45</cx:pt>
          <cx:pt idx="28">0.57999999999999996</cx:pt>
          <cx:pt idx="29">0.46000000000000002</cx:pt>
          <cx:pt idx="30">0.66000000000000003</cx:pt>
          <cx:pt idx="31">0.78000000000000003</cx:pt>
          <cx:pt idx="32">0.63</cx:pt>
          <cx:pt idx="33">0.94999999999999996</cx:pt>
          <cx:pt idx="34">0.68000000000000005</cx:pt>
          <cx:pt idx="35">0.83999999999999997</cx:pt>
          <cx:pt idx="36">0.67000000000000004</cx:pt>
          <cx:pt idx="37">0.85999999999999999</cx:pt>
          <cx:pt idx="38">0.65000000000000002</cx:pt>
          <cx:pt idx="39">1.3999999999999999</cx:pt>
          <cx:pt idx="40">0.70999999999999996</cx:pt>
          <cx:pt idx="41">1.0700000000000001</cx:pt>
          <cx:pt idx="42">0.89000000000000001</cx:pt>
          <cx:pt idx="43">0.97999999999999998</cx:pt>
          <cx:pt idx="44">1.6000000000000001</cx:pt>
          <cx:pt idx="45">1.4299999999999999</cx:pt>
          <cx:pt idx="46">1.3100000000000001</cx:pt>
          <cx:pt idx="47">0.91000000000000003</cx:pt>
          <cx:pt idx="48">1.4299999999999999</cx:pt>
          <cx:pt idx="49">0.79000000000000004</cx:pt>
          <cx:pt idx="50">1.4299999999999999</cx:pt>
          <cx:pt idx="51">1.3600000000000001</cx:pt>
          <cx:pt idx="52">0.55000000000000004</cx:pt>
        </cx:lvl>
      </cx:numDim>
    </cx:data>
  </cx:chartData>
  <cx:chart>
    <cx:plotArea>
      <cx:plotAreaRegion>
        <cx:series layoutId="boxWhisker" uniqueId="{C4B74C40-B9D4-4507-A025-1653FF91C435}">
          <cx:tx>
            <cx:txData>
              <cx:f>'Ящик с усами N РЯ'!$J$1</cx:f>
              <cx:v>P</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8"/>
            <cx:dataLabelHidden idx="19"/>
            <cx:dataLabelHidden idx="21"/>
            <cx:dataLabelHidden idx="22"/>
            <cx:dataLabelHidden idx="23"/>
            <cx:dataLabelHidden idx="31"/>
            <cx:dataLabelHidden idx="32"/>
            <cx:dataLabelHidden idx="34"/>
            <cx:dataLabelHidden idx="35"/>
            <cx:dataLabelHidden idx="36"/>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max="1.6000000000000001"/>
        <cx:title>
          <cx:tx>
            <cx:rich>
              <a:bodyPr vertOverflow="overflow" horzOverflow="overflow" wrap="square" lIns="0" tIns="0" rIns="0" bIns="0"/>
              <a:lstStyle/>
              <a:p>
                <a:pPr algn="ctr" rtl="0">
                  <a:defRPr sz="12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chart>
</cx:chartSpace>
</file>

<file path=word/charts/chartEx2.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T РЯ'!$A$2:$A$54</cx:f>
        <cx:lvl ptCount="53">
          <cx:pt idx="0">T1</cx:pt>
          <cx:pt idx="1">T1</cx:pt>
          <cx:pt idx="2">T1</cx:pt>
          <cx:pt idx="3">T1</cx:pt>
          <cx:pt idx="4">T1</cx:pt>
          <cx:pt idx="5">T1</cx:pt>
          <cx:pt idx="6">T1</cx:pt>
          <cx:pt idx="7">T1</cx:pt>
          <cx:pt idx="8">T2</cx:pt>
          <cx:pt idx="9">T2</cx:pt>
          <cx:pt idx="10">T2</cx:pt>
          <cx:pt idx="11">T2</cx:pt>
          <cx:pt idx="12">T2</cx:pt>
          <cx:pt idx="13">T2</cx:pt>
          <cx:pt idx="14">T2</cx:pt>
          <cx:pt idx="15">T2</cx:pt>
          <cx:pt idx="16">T2</cx:pt>
          <cx:pt idx="17">T2</cx:pt>
          <cx:pt idx="18">T2</cx:pt>
          <cx:pt idx="19">T2</cx:pt>
          <cx:pt idx="20">T2</cx:pt>
          <cx:pt idx="21">T2</cx:pt>
          <cx:pt idx="22">T2</cx:pt>
          <cx:pt idx="23">T3</cx:pt>
          <cx:pt idx="24">T3</cx:pt>
          <cx:pt idx="25">T3</cx:pt>
          <cx:pt idx="26">T3</cx:pt>
          <cx:pt idx="27">T3</cx:pt>
          <cx:pt idx="28">T3</cx:pt>
          <cx:pt idx="29">T3</cx:pt>
          <cx:pt idx="30">T3</cx:pt>
          <cx:pt idx="31">T3</cx:pt>
          <cx:pt idx="32">T3</cx:pt>
          <cx:pt idx="33">T3</cx:pt>
          <cx:pt idx="34">T3</cx:pt>
          <cx:pt idx="35">T3</cx:pt>
          <cx:pt idx="36">T3</cx:pt>
          <cx:pt idx="37">T3</cx:pt>
          <cx:pt idx="38">T3</cx:pt>
          <cx:pt idx="39">T3</cx:pt>
          <cx:pt idx="40">T3</cx:pt>
          <cx:pt idx="41">T3</cx:pt>
          <cx:pt idx="42">T3</cx:pt>
          <cx:pt idx="43">T3</cx:pt>
          <cx:pt idx="44">T3</cx:pt>
          <cx:pt idx="45">T3</cx:pt>
          <cx:pt idx="46">T3</cx:pt>
          <cx:pt idx="47">T3</cx:pt>
          <cx:pt idx="48">T3</cx:pt>
          <cx:pt idx="49">T3</cx:pt>
          <cx:pt idx="50">T3</cx:pt>
          <cx:pt idx="51">T4</cx:pt>
          <cx:pt idx="52">T4</cx:pt>
        </cx:lvl>
      </cx:strDim>
      <cx:numDim type="val">
        <cx:f>'Ящик с усами T РЯ'!$B$2:$B$54</cx:f>
        <cx:lvl ptCount="53" formatCode="0,00">
          <cx:pt idx="0">0.62</cx:pt>
          <cx:pt idx="1">0.65000000000000002</cx:pt>
          <cx:pt idx="2">0.60999999999999999</cx:pt>
          <cx:pt idx="3">0.40000000000000002</cx:pt>
          <cx:pt idx="4">1.02</cx:pt>
          <cx:pt idx="5">0.93999999999999995</cx:pt>
          <cx:pt idx="6">1.8300000000000001</cx:pt>
          <cx:pt idx="7">2.1000000000000001</cx:pt>
          <cx:pt idx="8">0.47999999999999998</cx:pt>
          <cx:pt idx="9">0.81000000000000005</cx:pt>
          <cx:pt idx="10">0.42999999999999999</cx:pt>
          <cx:pt idx="11">0.60999999999999999</cx:pt>
          <cx:pt idx="12">0.79000000000000004</cx:pt>
          <cx:pt idx="13">0.44</cx:pt>
          <cx:pt idx="14">0.83999999999999997</cx:pt>
          <cx:pt idx="15">0.5</cx:pt>
          <cx:pt idx="16">1.52</cx:pt>
          <cx:pt idx="17">0.54000000000000004</cx:pt>
          <cx:pt idx="18">1.9399999999999999</cx:pt>
          <cx:pt idx="19">0.77000000000000002</cx:pt>
          <cx:pt idx="20">1.1100000000000001</cx:pt>
          <cx:pt idx="21">1.96</cx:pt>
          <cx:pt idx="22">0.97999999999999998</cx:pt>
          <cx:pt idx="23">0.87</cx:pt>
          <cx:pt idx="24">1.26</cx:pt>
          <cx:pt idx="25">0.53000000000000003</cx:pt>
          <cx:pt idx="26">0.78000000000000003</cx:pt>
          <cx:pt idx="27">0.83999999999999997</cx:pt>
          <cx:pt idx="28">0.57999999999999996</cx:pt>
          <cx:pt idx="29">0.65000000000000002</cx:pt>
          <cx:pt idx="30">0.56000000000000005</cx:pt>
          <cx:pt idx="31">1.46</cx:pt>
          <cx:pt idx="32">0.65000000000000002</cx:pt>
          <cx:pt idx="33">1.29</cx:pt>
          <cx:pt idx="34">0.46000000000000002</cx:pt>
          <cx:pt idx="35">0.19</cx:pt>
          <cx:pt idx="36">0.69999999999999996</cx:pt>
          <cx:pt idx="37">1.1100000000000001</cx:pt>
          <cx:pt idx="38">1.3</cx:pt>
          <cx:pt idx="39">1.05</cx:pt>
          <cx:pt idx="40">1.5</cx:pt>
          <cx:pt idx="41">0.68999999999999995</cx:pt>
          <cx:pt idx="42">1.28</cx:pt>
          <cx:pt idx="43">1.3999999999999999</cx:pt>
          <cx:pt idx="44">0.82999999999999996</cx:pt>
          <cx:pt idx="45">0.72999999999999998</cx:pt>
          <cx:pt idx="46">2.1200000000000001</cx:pt>
          <cx:pt idx="47">1.0600000000000001</cx:pt>
          <cx:pt idx="48">0.68000000000000005</cx:pt>
          <cx:pt idx="49">1.3600000000000001</cx:pt>
          <cx:pt idx="50">0.59999999999999998</cx:pt>
          <cx:pt idx="51">1.45</cx:pt>
          <cx:pt idx="52">0.75</cx:pt>
        </cx:lvl>
      </cx:numDim>
    </cx:data>
  </cx:chartData>
  <cx:chart>
    <cx:plotArea>
      <cx:plotAreaRegion>
        <cx:series layoutId="boxWhisker" uniqueId="{DB7602BD-7F21-4313-BC1B-4C3767B019A1}">
          <cx:tx>
            <cx:txData>
              <cx:f>'Ящик с усами T РЯ'!$B$1</cx:f>
              <cx:v>RE</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7"/>
            <cx:dataLabelHidden idx="8"/>
            <cx:dataLabelHidden idx="10"/>
            <cx:dataLabelHidden idx="11"/>
            <cx:dataLabelHidden idx="12"/>
            <cx:dataLabelHidden idx="26"/>
            <cx:dataLabelHidden idx="27"/>
            <cx:dataLabelHidden idx="29"/>
            <cx:dataLabelHidden idx="30"/>
            <cx:dataLabelHidden idx="31"/>
            <cx:dataLabelHidden idx="58"/>
            <cx:dataLabelHidden idx="59"/>
            <cx:dataLabelHidden idx="61"/>
            <cx:dataLabelHidden idx="62"/>
            <cx:dataLabelHidden idx="63"/>
            <cx:dataLabelHidden idx="64"/>
            <cx:dataLabelHidden idx="65"/>
            <cx:dataLabelHidden idx="67"/>
            <cx:dataLabelHidden idx="68"/>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i="0">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20.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FIGO РЯ'!$A$2:$A$54</cx:f>
        <cx:lvl ptCount="53">
          <cx:pt idx="0">I</cx:pt>
          <cx:pt idx="1">I</cx:pt>
          <cx:pt idx="2">I</cx:pt>
          <cx:pt idx="3">I</cx:pt>
          <cx:pt idx="4">I</cx:pt>
          <cx:pt idx="5">I</cx:pt>
          <cx:pt idx="6">I</cx:pt>
          <cx:pt idx="7">I</cx:pt>
          <cx:pt idx="8">II</cx:pt>
          <cx:pt idx="9">II</cx:pt>
          <cx:pt idx="10">II</cx:pt>
          <cx:pt idx="11">II</cx:pt>
          <cx:pt idx="12">II</cx:pt>
          <cx:pt idx="13">II</cx:pt>
          <cx:pt idx="14">II</cx:pt>
          <cx:pt idx="15">II</cx:pt>
          <cx:pt idx="16">II</cx:pt>
          <cx:pt idx="17">II</cx:pt>
          <cx:pt idx="18">II</cx:pt>
          <cx:pt idx="19">II</cx:pt>
          <cx:pt idx="20">II</cx:pt>
          <cx:pt idx="21">III</cx:pt>
          <cx:pt idx="22">III</cx:pt>
          <cx:pt idx="23">III</cx:pt>
          <cx:pt idx="24">III</cx:pt>
          <cx:pt idx="25">III</cx:pt>
          <cx:pt idx="26">III</cx:pt>
          <cx:pt idx="27">III</cx:pt>
          <cx:pt idx="28">III</cx:pt>
          <cx:pt idx="29">III</cx:pt>
          <cx:pt idx="30">III</cx:pt>
          <cx:pt idx="31">III</cx:pt>
          <cx:pt idx="32">III</cx:pt>
          <cx:pt idx="33">III</cx:pt>
          <cx:pt idx="34">III</cx:pt>
          <cx:pt idx="35">III</cx:pt>
          <cx:pt idx="36">III</cx:pt>
          <cx:pt idx="37">III</cx:pt>
          <cx:pt idx="38">III</cx:pt>
          <cx:pt idx="39">III</cx:pt>
          <cx:pt idx="40">III</cx:pt>
          <cx:pt idx="41">III</cx:pt>
          <cx:pt idx="42">III</cx:pt>
          <cx:pt idx="43">III</cx:pt>
          <cx:pt idx="44">III</cx:pt>
          <cx:pt idx="45">III</cx:pt>
          <cx:pt idx="46">III</cx:pt>
          <cx:pt idx="47">III</cx:pt>
          <cx:pt idx="48">III</cx:pt>
          <cx:pt idx="49">III</cx:pt>
          <cx:pt idx="50">III</cx:pt>
          <cx:pt idx="51">III</cx:pt>
          <cx:pt idx="52">III</cx:pt>
        </cx:lvl>
      </cx:strDim>
      <cx:numDim type="val">
        <cx:f>'Ящик с усами FIGO РЯ'!$B$2:$B$54</cx:f>
        <cx:lvl ptCount="53" formatCode="0,00">
          <cx:pt idx="0">0.62</cx:pt>
          <cx:pt idx="1">0.65000000000000002</cx:pt>
          <cx:pt idx="2">0.60999999999999999</cx:pt>
          <cx:pt idx="3">0.40000000000000002</cx:pt>
          <cx:pt idx="4">1.02</cx:pt>
          <cx:pt idx="5">0.93999999999999995</cx:pt>
          <cx:pt idx="6">1.8300000000000001</cx:pt>
          <cx:pt idx="7">2.1000000000000001</cx:pt>
          <cx:pt idx="8">0.47999999999999998</cx:pt>
          <cx:pt idx="9">0.81000000000000005</cx:pt>
          <cx:pt idx="10">0.42999999999999999</cx:pt>
          <cx:pt idx="11">0.60999999999999999</cx:pt>
          <cx:pt idx="12">0.79000000000000004</cx:pt>
          <cx:pt idx="13">0.44</cx:pt>
          <cx:pt idx="14">0.83999999999999997</cx:pt>
          <cx:pt idx="15">0.5</cx:pt>
          <cx:pt idx="16">1.52</cx:pt>
          <cx:pt idx="17">0.54000000000000004</cx:pt>
          <cx:pt idx="18">0.77000000000000002</cx:pt>
          <cx:pt idx="19">1.1100000000000001</cx:pt>
          <cx:pt idx="20">0.97999999999999998</cx:pt>
          <cx:pt idx="21">0.87</cx:pt>
          <cx:pt idx="22">1.26</cx:pt>
          <cx:pt idx="23">0.53000000000000003</cx:pt>
          <cx:pt idx="24">0.78000000000000003</cx:pt>
          <cx:pt idx="25">0.83999999999999997</cx:pt>
          <cx:pt idx="26">0.57999999999999996</cx:pt>
          <cx:pt idx="27">0.65000000000000002</cx:pt>
          <cx:pt idx="28">0.56000000000000005</cx:pt>
          <cx:pt idx="29">1.46</cx:pt>
          <cx:pt idx="30">0.65000000000000002</cx:pt>
          <cx:pt idx="31">1.29</cx:pt>
          <cx:pt idx="32">0.46000000000000002</cx:pt>
          <cx:pt idx="33">0.19</cx:pt>
          <cx:pt idx="34">1.9399999999999999</cx:pt>
          <cx:pt idx="35">0.69999999999999996</cx:pt>
          <cx:pt idx="36">1.1100000000000001</cx:pt>
          <cx:pt idx="37">1.45</cx:pt>
          <cx:pt idx="38">1.3</cx:pt>
          <cx:pt idx="39">1.05</cx:pt>
          <cx:pt idx="40">0.75</cx:pt>
          <cx:pt idx="41">1.5</cx:pt>
          <cx:pt idx="42">0.68999999999999995</cx:pt>
          <cx:pt idx="43">1.28</cx:pt>
          <cx:pt idx="44">1.3999999999999999</cx:pt>
          <cx:pt idx="45">0.82999999999999996</cx:pt>
          <cx:pt idx="46">1.96</cx:pt>
          <cx:pt idx="47">0.72999999999999998</cx:pt>
          <cx:pt idx="48">2.1200000000000001</cx:pt>
          <cx:pt idx="49">1.0600000000000001</cx:pt>
          <cx:pt idx="50">0.68000000000000005</cx:pt>
          <cx:pt idx="51">1.3600000000000001</cx:pt>
          <cx:pt idx="52">0.59999999999999998</cx:pt>
        </cx:lvl>
      </cx:numDim>
    </cx:data>
  </cx:chartData>
  <cx:chart>
    <cx:plotArea>
      <cx:plotAreaRegion>
        <cx:series layoutId="boxWhisker" uniqueId="{E8FEDDD0-0B4F-4DE7-9C6E-1E34E9CDA332}">
          <cx:tx>
            <cx:txData>
              <cx:f>'Ящик с усами FIGO РЯ'!$B$1</cx:f>
              <cx:v>RE</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7"/>
            <cx:dataLabelHidden idx="8"/>
            <cx:dataLabelHidden idx="10"/>
            <cx:dataLabelHidden idx="11"/>
            <cx:dataLabelHidden idx="12"/>
            <cx:dataLabelHidden idx="24"/>
            <cx:dataLabelHidden idx="25"/>
            <cx:dataLabelHidden idx="27"/>
            <cx:dataLabelHidden idx="28"/>
            <cx:dataLabelHidden idx="29"/>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max="2.3999999999999999"/>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2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FIGO РЯ'!$A$2:$A$54</cx:f>
        <cx:lvl ptCount="53">
          <cx:pt idx="0">I</cx:pt>
          <cx:pt idx="1">I</cx:pt>
          <cx:pt idx="2">I</cx:pt>
          <cx:pt idx="3">I</cx:pt>
          <cx:pt idx="4">I</cx:pt>
          <cx:pt idx="5">I</cx:pt>
          <cx:pt idx="6">I</cx:pt>
          <cx:pt idx="7">I</cx:pt>
          <cx:pt idx="8">II</cx:pt>
          <cx:pt idx="9">II</cx:pt>
          <cx:pt idx="10">II</cx:pt>
          <cx:pt idx="11">II</cx:pt>
          <cx:pt idx="12">II</cx:pt>
          <cx:pt idx="13">II</cx:pt>
          <cx:pt idx="14">II</cx:pt>
          <cx:pt idx="15">II</cx:pt>
          <cx:pt idx="16">II</cx:pt>
          <cx:pt idx="17">II</cx:pt>
          <cx:pt idx="18">II</cx:pt>
          <cx:pt idx="19">II</cx:pt>
          <cx:pt idx="20">II</cx:pt>
          <cx:pt idx="21">III</cx:pt>
          <cx:pt idx="22">III</cx:pt>
          <cx:pt idx="23">III</cx:pt>
          <cx:pt idx="24">III</cx:pt>
          <cx:pt idx="25">III</cx:pt>
          <cx:pt idx="26">III</cx:pt>
          <cx:pt idx="27">III</cx:pt>
          <cx:pt idx="28">III</cx:pt>
          <cx:pt idx="29">III</cx:pt>
          <cx:pt idx="30">III</cx:pt>
          <cx:pt idx="31">III</cx:pt>
          <cx:pt idx="32">III</cx:pt>
          <cx:pt idx="33">III</cx:pt>
          <cx:pt idx="34">III</cx:pt>
          <cx:pt idx="35">III</cx:pt>
          <cx:pt idx="36">III</cx:pt>
          <cx:pt idx="37">III</cx:pt>
          <cx:pt idx="38">III</cx:pt>
          <cx:pt idx="39">III</cx:pt>
          <cx:pt idx="40">III</cx:pt>
          <cx:pt idx="41">III</cx:pt>
          <cx:pt idx="42">III</cx:pt>
          <cx:pt idx="43">III</cx:pt>
          <cx:pt idx="44">III</cx:pt>
          <cx:pt idx="45">III</cx:pt>
          <cx:pt idx="46">III</cx:pt>
          <cx:pt idx="47">III</cx:pt>
          <cx:pt idx="48">III</cx:pt>
          <cx:pt idx="49">III</cx:pt>
          <cx:pt idx="50">III</cx:pt>
          <cx:pt idx="51">III</cx:pt>
          <cx:pt idx="52">III</cx:pt>
        </cx:lvl>
      </cx:strDim>
      <cx:numDim type="val">
        <cx:f>'Ящик с усами FIGO РЯ'!$C$2:$C$54</cx:f>
        <cx:lvl ptCount="53" formatCode="0,00">
          <cx:pt idx="0">0.66000000000000003</cx:pt>
          <cx:pt idx="1">0.63</cx:pt>
          <cx:pt idx="2">0.94999999999999996</cx:pt>
          <cx:pt idx="3">0.40999999999999998</cx:pt>
          <cx:pt idx="4">0.68000000000000005</cx:pt>
          <cx:pt idx="5">1.71</cx:pt>
          <cx:pt idx="6">1.25</cx:pt>
          <cx:pt idx="7">0.96999999999999997</cx:pt>
          <cx:pt idx="8">0.59999999999999998</cx:pt>
          <cx:pt idx="9">0.5</cx:pt>
          <cx:pt idx="10">0.42999999999999999</cx:pt>
          <cx:pt idx="11">0.37</cx:pt>
          <cx:pt idx="12">0.73999999999999999</cx:pt>
          <cx:pt idx="13">0.78000000000000003</cx:pt>
          <cx:pt idx="14">0.54000000000000004</cx:pt>
          <cx:pt idx="15">0.62</cx:pt>
          <cx:pt idx="16">2</cx:pt>
          <cx:pt idx="17">0.56000000000000005</cx:pt>
          <cx:pt idx="18">0.78000000000000003</cx:pt>
          <cx:pt idx="19">0.89000000000000001</cx:pt>
          <cx:pt idx="20">0.85999999999999999</cx:pt>
          <cx:pt idx="21">0.78000000000000003</cx:pt>
          <cx:pt idx="22">0.38</cx:pt>
          <cx:pt idx="23">0.39000000000000001</cx:pt>
          <cx:pt idx="24">0.53000000000000003</cx:pt>
          <cx:pt idx="25">0.75</cx:pt>
          <cx:pt idx="26">0.68000000000000005</cx:pt>
          <cx:pt idx="27">0.54000000000000004</cx:pt>
          <cx:pt idx="28">0.57999999999999996</cx:pt>
          <cx:pt idx="29">0.41999999999999998</cx:pt>
          <cx:pt idx="30">0.48999999999999999</cx:pt>
          <cx:pt idx="31">1.3799999999999999</cx:pt>
          <cx:pt idx="32">0.40999999999999998</cx:pt>
          <cx:pt idx="33">0.40000000000000002</cx:pt>
          <cx:pt idx="34">1.48</cx:pt>
          <cx:pt idx="35">0.78000000000000003</cx:pt>
          <cx:pt idx="36">0.93999999999999995</cx:pt>
          <cx:pt idx="37">1.1799999999999999</cx:pt>
          <cx:pt idx="38">1.9299999999999999</cx:pt>
          <cx:pt idx="39">1.6299999999999999</cx:pt>
          <cx:pt idx="40">1.76</cx:pt>
          <cx:pt idx="41">1.1100000000000001</cx:pt>
          <cx:pt idx="42">0.47999999999999998</cx:pt>
          <cx:pt idx="43">0.54000000000000004</cx:pt>
          <cx:pt idx="44">0.98999999999999999</cx:pt>
          <cx:pt idx="45">1.1499999999999999</cx:pt>
          <cx:pt idx="46">0.82999999999999996</cx:pt>
          <cx:pt idx="47">1.0900000000000001</cx:pt>
          <cx:pt idx="48">1.1899999999999999</cx:pt>
          <cx:pt idx="49">0.80000000000000004</cx:pt>
          <cx:pt idx="50">1.4099999999999999</cx:pt>
          <cx:pt idx="51">0.63</cx:pt>
          <cx:pt idx="52">0.42999999999999999</cx:pt>
        </cx:lvl>
      </cx:numDim>
    </cx:data>
  </cx:chartData>
  <cx:chart>
    <cx:plotArea>
      <cx:plotAreaRegion>
        <cx:series layoutId="boxWhisker" uniqueId="{06551753-21DF-46CB-983B-E16A9B3DCEF0}">
          <cx:tx>
            <cx:txData>
              <cx:f>'Ящик с усами FIGO РЯ'!$C$1</cx:f>
              <cx:v>RLH</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7"/>
            <cx:dataLabelHidden idx="8"/>
            <cx:dataLabelHidden idx="10"/>
            <cx:dataLabelHidden idx="11"/>
            <cx:dataLabelHidden idx="12"/>
            <cx:dataLabelHidden idx="23"/>
            <cx:dataLabelHidden idx="24"/>
            <cx:dataLabelHidden idx="25"/>
            <cx:dataLabelHidden idx="27"/>
            <cx:dataLabelHidden idx="28"/>
            <cx:dataLabelHidden idx="29"/>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spcFirstLastPara="1" vertOverflow="ellipsis" horzOverflow="overflow" wrap="square" lIns="0" tIns="0" rIns="0" bIns="0"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SUV</a:t>
                </a:r>
                <a:r>
                  <a:rPr lang="en-US" sz="1200" b="1" i="0" u="none" strike="noStrike" baseline="-25000">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max</a:t>
                </a:r>
                <a:endParaRPr lang="ru-KZ" sz="1200">
                  <a:solidFill>
                    <a:sysClr val="windowText" lastClr="000000"/>
                  </a:solidFill>
                  <a:effectLst/>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22.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FIGO РЯ'!$A$2:$A$54</cx:f>
        <cx:lvl ptCount="53">
          <cx:pt idx="0">I</cx:pt>
          <cx:pt idx="1">I</cx:pt>
          <cx:pt idx="2">I</cx:pt>
          <cx:pt idx="3">I</cx:pt>
          <cx:pt idx="4">I</cx:pt>
          <cx:pt idx="5">I</cx:pt>
          <cx:pt idx="6">I</cx:pt>
          <cx:pt idx="7">I</cx:pt>
          <cx:pt idx="8">II</cx:pt>
          <cx:pt idx="9">II</cx:pt>
          <cx:pt idx="10">II</cx:pt>
          <cx:pt idx="11">II</cx:pt>
          <cx:pt idx="12">II</cx:pt>
          <cx:pt idx="13">II</cx:pt>
          <cx:pt idx="14">II</cx:pt>
          <cx:pt idx="15">II</cx:pt>
          <cx:pt idx="16">II</cx:pt>
          <cx:pt idx="17">II</cx:pt>
          <cx:pt idx="18">II</cx:pt>
          <cx:pt idx="19">II</cx:pt>
          <cx:pt idx="20">II</cx:pt>
          <cx:pt idx="21">III</cx:pt>
          <cx:pt idx="22">III</cx:pt>
          <cx:pt idx="23">III</cx:pt>
          <cx:pt idx="24">III</cx:pt>
          <cx:pt idx="25">III</cx:pt>
          <cx:pt idx="26">III</cx:pt>
          <cx:pt idx="27">III</cx:pt>
          <cx:pt idx="28">III</cx:pt>
          <cx:pt idx="29">III</cx:pt>
          <cx:pt idx="30">III</cx:pt>
          <cx:pt idx="31">III</cx:pt>
          <cx:pt idx="32">III</cx:pt>
          <cx:pt idx="33">III</cx:pt>
          <cx:pt idx="34">III</cx:pt>
          <cx:pt idx="35">III</cx:pt>
          <cx:pt idx="36">III</cx:pt>
          <cx:pt idx="37">III</cx:pt>
          <cx:pt idx="38">III</cx:pt>
          <cx:pt idx="39">III</cx:pt>
          <cx:pt idx="40">III</cx:pt>
          <cx:pt idx="41">III</cx:pt>
          <cx:pt idx="42">III</cx:pt>
          <cx:pt idx="43">III</cx:pt>
          <cx:pt idx="44">III</cx:pt>
          <cx:pt idx="45">III</cx:pt>
          <cx:pt idx="46">III</cx:pt>
          <cx:pt idx="47">III</cx:pt>
          <cx:pt idx="48">III</cx:pt>
          <cx:pt idx="49">III</cx:pt>
          <cx:pt idx="50">III</cx:pt>
          <cx:pt idx="51">III</cx:pt>
          <cx:pt idx="52">III</cx:pt>
        </cx:lvl>
      </cx:strDim>
      <cx:numDim type="val">
        <cx:f>'Ящик с усами FIGO РЯ'!$D$2:$D$54</cx:f>
        <cx:lvl ptCount="53" formatCode="0,00">
          <cx:pt idx="0">0.71999999999999997</cx:pt>
          <cx:pt idx="1">0.58999999999999997</cx:pt>
          <cx:pt idx="2">0.71999999999999997</cx:pt>
          <cx:pt idx="3">0.42999999999999999</cx:pt>
          <cx:pt idx="4">0.67000000000000004</cx:pt>
          <cx:pt idx="5">1.3799999999999999</cx:pt>
          <cx:pt idx="6">1.28</cx:pt>
          <cx:pt idx="7">1.27</cx:pt>
          <cx:pt idx="8">0.79000000000000004</cx:pt>
          <cx:pt idx="9">0.96999999999999997</cx:pt>
          <cx:pt idx="10">0.68000000000000005</cx:pt>
          <cx:pt idx="11">0.71999999999999997</cx:pt>
          <cx:pt idx="12">0.72999999999999998</cx:pt>
          <cx:pt idx="13">0.55000000000000004</cx:pt>
          <cx:pt idx="14">0.92000000000000004</cx:pt>
          <cx:pt idx="15">0.93999999999999995</cx:pt>
          <cx:pt idx="16">1.21</cx:pt>
          <cx:pt idx="17">0.81999999999999995</cx:pt>
          <cx:pt idx="18">1.1399999999999999</cx:pt>
          <cx:pt idx="19">1.5700000000000001</cx:pt>
          <cx:pt idx="20">0.79000000000000004</cx:pt>
          <cx:pt idx="21">0.90000000000000002</cx:pt>
          <cx:pt idx="22">0.81999999999999995</cx:pt>
          <cx:pt idx="23">0.56000000000000005</cx:pt>
          <cx:pt idx="24">0.95999999999999996</cx:pt>
          <cx:pt idx="25">0.77000000000000002</cx:pt>
          <cx:pt idx="26">1.05</cx:pt>
          <cx:pt idx="27">1.0600000000000001</cx:pt>
          <cx:pt idx="28">0.66000000000000003</cx:pt>
          <cx:pt idx="29">0.65000000000000002</cx:pt>
          <cx:pt idx="30">0.56000000000000005</cx:pt>
          <cx:pt idx="31">1.55</cx:pt>
          <cx:pt idx="32">0.79000000000000004</cx:pt>
          <cx:pt idx="33">0.46999999999999997</cx:pt>
          <cx:pt idx="34">2.0800000000000001</cx:pt>
          <cx:pt idx="35">1.46</cx:pt>
          <cx:pt idx="36">1.5</cx:pt>
          <cx:pt idx="37">1.05</cx:pt>
          <cx:pt idx="38">2.7799999999999998</cx:pt>
          <cx:pt idx="39">0.96999999999999997</cx:pt>
          <cx:pt idx="40">1.1299999999999999</cx:pt>
          <cx:pt idx="41">1.4199999999999999</cx:pt>
          <cx:pt idx="42">0.47999999999999998</cx:pt>
          <cx:pt idx="43">1.02</cx:pt>
          <cx:pt idx="44">1.1200000000000001</cx:pt>
          <cx:pt idx="45">0.89000000000000001</cx:pt>
          <cx:pt idx="46">2.0800000000000001</cx:pt>
          <cx:pt idx="47">0.97999999999999998</cx:pt>
          <cx:pt idx="48">1.1699999999999999</cx:pt>
          <cx:pt idx="49">1.45</cx:pt>
          <cx:pt idx="50">1.4099999999999999</cx:pt>
          <cx:pt idx="51">1.79</cx:pt>
          <cx:pt idx="52">0.56000000000000005</cx:pt>
        </cx:lvl>
      </cx:numDim>
    </cx:data>
  </cx:chartData>
  <cx:chart>
    <cx:plotArea>
      <cx:plotAreaRegion>
        <cx:series layoutId="boxWhisker" uniqueId="{E3A8D394-A87F-42F2-AD20-9E81CAE32250}">
          <cx:tx>
            <cx:txData>
              <cx:f>'Ящик с усами FIGO РЯ'!$D$1</cx:f>
              <cx:v>RRL</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 idx="62" pos="b">
              <cx:txPr>
                <a:bodyPr vertOverflow="overflow" horzOverflow="overflow" wrap="square" lIns="0" tIns="0" rIns="0" bIns="0"/>
                <a:lstStyle/>
                <a:p>
                  <a:pPr algn="ctr" rtl="0">
                    <a:defRPr/>
                  </a:pPr>
                  <a:r>
                    <a:rPr lang="ru-KZ" sz="1000">
                      <a:solidFill>
                        <a:sysClr val="windowText" lastClr="000000"/>
                      </a:solidFill>
                      <a:latin typeface="Times New Roman" panose="02020603050405020304" pitchFamily="18" charset="0"/>
                      <a:cs typeface="Times New Roman" panose="02020603050405020304" pitchFamily="18" charset="0"/>
                    </a:rPr>
                    <a:t>1,04</a:t>
                  </a:r>
                </a:p>
              </cx:txPr>
              <cx:visibility seriesName="0" categoryName="0" value="1"/>
              <cx:separator>, </cx:separator>
            </cx:dataLabel>
            <cx:dataLabelHidden idx="0"/>
            <cx:dataLabelHidden idx="7"/>
            <cx:dataLabelHidden idx="8"/>
            <cx:dataLabelHidden idx="10"/>
            <cx:dataLabelHidden idx="11"/>
            <cx:dataLabelHidden idx="12"/>
            <cx:dataLabelHidden idx="23"/>
            <cx:dataLabelHidden idx="24"/>
            <cx:dataLabelHidden idx="25"/>
            <cx:dataLabelHidden idx="27"/>
            <cx:dataLabelHidden idx="28"/>
            <cx:dataLabelHidden idx="29"/>
            <cx:dataLabelHidden idx="59"/>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spcFirstLastPara="1" vertOverflow="ellipsis" horzOverflow="overflow" wrap="square" lIns="0" tIns="0" rIns="0" bIns="0"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SUV</a:t>
                </a:r>
                <a:r>
                  <a:rPr lang="en-US" sz="1200" b="1" i="0" u="none" strike="noStrike" baseline="-25000">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max</a:t>
                </a:r>
                <a:endParaRPr lang="ru-RU" sz="1200" b="0" i="0" u="none" strike="noStrike" baseline="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23.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FIGO РЯ'!$A$2:$A$54</cx:f>
        <cx:lvl ptCount="53">
          <cx:pt idx="0">I</cx:pt>
          <cx:pt idx="1">I</cx:pt>
          <cx:pt idx="2">I</cx:pt>
          <cx:pt idx="3">I</cx:pt>
          <cx:pt idx="4">I</cx:pt>
          <cx:pt idx="5">I</cx:pt>
          <cx:pt idx="6">I</cx:pt>
          <cx:pt idx="7">I</cx:pt>
          <cx:pt idx="8">II</cx:pt>
          <cx:pt idx="9">II</cx:pt>
          <cx:pt idx="10">II</cx:pt>
          <cx:pt idx="11">II</cx:pt>
          <cx:pt idx="12">II</cx:pt>
          <cx:pt idx="13">II</cx:pt>
          <cx:pt idx="14">II</cx:pt>
          <cx:pt idx="15">II</cx:pt>
          <cx:pt idx="16">II</cx:pt>
          <cx:pt idx="17">II</cx:pt>
          <cx:pt idx="18">II</cx:pt>
          <cx:pt idx="19">II</cx:pt>
          <cx:pt idx="20">II</cx:pt>
          <cx:pt idx="21">III</cx:pt>
          <cx:pt idx="22">III</cx:pt>
          <cx:pt idx="23">III</cx:pt>
          <cx:pt idx="24">III</cx:pt>
          <cx:pt idx="25">III</cx:pt>
          <cx:pt idx="26">III</cx:pt>
          <cx:pt idx="27">III</cx:pt>
          <cx:pt idx="28">III</cx:pt>
          <cx:pt idx="29">III</cx:pt>
          <cx:pt idx="30">III</cx:pt>
          <cx:pt idx="31">III</cx:pt>
          <cx:pt idx="32">III</cx:pt>
          <cx:pt idx="33">III</cx:pt>
          <cx:pt idx="34">III</cx:pt>
          <cx:pt idx="35">III</cx:pt>
          <cx:pt idx="36">III</cx:pt>
          <cx:pt idx="37">III</cx:pt>
          <cx:pt idx="38">III</cx:pt>
          <cx:pt idx="39">III</cx:pt>
          <cx:pt idx="40">III</cx:pt>
          <cx:pt idx="41">III</cx:pt>
          <cx:pt idx="42">III</cx:pt>
          <cx:pt idx="43">III</cx:pt>
          <cx:pt idx="44">III</cx:pt>
          <cx:pt idx="45">III</cx:pt>
          <cx:pt idx="46">III</cx:pt>
          <cx:pt idx="47">III</cx:pt>
          <cx:pt idx="48">III</cx:pt>
          <cx:pt idx="49">III</cx:pt>
          <cx:pt idx="50">III</cx:pt>
          <cx:pt idx="51">III</cx:pt>
          <cx:pt idx="52">III</cx:pt>
        </cx:lvl>
      </cx:strDim>
      <cx:numDim type="val">
        <cx:f>'Ящик с усами FIGO РЯ'!$E$2:$E$54</cx:f>
        <cx:lvl ptCount="53" formatCode="0,00">
          <cx:pt idx="0">0.64000000000000001</cx:pt>
          <cx:pt idx="1">1.02</cx:pt>
          <cx:pt idx="2">0.70999999999999996</cx:pt>
          <cx:pt idx="3">0.33000000000000002</cx:pt>
          <cx:pt idx="4">0.76000000000000001</cx:pt>
          <cx:pt idx="5">0.87</cx:pt>
          <cx:pt idx="6">1.3100000000000001</cx:pt>
          <cx:pt idx="7">1.26</cx:pt>
          <cx:pt idx="8">1.1000000000000001</cx:pt>
          <cx:pt idx="9">0.52000000000000002</cx:pt>
          <cx:pt idx="10">0.58999999999999997</cx:pt>
          <cx:pt idx="11">0.64000000000000001</cx:pt>
          <cx:pt idx="12">0.47999999999999998</cx:pt>
          <cx:pt idx="13">0.72999999999999998</cx:pt>
          <cx:pt idx="14">0.75</cx:pt>
          <cx:pt idx="15">0.68000000000000005</cx:pt>
          <cx:pt idx="16">1.1000000000000001</cx:pt>
          <cx:pt idx="17">0.65000000000000002</cx:pt>
          <cx:pt idx="18">0.64000000000000001</cx:pt>
          <cx:pt idx="19">0.91000000000000003</cx:pt>
          <cx:pt idx="20">0.68999999999999995</cx:pt>
          <cx:pt idx="21">0.93999999999999995</cx:pt>
          <cx:pt idx="22">0.85999999999999999</cx:pt>
          <cx:pt idx="23">0.69999999999999996</cx:pt>
          <cx:pt idx="24">0.62</cx:pt>
          <cx:pt idx="25">0.56000000000000005</cx:pt>
          <cx:pt idx="26">0.93999999999999995</cx:pt>
          <cx:pt idx="27">0.72999999999999998</cx:pt>
          <cx:pt idx="28">0.53000000000000003</cx:pt>
          <cx:pt idx="29">0.68999999999999995</cx:pt>
          <cx:pt idx="30">0.54000000000000004</cx:pt>
          <cx:pt idx="31">1.1699999999999999</cx:pt>
          <cx:pt idx="32">0.71999999999999997</cx:pt>
          <cx:pt idx="33">0.32000000000000001</cx:pt>
          <cx:pt idx="34">1.3899999999999999</cx:pt>
          <cx:pt idx="35">1.76</cx:pt>
          <cx:pt idx="36">1.03</cx:pt>
          <cx:pt idx="37">1.0700000000000001</cx:pt>
          <cx:pt idx="38">1.47</cx:pt>
          <cx:pt idx="39">1.29</cx:pt>
          <cx:pt idx="40">0.82999999999999996</cx:pt>
          <cx:pt idx="41">2.1499999999999999</cx:pt>
          <cx:pt idx="42">0.40999999999999998</cx:pt>
          <cx:pt idx="43">1.45</cx:pt>
          <cx:pt idx="44">1.1599999999999999</cx:pt>
          <cx:pt idx="45">0.77000000000000002</cx:pt>
          <cx:pt idx="46">1.5800000000000001</cx:pt>
          <cx:pt idx="47">1.21</cx:pt>
          <cx:pt idx="48">0.70999999999999996</cx:pt>
          <cx:pt idx="49">0.65000000000000002</cx:pt>
          <cx:pt idx="50">1.26</cx:pt>
          <cx:pt idx="51">1.5700000000000001</cx:pt>
          <cx:pt idx="52">0.28000000000000003</cx:pt>
        </cx:lvl>
      </cx:numDim>
    </cx:data>
  </cx:chartData>
  <cx:chart>
    <cx:plotArea>
      <cx:plotAreaRegion>
        <cx:series layoutId="boxWhisker" uniqueId="{F1410E47-AEC0-4573-861B-5B5DB4B771DF}">
          <cx:tx>
            <cx:txData>
              <cx:f>'Ящик с усами FIGO РЯ'!$E$1</cx:f>
              <cx:v>RU</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7"/>
            <cx:dataLabelHidden idx="8"/>
            <cx:dataLabelHidden idx="10"/>
            <cx:dataLabelHidden idx="11"/>
            <cx:dataLabelHidden idx="12"/>
            <cx:dataLabelHidden idx="24"/>
            <cx:dataLabelHidden idx="25"/>
            <cx:dataLabelHidden idx="27"/>
            <cx:dataLabelHidden idx="28"/>
            <cx:dataLabelHidden idx="29"/>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max="2.3999999999999999"/>
        <cx:title>
          <cx:tx>
            <cx:rich>
              <a:bodyPr spcFirstLastPara="1" vertOverflow="ellipsis" horzOverflow="overflow" wrap="square" lIns="0" tIns="0" rIns="0" bIns="0"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SUV</a:t>
                </a:r>
                <a:r>
                  <a:rPr lang="en-US" sz="1200" b="1" i="0" u="none" strike="noStrike" baseline="-25000">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max</a:t>
                </a:r>
                <a:endParaRPr lang="ru-RU" sz="1200" b="0" i="0" u="none" strike="noStrike" baseline="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24.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FIGO РЯ'!$A$2:$A$54</cx:f>
        <cx:lvl ptCount="53">
          <cx:pt idx="0">I</cx:pt>
          <cx:pt idx="1">I</cx:pt>
          <cx:pt idx="2">I</cx:pt>
          <cx:pt idx="3">I</cx:pt>
          <cx:pt idx="4">I</cx:pt>
          <cx:pt idx="5">I</cx:pt>
          <cx:pt idx="6">I</cx:pt>
          <cx:pt idx="7">I</cx:pt>
          <cx:pt idx="8">II</cx:pt>
          <cx:pt idx="9">II</cx:pt>
          <cx:pt idx="10">II</cx:pt>
          <cx:pt idx="11">II</cx:pt>
          <cx:pt idx="12">II</cx:pt>
          <cx:pt idx="13">II</cx:pt>
          <cx:pt idx="14">II</cx:pt>
          <cx:pt idx="15">II</cx:pt>
          <cx:pt idx="16">II</cx:pt>
          <cx:pt idx="17">II</cx:pt>
          <cx:pt idx="18">II</cx:pt>
          <cx:pt idx="19">II</cx:pt>
          <cx:pt idx="20">II</cx:pt>
          <cx:pt idx="21">III</cx:pt>
          <cx:pt idx="22">III</cx:pt>
          <cx:pt idx="23">III</cx:pt>
          <cx:pt idx="24">III</cx:pt>
          <cx:pt idx="25">III</cx:pt>
          <cx:pt idx="26">III</cx:pt>
          <cx:pt idx="27">III</cx:pt>
          <cx:pt idx="28">III</cx:pt>
          <cx:pt idx="29">III</cx:pt>
          <cx:pt idx="30">III</cx:pt>
          <cx:pt idx="31">III</cx:pt>
          <cx:pt idx="32">III</cx:pt>
          <cx:pt idx="33">III</cx:pt>
          <cx:pt idx="34">III</cx:pt>
          <cx:pt idx="35">III</cx:pt>
          <cx:pt idx="36">III</cx:pt>
          <cx:pt idx="37">III</cx:pt>
          <cx:pt idx="38">III</cx:pt>
          <cx:pt idx="39">III</cx:pt>
          <cx:pt idx="40">III</cx:pt>
          <cx:pt idx="41">III</cx:pt>
          <cx:pt idx="42">III</cx:pt>
          <cx:pt idx="43">III</cx:pt>
          <cx:pt idx="44">III</cx:pt>
          <cx:pt idx="45">III</cx:pt>
          <cx:pt idx="46">III</cx:pt>
          <cx:pt idx="47">III</cx:pt>
          <cx:pt idx="48">III</cx:pt>
          <cx:pt idx="49">III</cx:pt>
          <cx:pt idx="50">III</cx:pt>
          <cx:pt idx="51">III</cx:pt>
          <cx:pt idx="52">III</cx:pt>
        </cx:lvl>
      </cx:strDim>
      <cx:numDim type="val">
        <cx:f>'Ящик с усами FIGO РЯ'!$F$2:$F$54</cx:f>
        <cx:lvl ptCount="53" formatCode="0,00">
          <cx:pt idx="0">0.75</cx:pt>
          <cx:pt idx="1">0.56999999999999995</cx:pt>
          <cx:pt idx="2">0.58999999999999997</cx:pt>
          <cx:pt idx="3">0.5</cx:pt>
          <cx:pt idx="4">1</cx:pt>
          <cx:pt idx="5">1.01</cx:pt>
          <cx:pt idx="6">1.54</cx:pt>
          <cx:pt idx="7">1.3799999999999999</cx:pt>
          <cx:pt idx="8">0.85999999999999999</cx:pt>
          <cx:pt idx="9">0.83999999999999997</cx:pt>
          <cx:pt idx="10">0.87</cx:pt>
          <cx:pt idx="11">0.57999999999999996</cx:pt>
          <cx:pt idx="12">1.01</cx:pt>
          <cx:pt idx="13">0.81000000000000005</cx:pt>
          <cx:pt idx="14">0.96999999999999997</cx:pt>
          <cx:pt idx="15">0.89000000000000001</cx:pt>
          <cx:pt idx="16">1.4199999999999999</cx:pt>
          <cx:pt idx="17">0.68000000000000005</cx:pt>
          <cx:pt idx="18">0.51000000000000001</cx:pt>
          <cx:pt idx="19">1.1299999999999999</cx:pt>
          <cx:pt idx="20">0.73999999999999999</cx:pt>
          <cx:pt idx="21">1.1499999999999999</cx:pt>
          <cx:pt idx="22">0.68999999999999995</cx:pt>
          <cx:pt idx="23">1</cx:pt>
          <cx:pt idx="24">1.04</cx:pt>
          <cx:pt idx="25">0.77000000000000002</cx:pt>
          <cx:pt idx="26">0.93999999999999995</cx:pt>
          <cx:pt idx="27">0.68999999999999995</cx:pt>
          <cx:pt idx="28">0.76000000000000001</cx:pt>
          <cx:pt idx="29">0.79000000000000004</cx:pt>
          <cx:pt idx="30">0.54000000000000004</cx:pt>
          <cx:pt idx="31">1.6899999999999999</cx:pt>
          <cx:pt idx="32">0.53000000000000003</cx:pt>
          <cx:pt idx="33">0.68000000000000005</cx:pt>
          <cx:pt idx="34">2.4199999999999999</cx:pt>
          <cx:pt idx="35">1.01</cx:pt>
          <cx:pt idx="36">1.04</cx:pt>
          <cx:pt idx="37">0.91000000000000003</cx:pt>
          <cx:pt idx="38">1.52</cx:pt>
          <cx:pt idx="39">2.0800000000000001</cx:pt>
          <cx:pt idx="40">1.6000000000000001</cx:pt>
          <cx:pt idx="41">1.3500000000000001</cx:pt>
          <cx:pt idx="42">0.60999999999999999</cx:pt>
          <cx:pt idx="43">0.80000000000000004</cx:pt>
          <cx:pt idx="44">1.4299999999999999</cx:pt>
          <cx:pt idx="45">1.1899999999999999</cx:pt>
          <cx:pt idx="46">3.3199999999999998</cx:pt>
          <cx:pt idx="47">0.97999999999999998</cx:pt>
          <cx:pt idx="48">0.92000000000000004</cx:pt>
          <cx:pt idx="49">1.0700000000000001</cx:pt>
          <cx:pt idx="50">1.0600000000000001</cx:pt>
          <cx:pt idx="51">2.6000000000000001</cx:pt>
          <cx:pt idx="52">0.48999999999999999</cx:pt>
        </cx:lvl>
      </cx:numDim>
    </cx:data>
  </cx:chartData>
  <cx:chart>
    <cx:plotArea>
      <cx:plotAreaRegion>
        <cx:series layoutId="boxWhisker" uniqueId="{9109156B-C625-4F11-B117-076AAD48B7F4}">
          <cx:tx>
            <cx:txData>
              <cx:f>'Ящик с усами FIGO РЯ'!$F$1</cx:f>
              <cx:v>RLL</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7"/>
            <cx:dataLabelHidden idx="8"/>
            <cx:dataLabelHidden idx="10"/>
            <cx:dataLabelHidden idx="11"/>
            <cx:dataLabelHidden idx="12"/>
            <cx:dataLabelHidden idx="23"/>
            <cx:dataLabelHidden idx="24"/>
            <cx:dataLabelHidden idx="25"/>
            <cx:dataLabelHidden idx="27"/>
            <cx:dataLabelHidden idx="28"/>
            <cx:dataLabelHidden idx="29"/>
            <cx:dataLabelHidden idx="57"/>
            <cx:dataLabelHidden idx="58"/>
            <cx:dataLabelHidden idx="59"/>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spcFirstLastPara="1" vertOverflow="ellipsis" horzOverflow="overflow" wrap="square" lIns="0" tIns="0" rIns="0" bIns="0"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SUV</a:t>
                </a:r>
                <a:r>
                  <a:rPr lang="en-US" sz="1200" b="1" i="0" u="none" strike="noStrike" baseline="-25000">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max</a:t>
                </a:r>
                <a:endParaRPr lang="ru-RU" sz="1200" b="0" i="0" u="none" strike="noStrike" baseline="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25.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FIGO РЯ'!$A$2:$A$54</cx:f>
        <cx:lvl ptCount="53">
          <cx:pt idx="0">I</cx:pt>
          <cx:pt idx="1">I</cx:pt>
          <cx:pt idx="2">I</cx:pt>
          <cx:pt idx="3">I</cx:pt>
          <cx:pt idx="4">I</cx:pt>
          <cx:pt idx="5">I</cx:pt>
          <cx:pt idx="6">I</cx:pt>
          <cx:pt idx="7">I</cx:pt>
          <cx:pt idx="8">II</cx:pt>
          <cx:pt idx="9">II</cx:pt>
          <cx:pt idx="10">II</cx:pt>
          <cx:pt idx="11">II</cx:pt>
          <cx:pt idx="12">II</cx:pt>
          <cx:pt idx="13">II</cx:pt>
          <cx:pt idx="14">II</cx:pt>
          <cx:pt idx="15">II</cx:pt>
          <cx:pt idx="16">II</cx:pt>
          <cx:pt idx="17">II</cx:pt>
          <cx:pt idx="18">II</cx:pt>
          <cx:pt idx="19">II</cx:pt>
          <cx:pt idx="20">II</cx:pt>
          <cx:pt idx="21">III</cx:pt>
          <cx:pt idx="22">III</cx:pt>
          <cx:pt idx="23">III</cx:pt>
          <cx:pt idx="24">III</cx:pt>
          <cx:pt idx="25">III</cx:pt>
          <cx:pt idx="26">III</cx:pt>
          <cx:pt idx="27">III</cx:pt>
          <cx:pt idx="28">III</cx:pt>
          <cx:pt idx="29">III</cx:pt>
          <cx:pt idx="30">III</cx:pt>
          <cx:pt idx="31">III</cx:pt>
          <cx:pt idx="32">III</cx:pt>
          <cx:pt idx="33">III</cx:pt>
          <cx:pt idx="34">III</cx:pt>
          <cx:pt idx="35">III</cx:pt>
          <cx:pt idx="36">III</cx:pt>
          <cx:pt idx="37">III</cx:pt>
          <cx:pt idx="38">III</cx:pt>
          <cx:pt idx="39">III</cx:pt>
          <cx:pt idx="40">III</cx:pt>
          <cx:pt idx="41">III</cx:pt>
          <cx:pt idx="42">III</cx:pt>
          <cx:pt idx="43">III</cx:pt>
          <cx:pt idx="44">III</cx:pt>
          <cx:pt idx="45">III</cx:pt>
          <cx:pt idx="46">III</cx:pt>
          <cx:pt idx="47">III</cx:pt>
          <cx:pt idx="48">III</cx:pt>
          <cx:pt idx="49">III</cx:pt>
          <cx:pt idx="50">III</cx:pt>
          <cx:pt idx="51">III</cx:pt>
          <cx:pt idx="52">III</cx:pt>
        </cx:lvl>
      </cx:strDim>
      <cx:numDim type="val">
        <cx:f>'Ящик с усами FIGO РЯ'!$G$2:$G$54</cx:f>
        <cx:lvl ptCount="53" formatCode="0,00">
          <cx:pt idx="0">0.47999999999999998</cx:pt>
          <cx:pt idx="1">0.53000000000000003</cx:pt>
          <cx:pt idx="2">0.77000000000000002</cx:pt>
          <cx:pt idx="3">0.14999999999999999</cx:pt>
          <cx:pt idx="4">0.53000000000000003</cx:pt>
          <cx:pt idx="5">0.76000000000000001</cx:pt>
          <cx:pt idx="6">0.55000000000000004</cx:pt>
          <cx:pt idx="7">0.77000000000000002</cx:pt>
          <cx:pt idx="8">0.55000000000000004</cx:pt>
          <cx:pt idx="9">0.39000000000000001</cx:pt>
          <cx:pt idx="10">0.40999999999999998</cx:pt>
          <cx:pt idx="11">0.29999999999999999</cx:pt>
          <cx:pt idx="12">0.39000000000000001</cx:pt>
          <cx:pt idx="13">0.40000000000000002</cx:pt>
          <cx:pt idx="14">0.48999999999999999</cx:pt>
          <cx:pt idx="15">0.51000000000000001</cx:pt>
          <cx:pt idx="16">0.56999999999999995</cx:pt>
          <cx:pt idx="17">0.28999999999999998</cx:pt>
          <cx:pt idx="18">0.45000000000000001</cx:pt>
          <cx:pt idx="19">0.91000000000000003</cx:pt>
          <cx:pt idx="20">0.60999999999999999</cx:pt>
          <cx:pt idx="21">0.51000000000000001</cx:pt>
          <cx:pt idx="22">0.57999999999999996</cx:pt>
          <cx:pt idx="23">0.35999999999999999</cx:pt>
          <cx:pt idx="24">0.46000000000000002</cx:pt>
          <cx:pt idx="25">0.32000000000000001</cx:pt>
          <cx:pt idx="26">0.44</cx:pt>
          <cx:pt idx="27">0.52000000000000002</cx:pt>
          <cx:pt idx="28">0.98999999999999999</cx:pt>
          <cx:pt idx="29">0.46999999999999997</cx:pt>
          <cx:pt idx="30">0.55000000000000004</cx:pt>
          <cx:pt idx="31">1.3700000000000001</cx:pt>
          <cx:pt idx="32">0.66000000000000003</cx:pt>
          <cx:pt idx="33">0.47999999999999998</cx:pt>
          <cx:pt idx="34">1.1100000000000001</cx:pt>
          <cx:pt idx="35">0.96999999999999997</cx:pt>
          <cx:pt idx="36">0.62</cx:pt>
          <cx:pt idx="37">0.75</cx:pt>
          <cx:pt idx="38">1.1100000000000001</cx:pt>
          <cx:pt idx="39">0.98999999999999999</cx:pt>
          <cx:pt idx="40">0.53000000000000003</cx:pt>
          <cx:pt idx="41">0.83999999999999997</cx:pt>
          <cx:pt idx="42">0.52000000000000002</cx:pt>
          <cx:pt idx="43">1.02</cx:pt>
          <cx:pt idx="44">1.05</cx:pt>
          <cx:pt idx="45">0.83999999999999997</cx:pt>
          <cx:pt idx="46">1.1000000000000001</cx:pt>
          <cx:pt idx="47">0.73999999999999999</cx:pt>
          <cx:pt idx="48">0.82999999999999996</cx:pt>
          <cx:pt idx="49">0.51000000000000001</cx:pt>
          <cx:pt idx="50">0.83999999999999997</cx:pt>
          <cx:pt idx="51">0.78000000000000003</cx:pt>
          <cx:pt idx="52">0.35999999999999999</cx:pt>
        </cx:lvl>
      </cx:numDim>
    </cx:data>
  </cx:chartData>
  <cx:chart>
    <cx:plotArea>
      <cx:plotAreaRegion>
        <cx:series layoutId="boxWhisker" uniqueId="{B947DD0C-B72D-47A8-AFB1-235266F2C22C}">
          <cx:tx>
            <cx:txData>
              <cx:f>'Ящик с усами FIGO РЯ'!$G$1</cx:f>
              <cx:v>RRI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7"/>
            <cx:dataLabelHidden idx="8"/>
            <cx:dataLabelHidden idx="10"/>
            <cx:dataLabelHidden idx="11"/>
            <cx:dataLabelHidden idx="12"/>
            <cx:dataLabelHidden idx="23"/>
            <cx:dataLabelHidden idx="24"/>
            <cx:dataLabelHidden idx="25"/>
            <cx:dataLabelHidden idx="27"/>
            <cx:dataLabelHidden idx="28"/>
            <cx:dataLabelHidden idx="29"/>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max="1.5"/>
        <cx:title>
          <cx:tx>
            <cx:rich>
              <a:bodyPr spcFirstLastPara="1" vertOverflow="ellipsis" horzOverflow="overflow" wrap="square" lIns="0" tIns="0" rIns="0" bIns="0"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SUV</a:t>
                </a:r>
                <a:r>
                  <a:rPr lang="en-US" sz="1200" b="1" i="0" u="none" strike="noStrike" baseline="-25000">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max</a:t>
                </a:r>
                <a:endParaRPr lang="ru-RU" sz="1200" b="0" i="0" u="none" strike="noStrike" baseline="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26.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FIGO РЯ'!$A$2:$A$54</cx:f>
        <cx:lvl ptCount="53">
          <cx:pt idx="0">I</cx:pt>
          <cx:pt idx="1">I</cx:pt>
          <cx:pt idx="2">I</cx:pt>
          <cx:pt idx="3">I</cx:pt>
          <cx:pt idx="4">I</cx:pt>
          <cx:pt idx="5">I</cx:pt>
          <cx:pt idx="6">I</cx:pt>
          <cx:pt idx="7">I</cx:pt>
          <cx:pt idx="8">II</cx:pt>
          <cx:pt idx="9">II</cx:pt>
          <cx:pt idx="10">II</cx:pt>
          <cx:pt idx="11">II</cx:pt>
          <cx:pt idx="12">II</cx:pt>
          <cx:pt idx="13">II</cx:pt>
          <cx:pt idx="14">II</cx:pt>
          <cx:pt idx="15">II</cx:pt>
          <cx:pt idx="16">II</cx:pt>
          <cx:pt idx="17">II</cx:pt>
          <cx:pt idx="18">II</cx:pt>
          <cx:pt idx="19">II</cx:pt>
          <cx:pt idx="20">II</cx:pt>
          <cx:pt idx="21">III</cx:pt>
          <cx:pt idx="22">III</cx:pt>
          <cx:pt idx="23">III</cx:pt>
          <cx:pt idx="24">III</cx:pt>
          <cx:pt idx="25">III</cx:pt>
          <cx:pt idx="26">III</cx:pt>
          <cx:pt idx="27">III</cx:pt>
          <cx:pt idx="28">III</cx:pt>
          <cx:pt idx="29">III</cx:pt>
          <cx:pt idx="30">III</cx:pt>
          <cx:pt idx="31">III</cx:pt>
          <cx:pt idx="32">III</cx:pt>
          <cx:pt idx="33">III</cx:pt>
          <cx:pt idx="34">III</cx:pt>
          <cx:pt idx="35">III</cx:pt>
          <cx:pt idx="36">III</cx:pt>
          <cx:pt idx="37">III</cx:pt>
          <cx:pt idx="38">III</cx:pt>
          <cx:pt idx="39">III</cx:pt>
          <cx:pt idx="40">III</cx:pt>
          <cx:pt idx="41">III</cx:pt>
          <cx:pt idx="42">III</cx:pt>
          <cx:pt idx="43">III</cx:pt>
          <cx:pt idx="44">III</cx:pt>
          <cx:pt idx="45">III</cx:pt>
          <cx:pt idx="46">III</cx:pt>
          <cx:pt idx="47">III</cx:pt>
          <cx:pt idx="48">III</cx:pt>
          <cx:pt idx="49">III</cx:pt>
          <cx:pt idx="50">III</cx:pt>
          <cx:pt idx="51">III</cx:pt>
          <cx:pt idx="52">III</cx:pt>
        </cx:lvl>
      </cx:strDim>
      <cx:numDim type="val">
        <cx:f>'Ящик с усами FIGO РЯ'!$H$2:$H$54</cx:f>
        <cx:lvl ptCount="53" formatCode="0,00">
          <cx:pt idx="0">0.69999999999999996</cx:pt>
          <cx:pt idx="1">0.78000000000000003</cx:pt>
          <cx:pt idx="2">0.68000000000000005</cx:pt>
          <cx:pt idx="3">0.42999999999999999</cx:pt>
          <cx:pt idx="4">0.78000000000000003</cx:pt>
          <cx:pt idx="5">1</cx:pt>
          <cx:pt idx="6">1.3799999999999999</cx:pt>
          <cx:pt idx="7">1.6299999999999999</cx:pt>
          <cx:pt idx="8">1.3100000000000001</cx:pt>
          <cx:pt idx="9">0.5</cx:pt>
          <cx:pt idx="10">0.73999999999999999</cx:pt>
          <cx:pt idx="11">0.88</cx:pt>
          <cx:pt idx="12">0.81999999999999995</cx:pt>
          <cx:pt idx="13">0.55000000000000004</cx:pt>
          <cx:pt idx="14">0.77000000000000002</cx:pt>
          <cx:pt idx="15">0.68000000000000005</cx:pt>
          <cx:pt idx="16">1.0900000000000001</cx:pt>
          <cx:pt idx="17">0.65000000000000002</cx:pt>
          <cx:pt idx="18">0.53000000000000003</cx:pt>
          <cx:pt idx="19">0.92000000000000004</cx:pt>
          <cx:pt idx="20">0.71999999999999997</cx:pt>
          <cx:pt idx="21">1.02</cx:pt>
          <cx:pt idx="22">0.76000000000000001</cx:pt>
          <cx:pt idx="23">0.68999999999999995</cx:pt>
          <cx:pt idx="24">0.82999999999999996</cx:pt>
          <cx:pt idx="25">0.5</cx:pt>
          <cx:pt idx="26">0.63</cx:pt>
          <cx:pt idx="27">0.68999999999999995</cx:pt>
          <cx:pt idx="28">1</cx:pt>
          <cx:pt idx="29">0.68999999999999995</cx:pt>
          <cx:pt idx="30">0.46000000000000002</cx:pt>
          <cx:pt idx="31">1.52</cx:pt>
          <cx:pt idx="32">1.04</cx:pt>
          <cx:pt idx="33">0.70999999999999996</cx:pt>
          <cx:pt idx="34">1.8700000000000001</cx:pt>
          <cx:pt idx="35">1.1299999999999999</cx:pt>
          <cx:pt idx="36">1.0600000000000001</cx:pt>
          <cx:pt idx="37">0.92000000000000004</cx:pt>
          <cx:pt idx="38">1.5</cx:pt>
          <cx:pt idx="39">1.22</cx:pt>
          <cx:pt idx="40">0.92000000000000004</cx:pt>
          <cx:pt idx="41">1.95</cx:pt>
          <cx:pt idx="42">0.84999999999999998</cx:pt>
          <cx:pt idx="43">0.81999999999999995</cx:pt>
          <cx:pt idx="44">0.98999999999999999</cx:pt>
          <cx:pt idx="45">0.88</cx:pt>
          <cx:pt idx="46">1.45</cx:pt>
          <cx:pt idx="47">1.02</cx:pt>
          <cx:pt idx="48">1.21</cx:pt>
          <cx:pt idx="49">0.40999999999999998</cx:pt>
          <cx:pt idx="50">1.1799999999999999</cx:pt>
          <cx:pt idx="51">1.54</cx:pt>
          <cx:pt idx="52">0.37</cx:pt>
        </cx:lvl>
      </cx:numDim>
    </cx:data>
  </cx:chartData>
  <cx:chart>
    <cx:plotArea>
      <cx:plotAreaRegion>
        <cx:series layoutId="boxWhisker" uniqueId="{6C21CAFE-6E7C-4261-B404-0B1494A0591F}">
          <cx:tx>
            <cx:txData>
              <cx:f>'Ящик с усами FIGO РЯ'!$H$1</cx:f>
              <cx:v>RP</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7"/>
            <cx:dataLabelHidden idx="8"/>
            <cx:dataLabelHidden idx="10"/>
            <cx:dataLabelHidden idx="11"/>
            <cx:dataLabelHidden idx="12"/>
            <cx:dataLabelHidden idx="24"/>
            <cx:dataLabelHidden idx="25"/>
            <cx:dataLabelHidden idx="27"/>
            <cx:dataLabelHidden idx="28"/>
            <cx:dataLabelHidden idx="29"/>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max="2.3999999999999999"/>
        <cx:title>
          <cx:tx>
            <cx:rich>
              <a:bodyPr spcFirstLastPara="1" vertOverflow="ellipsis" horzOverflow="overflow" wrap="square" lIns="0" tIns="0" rIns="0" bIns="0"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SUV</a:t>
                </a:r>
                <a:r>
                  <a:rPr lang="en-US" sz="1200" b="1" i="0" u="none" strike="noStrike" baseline="-25000">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max</a:t>
                </a:r>
                <a:endParaRPr lang="ru-RU" sz="1200" b="0" i="0" u="none" strike="noStrike" baseline="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27.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FIGO РЯ'!$A$2:$A$54</cx:f>
        <cx:lvl ptCount="53">
          <cx:pt idx="0">I</cx:pt>
          <cx:pt idx="1">I</cx:pt>
          <cx:pt idx="2">I</cx:pt>
          <cx:pt idx="3">I</cx:pt>
          <cx:pt idx="4">I</cx:pt>
          <cx:pt idx="5">I</cx:pt>
          <cx:pt idx="6">I</cx:pt>
          <cx:pt idx="7">I</cx:pt>
          <cx:pt idx="8">II</cx:pt>
          <cx:pt idx="9">II</cx:pt>
          <cx:pt idx="10">II</cx:pt>
          <cx:pt idx="11">II</cx:pt>
          <cx:pt idx="12">II</cx:pt>
          <cx:pt idx="13">II</cx:pt>
          <cx:pt idx="14">II</cx:pt>
          <cx:pt idx="15">II</cx:pt>
          <cx:pt idx="16">II</cx:pt>
          <cx:pt idx="17">II</cx:pt>
          <cx:pt idx="18">II</cx:pt>
          <cx:pt idx="19">II</cx:pt>
          <cx:pt idx="20">II</cx:pt>
          <cx:pt idx="21">III</cx:pt>
          <cx:pt idx="22">III</cx:pt>
          <cx:pt idx="23">III</cx:pt>
          <cx:pt idx="24">III</cx:pt>
          <cx:pt idx="25">III</cx:pt>
          <cx:pt idx="26">III</cx:pt>
          <cx:pt idx="27">III</cx:pt>
          <cx:pt idx="28">III</cx:pt>
          <cx:pt idx="29">III</cx:pt>
          <cx:pt idx="30">III</cx:pt>
          <cx:pt idx="31">III</cx:pt>
          <cx:pt idx="32">III</cx:pt>
          <cx:pt idx="33">III</cx:pt>
          <cx:pt idx="34">III</cx:pt>
          <cx:pt idx="35">III</cx:pt>
          <cx:pt idx="36">III</cx:pt>
          <cx:pt idx="37">III</cx:pt>
          <cx:pt idx="38">III</cx:pt>
          <cx:pt idx="39">III</cx:pt>
          <cx:pt idx="40">III</cx:pt>
          <cx:pt idx="41">III</cx:pt>
          <cx:pt idx="42">III</cx:pt>
          <cx:pt idx="43">III</cx:pt>
          <cx:pt idx="44">III</cx:pt>
          <cx:pt idx="45">III</cx:pt>
          <cx:pt idx="46">III</cx:pt>
          <cx:pt idx="47">III</cx:pt>
          <cx:pt idx="48">III</cx:pt>
          <cx:pt idx="49">III</cx:pt>
          <cx:pt idx="50">III</cx:pt>
          <cx:pt idx="51">III</cx:pt>
          <cx:pt idx="52">III</cx:pt>
        </cx:lvl>
      </cx:strDim>
      <cx:numDim type="val">
        <cx:f>'Ящик с усами FIGO РЯ'!$I$2:$I$54</cx:f>
        <cx:lvl ptCount="53" formatCode="0,00">
          <cx:pt idx="0">0.56999999999999995</cx:pt>
          <cx:pt idx="1">0.40000000000000002</cx:pt>
          <cx:pt idx="2">0.58999999999999997</cx:pt>
          <cx:pt idx="3">0.31</cx:pt>
          <cx:pt idx="4">0.44</cx:pt>
          <cx:pt idx="5">0.68000000000000005</cx:pt>
          <cx:pt idx="6">0.62</cx:pt>
          <cx:pt idx="7">1.1499999999999999</cx:pt>
          <cx:pt idx="8">0.57999999999999996</cx:pt>
          <cx:pt idx="9">0.44</cx:pt>
          <cx:pt idx="10">0.38</cx:pt>
          <cx:pt idx="11">0.38</cx:pt>
          <cx:pt idx="12">0.52000000000000002</cx:pt>
          <cx:pt idx="13">0.32000000000000001</cx:pt>
          <cx:pt idx="14">0.42999999999999999</cx:pt>
          <cx:pt idx="15">0.51000000000000001</cx:pt>
          <cx:pt idx="16">0.80000000000000004</cx:pt>
          <cx:pt idx="17">0.39000000000000001</cx:pt>
          <cx:pt idx="18">0.59999999999999998</cx:pt>
          <cx:pt idx="19">0.96999999999999997</cx:pt>
          <cx:pt idx="20">0.60999999999999999</cx:pt>
          <cx:pt idx="21">0.69999999999999996</cx:pt>
          <cx:pt idx="22">0.56000000000000005</cx:pt>
          <cx:pt idx="23">0.34999999999999998</cx:pt>
          <cx:pt idx="24">0.53000000000000003</cx:pt>
          <cx:pt idx="25">0.41999999999999998</cx:pt>
          <cx:pt idx="26">0.34000000000000002</cx:pt>
          <cx:pt idx="27">0.46999999999999997</cx:pt>
          <cx:pt idx="28">0.92000000000000004</cx:pt>
          <cx:pt idx="29">0.45000000000000001</cx:pt>
          <cx:pt idx="30">0.51000000000000001</cx:pt>
          <cx:pt idx="31">1.01</cx:pt>
          <cx:pt idx="32">0.53000000000000003</cx:pt>
          <cx:pt idx="33">0.40999999999999998</cx:pt>
          <cx:pt idx="34">1.48</cx:pt>
          <cx:pt idx="35">1.3700000000000001</cx:pt>
          <cx:pt idx="36">0.59999999999999998</cx:pt>
          <cx:pt idx="37">1.1299999999999999</cx:pt>
          <cx:pt idx="38">0.98999999999999999</cx:pt>
          <cx:pt idx="39">1.4099999999999999</cx:pt>
          <cx:pt idx="40">0.54000000000000004</cx:pt>
          <cx:pt idx="41">1.04</cx:pt>
          <cx:pt idx="42">0.53000000000000003</cx:pt>
          <cx:pt idx="43">0.78000000000000003</cx:pt>
          <cx:pt idx="44">0.88</cx:pt>
          <cx:pt idx="45">0.51000000000000001</cx:pt>
          <cx:pt idx="46">1.47</cx:pt>
          <cx:pt idx="47">0.59999999999999998</cx:pt>
          <cx:pt idx="48">0.67000000000000004</cx:pt>
          <cx:pt idx="49">0.56000000000000005</cx:pt>
          <cx:pt idx="50">1.1599999999999999</cx:pt>
          <cx:pt idx="51">0.69999999999999996</cx:pt>
          <cx:pt idx="52">0.44</cx:pt>
        </cx:lvl>
      </cx:numDim>
    </cx:data>
  </cx:chartData>
  <cx:chart>
    <cx:plotArea>
      <cx:plotAreaRegion>
        <cx:series layoutId="boxWhisker" uniqueId="{48F668E7-0DD4-4EA7-9AF3-B3EFC8834397}">
          <cx:tx>
            <cx:txData>
              <cx:f>'Ящик с усами FIGO РЯ'!$I$1</cx:f>
              <cx:v>RLI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6"/>
            <cx:dataLabelHidden idx="7"/>
            <cx:dataLabelHidden idx="8"/>
            <cx:dataLabelHidden idx="10"/>
            <cx:dataLabelHidden idx="11"/>
            <cx:dataLabelHidden idx="12"/>
            <cx:dataLabelHidden idx="23"/>
            <cx:dataLabelHidden idx="24"/>
            <cx:dataLabelHidden idx="25"/>
            <cx:dataLabelHidden idx="27"/>
            <cx:dataLabelHidden idx="28"/>
            <cx:dataLabelHidden idx="29"/>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spcFirstLastPara="1" vertOverflow="ellipsis" horzOverflow="overflow" wrap="square" lIns="0" tIns="0" rIns="0" bIns="0"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SUV</a:t>
                </a:r>
                <a:r>
                  <a:rPr lang="en-US" sz="1200" b="1" i="0" u="none" strike="noStrike" baseline="-25000">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max</a:t>
                </a:r>
                <a:endParaRPr lang="ru-RU" sz="1200" b="0" i="0" u="none" strike="noStrike" baseline="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28.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FIGO РЯ'!$A$2:$A$54</cx:f>
        <cx:lvl ptCount="53">
          <cx:pt idx="0">I</cx:pt>
          <cx:pt idx="1">I</cx:pt>
          <cx:pt idx="2">I</cx:pt>
          <cx:pt idx="3">I</cx:pt>
          <cx:pt idx="4">I</cx:pt>
          <cx:pt idx="5">I</cx:pt>
          <cx:pt idx="6">I</cx:pt>
          <cx:pt idx="7">I</cx:pt>
          <cx:pt idx="8">II</cx:pt>
          <cx:pt idx="9">II</cx:pt>
          <cx:pt idx="10">II</cx:pt>
          <cx:pt idx="11">II</cx:pt>
          <cx:pt idx="12">II</cx:pt>
          <cx:pt idx="13">II</cx:pt>
          <cx:pt idx="14">II</cx:pt>
          <cx:pt idx="15">II</cx:pt>
          <cx:pt idx="16">II</cx:pt>
          <cx:pt idx="17">II</cx:pt>
          <cx:pt idx="18">II</cx:pt>
          <cx:pt idx="19">II</cx:pt>
          <cx:pt idx="20">II</cx:pt>
          <cx:pt idx="21">III</cx:pt>
          <cx:pt idx="22">III</cx:pt>
          <cx:pt idx="23">III</cx:pt>
          <cx:pt idx="24">III</cx:pt>
          <cx:pt idx="25">III</cx:pt>
          <cx:pt idx="26">III</cx:pt>
          <cx:pt idx="27">III</cx:pt>
          <cx:pt idx="28">III</cx:pt>
          <cx:pt idx="29">III</cx:pt>
          <cx:pt idx="30">III</cx:pt>
          <cx:pt idx="31">III</cx:pt>
          <cx:pt idx="32">III</cx:pt>
          <cx:pt idx="33">III</cx:pt>
          <cx:pt idx="34">III</cx:pt>
          <cx:pt idx="35">III</cx:pt>
          <cx:pt idx="36">III</cx:pt>
          <cx:pt idx="37">III</cx:pt>
          <cx:pt idx="38">III</cx:pt>
          <cx:pt idx="39">III</cx:pt>
          <cx:pt idx="40">III</cx:pt>
          <cx:pt idx="41">III</cx:pt>
          <cx:pt idx="42">III</cx:pt>
          <cx:pt idx="43">III</cx:pt>
          <cx:pt idx="44">III</cx:pt>
          <cx:pt idx="45">III</cx:pt>
          <cx:pt idx="46">III</cx:pt>
          <cx:pt idx="47">III</cx:pt>
          <cx:pt idx="48">III</cx:pt>
          <cx:pt idx="49">III</cx:pt>
          <cx:pt idx="50">III</cx:pt>
          <cx:pt idx="51">III</cx:pt>
          <cx:pt idx="52">III</cx:pt>
        </cx:lvl>
      </cx:strDim>
      <cx:numDim type="val">
        <cx:f>'Ящик с усами FIGO РЯ'!$J$2:$J$54</cx:f>
        <cx:lvl ptCount="53" formatCode="0,00">
          <cx:pt idx="0">0.95999999999999996</cx:pt>
          <cx:pt idx="1">0.64000000000000001</cx:pt>
          <cx:pt idx="2">0.68000000000000005</cx:pt>
          <cx:pt idx="3">0.39000000000000001</cx:pt>
          <cx:pt idx="4">0.94999999999999996</cx:pt>
          <cx:pt idx="5">0.97999999999999998</cx:pt>
          <cx:pt idx="6">1.4299999999999999</cx:pt>
          <cx:pt idx="7">1.4199999999999999</cx:pt>
          <cx:pt idx="8">0.93999999999999995</cx:pt>
          <cx:pt idx="9">0.73999999999999999</cx:pt>
          <cx:pt idx="10">0.5</cx:pt>
          <cx:pt idx="11">0.78000000000000003</cx:pt>
          <cx:pt idx="12">0.59999999999999998</cx:pt>
          <cx:pt idx="13">0.58999999999999997</cx:pt>
          <cx:pt idx="14">0.83999999999999997</cx:pt>
          <cx:pt idx="15">0.85999999999999999</cx:pt>
          <cx:pt idx="16">1.23</cx:pt>
          <cx:pt idx="17">0.38</cx:pt>
          <cx:pt idx="18">0.70999999999999996</cx:pt>
          <cx:pt idx="19">0.98999999999999999</cx:pt>
          <cx:pt idx="20">0.81999999999999995</cx:pt>
          <cx:pt idx="21">1.1699999999999999</cx:pt>
          <cx:pt idx="22">0.68000000000000005</cx:pt>
          <cx:pt idx="23">0.57999999999999996</cx:pt>
          <cx:pt idx="24">0.46000000000000002</cx:pt>
          <cx:pt idx="25">0.90000000000000002</cx:pt>
          <cx:pt idx="26">0.66000000000000003</cx:pt>
          <cx:pt idx="27">0.63</cx:pt>
          <cx:pt idx="28">0.94999999999999996</cx:pt>
          <cx:pt idx="29">0.53000000000000003</cx:pt>
          <cx:pt idx="30">0.67000000000000004</cx:pt>
          <cx:pt idx="31">1.55</cx:pt>
          <cx:pt idx="32">0.65000000000000002</cx:pt>
          <cx:pt idx="33">0.63</cx:pt>
          <cx:pt idx="34">1.3999999999999999</cx:pt>
          <cx:pt idx="35">1.0700000000000001</cx:pt>
          <cx:pt idx="36">0.89000000000000001</cx:pt>
          <cx:pt idx="37">1.01</cx:pt>
          <cx:pt idx="38">1.6000000000000001</cx:pt>
          <cx:pt idx="39">1.3100000000000001</cx:pt>
          <cx:pt idx="40">1.75</cx:pt>
          <cx:pt idx="41">1.3600000000000001</cx:pt>
          <cx:pt idx="42">0.77000000000000002</cx:pt>
          <cx:pt idx="43">0.91000000000000003</cx:pt>
          <cx:pt idx="44">1.0600000000000001</cx:pt>
          <cx:pt idx="45">0.97999999999999998</cx:pt>
          <cx:pt idx="46">1.4299999999999999</cx:pt>
          <cx:pt idx="47">0.79000000000000004</cx:pt>
          <cx:pt idx="48">1.4299999999999999</cx:pt>
          <cx:pt idx="49">0.67000000000000004</cx:pt>
          <cx:pt idx="50">1.3600000000000001</cx:pt>
          <cx:pt idx="51">1.45</cx:pt>
          <cx:pt idx="52">0.55000000000000004</cx:pt>
        </cx:lvl>
      </cx:numDim>
    </cx:data>
  </cx:chartData>
  <cx:chart>
    <cx:plotArea>
      <cx:plotAreaRegion>
        <cx:series layoutId="boxWhisker" uniqueId="{E5D1D010-BFE0-4A78-8DCD-1ED12E23C652}">
          <cx:tx>
            <cx:txData>
              <cx:f>'Ящик с усами FIGO РЯ'!$J$1</cx:f>
              <cx:v>P</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7"/>
            <cx:dataLabelHidden idx="8"/>
            <cx:dataLabelHidden idx="10"/>
            <cx:dataLabelHidden idx="11"/>
            <cx:dataLabelHidden idx="12"/>
            <cx:dataLabelHidden idx="24"/>
            <cx:dataLabelHidden idx="25"/>
            <cx:dataLabelHidden idx="27"/>
            <cx:dataLabelHidden idx="28"/>
            <cx:dataLabelHidden idx="29"/>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max="1.8"/>
        <cx:title>
          <cx:tx>
            <cx:rich>
              <a:bodyPr spcFirstLastPara="1" vertOverflow="ellipsis" horzOverflow="overflow" wrap="square" lIns="0" tIns="0" rIns="0" bIns="0"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SUV</a:t>
                </a:r>
                <a:r>
                  <a:rPr lang="en-US" sz="1200" b="1" i="0" u="none" strike="noStrike" baseline="-25000">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max</a:t>
                </a:r>
                <a:endParaRPr lang="ru-RU" sz="1200" b="0" i="0" u="none" strike="noStrike" baseline="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29.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Гистология РЯ'!$A$2:$A$54</cx:f>
        <cx:lvl ptCount="53">
          <cx:pt idx="0">Аденокарцинома</cx:pt>
          <cx:pt idx="1">Карцинома</cx:pt>
          <cx:pt idx="2">Карцинома</cx:pt>
          <cx:pt idx="3">Цистаденокарцинома</cx:pt>
          <cx:pt idx="4">Цистаденокарцинома</cx:pt>
          <cx:pt idx="5">Цистаденокарцинома</cx:pt>
          <cx:pt idx="6">Карцинома</cx:pt>
          <cx:pt idx="7">Карцинома</cx:pt>
          <cx:pt idx="8">Аденокарцинома</cx:pt>
          <cx:pt idx="9">Аденокарцинома</cx:pt>
          <cx:pt idx="10">Аденокарцинома</cx:pt>
          <cx:pt idx="11">Аденокарцинома</cx:pt>
          <cx:pt idx="12">Карцинома</cx:pt>
          <cx:pt idx="13">Аденокарцинома</cx:pt>
          <cx:pt idx="14">Аденокарцинома</cx:pt>
          <cx:pt idx="15">Цистаденокарцинома</cx:pt>
          <cx:pt idx="16">Аденокарцинома</cx:pt>
          <cx:pt idx="17">Аденокарцинома</cx:pt>
          <cx:pt idx="18">Цистаденокарцинома</cx:pt>
          <cx:pt idx="19">Аденокарцинома</cx:pt>
          <cx:pt idx="20">Цистаденокарцинома</cx:pt>
          <cx:pt idx="21">Цистаденокарцинома</cx:pt>
          <cx:pt idx="22">Карцинома</cx:pt>
          <cx:pt idx="23">Цистаденокарцинома</cx:pt>
          <cx:pt idx="24">Карцинома</cx:pt>
          <cx:pt idx="25">Аденокарцинома</cx:pt>
          <cx:pt idx="26">Аденокарцинома</cx:pt>
          <cx:pt idx="27">Цистаденокарцинома</cx:pt>
          <cx:pt idx="28">Цистаденокарцинома</cx:pt>
          <cx:pt idx="29">Аденокарцинома</cx:pt>
          <cx:pt idx="30">Цистаденокарцинома</cx:pt>
          <cx:pt idx="31">Аденокарцинома</cx:pt>
          <cx:pt idx="32">Цистаденокарцинома</cx:pt>
          <cx:pt idx="33">Карцинома</cx:pt>
          <cx:pt idx="34">Цистаденокарцинома</cx:pt>
          <cx:pt idx="35">Цистаденокарцинома</cx:pt>
          <cx:pt idx="36">Аденокарцинома</cx:pt>
          <cx:pt idx="37">Аденокарцинома</cx:pt>
          <cx:pt idx="38">Карцинома</cx:pt>
          <cx:pt idx="39">Карцинома</cx:pt>
          <cx:pt idx="40">Аденокарцинома</cx:pt>
          <cx:pt idx="41">Аденокарцинома</cx:pt>
          <cx:pt idx="42">Аденокарцинома</cx:pt>
          <cx:pt idx="43">Карцинома</cx:pt>
          <cx:pt idx="44">Цистаденокарцинома</cx:pt>
          <cx:pt idx="45">Карцинома</cx:pt>
          <cx:pt idx="46">Аденокарцинома</cx:pt>
          <cx:pt idx="47">Карцинома</cx:pt>
          <cx:pt idx="48">Карцинома</cx:pt>
          <cx:pt idx="49">Цистаденокарцинома</cx:pt>
          <cx:pt idx="50">Аденокарцинома</cx:pt>
          <cx:pt idx="51">Цистаденокарцинома</cx:pt>
          <cx:pt idx="52">Карцинома</cx:pt>
        </cx:lvl>
      </cx:strDim>
      <cx:numDim type="val">
        <cx:f>'Ящик с усами Гистология РЯ'!$B$2:$B$54</cx:f>
        <cx:lvl ptCount="53" formatCode="0,00">
          <cx:pt idx="0">0.87</cx:pt>
          <cx:pt idx="1">0.47999999999999998</cx:pt>
          <cx:pt idx="2">1.26</cx:pt>
          <cx:pt idx="3">0.53000000000000003</cx:pt>
          <cx:pt idx="4">0.62</cx:pt>
          <cx:pt idx="5">0.78000000000000003</cx:pt>
          <cx:pt idx="6">0.81000000000000005</cx:pt>
          <cx:pt idx="7">0.42999999999999999</cx:pt>
          <cx:pt idx="8">0.65000000000000002</cx:pt>
          <cx:pt idx="9">0.83999999999999997</cx:pt>
          <cx:pt idx="10">0.57999999999999996</cx:pt>
          <cx:pt idx="11">0.60999999999999999</cx:pt>
          <cx:pt idx="12">0.65000000000000002</cx:pt>
          <cx:pt idx="13">0.56000000000000005</cx:pt>
          <cx:pt idx="14">1.46</cx:pt>
          <cx:pt idx="15">0.79000000000000004</cx:pt>
          <cx:pt idx="16">0.44</cx:pt>
          <cx:pt idx="17">0.60999999999999999</cx:pt>
          <cx:pt idx="18">0.40000000000000002</cx:pt>
          <cx:pt idx="19">0.83999999999999997</cx:pt>
          <cx:pt idx="20">0.65000000000000002</cx:pt>
          <cx:pt idx="21">0.5</cx:pt>
          <cx:pt idx="22">1.29</cx:pt>
          <cx:pt idx="23">0.46000000000000002</cx:pt>
          <cx:pt idx="24">1.52</cx:pt>
          <cx:pt idx="25">0.54000000000000004</cx:pt>
          <cx:pt idx="26">0.19</cx:pt>
          <cx:pt idx="27">1.02</cx:pt>
          <cx:pt idx="28">1.9399999999999999</cx:pt>
          <cx:pt idx="29">0.77000000000000002</cx:pt>
          <cx:pt idx="30">0.69999999999999996</cx:pt>
          <cx:pt idx="31">1.1100000000000001</cx:pt>
          <cx:pt idx="32">1.45</cx:pt>
          <cx:pt idx="33">0.93999999999999995</cx:pt>
          <cx:pt idx="34">1.3</cx:pt>
          <cx:pt idx="35">1.1100000000000001</cx:pt>
          <cx:pt idx="36">1.8300000000000001</cx:pt>
          <cx:pt idx="37">1.05</cx:pt>
          <cx:pt idx="38">0.75</cx:pt>
          <cx:pt idx="39">1.5</cx:pt>
          <cx:pt idx="40">0.68999999999999995</cx:pt>
          <cx:pt idx="41">1.28</cx:pt>
          <cx:pt idx="42">1.3999999999999999</cx:pt>
          <cx:pt idx="43">0.82999999999999996</cx:pt>
          <cx:pt idx="44">1.96</cx:pt>
          <cx:pt idx="45">0.97999999999999998</cx:pt>
          <cx:pt idx="46">0.72999999999999998</cx:pt>
          <cx:pt idx="47">2.1200000000000001</cx:pt>
          <cx:pt idx="48">2.1000000000000001</cx:pt>
          <cx:pt idx="49">1.0600000000000001</cx:pt>
          <cx:pt idx="50">0.68000000000000005</cx:pt>
          <cx:pt idx="51">1.3600000000000001</cx:pt>
          <cx:pt idx="52">0.59999999999999998</cx:pt>
        </cx:lvl>
      </cx:numDim>
    </cx:data>
  </cx:chartData>
  <cx:chart>
    <cx:plotArea>
      <cx:plotAreaRegion>
        <cx:series layoutId="boxWhisker" uniqueId="{35FABAC8-E482-4870-AA05-D61F891360FE}">
          <cx:tx>
            <cx:txData>
              <cx:f>'Ящик с усами Гистология РЯ'!$B$1</cx:f>
              <cx:v>RE</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 idx="62" pos="b">
              <cx:txPr>
                <a:bodyPr vertOverflow="overflow" horzOverflow="overflow" wrap="square" lIns="0" tIns="0" rIns="0" bIns="0"/>
                <a:lstStyle/>
                <a:p>
                  <a:pPr algn="ctr" rtl="0">
                    <a:defRPr/>
                  </a:pPr>
                  <a:r>
                    <a:rPr lang="ru-KZ" sz="1000">
                      <a:solidFill>
                        <a:sysClr val="windowText" lastClr="000000"/>
                      </a:solidFill>
                      <a:latin typeface="Times New Roman" panose="02020603050405020304" pitchFamily="18" charset="0"/>
                      <a:cs typeface="Times New Roman" panose="02020603050405020304" pitchFamily="18" charset="0"/>
                    </a:rPr>
                    <a:t>0,79</a:t>
                  </a:r>
                </a:p>
              </cx:txPr>
              <cx:visibility seriesName="0" categoryName="0" value="1"/>
              <cx:separator>, </cx:separator>
            </cx:dataLabel>
            <cx:dataLabelHidden idx="0"/>
            <cx:dataLabelHidden idx="19"/>
            <cx:dataLabelHidden idx="20"/>
            <cx:dataLabelHidden idx="21"/>
            <cx:dataLabelHidden idx="23"/>
            <cx:dataLabelHidden idx="24"/>
            <cx:dataLabelHidden idx="25"/>
            <cx:dataLabelHidden idx="39"/>
            <cx:dataLabelHidden idx="40"/>
            <cx:dataLabelHidden idx="42"/>
            <cx:dataLabelHidden idx="43"/>
            <cx:dataLabelHidden idx="44"/>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5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5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3.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T РЯ'!$A$2:$A$54</cx:f>
        <cx:lvl ptCount="53">
          <cx:pt idx="0">T1</cx:pt>
          <cx:pt idx="1">T1</cx:pt>
          <cx:pt idx="2">T1</cx:pt>
          <cx:pt idx="3">T1</cx:pt>
          <cx:pt idx="4">T1</cx:pt>
          <cx:pt idx="5">T1</cx:pt>
          <cx:pt idx="6">T1</cx:pt>
          <cx:pt idx="7">T1</cx:pt>
          <cx:pt idx="8">T2</cx:pt>
          <cx:pt idx="9">T2</cx:pt>
          <cx:pt idx="10">T2</cx:pt>
          <cx:pt idx="11">T2</cx:pt>
          <cx:pt idx="12">T2</cx:pt>
          <cx:pt idx="13">T2</cx:pt>
          <cx:pt idx="14">T2</cx:pt>
          <cx:pt idx="15">T2</cx:pt>
          <cx:pt idx="16">T2</cx:pt>
          <cx:pt idx="17">T2</cx:pt>
          <cx:pt idx="18">T2</cx:pt>
          <cx:pt idx="19">T2</cx:pt>
          <cx:pt idx="20">T2</cx:pt>
          <cx:pt idx="21">T2</cx:pt>
          <cx:pt idx="22">T2</cx:pt>
          <cx:pt idx="23">T3</cx:pt>
          <cx:pt idx="24">T3</cx:pt>
          <cx:pt idx="25">T3</cx:pt>
          <cx:pt idx="26">T3</cx:pt>
          <cx:pt idx="27">T3</cx:pt>
          <cx:pt idx="28">T3</cx:pt>
          <cx:pt idx="29">T3</cx:pt>
          <cx:pt idx="30">T3</cx:pt>
          <cx:pt idx="31">T3</cx:pt>
          <cx:pt idx="32">T3</cx:pt>
          <cx:pt idx="33">T3</cx:pt>
          <cx:pt idx="34">T3</cx:pt>
          <cx:pt idx="35">T3</cx:pt>
          <cx:pt idx="36">T3</cx:pt>
          <cx:pt idx="37">T3</cx:pt>
          <cx:pt idx="38">T3</cx:pt>
          <cx:pt idx="39">T3</cx:pt>
          <cx:pt idx="40">T3</cx:pt>
          <cx:pt idx="41">T3</cx:pt>
          <cx:pt idx="42">T3</cx:pt>
          <cx:pt idx="43">T3</cx:pt>
          <cx:pt idx="44">T3</cx:pt>
          <cx:pt idx="45">T3</cx:pt>
          <cx:pt idx="46">T3</cx:pt>
          <cx:pt idx="47">T3</cx:pt>
          <cx:pt idx="48">T3</cx:pt>
          <cx:pt idx="49">T3</cx:pt>
          <cx:pt idx="50">T3</cx:pt>
          <cx:pt idx="51">T4</cx:pt>
          <cx:pt idx="52">T4</cx:pt>
        </cx:lvl>
      </cx:strDim>
      <cx:numDim type="val">
        <cx:f>'Ящик с усами T РЯ'!$C$2:$C$54</cx:f>
        <cx:lvl ptCount="53" formatCode="0,00">
          <cx:pt idx="0">0.66000000000000003</cx:pt>
          <cx:pt idx="1">0.63</cx:pt>
          <cx:pt idx="2">0.94999999999999996</cx:pt>
          <cx:pt idx="3">0.40999999999999998</cx:pt>
          <cx:pt idx="4">0.68000000000000005</cx:pt>
          <cx:pt idx="5">1.71</cx:pt>
          <cx:pt idx="6">1.25</cx:pt>
          <cx:pt idx="7">0.96999999999999997</cx:pt>
          <cx:pt idx="8">0.59999999999999998</cx:pt>
          <cx:pt idx="9">0.5</cx:pt>
          <cx:pt idx="10">0.42999999999999999</cx:pt>
          <cx:pt idx="11">0.37</cx:pt>
          <cx:pt idx="12">0.73999999999999999</cx:pt>
          <cx:pt idx="13">0.78000000000000003</cx:pt>
          <cx:pt idx="14">0.54000000000000004</cx:pt>
          <cx:pt idx="15">0.62</cx:pt>
          <cx:pt idx="16">2</cx:pt>
          <cx:pt idx="17">0.56000000000000005</cx:pt>
          <cx:pt idx="18">1.48</cx:pt>
          <cx:pt idx="19">0.78000000000000003</cx:pt>
          <cx:pt idx="20">0.89000000000000001</cx:pt>
          <cx:pt idx="21">0.82999999999999996</cx:pt>
          <cx:pt idx="22">0.85999999999999999</cx:pt>
          <cx:pt idx="23">0.78000000000000003</cx:pt>
          <cx:pt idx="24">0.38</cx:pt>
          <cx:pt idx="25">0.39000000000000001</cx:pt>
          <cx:pt idx="26">0.53000000000000003</cx:pt>
          <cx:pt idx="27">0.75</cx:pt>
          <cx:pt idx="28">0.68000000000000005</cx:pt>
          <cx:pt idx="29">0.54000000000000004</cx:pt>
          <cx:pt idx="30">0.57999999999999996</cx:pt>
          <cx:pt idx="31">0.41999999999999998</cx:pt>
          <cx:pt idx="32">0.48999999999999999</cx:pt>
          <cx:pt idx="33">1.3799999999999999</cx:pt>
          <cx:pt idx="34">0.40999999999999998</cx:pt>
          <cx:pt idx="35">0.40000000000000002</cx:pt>
          <cx:pt idx="36">0.78000000000000003</cx:pt>
          <cx:pt idx="37">0.93999999999999995</cx:pt>
          <cx:pt idx="38">1.9299999999999999</cx:pt>
          <cx:pt idx="39">1.6299999999999999</cx:pt>
          <cx:pt idx="40">1.1100000000000001</cx:pt>
          <cx:pt idx="41">0.47999999999999998</cx:pt>
          <cx:pt idx="42">0.54000000000000004</cx:pt>
          <cx:pt idx="43">0.98999999999999999</cx:pt>
          <cx:pt idx="44">1.1499999999999999</cx:pt>
          <cx:pt idx="45">1.0900000000000001</cx:pt>
          <cx:pt idx="46">1.1899999999999999</cx:pt>
          <cx:pt idx="47">0.80000000000000004</cx:pt>
          <cx:pt idx="48">1.4099999999999999</cx:pt>
          <cx:pt idx="49">0.63</cx:pt>
          <cx:pt idx="50">0.42999999999999999</cx:pt>
          <cx:pt idx="51">1.1799999999999999</cx:pt>
          <cx:pt idx="52">1.76</cx:pt>
        </cx:lvl>
      </cx:numDim>
    </cx:data>
  </cx:chartData>
  <cx:chart>
    <cx:plotArea>
      <cx:plotAreaRegion>
        <cx:series layoutId="boxWhisker" uniqueId="{E3EE0749-F40A-4E85-9FB5-18F5B3F07B5F}">
          <cx:tx>
            <cx:txData>
              <cx:f>'Ящик с усами T РЯ'!$C$1</cx:f>
              <cx:v>RLH</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7"/>
            <cx:dataLabelHidden idx="8"/>
            <cx:dataLabelHidden idx="10"/>
            <cx:dataLabelHidden idx="11"/>
            <cx:dataLabelHidden idx="12"/>
            <cx:dataLabelHidden idx="24"/>
            <cx:dataLabelHidden idx="25"/>
            <cx:dataLabelHidden idx="26"/>
            <cx:dataLabelHidden idx="27"/>
            <cx:dataLabelHidden idx="29"/>
            <cx:dataLabelHidden idx="30"/>
            <cx:dataLabelHidden idx="31"/>
            <cx:dataLabelHidden idx="58"/>
            <cx:dataLabelHidden idx="59"/>
            <cx:dataLabelHidden idx="61"/>
            <cx:dataLabelHidden idx="62"/>
            <cx:dataLabelHidden idx="63"/>
            <cx:dataLabelHidden idx="64"/>
            <cx:dataLabelHidden idx="65"/>
            <cx:dataLabelHidden idx="67"/>
            <cx:dataLabelHidden idx="68"/>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spcFirstLastPara="1" vertOverflow="ellipsis" horzOverflow="overflow" wrap="square" lIns="0" tIns="0" rIns="0" bIns="0" anchor="ctr" anchorCtr="1"/>
              <a:lstStyle/>
              <a:p>
                <a:pPr rtl="0">
                  <a:defRPr sz="110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100" b="1" i="0" baseline="0">
                    <a:solidFill>
                      <a:sysClr val="windowText" lastClr="000000"/>
                    </a:solidFill>
                    <a:effectLst/>
                    <a:latin typeface="Times New Roman" panose="02020603050405020304" pitchFamily="18" charset="0"/>
                    <a:cs typeface="Times New Roman" panose="02020603050405020304" pitchFamily="18" charset="0"/>
                  </a:rPr>
                  <a:t>SUV</a:t>
                </a:r>
                <a:r>
                  <a:rPr lang="en-US" sz="1100" b="1" i="0" baseline="-25000">
                    <a:solidFill>
                      <a:sysClr val="windowText" lastClr="000000"/>
                    </a:solidFill>
                    <a:effectLst/>
                    <a:latin typeface="Times New Roman" panose="02020603050405020304" pitchFamily="18" charset="0"/>
                    <a:cs typeface="Times New Roman" panose="02020603050405020304" pitchFamily="18" charset="0"/>
                  </a:rPr>
                  <a:t>max</a:t>
                </a:r>
                <a:endParaRPr lang="ru-KZ" sz="1100">
                  <a:solidFill>
                    <a:sysClr val="windowText" lastClr="000000"/>
                  </a:solidFill>
                  <a:effectLst/>
                  <a:latin typeface="Times New Roman" panose="02020603050405020304" pitchFamily="18" charset="0"/>
                  <a:cs typeface="Times New Roman" panose="02020603050405020304" pitchFamily="18" charset="0"/>
                </a:endParaRPr>
              </a:p>
            </cx:rich>
          </cx:tx>
        </cx:title>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30.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Гистология РЯ'!$A$2:$A$54</cx:f>
        <cx:lvl ptCount="53">
          <cx:pt idx="0">Аденокарцинома</cx:pt>
          <cx:pt idx="1">Карцинома</cx:pt>
          <cx:pt idx="2">Карцинома</cx:pt>
          <cx:pt idx="3">Цистаденокарцинома</cx:pt>
          <cx:pt idx="4">Цистаденокарцинома</cx:pt>
          <cx:pt idx="5">Цистаденокарцинома</cx:pt>
          <cx:pt idx="6">Карцинома</cx:pt>
          <cx:pt idx="7">Карцинома</cx:pt>
          <cx:pt idx="8">Аденокарцинома</cx:pt>
          <cx:pt idx="9">Аденокарцинома</cx:pt>
          <cx:pt idx="10">Аденокарцинома</cx:pt>
          <cx:pt idx="11">Аденокарцинома</cx:pt>
          <cx:pt idx="12">Карцинома</cx:pt>
          <cx:pt idx="13">Аденокарцинома</cx:pt>
          <cx:pt idx="14">Аденокарцинома</cx:pt>
          <cx:pt idx="15">Цистаденокарцинома</cx:pt>
          <cx:pt idx="16">Аденокарцинома</cx:pt>
          <cx:pt idx="17">Аденокарцинома</cx:pt>
          <cx:pt idx="18">Цистаденокарцинома</cx:pt>
          <cx:pt idx="19">Аденокарцинома</cx:pt>
          <cx:pt idx="20">Цистаденокарцинома</cx:pt>
          <cx:pt idx="21">Цистаденокарцинома</cx:pt>
          <cx:pt idx="22">Карцинома</cx:pt>
          <cx:pt idx="23">Цистаденокарцинома</cx:pt>
          <cx:pt idx="24">Карцинома</cx:pt>
          <cx:pt idx="25">Аденокарцинома</cx:pt>
          <cx:pt idx="26">Аденокарцинома</cx:pt>
          <cx:pt idx="27">Цистаденокарцинома</cx:pt>
          <cx:pt idx="28">Цистаденокарцинома</cx:pt>
          <cx:pt idx="29">Аденокарцинома</cx:pt>
          <cx:pt idx="30">Цистаденокарцинома</cx:pt>
          <cx:pt idx="31">Аденокарцинома</cx:pt>
          <cx:pt idx="32">Цистаденокарцинома</cx:pt>
          <cx:pt idx="33">Карцинома</cx:pt>
          <cx:pt idx="34">Цистаденокарцинома</cx:pt>
          <cx:pt idx="35">Цистаденокарцинома</cx:pt>
          <cx:pt idx="36">Аденокарцинома</cx:pt>
          <cx:pt idx="37">Аденокарцинома</cx:pt>
          <cx:pt idx="38">Карцинома</cx:pt>
          <cx:pt idx="39">Карцинома</cx:pt>
          <cx:pt idx="40">Аденокарцинома</cx:pt>
          <cx:pt idx="41">Аденокарцинома</cx:pt>
          <cx:pt idx="42">Аденокарцинома</cx:pt>
          <cx:pt idx="43">Карцинома</cx:pt>
          <cx:pt idx="44">Цистаденокарцинома</cx:pt>
          <cx:pt idx="45">Карцинома</cx:pt>
          <cx:pt idx="46">Аденокарцинома</cx:pt>
          <cx:pt idx="47">Карцинома</cx:pt>
          <cx:pt idx="48">Карцинома</cx:pt>
          <cx:pt idx="49">Цистаденокарцинома</cx:pt>
          <cx:pt idx="50">Аденокарцинома</cx:pt>
          <cx:pt idx="51">Цистаденокарцинома</cx:pt>
          <cx:pt idx="52">Карцинома</cx:pt>
        </cx:lvl>
      </cx:strDim>
      <cx:numDim type="val">
        <cx:f>'Ящик с усами Гистология РЯ'!$C$2:$C$54</cx:f>
        <cx:lvl ptCount="53" formatCode="0,00">
          <cx:pt idx="0">0.78000000000000003</cx:pt>
          <cx:pt idx="1">0.59999999999999998</cx:pt>
          <cx:pt idx="2">0.38</cx:pt>
          <cx:pt idx="3">0.39000000000000001</cx:pt>
          <cx:pt idx="4">0.66000000000000003</cx:pt>
          <cx:pt idx="5">0.53000000000000003</cx:pt>
          <cx:pt idx="6">0.5</cx:pt>
          <cx:pt idx="7">0.42999999999999999</cx:pt>
          <cx:pt idx="8">0.63</cx:pt>
          <cx:pt idx="9">0.75</cx:pt>
          <cx:pt idx="10">0.68000000000000005</cx:pt>
          <cx:pt idx="11">0.37</cx:pt>
          <cx:pt idx="12">0.54000000000000004</cx:pt>
          <cx:pt idx="13">0.57999999999999996</cx:pt>
          <cx:pt idx="14">0.41999999999999998</cx:pt>
          <cx:pt idx="15">0.73999999999999999</cx:pt>
          <cx:pt idx="16">0.78000000000000003</cx:pt>
          <cx:pt idx="17">0.94999999999999996</cx:pt>
          <cx:pt idx="18">0.40999999999999998</cx:pt>
          <cx:pt idx="19">0.54000000000000004</cx:pt>
          <cx:pt idx="20">0.48999999999999999</cx:pt>
          <cx:pt idx="21">0.62</cx:pt>
          <cx:pt idx="22">1.3799999999999999</cx:pt>
          <cx:pt idx="23">0.40999999999999998</cx:pt>
          <cx:pt idx="24">2</cx:pt>
          <cx:pt idx="25">0.56000000000000005</cx:pt>
          <cx:pt idx="26">0.40000000000000002</cx:pt>
          <cx:pt idx="27">0.68000000000000005</cx:pt>
          <cx:pt idx="28">1.48</cx:pt>
          <cx:pt idx="29">0.78000000000000003</cx:pt>
          <cx:pt idx="30">0.78000000000000003</cx:pt>
          <cx:pt idx="31">0.93999999999999995</cx:pt>
          <cx:pt idx="32">1.1799999999999999</cx:pt>
          <cx:pt idx="33">1.71</cx:pt>
          <cx:pt idx="34">1.9299999999999999</cx:pt>
          <cx:pt idx="35">0.89000000000000001</cx:pt>
          <cx:pt idx="36">1.25</cx:pt>
          <cx:pt idx="37">1.6299999999999999</cx:pt>
          <cx:pt idx="38">1.76</cx:pt>
          <cx:pt idx="39">1.1100000000000001</cx:pt>
          <cx:pt idx="40">0.47999999999999998</cx:pt>
          <cx:pt idx="41">0.54000000000000004</cx:pt>
          <cx:pt idx="42">0.98999999999999999</cx:pt>
          <cx:pt idx="43">1.1499999999999999</cx:pt>
          <cx:pt idx="44">0.82999999999999996</cx:pt>
          <cx:pt idx="45">0.85999999999999999</cx:pt>
          <cx:pt idx="46">1.0900000000000001</cx:pt>
          <cx:pt idx="47">1.1899999999999999</cx:pt>
          <cx:pt idx="48">0.96999999999999997</cx:pt>
          <cx:pt idx="49">0.80000000000000004</cx:pt>
          <cx:pt idx="50">1.4099999999999999</cx:pt>
          <cx:pt idx="51">0.63</cx:pt>
          <cx:pt idx="52">0.42999999999999999</cx:pt>
        </cx:lvl>
      </cx:numDim>
    </cx:data>
  </cx:chartData>
  <cx:chart>
    <cx:plotArea>
      <cx:plotAreaRegion>
        <cx:series layoutId="boxWhisker" uniqueId="{E0481635-4952-49F4-8BF9-3C747BC1B59B}">
          <cx:tx>
            <cx:txData>
              <cx:f>'Ящик с усами Гистология РЯ'!$C$1</cx:f>
              <cx:v>RLH</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9"/>
            <cx:dataLabelHidden idx="20"/>
            <cx:dataLabelHidden idx="21"/>
            <cx:dataLabelHidden idx="23"/>
            <cx:dataLabelHidden idx="24"/>
            <cx:dataLabelHidden idx="25"/>
            <cx:dataLabelHidden idx="39"/>
            <cx:dataLabelHidden idx="40"/>
            <cx:dataLabelHidden idx="42"/>
            <cx:dataLabelHidden idx="43"/>
            <cx:dataLabelHidden idx="44"/>
            <cx:dataLabelHidden idx="58"/>
            <cx:dataLabelHidden idx="59"/>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5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5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3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Гистология РЯ'!$A$2:$A$54</cx:f>
        <cx:lvl ptCount="53">
          <cx:pt idx="0">Аденокарцинома</cx:pt>
          <cx:pt idx="1">Карцинома</cx:pt>
          <cx:pt idx="2">Карцинома</cx:pt>
          <cx:pt idx="3">Цистаденокарцинома</cx:pt>
          <cx:pt idx="4">Цистаденокарцинома</cx:pt>
          <cx:pt idx="5">Цистаденокарцинома</cx:pt>
          <cx:pt idx="6">Карцинома</cx:pt>
          <cx:pt idx="7">Карцинома</cx:pt>
          <cx:pt idx="8">Аденокарцинома</cx:pt>
          <cx:pt idx="9">Аденокарцинома</cx:pt>
          <cx:pt idx="10">Аденокарцинома</cx:pt>
          <cx:pt idx="11">Аденокарцинома</cx:pt>
          <cx:pt idx="12">Карцинома</cx:pt>
          <cx:pt idx="13">Аденокарцинома</cx:pt>
          <cx:pt idx="14">Аденокарцинома</cx:pt>
          <cx:pt idx="15">Цистаденокарцинома</cx:pt>
          <cx:pt idx="16">Аденокарцинома</cx:pt>
          <cx:pt idx="17">Аденокарцинома</cx:pt>
          <cx:pt idx="18">Цистаденокарцинома</cx:pt>
          <cx:pt idx="19">Аденокарцинома</cx:pt>
          <cx:pt idx="20">Цистаденокарцинома</cx:pt>
          <cx:pt idx="21">Цистаденокарцинома</cx:pt>
          <cx:pt idx="22">Карцинома</cx:pt>
          <cx:pt idx="23">Цистаденокарцинома</cx:pt>
          <cx:pt idx="24">Карцинома</cx:pt>
          <cx:pt idx="25">Аденокарцинома</cx:pt>
          <cx:pt idx="26">Аденокарцинома</cx:pt>
          <cx:pt idx="27">Цистаденокарцинома</cx:pt>
          <cx:pt idx="28">Цистаденокарцинома</cx:pt>
          <cx:pt idx="29">Аденокарцинома</cx:pt>
          <cx:pt idx="30">Цистаденокарцинома</cx:pt>
          <cx:pt idx="31">Аденокарцинома</cx:pt>
          <cx:pt idx="32">Цистаденокарцинома</cx:pt>
          <cx:pt idx="33">Карцинома</cx:pt>
          <cx:pt idx="34">Цистаденокарцинома</cx:pt>
          <cx:pt idx="35">Цистаденокарцинома</cx:pt>
          <cx:pt idx="36">Аденокарцинома</cx:pt>
          <cx:pt idx="37">Аденокарцинома</cx:pt>
          <cx:pt idx="38">Карцинома</cx:pt>
          <cx:pt idx="39">Карцинома</cx:pt>
          <cx:pt idx="40">Аденокарцинома</cx:pt>
          <cx:pt idx="41">Аденокарцинома</cx:pt>
          <cx:pt idx="42">Аденокарцинома</cx:pt>
          <cx:pt idx="43">Карцинома</cx:pt>
          <cx:pt idx="44">Цистаденокарцинома</cx:pt>
          <cx:pt idx="45">Карцинома</cx:pt>
          <cx:pt idx="46">Аденокарцинома</cx:pt>
          <cx:pt idx="47">Карцинома</cx:pt>
          <cx:pt idx="48">Карцинома</cx:pt>
          <cx:pt idx="49">Цистаденокарцинома</cx:pt>
          <cx:pt idx="50">Аденокарцинома</cx:pt>
          <cx:pt idx="51">Цистаденокарцинома</cx:pt>
          <cx:pt idx="52">Карцинома</cx:pt>
        </cx:lvl>
      </cx:strDim>
      <cx:numDim type="val">
        <cx:f>'Ящик с усами Гистология РЯ'!$D$2:$D$54</cx:f>
        <cx:lvl ptCount="53" formatCode="0,00">
          <cx:pt idx="0">0.90000000000000002</cx:pt>
          <cx:pt idx="1">0.79000000000000004</cx:pt>
          <cx:pt idx="2">0.81999999999999995</cx:pt>
          <cx:pt idx="3">0.56000000000000005</cx:pt>
          <cx:pt idx="4">0.71999999999999997</cx:pt>
          <cx:pt idx="5">0.95999999999999996</cx:pt>
          <cx:pt idx="6">0.96999999999999997</cx:pt>
          <cx:pt idx="7">0.68000000000000005</cx:pt>
          <cx:pt idx="8">0.58999999999999997</cx:pt>
          <cx:pt idx="9">0.77000000000000002</cx:pt>
          <cx:pt idx="10">1.05</cx:pt>
          <cx:pt idx="11">0.71999999999999997</cx:pt>
          <cx:pt idx="12">1.0600000000000001</cx:pt>
          <cx:pt idx="13">0.66000000000000003</cx:pt>
          <cx:pt idx="14">0.65000000000000002</cx:pt>
          <cx:pt idx="15">0.72999999999999998</cx:pt>
          <cx:pt idx="16">0.55000000000000004</cx:pt>
          <cx:pt idx="17">0.71999999999999997</cx:pt>
          <cx:pt idx="18">0.42999999999999999</cx:pt>
          <cx:pt idx="19">0.92000000000000004</cx:pt>
          <cx:pt idx="20">0.56000000000000005</cx:pt>
          <cx:pt idx="21">0.93999999999999995</cx:pt>
          <cx:pt idx="22">1.55</cx:pt>
          <cx:pt idx="23">0.79000000000000004</cx:pt>
          <cx:pt idx="24">1.21</cx:pt>
          <cx:pt idx="25">0.81999999999999995</cx:pt>
          <cx:pt idx="26">0.46999999999999997</cx:pt>
          <cx:pt idx="27">0.67000000000000004</cx:pt>
          <cx:pt idx="28">2.0800000000000001</cx:pt>
          <cx:pt idx="29">1.1399999999999999</cx:pt>
          <cx:pt idx="30">1.46</cx:pt>
          <cx:pt idx="31">1.5</cx:pt>
          <cx:pt idx="32">1.05</cx:pt>
          <cx:pt idx="33">1.3799999999999999</cx:pt>
          <cx:pt idx="34">2.7799999999999998</cx:pt>
          <cx:pt idx="35">1.5700000000000001</cx:pt>
          <cx:pt idx="36">1.28</cx:pt>
          <cx:pt idx="37">0.96999999999999997</cx:pt>
          <cx:pt idx="38">1.1299999999999999</cx:pt>
          <cx:pt idx="39">1.4199999999999999</cx:pt>
          <cx:pt idx="40">0.47999999999999998</cx:pt>
          <cx:pt idx="41">1.02</cx:pt>
          <cx:pt idx="42">1.1200000000000001</cx:pt>
          <cx:pt idx="43">0.89000000000000001</cx:pt>
          <cx:pt idx="44">2.0800000000000001</cx:pt>
          <cx:pt idx="45">0.79000000000000004</cx:pt>
          <cx:pt idx="46">0.97999999999999998</cx:pt>
          <cx:pt idx="47">1.1699999999999999</cx:pt>
          <cx:pt idx="48">1.27</cx:pt>
          <cx:pt idx="49">1.45</cx:pt>
          <cx:pt idx="50">1.4099999999999999</cx:pt>
          <cx:pt idx="51">1.79</cx:pt>
          <cx:pt idx="52">0.56000000000000005</cx:pt>
        </cx:lvl>
      </cx:numDim>
    </cx:data>
  </cx:chartData>
  <cx:chart>
    <cx:plotArea>
      <cx:plotAreaRegion>
        <cx:series layoutId="boxWhisker" uniqueId="{4E0FC030-3896-4B25-815F-BCE0922F01BE}">
          <cx:tx>
            <cx:txData>
              <cx:f>'Ящик с усами Гистология РЯ'!$D$1</cx:f>
              <cx:v>RRL</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0"/>
            <cx:dataLabelHidden idx="21"/>
            <cx:dataLabelHidden idx="23"/>
            <cx:dataLabelHidden idx="24"/>
            <cx:dataLabelHidden idx="25"/>
            <cx:dataLabelHidden idx="39"/>
            <cx:dataLabelHidden idx="40"/>
            <cx:dataLabelHidden idx="42"/>
            <cx:dataLabelHidden idx="43"/>
            <cx:dataLabelHidden idx="44"/>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5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5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32.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Гистология РЯ'!$A$2:$A$54</cx:f>
        <cx:lvl ptCount="53">
          <cx:pt idx="0">Аденокарцинома</cx:pt>
          <cx:pt idx="1">Карцинома</cx:pt>
          <cx:pt idx="2">Карцинома</cx:pt>
          <cx:pt idx="3">Цистаденокарцинома</cx:pt>
          <cx:pt idx="4">Цистаденокарцинома</cx:pt>
          <cx:pt idx="5">Цистаденокарцинома</cx:pt>
          <cx:pt idx="6">Карцинома</cx:pt>
          <cx:pt idx="7">Карцинома</cx:pt>
          <cx:pt idx="8">Аденокарцинома</cx:pt>
          <cx:pt idx="9">Аденокарцинома</cx:pt>
          <cx:pt idx="10">Аденокарцинома</cx:pt>
          <cx:pt idx="11">Аденокарцинома</cx:pt>
          <cx:pt idx="12">Карцинома</cx:pt>
          <cx:pt idx="13">Аденокарцинома</cx:pt>
          <cx:pt idx="14">Аденокарцинома</cx:pt>
          <cx:pt idx="15">Цистаденокарцинома</cx:pt>
          <cx:pt idx="16">Аденокарцинома</cx:pt>
          <cx:pt idx="17">Аденокарцинома</cx:pt>
          <cx:pt idx="18">Цистаденокарцинома</cx:pt>
          <cx:pt idx="19">Аденокарцинома</cx:pt>
          <cx:pt idx="20">Цистаденокарцинома</cx:pt>
          <cx:pt idx="21">Цистаденокарцинома</cx:pt>
          <cx:pt idx="22">Карцинома</cx:pt>
          <cx:pt idx="23">Цистаденокарцинома</cx:pt>
          <cx:pt idx="24">Карцинома</cx:pt>
          <cx:pt idx="25">Аденокарцинома</cx:pt>
          <cx:pt idx="26">Аденокарцинома</cx:pt>
          <cx:pt idx="27">Цистаденокарцинома</cx:pt>
          <cx:pt idx="28">Цистаденокарцинома</cx:pt>
          <cx:pt idx="29">Аденокарцинома</cx:pt>
          <cx:pt idx="30">Цистаденокарцинома</cx:pt>
          <cx:pt idx="31">Аденокарцинома</cx:pt>
          <cx:pt idx="32">Цистаденокарцинома</cx:pt>
          <cx:pt idx="33">Карцинома</cx:pt>
          <cx:pt idx="34">Цистаденокарцинома</cx:pt>
          <cx:pt idx="35">Цистаденокарцинома</cx:pt>
          <cx:pt idx="36">Аденокарцинома</cx:pt>
          <cx:pt idx="37">Аденокарцинома</cx:pt>
          <cx:pt idx="38">Карцинома</cx:pt>
          <cx:pt idx="39">Карцинома</cx:pt>
          <cx:pt idx="40">Аденокарцинома</cx:pt>
          <cx:pt idx="41">Аденокарцинома</cx:pt>
          <cx:pt idx="42">Аденокарцинома</cx:pt>
          <cx:pt idx="43">Карцинома</cx:pt>
          <cx:pt idx="44">Цистаденокарцинома</cx:pt>
          <cx:pt idx="45">Карцинома</cx:pt>
          <cx:pt idx="46">Аденокарцинома</cx:pt>
          <cx:pt idx="47">Карцинома</cx:pt>
          <cx:pt idx="48">Карцинома</cx:pt>
          <cx:pt idx="49">Цистаденокарцинома</cx:pt>
          <cx:pt idx="50">Аденокарцинома</cx:pt>
          <cx:pt idx="51">Цистаденокарцинома</cx:pt>
          <cx:pt idx="52">Карцинома</cx:pt>
        </cx:lvl>
      </cx:strDim>
      <cx:numDim type="val">
        <cx:f>'Ящик с усами Гистология РЯ'!$E$2:$E$54</cx:f>
        <cx:lvl ptCount="53" formatCode="0,00">
          <cx:pt idx="0">0.93999999999999995</cx:pt>
          <cx:pt idx="1">1.1000000000000001</cx:pt>
          <cx:pt idx="2">0.85999999999999999</cx:pt>
          <cx:pt idx="3">0.69999999999999996</cx:pt>
          <cx:pt idx="4">0.64000000000000001</cx:pt>
          <cx:pt idx="5">0.62</cx:pt>
          <cx:pt idx="6">0.52000000000000002</cx:pt>
          <cx:pt idx="7">0.58999999999999997</cx:pt>
          <cx:pt idx="8">1.02</cx:pt>
          <cx:pt idx="9">0.56000000000000005</cx:pt>
          <cx:pt idx="10">0.93999999999999995</cx:pt>
          <cx:pt idx="11">0.64000000000000001</cx:pt>
          <cx:pt idx="12">0.72999999999999998</cx:pt>
          <cx:pt idx="13">0.53000000000000003</cx:pt>
          <cx:pt idx="14">0.68999999999999995</cx:pt>
          <cx:pt idx="15">0.47999999999999998</cx:pt>
          <cx:pt idx="16">0.72999999999999998</cx:pt>
          <cx:pt idx="17">0.70999999999999996</cx:pt>
          <cx:pt idx="18">0.33000000000000002</cx:pt>
          <cx:pt idx="19">0.75</cx:pt>
          <cx:pt idx="20">0.54000000000000004</cx:pt>
          <cx:pt idx="21">0.68000000000000005</cx:pt>
          <cx:pt idx="22">1.1699999999999999</cx:pt>
          <cx:pt idx="23">0.71999999999999997</cx:pt>
          <cx:pt idx="24">1.1000000000000001</cx:pt>
          <cx:pt idx="25">0.65000000000000002</cx:pt>
          <cx:pt idx="26">0.32000000000000001</cx:pt>
          <cx:pt idx="27">0.76000000000000001</cx:pt>
          <cx:pt idx="28">1.3899999999999999</cx:pt>
          <cx:pt idx="29">0.64000000000000001</cx:pt>
          <cx:pt idx="30">1.76</cx:pt>
          <cx:pt idx="31">1.03</cx:pt>
          <cx:pt idx="32">1.0700000000000001</cx:pt>
          <cx:pt idx="33">0.87</cx:pt>
          <cx:pt idx="34">1.47</cx:pt>
          <cx:pt idx="35">0.91000000000000003</cx:pt>
          <cx:pt idx="36">1.3100000000000001</cx:pt>
          <cx:pt idx="37">1.29</cx:pt>
          <cx:pt idx="38">0.82999999999999996</cx:pt>
          <cx:pt idx="39">2.1499999999999999</cx:pt>
          <cx:pt idx="40">0.40999999999999998</cx:pt>
          <cx:pt idx="41">1.45</cx:pt>
          <cx:pt idx="42">1.1599999999999999</cx:pt>
          <cx:pt idx="43">0.77000000000000002</cx:pt>
          <cx:pt idx="44">1.5800000000000001</cx:pt>
          <cx:pt idx="45">0.68999999999999995</cx:pt>
          <cx:pt idx="46">1.21</cx:pt>
          <cx:pt idx="47">0.70999999999999996</cx:pt>
          <cx:pt idx="48">1.26</cx:pt>
          <cx:pt idx="49">0.65000000000000002</cx:pt>
          <cx:pt idx="50">1.26</cx:pt>
          <cx:pt idx="51">1.5700000000000001</cx:pt>
          <cx:pt idx="52">0.28000000000000003</cx:pt>
        </cx:lvl>
      </cx:numDim>
    </cx:data>
  </cx:chartData>
  <cx:chart>
    <cx:plotArea>
      <cx:plotAreaRegion>
        <cx:series layoutId="boxWhisker" uniqueId="{181CA269-E500-47C9-8658-A667841CA45E}">
          <cx:tx>
            <cx:txData>
              <cx:f>'Ящик с усами Гистология РЯ'!$E$1</cx:f>
              <cx:v>RU</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0"/>
            <cx:dataLabelHidden idx="21"/>
            <cx:dataLabelHidden idx="23"/>
            <cx:dataLabelHidden idx="24"/>
            <cx:dataLabelHidden idx="25"/>
            <cx:dataLabelHidden idx="38"/>
            <cx:dataLabelHidden idx="39"/>
            <cx:dataLabelHidden idx="40"/>
            <cx:dataLabelHidden idx="42"/>
            <cx:dataLabelHidden idx="43"/>
            <cx:dataLabelHidden idx="44"/>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5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5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33.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Гистология РЯ'!$A$2:$A$54</cx:f>
        <cx:lvl ptCount="53">
          <cx:pt idx="0">Аденокарцинома</cx:pt>
          <cx:pt idx="1">Карцинома</cx:pt>
          <cx:pt idx="2">Карцинома</cx:pt>
          <cx:pt idx="3">Цистаденокарцинома</cx:pt>
          <cx:pt idx="4">Цистаденокарцинома</cx:pt>
          <cx:pt idx="5">Цистаденокарцинома</cx:pt>
          <cx:pt idx="6">Карцинома</cx:pt>
          <cx:pt idx="7">Карцинома</cx:pt>
          <cx:pt idx="8">Аденокарцинома</cx:pt>
          <cx:pt idx="9">Аденокарцинома</cx:pt>
          <cx:pt idx="10">Аденокарцинома</cx:pt>
          <cx:pt idx="11">Аденокарцинома</cx:pt>
          <cx:pt idx="12">Карцинома</cx:pt>
          <cx:pt idx="13">Аденокарцинома</cx:pt>
          <cx:pt idx="14">Аденокарцинома</cx:pt>
          <cx:pt idx="15">Цистаденокарцинома</cx:pt>
          <cx:pt idx="16">Аденокарцинома</cx:pt>
          <cx:pt idx="17">Аденокарцинома</cx:pt>
          <cx:pt idx="18">Цистаденокарцинома</cx:pt>
          <cx:pt idx="19">Аденокарцинома</cx:pt>
          <cx:pt idx="20">Цистаденокарцинома</cx:pt>
          <cx:pt idx="21">Цистаденокарцинома</cx:pt>
          <cx:pt idx="22">Карцинома</cx:pt>
          <cx:pt idx="23">Цистаденокарцинома</cx:pt>
          <cx:pt idx="24">Карцинома</cx:pt>
          <cx:pt idx="25">Аденокарцинома</cx:pt>
          <cx:pt idx="26">Аденокарцинома</cx:pt>
          <cx:pt idx="27">Цистаденокарцинома</cx:pt>
          <cx:pt idx="28">Цистаденокарцинома</cx:pt>
          <cx:pt idx="29">Аденокарцинома</cx:pt>
          <cx:pt idx="30">Цистаденокарцинома</cx:pt>
          <cx:pt idx="31">Аденокарцинома</cx:pt>
          <cx:pt idx="32">Цистаденокарцинома</cx:pt>
          <cx:pt idx="33">Карцинома</cx:pt>
          <cx:pt idx="34">Цистаденокарцинома</cx:pt>
          <cx:pt idx="35">Цистаденокарцинома</cx:pt>
          <cx:pt idx="36">Аденокарцинома</cx:pt>
          <cx:pt idx="37">Аденокарцинома</cx:pt>
          <cx:pt idx="38">Карцинома</cx:pt>
          <cx:pt idx="39">Карцинома</cx:pt>
          <cx:pt idx="40">Аденокарцинома</cx:pt>
          <cx:pt idx="41">Аденокарцинома</cx:pt>
          <cx:pt idx="42">Аденокарцинома</cx:pt>
          <cx:pt idx="43">Карцинома</cx:pt>
          <cx:pt idx="44">Цистаденокарцинома</cx:pt>
          <cx:pt idx="45">Карцинома</cx:pt>
          <cx:pt idx="46">Аденокарцинома</cx:pt>
          <cx:pt idx="47">Карцинома</cx:pt>
          <cx:pt idx="48">Карцинома</cx:pt>
          <cx:pt idx="49">Цистаденокарцинома</cx:pt>
          <cx:pt idx="50">Аденокарцинома</cx:pt>
          <cx:pt idx="51">Цистаденокарцинома</cx:pt>
          <cx:pt idx="52">Карцинома</cx:pt>
        </cx:lvl>
      </cx:strDim>
      <cx:numDim type="val">
        <cx:f>'Ящик с усами Гистология РЯ'!$F$2:$F$54</cx:f>
        <cx:lvl ptCount="53" formatCode="0,00">
          <cx:pt idx="0">1.1499999999999999</cx:pt>
          <cx:pt idx="1">0.85999999999999999</cx:pt>
          <cx:pt idx="2">0.68999999999999995</cx:pt>
          <cx:pt idx="3">1</cx:pt>
          <cx:pt idx="4">0.75</cx:pt>
          <cx:pt idx="5">1.04</cx:pt>
          <cx:pt idx="6">0.83999999999999997</cx:pt>
          <cx:pt idx="7">0.87</cx:pt>
          <cx:pt idx="8">0.56999999999999995</cx:pt>
          <cx:pt idx="9">0.77000000000000002</cx:pt>
          <cx:pt idx="10">0.93999999999999995</cx:pt>
          <cx:pt idx="11">0.57999999999999996</cx:pt>
          <cx:pt idx="12">0.68999999999999995</cx:pt>
          <cx:pt idx="13">0.76000000000000001</cx:pt>
          <cx:pt idx="14">0.79000000000000004</cx:pt>
          <cx:pt idx="15">1.01</cx:pt>
          <cx:pt idx="16">0.81000000000000005</cx:pt>
          <cx:pt idx="17">0.58999999999999997</cx:pt>
          <cx:pt idx="18">0.5</cx:pt>
          <cx:pt idx="19">0.96999999999999997</cx:pt>
          <cx:pt idx="20">0.54000000000000004</cx:pt>
          <cx:pt idx="21">0.89000000000000001</cx:pt>
          <cx:pt idx="22">1.6899999999999999</cx:pt>
          <cx:pt idx="23">0.53000000000000003</cx:pt>
          <cx:pt idx="24">1.4199999999999999</cx:pt>
          <cx:pt idx="25">0.68000000000000005</cx:pt>
          <cx:pt idx="26">0.68000000000000005</cx:pt>
          <cx:pt idx="27">1</cx:pt>
          <cx:pt idx="28">2.4199999999999999</cx:pt>
          <cx:pt idx="29">0.51000000000000001</cx:pt>
          <cx:pt idx="30">1.01</cx:pt>
          <cx:pt idx="31">1.04</cx:pt>
          <cx:pt idx="32">0.91000000000000003</cx:pt>
          <cx:pt idx="33">1.01</cx:pt>
          <cx:pt idx="34">1.52</cx:pt>
          <cx:pt idx="35">1.1299999999999999</cx:pt>
          <cx:pt idx="36">1.54</cx:pt>
          <cx:pt idx="37">2.0800000000000001</cx:pt>
          <cx:pt idx="38">1.6000000000000001</cx:pt>
          <cx:pt idx="39">1.3500000000000001</cx:pt>
          <cx:pt idx="40">0.60999999999999999</cx:pt>
          <cx:pt idx="41">0.80000000000000004</cx:pt>
          <cx:pt idx="42">1.4299999999999999</cx:pt>
          <cx:pt idx="43">1.1899999999999999</cx:pt>
          <cx:pt idx="44">3.3199999999999998</cx:pt>
          <cx:pt idx="45">0.73999999999999999</cx:pt>
          <cx:pt idx="46">0.97999999999999998</cx:pt>
          <cx:pt idx="47">0.92000000000000004</cx:pt>
          <cx:pt idx="48">1.3799999999999999</cx:pt>
          <cx:pt idx="49">1.0700000000000001</cx:pt>
          <cx:pt idx="50">1.0600000000000001</cx:pt>
          <cx:pt idx="51">2.6000000000000001</cx:pt>
          <cx:pt idx="52">0.48999999999999999</cx:pt>
        </cx:lvl>
      </cx:numDim>
    </cx:data>
  </cx:chartData>
  <cx:chart>
    <cx:plotArea>
      <cx:plotAreaRegion>
        <cx:series layoutId="boxWhisker" uniqueId="{F00158AA-AC23-4131-85A3-F2E802E0FB5E}">
          <cx:tx>
            <cx:txData>
              <cx:f>'Ящик с усами Гистология РЯ'!$F$1</cx:f>
              <cx:v>RLL</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9"/>
            <cx:dataLabelHidden idx="20"/>
            <cx:dataLabelHidden idx="21"/>
            <cx:dataLabelHidden idx="23"/>
            <cx:dataLabelHidden idx="24"/>
            <cx:dataLabelHidden idx="25"/>
            <cx:dataLabelHidden idx="39"/>
            <cx:dataLabelHidden idx="40"/>
            <cx:dataLabelHidden idx="42"/>
            <cx:dataLabelHidden idx="43"/>
            <cx:dataLabelHidden idx="44"/>
            <cx:dataLabelHidden idx="57"/>
            <cx:dataLabelHidden idx="58"/>
            <cx:dataLabelHidden idx="59"/>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5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5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34.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Гистология РЯ'!$A$2:$A$54</cx:f>
        <cx:lvl ptCount="53">
          <cx:pt idx="0">Аденокарцинома</cx:pt>
          <cx:pt idx="1">Карцинома</cx:pt>
          <cx:pt idx="2">Карцинома</cx:pt>
          <cx:pt idx="3">Цистаденокарцинома</cx:pt>
          <cx:pt idx="4">Цистаденокарцинома</cx:pt>
          <cx:pt idx="5">Цистаденокарцинома</cx:pt>
          <cx:pt idx="6">Карцинома</cx:pt>
          <cx:pt idx="7">Карцинома</cx:pt>
          <cx:pt idx="8">Аденокарцинома</cx:pt>
          <cx:pt idx="9">Аденокарцинома</cx:pt>
          <cx:pt idx="10">Аденокарцинома</cx:pt>
          <cx:pt idx="11">Аденокарцинома</cx:pt>
          <cx:pt idx="12">Карцинома</cx:pt>
          <cx:pt idx="13">Аденокарцинома</cx:pt>
          <cx:pt idx="14">Аденокарцинома</cx:pt>
          <cx:pt idx="15">Цистаденокарцинома</cx:pt>
          <cx:pt idx="16">Аденокарцинома</cx:pt>
          <cx:pt idx="17">Аденокарцинома</cx:pt>
          <cx:pt idx="18">Цистаденокарцинома</cx:pt>
          <cx:pt idx="19">Аденокарцинома</cx:pt>
          <cx:pt idx="20">Цистаденокарцинома</cx:pt>
          <cx:pt idx="21">Цистаденокарцинома</cx:pt>
          <cx:pt idx="22">Карцинома</cx:pt>
          <cx:pt idx="23">Цистаденокарцинома</cx:pt>
          <cx:pt idx="24">Карцинома</cx:pt>
          <cx:pt idx="25">Аденокарцинома</cx:pt>
          <cx:pt idx="26">Аденокарцинома</cx:pt>
          <cx:pt idx="27">Цистаденокарцинома</cx:pt>
          <cx:pt idx="28">Цистаденокарцинома</cx:pt>
          <cx:pt idx="29">Аденокарцинома</cx:pt>
          <cx:pt idx="30">Цистаденокарцинома</cx:pt>
          <cx:pt idx="31">Аденокарцинома</cx:pt>
          <cx:pt idx="32">Цистаденокарцинома</cx:pt>
          <cx:pt idx="33">Карцинома</cx:pt>
          <cx:pt idx="34">Цистаденокарцинома</cx:pt>
          <cx:pt idx="35">Цистаденокарцинома</cx:pt>
          <cx:pt idx="36">Аденокарцинома</cx:pt>
          <cx:pt idx="37">Аденокарцинома</cx:pt>
          <cx:pt idx="38">Карцинома</cx:pt>
          <cx:pt idx="39">Карцинома</cx:pt>
          <cx:pt idx="40">Аденокарцинома</cx:pt>
          <cx:pt idx="41">Аденокарцинома</cx:pt>
          <cx:pt idx="42">Аденокарцинома</cx:pt>
          <cx:pt idx="43">Карцинома</cx:pt>
          <cx:pt idx="44">Цистаденокарцинома</cx:pt>
          <cx:pt idx="45">Карцинома</cx:pt>
          <cx:pt idx="46">Аденокарцинома</cx:pt>
          <cx:pt idx="47">Карцинома</cx:pt>
          <cx:pt idx="48">Карцинома</cx:pt>
          <cx:pt idx="49">Цистаденокарцинома</cx:pt>
          <cx:pt idx="50">Аденокарцинома</cx:pt>
          <cx:pt idx="51">Цистаденокарцинома</cx:pt>
          <cx:pt idx="52">Карцинома</cx:pt>
        </cx:lvl>
      </cx:strDim>
      <cx:numDim type="val">
        <cx:f>'Ящик с усами Гистология РЯ'!$G$2:$G$54</cx:f>
        <cx:lvl ptCount="53" formatCode="0,00">
          <cx:pt idx="0">0.51000000000000001</cx:pt>
          <cx:pt idx="1">0.55000000000000004</cx:pt>
          <cx:pt idx="2">0.57999999999999996</cx:pt>
          <cx:pt idx="3">0.35999999999999999</cx:pt>
          <cx:pt idx="4">0.47999999999999998</cx:pt>
          <cx:pt idx="5">0.46000000000000002</cx:pt>
          <cx:pt idx="6">0.39000000000000001</cx:pt>
          <cx:pt idx="7">0.40999999999999998</cx:pt>
          <cx:pt idx="8">0.53000000000000003</cx:pt>
          <cx:pt idx="9">0.32000000000000001</cx:pt>
          <cx:pt idx="10">0.44</cx:pt>
          <cx:pt idx="11">0.29999999999999999</cx:pt>
          <cx:pt idx="12">0.52000000000000002</cx:pt>
          <cx:pt idx="13">0.98999999999999999</cx:pt>
          <cx:pt idx="14">0.46999999999999997</cx:pt>
          <cx:pt idx="15">0.39000000000000001</cx:pt>
          <cx:pt idx="16">0.40000000000000002</cx:pt>
          <cx:pt idx="17">0.77000000000000002</cx:pt>
          <cx:pt idx="18">0.14999999999999999</cx:pt>
          <cx:pt idx="19">0.48999999999999999</cx:pt>
          <cx:pt idx="20">0.55000000000000004</cx:pt>
          <cx:pt idx="21">0.51000000000000001</cx:pt>
          <cx:pt idx="22">1.3700000000000001</cx:pt>
          <cx:pt idx="23">0.66000000000000003</cx:pt>
          <cx:pt idx="24">0.56999999999999995</cx:pt>
          <cx:pt idx="25">0.28999999999999998</cx:pt>
          <cx:pt idx="26">0.47999999999999998</cx:pt>
          <cx:pt idx="27">0.53000000000000003</cx:pt>
          <cx:pt idx="28">1.1100000000000001</cx:pt>
          <cx:pt idx="29">0.45000000000000001</cx:pt>
          <cx:pt idx="30">0.96999999999999997</cx:pt>
          <cx:pt idx="31">0.62</cx:pt>
          <cx:pt idx="32">0.75</cx:pt>
          <cx:pt idx="33">0.76000000000000001</cx:pt>
          <cx:pt idx="34">1.1100000000000001</cx:pt>
          <cx:pt idx="35">0.91000000000000003</cx:pt>
          <cx:pt idx="36">0.55000000000000004</cx:pt>
          <cx:pt idx="37">0.98999999999999999</cx:pt>
          <cx:pt idx="38">0.53000000000000003</cx:pt>
          <cx:pt idx="39">0.83999999999999997</cx:pt>
          <cx:pt idx="40">0.52000000000000002</cx:pt>
          <cx:pt idx="41">1.02</cx:pt>
          <cx:pt idx="42">1.05</cx:pt>
          <cx:pt idx="43">0.83999999999999997</cx:pt>
          <cx:pt idx="44">1.1000000000000001</cx:pt>
          <cx:pt idx="45">0.60999999999999999</cx:pt>
          <cx:pt idx="46">0.73999999999999999</cx:pt>
          <cx:pt idx="47">0.82999999999999996</cx:pt>
          <cx:pt idx="48">0.77000000000000002</cx:pt>
          <cx:pt idx="49">0.51000000000000001</cx:pt>
          <cx:pt idx="50">0.83999999999999997</cx:pt>
          <cx:pt idx="51">0.78000000000000003</cx:pt>
          <cx:pt idx="52">0.35999999999999999</cx:pt>
        </cx:lvl>
      </cx:numDim>
    </cx:data>
  </cx:chartData>
  <cx:chart>
    <cx:plotArea>
      <cx:plotAreaRegion>
        <cx:series layoutId="boxWhisker" uniqueId="{B62FE120-F136-4E91-9E9F-AD8373D34FBB}">
          <cx:tx>
            <cx:txData>
              <cx:f>'Ящик с усами Гистология РЯ'!$G$1</cx:f>
              <cx:v>RRI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0"/>
            <cx:dataLabelHidden idx="21"/>
            <cx:dataLabelHidden idx="23"/>
            <cx:dataLabelHidden idx="24"/>
            <cx:dataLabelHidden idx="25"/>
            <cx:dataLabelHidden idx="38"/>
            <cx:dataLabelHidden idx="39"/>
            <cx:dataLabelHidden idx="40"/>
            <cx:dataLabelHidden idx="42"/>
            <cx:dataLabelHidden idx="43"/>
            <cx:dataLabelHidden idx="44"/>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5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500" b="1">
              <a:solidFill>
                <a:sysClr val="windowText" lastClr="000000"/>
              </a:solidFill>
              <a:latin typeface="Times New Roman" panose="02020603050405020304" pitchFamily="18" charset="0"/>
              <a:cs typeface="Times New Roman" panose="02020603050405020304" pitchFamily="18" charset="0"/>
            </a:endParaRPr>
          </a:p>
        </cx:txPr>
      </cx:axis>
      <cx:axis id="1">
        <cx:valScaling max="1.3999999999999999"/>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9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35.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Гистология РЯ'!$A$2:$A$54</cx:f>
        <cx:lvl ptCount="53">
          <cx:pt idx="0">Аденокарцинома</cx:pt>
          <cx:pt idx="1">Карцинома</cx:pt>
          <cx:pt idx="2">Карцинома</cx:pt>
          <cx:pt idx="3">Цистаденокарцинома</cx:pt>
          <cx:pt idx="4">Цистаденокарцинома</cx:pt>
          <cx:pt idx="5">Цистаденокарцинома</cx:pt>
          <cx:pt idx="6">Карцинома</cx:pt>
          <cx:pt idx="7">Карцинома</cx:pt>
          <cx:pt idx="8">Аденокарцинома</cx:pt>
          <cx:pt idx="9">Аденокарцинома</cx:pt>
          <cx:pt idx="10">Аденокарцинома</cx:pt>
          <cx:pt idx="11">Аденокарцинома</cx:pt>
          <cx:pt idx="12">Карцинома</cx:pt>
          <cx:pt idx="13">Аденокарцинома</cx:pt>
          <cx:pt idx="14">Аденокарцинома</cx:pt>
          <cx:pt idx="15">Цистаденокарцинома</cx:pt>
          <cx:pt idx="16">Аденокарцинома</cx:pt>
          <cx:pt idx="17">Аденокарцинома</cx:pt>
          <cx:pt idx="18">Цистаденокарцинома</cx:pt>
          <cx:pt idx="19">Аденокарцинома</cx:pt>
          <cx:pt idx="20">Цистаденокарцинома</cx:pt>
          <cx:pt idx="21">Цистаденокарцинома</cx:pt>
          <cx:pt idx="22">Карцинома</cx:pt>
          <cx:pt idx="23">Цистаденокарцинома</cx:pt>
          <cx:pt idx="24">Карцинома</cx:pt>
          <cx:pt idx="25">Аденокарцинома</cx:pt>
          <cx:pt idx="26">Аденокарцинома</cx:pt>
          <cx:pt idx="27">Цистаденокарцинома</cx:pt>
          <cx:pt idx="28">Цистаденокарцинома</cx:pt>
          <cx:pt idx="29">Аденокарцинома</cx:pt>
          <cx:pt idx="30">Цистаденокарцинома</cx:pt>
          <cx:pt idx="31">Аденокарцинома</cx:pt>
          <cx:pt idx="32">Цистаденокарцинома</cx:pt>
          <cx:pt idx="33">Карцинома</cx:pt>
          <cx:pt idx="34">Цистаденокарцинома</cx:pt>
          <cx:pt idx="35">Цистаденокарцинома</cx:pt>
          <cx:pt idx="36">Аденокарцинома</cx:pt>
          <cx:pt idx="37">Аденокарцинома</cx:pt>
          <cx:pt idx="38">Карцинома</cx:pt>
          <cx:pt idx="39">Карцинома</cx:pt>
          <cx:pt idx="40">Аденокарцинома</cx:pt>
          <cx:pt idx="41">Аденокарцинома</cx:pt>
          <cx:pt idx="42">Аденокарцинома</cx:pt>
          <cx:pt idx="43">Карцинома</cx:pt>
          <cx:pt idx="44">Цистаденокарцинома</cx:pt>
          <cx:pt idx="45">Карцинома</cx:pt>
          <cx:pt idx="46">Аденокарцинома</cx:pt>
          <cx:pt idx="47">Карцинома</cx:pt>
          <cx:pt idx="48">Карцинома</cx:pt>
          <cx:pt idx="49">Цистаденокарцинома</cx:pt>
          <cx:pt idx="50">Аденокарцинома</cx:pt>
          <cx:pt idx="51">Цистаденокарцинома</cx:pt>
          <cx:pt idx="52">Карцинома</cx:pt>
        </cx:lvl>
      </cx:strDim>
      <cx:numDim type="val">
        <cx:f>'Ящик с усами Гистология РЯ'!$H$2:$H$54</cx:f>
        <cx:lvl ptCount="53" formatCode="0,00">
          <cx:pt idx="0">1.02</cx:pt>
          <cx:pt idx="1">1.3100000000000001</cx:pt>
          <cx:pt idx="2">0.76000000000000001</cx:pt>
          <cx:pt idx="3">0.68999999999999995</cx:pt>
          <cx:pt idx="4">0.69999999999999996</cx:pt>
          <cx:pt idx="5">0.82999999999999996</cx:pt>
          <cx:pt idx="6">0.5</cx:pt>
          <cx:pt idx="7">0.73999999999999999</cx:pt>
          <cx:pt idx="8">0.78000000000000003</cx:pt>
          <cx:pt idx="9">0.5</cx:pt>
          <cx:pt idx="10">0.63</cx:pt>
          <cx:pt idx="11">0.88</cx:pt>
          <cx:pt idx="12">0.68999999999999995</cx:pt>
          <cx:pt idx="13">1</cx:pt>
          <cx:pt idx="14">0.68999999999999995</cx:pt>
          <cx:pt idx="15">0.81999999999999995</cx:pt>
          <cx:pt idx="16">0.55000000000000004</cx:pt>
          <cx:pt idx="17">0.68000000000000005</cx:pt>
          <cx:pt idx="18">0.42999999999999999</cx:pt>
          <cx:pt idx="19">0.77000000000000002</cx:pt>
          <cx:pt idx="20">0.46000000000000002</cx:pt>
          <cx:pt idx="21">0.68000000000000005</cx:pt>
          <cx:pt idx="22">1.52</cx:pt>
          <cx:pt idx="23">1.04</cx:pt>
          <cx:pt idx="24">1.0900000000000001</cx:pt>
          <cx:pt idx="25">0.65000000000000002</cx:pt>
          <cx:pt idx="26">0.70999999999999996</cx:pt>
          <cx:pt idx="27">0.78000000000000003</cx:pt>
          <cx:pt idx="28">1.8700000000000001</cx:pt>
          <cx:pt idx="29">0.53000000000000003</cx:pt>
          <cx:pt idx="30">1.1299999999999999</cx:pt>
          <cx:pt idx="31">1.0600000000000001</cx:pt>
          <cx:pt idx="32">0.92000000000000004</cx:pt>
          <cx:pt idx="33">1</cx:pt>
          <cx:pt idx="34">1.5</cx:pt>
          <cx:pt idx="35">0.92000000000000004</cx:pt>
          <cx:pt idx="36">1.3799999999999999</cx:pt>
          <cx:pt idx="37">1.22</cx:pt>
          <cx:pt idx="38">0.92000000000000004</cx:pt>
          <cx:pt idx="39">1.95</cx:pt>
          <cx:pt idx="40">0.84999999999999998</cx:pt>
          <cx:pt idx="41">0.81999999999999995</cx:pt>
          <cx:pt idx="42">0.98999999999999999</cx:pt>
          <cx:pt idx="43">0.88</cx:pt>
          <cx:pt idx="44">1.45</cx:pt>
          <cx:pt idx="45">0.71999999999999997</cx:pt>
          <cx:pt idx="46">1.02</cx:pt>
          <cx:pt idx="47">1.21</cx:pt>
          <cx:pt idx="48">1.6299999999999999</cx:pt>
          <cx:pt idx="49">0.40999999999999998</cx:pt>
          <cx:pt idx="50">1.1799999999999999</cx:pt>
          <cx:pt idx="51">1.54</cx:pt>
          <cx:pt idx="52">0.37</cx:pt>
        </cx:lvl>
      </cx:numDim>
    </cx:data>
  </cx:chartData>
  <cx:chart>
    <cx:plotArea>
      <cx:plotAreaRegion>
        <cx:series layoutId="boxWhisker" uniqueId="{3E94E330-C570-4FEE-A1DD-8834490825C7}">
          <cx:tx>
            <cx:txData>
              <cx:f>'Ящик с усами Гистология РЯ'!$H$1</cx:f>
              <cx:v>RP</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0"/>
            <cx:dataLabelHidden idx="21"/>
            <cx:dataLabelHidden idx="23"/>
            <cx:dataLabelHidden idx="24"/>
            <cx:dataLabelHidden idx="25"/>
            <cx:dataLabelHidden idx="39"/>
            <cx:dataLabelHidden idx="40"/>
            <cx:dataLabelHidden idx="42"/>
            <cx:dataLabelHidden idx="43"/>
            <cx:dataLabelHidden idx="44"/>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5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500" b="1">
              <a:solidFill>
                <a:sysClr val="windowText" lastClr="000000"/>
              </a:solidFill>
              <a:latin typeface="Times New Roman" panose="02020603050405020304" pitchFamily="18" charset="0"/>
              <a:cs typeface="Times New Roman" panose="02020603050405020304" pitchFamily="18" charset="0"/>
            </a:endParaRPr>
          </a:p>
        </cx:txPr>
      </cx:axis>
      <cx:axis id="1">
        <cx:valScaling max="2"/>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36.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Гистология РЯ'!$A$2:$A$54</cx:f>
        <cx:lvl ptCount="53">
          <cx:pt idx="0">Аденокарцинома</cx:pt>
          <cx:pt idx="1">Карцинома</cx:pt>
          <cx:pt idx="2">Карцинома</cx:pt>
          <cx:pt idx="3">Цистаденокарцинома</cx:pt>
          <cx:pt idx="4">Цистаденокарцинома</cx:pt>
          <cx:pt idx="5">Цистаденокарцинома</cx:pt>
          <cx:pt idx="6">Карцинома</cx:pt>
          <cx:pt idx="7">Карцинома</cx:pt>
          <cx:pt idx="8">Аденокарцинома</cx:pt>
          <cx:pt idx="9">Аденокарцинома</cx:pt>
          <cx:pt idx="10">Аденокарцинома</cx:pt>
          <cx:pt idx="11">Аденокарцинома</cx:pt>
          <cx:pt idx="12">Карцинома</cx:pt>
          <cx:pt idx="13">Аденокарцинома</cx:pt>
          <cx:pt idx="14">Аденокарцинома</cx:pt>
          <cx:pt idx="15">Цистаденокарцинома</cx:pt>
          <cx:pt idx="16">Аденокарцинома</cx:pt>
          <cx:pt idx="17">Аденокарцинома</cx:pt>
          <cx:pt idx="18">Цистаденокарцинома</cx:pt>
          <cx:pt idx="19">Аденокарцинома</cx:pt>
          <cx:pt idx="20">Цистаденокарцинома</cx:pt>
          <cx:pt idx="21">Цистаденокарцинома</cx:pt>
          <cx:pt idx="22">Карцинома</cx:pt>
          <cx:pt idx="23">Цистаденокарцинома</cx:pt>
          <cx:pt idx="24">Карцинома</cx:pt>
          <cx:pt idx="25">Аденокарцинома</cx:pt>
          <cx:pt idx="26">Аденокарцинома</cx:pt>
          <cx:pt idx="27">Цистаденокарцинома</cx:pt>
          <cx:pt idx="28">Цистаденокарцинома</cx:pt>
          <cx:pt idx="29">Аденокарцинома</cx:pt>
          <cx:pt idx="30">Цистаденокарцинома</cx:pt>
          <cx:pt idx="31">Аденокарцинома</cx:pt>
          <cx:pt idx="32">Цистаденокарцинома</cx:pt>
          <cx:pt idx="33">Карцинома</cx:pt>
          <cx:pt idx="34">Цистаденокарцинома</cx:pt>
          <cx:pt idx="35">Цистаденокарцинома</cx:pt>
          <cx:pt idx="36">Аденокарцинома</cx:pt>
          <cx:pt idx="37">Аденокарцинома</cx:pt>
          <cx:pt idx="38">Карцинома</cx:pt>
          <cx:pt idx="39">Карцинома</cx:pt>
          <cx:pt idx="40">Аденокарцинома</cx:pt>
          <cx:pt idx="41">Аденокарцинома</cx:pt>
          <cx:pt idx="42">Аденокарцинома</cx:pt>
          <cx:pt idx="43">Карцинома</cx:pt>
          <cx:pt idx="44">Цистаденокарцинома</cx:pt>
          <cx:pt idx="45">Карцинома</cx:pt>
          <cx:pt idx="46">Аденокарцинома</cx:pt>
          <cx:pt idx="47">Карцинома</cx:pt>
          <cx:pt idx="48">Карцинома</cx:pt>
          <cx:pt idx="49">Цистаденокарцинома</cx:pt>
          <cx:pt idx="50">Аденокарцинома</cx:pt>
          <cx:pt idx="51">Цистаденокарцинома</cx:pt>
          <cx:pt idx="52">Карцинома</cx:pt>
        </cx:lvl>
      </cx:strDim>
      <cx:numDim type="val">
        <cx:f>'Ящик с усами Гистология РЯ'!$I$2:$I$54</cx:f>
        <cx:lvl ptCount="53" formatCode="0,00">
          <cx:pt idx="0">0.69999999999999996</cx:pt>
          <cx:pt idx="1">0.57999999999999996</cx:pt>
          <cx:pt idx="2">0.56000000000000005</cx:pt>
          <cx:pt idx="3">0.34999999999999998</cx:pt>
          <cx:pt idx="4">0.56999999999999995</cx:pt>
          <cx:pt idx="5">0.53000000000000003</cx:pt>
          <cx:pt idx="6">0.44</cx:pt>
          <cx:pt idx="7">0.38</cx:pt>
          <cx:pt idx="8">0.40000000000000002</cx:pt>
          <cx:pt idx="9">0.41999999999999998</cx:pt>
          <cx:pt idx="10">0.34000000000000002</cx:pt>
          <cx:pt idx="11">0.38</cx:pt>
          <cx:pt idx="12">0.46999999999999997</cx:pt>
          <cx:pt idx="13">0.92000000000000004</cx:pt>
          <cx:pt idx="14">0.45000000000000001</cx:pt>
          <cx:pt idx="15">0.52000000000000002</cx:pt>
          <cx:pt idx="16">0.32000000000000001</cx:pt>
          <cx:pt idx="17">0.58999999999999997</cx:pt>
          <cx:pt idx="18">0.31</cx:pt>
          <cx:pt idx="19">0.42999999999999999</cx:pt>
          <cx:pt idx="20">0.51000000000000001</cx:pt>
          <cx:pt idx="21">0.51000000000000001</cx:pt>
          <cx:pt idx="22">1.01</cx:pt>
          <cx:pt idx="23">0.53000000000000003</cx:pt>
          <cx:pt idx="24">0.80000000000000004</cx:pt>
          <cx:pt idx="25">0.39000000000000001</cx:pt>
          <cx:pt idx="26">0.40999999999999998</cx:pt>
          <cx:pt idx="27">0.44</cx:pt>
          <cx:pt idx="28">1.48</cx:pt>
          <cx:pt idx="29">0.59999999999999998</cx:pt>
          <cx:pt idx="30">1.3700000000000001</cx:pt>
          <cx:pt idx="31">0.59999999999999998</cx:pt>
          <cx:pt idx="32">1.1299999999999999</cx:pt>
          <cx:pt idx="33">0.68000000000000005</cx:pt>
          <cx:pt idx="34">0.98999999999999999</cx:pt>
          <cx:pt idx="35">0.96999999999999997</cx:pt>
          <cx:pt idx="36">0.62</cx:pt>
          <cx:pt idx="37">1.4099999999999999</cx:pt>
          <cx:pt idx="38">0.54000000000000004</cx:pt>
          <cx:pt idx="39">1.04</cx:pt>
          <cx:pt idx="40">0.53000000000000003</cx:pt>
          <cx:pt idx="41">0.78000000000000003</cx:pt>
          <cx:pt idx="42">0.88</cx:pt>
          <cx:pt idx="43">0.51000000000000001</cx:pt>
          <cx:pt idx="44">1.47</cx:pt>
          <cx:pt idx="45">0.60999999999999999</cx:pt>
          <cx:pt idx="46">0.59999999999999998</cx:pt>
          <cx:pt idx="47">0.67000000000000004</cx:pt>
          <cx:pt idx="48">1.1499999999999999</cx:pt>
          <cx:pt idx="49">0.56000000000000005</cx:pt>
          <cx:pt idx="50">1.1599999999999999</cx:pt>
          <cx:pt idx="51">0.69999999999999996</cx:pt>
          <cx:pt idx="52">0.44</cx:pt>
        </cx:lvl>
      </cx:numDim>
    </cx:data>
  </cx:chartData>
  <cx:chart>
    <cx:plotArea>
      <cx:plotAreaRegion>
        <cx:series layoutId="boxWhisker" uniqueId="{0029AB3B-CB0E-4391-9235-B939CAFF018A}">
          <cx:tx>
            <cx:txData>
              <cx:f>'Ящик с усами Гистология РЯ'!$I$1</cx:f>
              <cx:v>RLI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 idx="41" pos="b">
              <cx:visibility seriesName="0" categoryName="0" value="1"/>
              <cx:separator>, </cx:separator>
            </cx:dataLabel>
            <cx:dataLabel idx="62" pos="b">
              <cx:visibility seriesName="0" categoryName="0" value="1"/>
              <cx:separator>, </cx:separator>
            </cx:dataLabel>
            <cx:dataLabelHidden idx="0"/>
            <cx:dataLabelHidden idx="19"/>
            <cx:dataLabelHidden idx="20"/>
            <cx:dataLabelHidden idx="21"/>
            <cx:dataLabelHidden idx="23"/>
            <cx:dataLabelHidden idx="24"/>
            <cx:dataLabelHidden idx="25"/>
            <cx:dataLabelHidden idx="39"/>
            <cx:dataLabelHidden idx="40"/>
            <cx:dataLabelHidden idx="42"/>
            <cx:dataLabelHidden idx="43"/>
            <cx:dataLabelHidden idx="44"/>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4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4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37.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Гистология РЯ'!$A$2:$A$54</cx:f>
        <cx:lvl ptCount="53">
          <cx:pt idx="0">Аденокарцинома</cx:pt>
          <cx:pt idx="1">Карцинома</cx:pt>
          <cx:pt idx="2">Карцинома</cx:pt>
          <cx:pt idx="3">Цистаденокарцинома</cx:pt>
          <cx:pt idx="4">Цистаденокарцинома</cx:pt>
          <cx:pt idx="5">Цистаденокарцинома</cx:pt>
          <cx:pt idx="6">Карцинома</cx:pt>
          <cx:pt idx="7">Карцинома</cx:pt>
          <cx:pt idx="8">Аденокарцинома</cx:pt>
          <cx:pt idx="9">Аденокарцинома</cx:pt>
          <cx:pt idx="10">Аденокарцинома</cx:pt>
          <cx:pt idx="11">Аденокарцинома</cx:pt>
          <cx:pt idx="12">Карцинома</cx:pt>
          <cx:pt idx="13">Аденокарцинома</cx:pt>
          <cx:pt idx="14">Аденокарцинома</cx:pt>
          <cx:pt idx="15">Цистаденокарцинома</cx:pt>
          <cx:pt idx="16">Аденокарцинома</cx:pt>
          <cx:pt idx="17">Аденокарцинома</cx:pt>
          <cx:pt idx="18">Цистаденокарцинома</cx:pt>
          <cx:pt idx="19">Аденокарцинома</cx:pt>
          <cx:pt idx="20">Цистаденокарцинома</cx:pt>
          <cx:pt idx="21">Цистаденокарцинома</cx:pt>
          <cx:pt idx="22">Карцинома</cx:pt>
          <cx:pt idx="23">Цистаденокарцинома</cx:pt>
          <cx:pt idx="24">Карцинома</cx:pt>
          <cx:pt idx="25">Аденокарцинома</cx:pt>
          <cx:pt idx="26">Аденокарцинома</cx:pt>
          <cx:pt idx="27">Цистаденокарцинома</cx:pt>
          <cx:pt idx="28">Цистаденокарцинома</cx:pt>
          <cx:pt idx="29">Аденокарцинома</cx:pt>
          <cx:pt idx="30">Цистаденокарцинома</cx:pt>
          <cx:pt idx="31">Аденокарцинома</cx:pt>
          <cx:pt idx="32">Цистаденокарцинома</cx:pt>
          <cx:pt idx="33">Карцинома</cx:pt>
          <cx:pt idx="34">Цистаденокарцинома</cx:pt>
          <cx:pt idx="35">Цистаденокарцинома</cx:pt>
          <cx:pt idx="36">Аденокарцинома</cx:pt>
          <cx:pt idx="37">Аденокарцинома</cx:pt>
          <cx:pt idx="38">Карцинома</cx:pt>
          <cx:pt idx="39">Карцинома</cx:pt>
          <cx:pt idx="40">Аденокарцинома</cx:pt>
          <cx:pt idx="41">Аденокарцинома</cx:pt>
          <cx:pt idx="42">Аденокарцинома</cx:pt>
          <cx:pt idx="43">Карцинома</cx:pt>
          <cx:pt idx="44">Цистаденокарцинома</cx:pt>
          <cx:pt idx="45">Карцинома</cx:pt>
          <cx:pt idx="46">Аденокарцинома</cx:pt>
          <cx:pt idx="47">Карцинома</cx:pt>
          <cx:pt idx="48">Карцинома</cx:pt>
          <cx:pt idx="49">Цистаденокарцинома</cx:pt>
          <cx:pt idx="50">Аденокарцинома</cx:pt>
          <cx:pt idx="51">Цистаденокарцинома</cx:pt>
          <cx:pt idx="52">Карцинома</cx:pt>
        </cx:lvl>
      </cx:strDim>
      <cx:numDim type="val">
        <cx:f>'Ящик с усами Гистология РЯ'!$J$2:$J$54</cx:f>
        <cx:lvl ptCount="53" formatCode="0,00">
          <cx:pt idx="0">1.1699999999999999</cx:pt>
          <cx:pt idx="1">0.93999999999999995</cx:pt>
          <cx:pt idx="2">0.68000000000000005</cx:pt>
          <cx:pt idx="3">0.57999999999999996</cx:pt>
          <cx:pt idx="4">0.95999999999999996</cx:pt>
          <cx:pt idx="5">0.46000000000000002</cx:pt>
          <cx:pt idx="6">0.73999999999999999</cx:pt>
          <cx:pt idx="7">0.5</cx:pt>
          <cx:pt idx="8">0.64000000000000001</cx:pt>
          <cx:pt idx="9">0.90000000000000002</cx:pt>
          <cx:pt idx="10">0.66000000000000003</cx:pt>
          <cx:pt idx="11">0.78000000000000003</cx:pt>
          <cx:pt idx="12">0.63</cx:pt>
          <cx:pt idx="13">0.94999999999999996</cx:pt>
          <cx:pt idx="14">0.53000000000000003</cx:pt>
          <cx:pt idx="15">0.59999999999999998</cx:pt>
          <cx:pt idx="16">0.58999999999999997</cx:pt>
          <cx:pt idx="17">0.68000000000000005</cx:pt>
          <cx:pt idx="18">0.39000000000000001</cx:pt>
          <cx:pt idx="19">0.83999999999999997</cx:pt>
          <cx:pt idx="20">0.67000000000000004</cx:pt>
          <cx:pt idx="21">0.85999999999999999</cx:pt>
          <cx:pt idx="22">1.55</cx:pt>
          <cx:pt idx="23">0.65000000000000002</cx:pt>
          <cx:pt idx="24">1.23</cx:pt>
          <cx:pt idx="25">0.38</cx:pt>
          <cx:pt idx="26">0.63</cx:pt>
          <cx:pt idx="27">0.94999999999999996</cx:pt>
          <cx:pt idx="28">1.3999999999999999</cx:pt>
          <cx:pt idx="29">0.70999999999999996</cx:pt>
          <cx:pt idx="30">1.0700000000000001</cx:pt>
          <cx:pt idx="31">0.89000000000000001</cx:pt>
          <cx:pt idx="32">1.01</cx:pt>
          <cx:pt idx="33">0.97999999999999998</cx:pt>
          <cx:pt idx="34">1.6000000000000001</cx:pt>
          <cx:pt idx="35">0.98999999999999999</cx:pt>
          <cx:pt idx="36">1.4299999999999999</cx:pt>
          <cx:pt idx="37">1.3100000000000001</cx:pt>
          <cx:pt idx="38">1.75</cx:pt>
          <cx:pt idx="39">1.3600000000000001</cx:pt>
          <cx:pt idx="40">0.77000000000000002</cx:pt>
          <cx:pt idx="41">0.91000000000000003</cx:pt>
          <cx:pt idx="42">1.0600000000000001</cx:pt>
          <cx:pt idx="43">0.97999999999999998</cx:pt>
          <cx:pt idx="44">1.4299999999999999</cx:pt>
          <cx:pt idx="45">0.81999999999999995</cx:pt>
          <cx:pt idx="46">0.79000000000000004</cx:pt>
          <cx:pt idx="47">1.4299999999999999</cx:pt>
          <cx:pt idx="48">1.4199999999999999</cx:pt>
          <cx:pt idx="49">0.67000000000000004</cx:pt>
          <cx:pt idx="50">1.3600000000000001</cx:pt>
          <cx:pt idx="51">1.45</cx:pt>
          <cx:pt idx="52">0.55000000000000004</cx:pt>
        </cx:lvl>
      </cx:numDim>
    </cx:data>
  </cx:chartData>
  <cx:chart>
    <cx:plotArea>
      <cx:plotAreaRegion>
        <cx:series layoutId="boxWhisker" uniqueId="{148491B7-FE68-4370-90AC-CD9DCB9C16C6}">
          <cx:tx>
            <cx:txData>
              <cx:f>'Ящик с усами Гистология РЯ'!$J$1</cx:f>
              <cx:v>P</cx:v>
            </cx:txData>
          </cx:tx>
          <cx:spPr>
            <a:solidFill>
              <a:srgbClr val="0070C0"/>
            </a:solidFill>
          </cx:spPr>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0"/>
            <cx:dataLabelHidden idx="21"/>
            <cx:dataLabelHidden idx="23"/>
            <cx:dataLabelHidden idx="24"/>
            <cx:dataLabelHidden idx="25"/>
            <cx:dataLabelHidden idx="39"/>
            <cx:dataLabelHidden idx="40"/>
            <cx:dataLabelHidden idx="42"/>
            <cx:dataLabelHidden idx="43"/>
            <cx:dataLabelHidden idx="44"/>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5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5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38.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'Ящик с усами nLM'!$B$2:$B$26</cx:f>
        <cx:lvl ptCount="25" formatCode="0,00">
          <cx:pt idx="0">0.87</cx:pt>
          <cx:pt idx="1">0.47999999999999998</cx:pt>
          <cx:pt idx="2">0.62</cx:pt>
          <cx:pt idx="3">0.81000000000000005</cx:pt>
          <cx:pt idx="4">0.57999999999999996</cx:pt>
          <cx:pt idx="5">0.60999999999999999</cx:pt>
          <cx:pt idx="6">0.65000000000000002</cx:pt>
          <cx:pt idx="7">0.56000000000000005</cx:pt>
          <cx:pt idx="8">1.46</cx:pt>
          <cx:pt idx="9">0.79000000000000004</cx:pt>
          <cx:pt idx="10">0.60999999999999999</cx:pt>
          <cx:pt idx="11">0.5</cx:pt>
          <cx:pt idx="12">1.29</cx:pt>
          <cx:pt idx="13">1.52</cx:pt>
          <cx:pt idx="14">0.54000000000000004</cx:pt>
          <cx:pt idx="15">0.19</cx:pt>
          <cx:pt idx="16">1.9399999999999999</cx:pt>
          <cx:pt idx="17">0.69999999999999996</cx:pt>
          <cx:pt idx="18">1.45</cx:pt>
          <cx:pt idx="19">0.93999999999999995</cx:pt>
          <cx:pt idx="20">1.3</cx:pt>
          <cx:pt idx="21">1.1100000000000001</cx:pt>
          <cx:pt idx="22">1.96</cx:pt>
          <cx:pt idx="23">0.68000000000000005</cx:pt>
          <cx:pt idx="24">1.3600000000000001</cx:pt>
        </cx:lvl>
      </cx:numDim>
    </cx:data>
    <cx:data id="1">
      <cx:numDim type="val">
        <cx:f>'Ящик с усами nLM'!$B$29:$B$56</cx:f>
        <cx:lvl ptCount="28" formatCode="0,00">
          <cx:pt idx="0">1.26</cx:pt>
          <cx:pt idx="1">0.53000000000000003</cx:pt>
          <cx:pt idx="2">0.78000000000000003</cx:pt>
          <cx:pt idx="3">0.42999999999999999</cx:pt>
          <cx:pt idx="4">0.65000000000000002</cx:pt>
          <cx:pt idx="5">0.83999999999999997</cx:pt>
          <cx:pt idx="6">0.44</cx:pt>
          <cx:pt idx="7">0.40000000000000002</cx:pt>
          <cx:pt idx="8">0.83999999999999997</cx:pt>
          <cx:pt idx="9">0.65000000000000002</cx:pt>
          <cx:pt idx="10">0.46000000000000002</cx:pt>
          <cx:pt idx="11">1.02</cx:pt>
          <cx:pt idx="12">0.77000000000000002</cx:pt>
          <cx:pt idx="13">1.1100000000000001</cx:pt>
          <cx:pt idx="14">1.8300000000000001</cx:pt>
          <cx:pt idx="15">1.05</cx:pt>
          <cx:pt idx="16">0.75</cx:pt>
          <cx:pt idx="17">1.5</cx:pt>
          <cx:pt idx="18">0.68999999999999995</cx:pt>
          <cx:pt idx="19">1.28</cx:pt>
          <cx:pt idx="20">1.3999999999999999</cx:pt>
          <cx:pt idx="21">0.82999999999999996</cx:pt>
          <cx:pt idx="22">0.97999999999999998</cx:pt>
          <cx:pt idx="23">0.72999999999999998</cx:pt>
          <cx:pt idx="24">2.1200000000000001</cx:pt>
          <cx:pt idx="25">2.1000000000000001</cx:pt>
          <cx:pt idx="26">1.0600000000000001</cx:pt>
          <cx:pt idx="27">0.59999999999999998</cx:pt>
        </cx:lvl>
      </cx:numDim>
    </cx:data>
    <cx:data id="2">
      <cx:numDim type="val">
        <cx:f>'Ящик с усами nLM'!$K$2:$K$26</cx:f>
        <cx:lvl ptCount="25" formatCode="0,00">
          <cx:pt idx="0">1.4199999999999999</cx:pt>
          <cx:pt idx="1">0.47999999999999998</cx:pt>
          <cx:pt idx="2">0.90000000000000002</cx:pt>
          <cx:pt idx="3">2.6200000000000001</cx:pt>
          <cx:pt idx="4">1.6100000000000001</cx:pt>
          <cx:pt idx="5">1.4199999999999999</cx:pt>
          <cx:pt idx="6">1.6100000000000001</cx:pt>
          <cx:pt idx="7">1.1799999999999999</cx:pt>
          <cx:pt idx="8">1.8899999999999999</cx:pt>
          <cx:pt idx="9">1.75</cx:pt>
          <cx:pt idx="10">1.1399999999999999</cx:pt>
          <cx:pt idx="11">1.27</cx:pt>
          <cx:pt idx="12">1.6499999999999999</cx:pt>
          <cx:pt idx="13">2.3399999999999999</cx:pt>
          <cx:pt idx="14">1.0700000000000001</cx:pt>
          <cx:pt idx="15">1.3</cx:pt>
          <cx:pt idx="16">1.6499999999999999</cx:pt>
          <cx:pt idx="17">0.95999999999999996</cx:pt>
          <cx:pt idx="18">1.25</cx:pt>
          <cx:pt idx="19">1.0600000000000001</cx:pt>
          <cx:pt idx="20">0.90000000000000002</cx:pt>
          <cx:pt idx="21">0.98999999999999999</cx:pt>
          <cx:pt idx="22">1.21</cx:pt>
          <cx:pt idx="23">1.0600000000000001</cx:pt>
          <cx:pt idx="24">2.2999999999999998</cx:pt>
        </cx:lvl>
      </cx:numDim>
    </cx:data>
    <cx:data id="3">
      <cx:numDim type="val">
        <cx:f>'Ящик с усами nLM'!$K$29:$K$56</cx:f>
        <cx:lvl ptCount="28" formatCode="0,00">
          <cx:pt idx="0">1.5700000000000001</cx:pt>
          <cx:pt idx="1">1.4099999999999999</cx:pt>
          <cx:pt idx="2">1.3700000000000001</cx:pt>
          <cx:pt idx="3">1.1399999999999999</cx:pt>
          <cx:pt idx="4">0.85999999999999999</cx:pt>
          <cx:pt idx="5">0.95999999999999996</cx:pt>
          <cx:pt idx="6">0.79000000000000004</cx:pt>
          <cx:pt idx="7">1.02</cx:pt>
          <cx:pt idx="8">1.5</cx:pt>
          <cx:pt idx="9">0.98999999999999999</cx:pt>
          <cx:pt idx="10">0.81000000000000005</cx:pt>
          <cx:pt idx="11">1.1100000000000001</cx:pt>
          <cx:pt idx="12">1.25</cx:pt>
          <cx:pt idx="13">0.72999999999999998</cx:pt>
          <cx:pt idx="14">1.46</cx:pt>
          <cx:pt idx="15">1.04</cx:pt>
          <cx:pt idx="16">0.95999999999999996</cx:pt>
          <cx:pt idx="17">1.3</cx:pt>
          <cx:pt idx="18">1.1499999999999999</cx:pt>
          <cx:pt idx="19">1.1699999999999999</cx:pt>
          <cx:pt idx="20">1.4099999999999999</cx:pt>
          <cx:pt idx="21">3.3399999999999999</cx:pt>
          <cx:pt idx="22">0.95999999999999996</cx:pt>
          <cx:pt idx="23">1.52</cx:pt>
          <cx:pt idx="24">1.1000000000000001</cx:pt>
          <cx:pt idx="25">0.95999999999999996</cx:pt>
          <cx:pt idx="26">0.39000000000000001</cx:pt>
          <cx:pt idx="27">0.70999999999999996</cx:pt>
        </cx:lvl>
      </cx:numDim>
    </cx:data>
  </cx:chartData>
  <cx:chart>
    <cx:title pos="t" align="ctr" overlay="0">
      <cx:tx>
        <cx:rich>
          <a:bodyPr spcFirstLastPara="1" vertOverflow="ellipsis" horzOverflow="overflow" wrap="square" lIns="0" tIns="0" rIns="0" bIns="0" anchor="ctr" anchorCtr="1"/>
          <a:lstStyle/>
          <a:p>
            <a:pPr algn="ctr" rtl="0">
              <a:defRPr sz="12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latin typeface="Times New Roman" panose="02020603050405020304" pitchFamily="18" charset="0"/>
                <a:cs typeface="Times New Roman" panose="02020603050405020304" pitchFamily="18" charset="0"/>
              </a:rPr>
              <a:t>RE</a:t>
            </a:r>
            <a:endParaRPr lang="ru-RU" sz="1200" b="1" i="0" u="none" strike="noStrike" baseline="0">
              <a:solidFill>
                <a:sysClr val="windowText" lastClr="000000"/>
              </a:solidFill>
              <a:latin typeface="Times New Roman" panose="02020603050405020304" pitchFamily="18" charset="0"/>
              <a:cs typeface="Times New Roman" panose="02020603050405020304" pitchFamily="18" charset="0"/>
            </a:endParaRPr>
          </a:p>
        </cx:rich>
      </cx:tx>
    </cx:title>
    <cx:plotArea>
      <cx:plotAreaRegion>
        <cx:series layoutId="boxWhisker" uniqueId="{8E0D96B0-3194-4649-9EE1-DB987E0AD4A6}">
          <cx:tx>
            <cx:txData>
              <cx:f>'Ящик с усами nLM'!$B$1</cx:f>
              <cx:v>nLM I</cx:v>
            </cx:txData>
          </cx:tx>
          <cx:spPr>
            <a:solidFill>
              <a:srgbClr val="92D05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4"/>
            <cx:dataLabelHidden idx="25"/>
            <cx:dataLabelHidden idx="27"/>
            <cx:dataLabelHidden idx="28"/>
          </cx:dataLabels>
          <cx:dataId val="0"/>
          <cx:layoutPr>
            <cx:visibility meanLine="0" meanMarker="1" nonoutliers="0" outliers="1"/>
            <cx:statistics quartileMethod="exclusive"/>
          </cx:layoutPr>
        </cx:series>
        <cx:series layoutId="boxWhisker" uniqueId="{5C93AF13-12CF-48E8-8BCA-1BAAF0539982}">
          <cx:tx>
            <cx:txData>
              <cx:f>'Ящик с усами nLM'!$B$28</cx:f>
              <cx:v>pLM 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5"/>
            <cx:dataLabelHidden idx="26"/>
            <cx:dataLabelHidden idx="28"/>
            <cx:dataLabelHidden idx="30"/>
            <cx:dataLabelHidden idx="31"/>
          </cx:dataLabels>
          <cx:dataId val="1"/>
          <cx:layoutPr>
            <cx:visibility meanLine="0" meanMarker="1" nonoutliers="0" outliers="1"/>
            <cx:statistics quartileMethod="exclusive"/>
          </cx:layoutPr>
        </cx:series>
        <cx:series layoutId="boxWhisker" uniqueId="{F55F88ED-679F-4F4F-ABB4-39F231893518}">
          <cx:tx>
            <cx:txData>
              <cx:f>'Ящик с усами nLM'!$K$1</cx:f>
              <cx:v>nLM II</cx:v>
            </cx:txData>
          </cx:tx>
          <cx:spPr>
            <a:solidFill>
              <a:srgbClr val="92D05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3"/>
            <cx:dataLabelHidden idx="24"/>
            <cx:dataLabelHidden idx="25"/>
            <cx:dataLabelHidden idx="27"/>
            <cx:dataLabelHidden idx="28"/>
          </cx:dataLabels>
          <cx:dataId val="2"/>
          <cx:layoutPr>
            <cx:visibility meanLine="0" meanMarker="1" nonoutliers="0" outliers="1"/>
            <cx:statistics quartileMethod="exclusive"/>
          </cx:layoutPr>
        </cx:series>
        <cx:series layoutId="boxWhisker" uniqueId="{C8B895D4-23B5-4491-8680-38DCC79BC409}">
          <cx:tx>
            <cx:txData>
              <cx:f>'Ящик с усами nLM'!$K$28</cx:f>
              <cx:v>pLM II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6"/>
            <cx:dataLabelHidden idx="27"/>
            <cx:dataLabelHidden idx="28"/>
            <cx:dataLabelHidden idx="30"/>
            <cx:dataLabelHidden idx="31"/>
          </cx:dataLabels>
          <cx:dataId val="3"/>
          <cx:layoutPr>
            <cx:visibility meanLine="0" meanMarker="1" nonoutliers="0" outliers="1"/>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r" align="ctr" overlay="0">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39.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'Ящик с усами nLM'!$C$2:$C$26</cx:f>
        <cx:lvl ptCount="25" formatCode="0,00">
          <cx:pt idx="0">0.78000000000000003</cx:pt>
          <cx:pt idx="1">0.59999999999999998</cx:pt>
          <cx:pt idx="2">0.66000000000000003</cx:pt>
          <cx:pt idx="3">0.5</cx:pt>
          <cx:pt idx="4">0.68000000000000005</cx:pt>
          <cx:pt idx="5">0.37</cx:pt>
          <cx:pt idx="6">0.54000000000000004</cx:pt>
          <cx:pt idx="7">0.57999999999999996</cx:pt>
          <cx:pt idx="8">0.41999999999999998</cx:pt>
          <cx:pt idx="9">0.73999999999999999</cx:pt>
          <cx:pt idx="10">0.94999999999999996</cx:pt>
          <cx:pt idx="11">0.62</cx:pt>
          <cx:pt idx="12">1.3799999999999999</cx:pt>
          <cx:pt idx="13">2</cx:pt>
          <cx:pt idx="14">0.56000000000000005</cx:pt>
          <cx:pt idx="15">0.40000000000000002</cx:pt>
          <cx:pt idx="16">1.48</cx:pt>
          <cx:pt idx="17">0.78000000000000003</cx:pt>
          <cx:pt idx="18">1.1799999999999999</cx:pt>
          <cx:pt idx="19">1.71</cx:pt>
          <cx:pt idx="20">1.9299999999999999</cx:pt>
          <cx:pt idx="21">0.89000000000000001</cx:pt>
          <cx:pt idx="22">0.82999999999999996</cx:pt>
          <cx:pt idx="23">1.4099999999999999</cx:pt>
          <cx:pt idx="24">0.63</cx:pt>
        </cx:lvl>
      </cx:numDim>
    </cx:data>
    <cx:data id="1">
      <cx:numDim type="val">
        <cx:f>'Ящик с усами nLM'!$C$29:$C$56</cx:f>
        <cx:lvl ptCount="28" formatCode="0,00">
          <cx:pt idx="0">0.38</cx:pt>
          <cx:pt idx="1">0.39000000000000001</cx:pt>
          <cx:pt idx="2">0.53000000000000003</cx:pt>
          <cx:pt idx="3">0.42999999999999999</cx:pt>
          <cx:pt idx="4">0.63</cx:pt>
          <cx:pt idx="5">0.75</cx:pt>
          <cx:pt idx="6">0.78000000000000003</cx:pt>
          <cx:pt idx="7">0.40999999999999998</cx:pt>
          <cx:pt idx="8">0.54000000000000004</cx:pt>
          <cx:pt idx="9">0.48999999999999999</cx:pt>
          <cx:pt idx="10">0.40999999999999998</cx:pt>
          <cx:pt idx="11">0.68000000000000005</cx:pt>
          <cx:pt idx="12">0.78000000000000003</cx:pt>
          <cx:pt idx="13">0.93999999999999995</cx:pt>
          <cx:pt idx="14">1.25</cx:pt>
          <cx:pt idx="15">1.6299999999999999</cx:pt>
          <cx:pt idx="16">1.76</cx:pt>
          <cx:pt idx="17">1.1100000000000001</cx:pt>
          <cx:pt idx="18">0.47999999999999998</cx:pt>
          <cx:pt idx="19">0.54000000000000004</cx:pt>
          <cx:pt idx="20">0.98999999999999999</cx:pt>
          <cx:pt idx="21">1.1499999999999999</cx:pt>
          <cx:pt idx="22">0.85999999999999999</cx:pt>
          <cx:pt idx="23">1.0900000000000001</cx:pt>
          <cx:pt idx="24">1.1899999999999999</cx:pt>
          <cx:pt idx="25">0.96999999999999997</cx:pt>
          <cx:pt idx="26">0.80000000000000004</cx:pt>
          <cx:pt idx="27">0.42999999999999999</cx:pt>
        </cx:lvl>
      </cx:numDim>
    </cx:data>
    <cx:data id="2">
      <cx:numDim type="val">
        <cx:f>'Ящик с усами nLM'!$L$2:$L$26</cx:f>
        <cx:lvl ptCount="25" formatCode="0,00">
          <cx:pt idx="0">0.83999999999999997</cx:pt>
          <cx:pt idx="1">0.40999999999999998</cx:pt>
          <cx:pt idx="2">0.85999999999999999</cx:pt>
          <cx:pt idx="3">1.49</cx:pt>
          <cx:pt idx="4">1.9299999999999999</cx:pt>
          <cx:pt idx="5">2.0499999999999998</cx:pt>
          <cx:pt idx="6">1.75</cx:pt>
          <cx:pt idx="7">0.52000000000000002</cx:pt>
          <cx:pt idx="8">0.65000000000000002</cx:pt>
          <cx:pt idx="9">0.85999999999999999</cx:pt>
          <cx:pt idx="10">1.02</cx:pt>
          <cx:pt idx="11">1.21</cx:pt>
          <cx:pt idx="12">1.28</cx:pt>
          <cx:pt idx="13">1.48</cx:pt>
          <cx:pt idx="14">1.21</cx:pt>
          <cx:pt idx="15">1.4299999999999999</cx:pt>
          <cx:pt idx="16">1.0600000000000001</cx:pt>
          <cx:pt idx="17">0.91000000000000003</cx:pt>
          <cx:pt idx="18">1.3200000000000001</cx:pt>
          <cx:pt idx="19">1.4299999999999999</cx:pt>
          <cx:pt idx="20">1.6799999999999999</cx:pt>
          <cx:pt idx="21">1.0700000000000001</cx:pt>
          <cx:pt idx="22">1.3700000000000001</cx:pt>
          <cx:pt idx="23">1.51</cx:pt>
          <cx:pt idx="24">1.25</cx:pt>
        </cx:lvl>
      </cx:numDim>
    </cx:data>
    <cx:data id="3">
      <cx:numDim type="val">
        <cx:f>'Ящик с усами nLM'!$L$29:$L$56</cx:f>
        <cx:lvl ptCount="28" formatCode="0,00">
          <cx:pt idx="0">1.21</cx:pt>
          <cx:pt idx="1">0.88</cx:pt>
          <cx:pt idx="2">1.23</cx:pt>
          <cx:pt idx="3">0.94999999999999996</cx:pt>
          <cx:pt idx="4">1.6100000000000001</cx:pt>
          <cx:pt idx="5">1.1000000000000001</cx:pt>
          <cx:pt idx="6">2.3100000000000001</cx:pt>
          <cx:pt idx="7">0.81000000000000005</cx:pt>
          <cx:pt idx="8">1.1000000000000001</cx:pt>
          <cx:pt idx="9">1.1699999999999999</cx:pt>
          <cx:pt idx="10">1.0900000000000001</cx:pt>
          <cx:pt idx="11">0.76000000000000001</cx:pt>
          <cx:pt idx="12">1.3400000000000001</cx:pt>
          <cx:pt idx="13">1.0900000000000001</cx:pt>
          <cx:pt idx="14">1.45</cx:pt>
          <cx:pt idx="15">1.3400000000000001</cx:pt>
          <cx:pt idx="16">2.2000000000000002</cx:pt>
          <cx:pt idx="17">1.02</cx:pt>
          <cx:pt idx="18">0.95999999999999996</cx:pt>
          <cx:pt idx="19">1.3</cx:pt>
          <cx:pt idx="20">1.3799999999999999</cx:pt>
          <cx:pt idx="21">1.3200000000000001</cx:pt>
          <cx:pt idx="22">0.84999999999999998</cx:pt>
          <cx:pt idx="23">1.1399999999999999</cx:pt>
          <cx:pt idx="24">1.05</cx:pt>
          <cx:pt idx="25">0.72999999999999998</cx:pt>
          <cx:pt idx="26">0.55000000000000004</cx:pt>
          <cx:pt idx="27">0.78000000000000003</cx:pt>
        </cx:lvl>
      </cx:numDim>
    </cx:data>
  </cx:chartData>
  <cx:chart>
    <cx:title pos="t" align="ctr" overlay="0">
      <cx:tx>
        <cx:rich>
          <a:bodyPr vertOverflow="overflow" horzOverflow="overflow" wrap="square" lIns="0" tIns="0" rIns="0" bIns="0"/>
          <a:lstStyle/>
          <a:p>
            <a:pPr algn="ctr" rtl="0">
              <a:defRPr sz="12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a:solidFill>
                  <a:sysClr val="windowText" lastClr="000000"/>
                </a:solidFill>
                <a:latin typeface="Times New Roman" panose="02020603050405020304" pitchFamily="18" charset="0"/>
                <a:cs typeface="Times New Roman" panose="02020603050405020304" pitchFamily="18" charset="0"/>
              </a:rPr>
              <a:t>RLH</a:t>
            </a:r>
            <a:endParaRPr lang="ru-KZ" sz="1200" b="1" i="0">
              <a:solidFill>
                <a:sysClr val="windowText" lastClr="000000"/>
              </a:solidFill>
              <a:latin typeface="Times New Roman" panose="02020603050405020304" pitchFamily="18" charset="0"/>
              <a:cs typeface="Times New Roman" panose="02020603050405020304" pitchFamily="18" charset="0"/>
            </a:endParaRPr>
          </a:p>
        </cx:rich>
      </cx:tx>
    </cx:title>
    <cx:plotArea>
      <cx:plotAreaRegion>
        <cx:series layoutId="boxWhisker" uniqueId="{4B3CF85A-75FE-4AD4-BDEE-C67E2113E1E2}">
          <cx:tx>
            <cx:txData>
              <cx:f>'Ящик с усами nLM'!$C$1</cx:f>
              <cx:v>nLM I</cx:v>
            </cx:txData>
          </cx:tx>
          <cx:spPr>
            <a:solidFill>
              <a:srgbClr val="92D05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4"/>
            <cx:dataLabelHidden idx="25"/>
            <cx:dataLabelHidden idx="27"/>
            <cx:dataLabelHidden idx="28"/>
          </cx:dataLabels>
          <cx:dataId val="0"/>
          <cx:layoutPr>
            <cx:visibility meanLine="0" meanMarker="1" nonoutliers="0" outliers="1"/>
            <cx:statistics quartileMethod="exclusive"/>
          </cx:layoutPr>
        </cx:series>
        <cx:series layoutId="boxWhisker" uniqueId="{5A09F5C5-4117-4B81-B2AB-08551B5758FF}">
          <cx:tx>
            <cx:txData>
              <cx:f>'Ящик с усами nLM'!$C$28</cx:f>
              <cx:v>pLM 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7"/>
            <cx:dataLabelHidden idx="28"/>
            <cx:dataLabelHidden idx="30"/>
            <cx:dataLabelHidden idx="31"/>
          </cx:dataLabels>
          <cx:dataId val="1"/>
          <cx:layoutPr>
            <cx:visibility meanLine="0" meanMarker="1" nonoutliers="0" outliers="1"/>
            <cx:statistics quartileMethod="exclusive"/>
          </cx:layoutPr>
        </cx:series>
        <cx:series layoutId="boxWhisker" uniqueId="{4F971F43-596C-46EF-A8BD-E2990CE9E6CA}">
          <cx:tx>
            <cx:txData>
              <cx:f>'Ящик с усами nLM'!$L$1</cx:f>
              <cx:v>nLM II</cx:v>
            </cx:txData>
          </cx:tx>
          <cx:spPr>
            <a:solidFill>
              <a:srgbClr val="92D05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4"/>
            <cx:dataLabelHidden idx="25"/>
            <cx:dataLabelHidden idx="27"/>
            <cx:dataLabelHidden idx="28"/>
          </cx:dataLabels>
          <cx:dataId val="2"/>
          <cx:layoutPr>
            <cx:visibility meanLine="0" meanMarker="1" nonoutliers="0" outliers="1"/>
            <cx:statistics quartileMethod="exclusive"/>
          </cx:layoutPr>
        </cx:series>
        <cx:series layoutId="boxWhisker" uniqueId="{F0146630-93D5-4750-B2ED-CB96844D3F1D}">
          <cx:tx>
            <cx:txData>
              <cx:f>'Ящик с усами nLM'!$L$28</cx:f>
              <cx:v>pLM II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5"/>
            <cx:dataLabelHidden idx="26"/>
            <cx:dataLabelHidden idx="27"/>
            <cx:dataLabelHidden idx="28"/>
            <cx:dataLabelHidden idx="30"/>
            <cx:dataLabelHidden idx="31"/>
          </cx:dataLabels>
          <cx:dataId val="3"/>
          <cx:layoutPr>
            <cx:visibility meanLine="0" meanMarker="1" nonoutliers="0" outliers="1"/>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r" align="ctr" overlay="0">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4.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T РЯ'!$A$2:$A$54</cx:f>
        <cx:lvl ptCount="53">
          <cx:pt idx="0">T1</cx:pt>
          <cx:pt idx="1">T1</cx:pt>
          <cx:pt idx="2">T1</cx:pt>
          <cx:pt idx="3">T1</cx:pt>
          <cx:pt idx="4">T1</cx:pt>
          <cx:pt idx="5">T1</cx:pt>
          <cx:pt idx="6">T1</cx:pt>
          <cx:pt idx="7">T1</cx:pt>
          <cx:pt idx="8">T2</cx:pt>
          <cx:pt idx="9">T2</cx:pt>
          <cx:pt idx="10">T2</cx:pt>
          <cx:pt idx="11">T2</cx:pt>
          <cx:pt idx="12">T2</cx:pt>
          <cx:pt idx="13">T2</cx:pt>
          <cx:pt idx="14">T2</cx:pt>
          <cx:pt idx="15">T2</cx:pt>
          <cx:pt idx="16">T2</cx:pt>
          <cx:pt idx="17">T2</cx:pt>
          <cx:pt idx="18">T2</cx:pt>
          <cx:pt idx="19">T2</cx:pt>
          <cx:pt idx="20">T2</cx:pt>
          <cx:pt idx="21">T2</cx:pt>
          <cx:pt idx="22">T2</cx:pt>
          <cx:pt idx="23">T3</cx:pt>
          <cx:pt idx="24">T3</cx:pt>
          <cx:pt idx="25">T3</cx:pt>
          <cx:pt idx="26">T3</cx:pt>
          <cx:pt idx="27">T3</cx:pt>
          <cx:pt idx="28">T3</cx:pt>
          <cx:pt idx="29">T3</cx:pt>
          <cx:pt idx="30">T3</cx:pt>
          <cx:pt idx="31">T3</cx:pt>
          <cx:pt idx="32">T3</cx:pt>
          <cx:pt idx="33">T3</cx:pt>
          <cx:pt idx="34">T3</cx:pt>
          <cx:pt idx="35">T3</cx:pt>
          <cx:pt idx="36">T3</cx:pt>
          <cx:pt idx="37">T3</cx:pt>
          <cx:pt idx="38">T3</cx:pt>
          <cx:pt idx="39">T3</cx:pt>
          <cx:pt idx="40">T3</cx:pt>
          <cx:pt idx="41">T3</cx:pt>
          <cx:pt idx="42">T3</cx:pt>
          <cx:pt idx="43">T3</cx:pt>
          <cx:pt idx="44">T3</cx:pt>
          <cx:pt idx="45">T3</cx:pt>
          <cx:pt idx="46">T3</cx:pt>
          <cx:pt idx="47">T3</cx:pt>
          <cx:pt idx="48">T3</cx:pt>
          <cx:pt idx="49">T3</cx:pt>
          <cx:pt idx="50">T3</cx:pt>
          <cx:pt idx="51">T4</cx:pt>
          <cx:pt idx="52">T4</cx:pt>
        </cx:lvl>
      </cx:strDim>
      <cx:numDim type="val">
        <cx:f>'Ящик с усами T РЯ'!$D$2:$D$54</cx:f>
        <cx:lvl ptCount="53" formatCode="0,00">
          <cx:pt idx="0">0.71999999999999997</cx:pt>
          <cx:pt idx="1">0.58999999999999997</cx:pt>
          <cx:pt idx="2">0.71999999999999997</cx:pt>
          <cx:pt idx="3">0.42999999999999999</cx:pt>
          <cx:pt idx="4">0.67000000000000004</cx:pt>
          <cx:pt idx="5">1.3799999999999999</cx:pt>
          <cx:pt idx="6">1.28</cx:pt>
          <cx:pt idx="7">1.27</cx:pt>
          <cx:pt idx="8">0.79000000000000004</cx:pt>
          <cx:pt idx="9">0.96999999999999997</cx:pt>
          <cx:pt idx="10">0.68000000000000005</cx:pt>
          <cx:pt idx="11">0.71999999999999997</cx:pt>
          <cx:pt idx="12">0.72999999999999998</cx:pt>
          <cx:pt idx="13">0.55000000000000004</cx:pt>
          <cx:pt idx="14">0.92000000000000004</cx:pt>
          <cx:pt idx="15">0.93999999999999995</cx:pt>
          <cx:pt idx="16">1.21</cx:pt>
          <cx:pt idx="17">0.81999999999999995</cx:pt>
          <cx:pt idx="18">2.0800000000000001</cx:pt>
          <cx:pt idx="19">1.1399999999999999</cx:pt>
          <cx:pt idx="20">1.5700000000000001</cx:pt>
          <cx:pt idx="21">2.0800000000000001</cx:pt>
          <cx:pt idx="22">0.79000000000000004</cx:pt>
          <cx:pt idx="23">0.90000000000000002</cx:pt>
          <cx:pt idx="24">0.81999999999999995</cx:pt>
          <cx:pt idx="25">0.56000000000000005</cx:pt>
          <cx:pt idx="26">0.95999999999999996</cx:pt>
          <cx:pt idx="27">0.77000000000000002</cx:pt>
          <cx:pt idx="28">1.05</cx:pt>
          <cx:pt idx="29">1.0600000000000001</cx:pt>
          <cx:pt idx="30">0.66000000000000003</cx:pt>
          <cx:pt idx="31">0.65000000000000002</cx:pt>
          <cx:pt idx="32">0.56000000000000005</cx:pt>
          <cx:pt idx="33">1.55</cx:pt>
          <cx:pt idx="34">0.79000000000000004</cx:pt>
          <cx:pt idx="35">0.46999999999999997</cx:pt>
          <cx:pt idx="36">1.46</cx:pt>
          <cx:pt idx="37">1.5</cx:pt>
          <cx:pt idx="38">2.7799999999999998</cx:pt>
          <cx:pt idx="39">0.96999999999999997</cx:pt>
          <cx:pt idx="40">1.4199999999999999</cx:pt>
          <cx:pt idx="41">0.47999999999999998</cx:pt>
          <cx:pt idx="42">1.02</cx:pt>
          <cx:pt idx="43">1.1200000000000001</cx:pt>
          <cx:pt idx="44">0.89000000000000001</cx:pt>
          <cx:pt idx="45">0.97999999999999998</cx:pt>
          <cx:pt idx="46">1.1699999999999999</cx:pt>
          <cx:pt idx="47">1.45</cx:pt>
          <cx:pt idx="48">1.4099999999999999</cx:pt>
          <cx:pt idx="49">1.79</cx:pt>
          <cx:pt idx="50">0.56000000000000005</cx:pt>
          <cx:pt idx="51">1.05</cx:pt>
          <cx:pt idx="52">1.1299999999999999</cx:pt>
        </cx:lvl>
      </cx:numDim>
    </cx:data>
  </cx:chartData>
  <cx:chart>
    <cx:plotArea>
      <cx:plotAreaRegion>
        <cx:series layoutId="boxWhisker" uniqueId="{C8A3F991-E705-4418-B1D5-A0CD0B8B9944}">
          <cx:tx>
            <cx:txData>
              <cx:f>'Ящик с усами T РЯ'!$D$1</cx:f>
              <cx:v>RRL</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7"/>
            <cx:dataLabelHidden idx="8"/>
            <cx:dataLabelHidden idx="10"/>
            <cx:dataLabelHidden idx="11"/>
            <cx:dataLabelHidden idx="12"/>
            <cx:dataLabelHidden idx="24"/>
            <cx:dataLabelHidden idx="25"/>
            <cx:dataLabelHidden idx="27"/>
            <cx:dataLabelHidden idx="29"/>
            <cx:dataLabelHidden idx="30"/>
            <cx:dataLabelHidden idx="31"/>
            <cx:dataLabelHidden idx="57"/>
            <cx:dataLabelHidden idx="58"/>
            <cx:dataLabelHidden idx="59"/>
            <cx:dataLabelHidden idx="61"/>
            <cx:dataLabelHidden idx="62"/>
            <cx:dataLabelHidden idx="63"/>
            <cx:dataLabelHidden idx="64"/>
            <cx:dataLabelHidden idx="65"/>
            <cx:dataLabelHidden idx="66"/>
            <cx:dataLabelHidden idx="67"/>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9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40.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'Ящик с усами nLM'!$D$2:$D$26</cx:f>
        <cx:lvl ptCount="25" formatCode="0,00">
          <cx:pt idx="0">0.90000000000000002</cx:pt>
          <cx:pt idx="1">0.79000000000000004</cx:pt>
          <cx:pt idx="2">0.71999999999999997</cx:pt>
          <cx:pt idx="3">0.96999999999999997</cx:pt>
          <cx:pt idx="4">1.05</cx:pt>
          <cx:pt idx="5">0.71999999999999997</cx:pt>
          <cx:pt idx="6">1.0600000000000001</cx:pt>
          <cx:pt idx="7">0.66000000000000003</cx:pt>
          <cx:pt idx="8">0.65000000000000002</cx:pt>
          <cx:pt idx="9">0.72999999999999998</cx:pt>
          <cx:pt idx="10">0.71999999999999997</cx:pt>
          <cx:pt idx="11">0.93999999999999995</cx:pt>
          <cx:pt idx="12">1.55</cx:pt>
          <cx:pt idx="13">1.21</cx:pt>
          <cx:pt idx="14">0.81999999999999995</cx:pt>
          <cx:pt idx="15">0.46999999999999997</cx:pt>
          <cx:pt idx="16">2.0800000000000001</cx:pt>
          <cx:pt idx="17">1.46</cx:pt>
          <cx:pt idx="18">1.05</cx:pt>
          <cx:pt idx="19">1.3799999999999999</cx:pt>
          <cx:pt idx="20">2.7799999999999998</cx:pt>
          <cx:pt idx="21">1.5700000000000001</cx:pt>
          <cx:pt idx="22">2.0800000000000001</cx:pt>
          <cx:pt idx="23">1.4099999999999999</cx:pt>
          <cx:pt idx="24">1.79</cx:pt>
        </cx:lvl>
      </cx:numDim>
    </cx:data>
    <cx:data id="1">
      <cx:numDim type="val">
        <cx:f>'Ящик с усами nLM'!$D$29:$D$56</cx:f>
        <cx:lvl ptCount="28" formatCode="0,00">
          <cx:pt idx="0">0.81999999999999995</cx:pt>
          <cx:pt idx="1">0.56000000000000005</cx:pt>
          <cx:pt idx="2">0.95999999999999996</cx:pt>
          <cx:pt idx="3">0.68000000000000005</cx:pt>
          <cx:pt idx="4">0.58999999999999997</cx:pt>
          <cx:pt idx="5">0.77000000000000002</cx:pt>
          <cx:pt idx="6">0.55000000000000004</cx:pt>
          <cx:pt idx="7">0.42999999999999999</cx:pt>
          <cx:pt idx="8">0.92000000000000004</cx:pt>
          <cx:pt idx="9">0.56000000000000005</cx:pt>
          <cx:pt idx="10">0.79000000000000004</cx:pt>
          <cx:pt idx="11">0.67000000000000004</cx:pt>
          <cx:pt idx="12">1.1399999999999999</cx:pt>
          <cx:pt idx="13">1.5</cx:pt>
          <cx:pt idx="14">1.28</cx:pt>
          <cx:pt idx="15">0.96999999999999997</cx:pt>
          <cx:pt idx="16">1.1299999999999999</cx:pt>
          <cx:pt idx="17">1.4199999999999999</cx:pt>
          <cx:pt idx="18">0.47999999999999998</cx:pt>
          <cx:pt idx="19">1.02</cx:pt>
          <cx:pt idx="20">1.1200000000000001</cx:pt>
          <cx:pt idx="21">0.89000000000000001</cx:pt>
          <cx:pt idx="22">0.79000000000000004</cx:pt>
          <cx:pt idx="23">0.97999999999999998</cx:pt>
          <cx:pt idx="24">1.1699999999999999</cx:pt>
          <cx:pt idx="25">1.27</cx:pt>
          <cx:pt idx="26">1.45</cx:pt>
          <cx:pt idx="27">0.56000000000000005</cx:pt>
        </cx:lvl>
      </cx:numDim>
    </cx:data>
    <cx:data id="2">
      <cx:numDim type="val">
        <cx:f>'Ящик с усами nLM'!$M$2:$M$26</cx:f>
        <cx:lvl ptCount="25" formatCode="0,00">
          <cx:pt idx="0">0.47999999999999998</cx:pt>
          <cx:pt idx="1">0.62</cx:pt>
          <cx:pt idx="2">0.84999999999999998</cx:pt>
          <cx:pt idx="3">1.26</cx:pt>
          <cx:pt idx="4">1.7</cx:pt>
          <cx:pt idx="5">2.0499999999999998</cx:pt>
          <cx:pt idx="6">1.5600000000000001</cx:pt>
          <cx:pt idx="7">0.91000000000000003</cx:pt>
          <cx:pt idx="8">1.55</cx:pt>
          <cx:pt idx="9">1.5800000000000001</cx:pt>
          <cx:pt idx="10">1.25</cx:pt>
          <cx:pt idx="11">1.8</cx:pt>
          <cx:pt idx="12">1.6499999999999999</cx:pt>
          <cx:pt idx="13">1.55</cx:pt>
          <cx:pt idx="14">1.1799999999999999</cx:pt>
          <cx:pt idx="15">1.6899999999999999</cx:pt>
          <cx:pt idx="16">2.4100000000000001</cx:pt>
          <cx:pt idx="17">2.1400000000000001</cx:pt>
          <cx:pt idx="18">0.85999999999999999</cx:pt>
          <cx:pt idx="19">0.89000000000000001</cx:pt>
          <cx:pt idx="20">1.6200000000000001</cx:pt>
          <cx:pt idx="21">1.6899999999999999</cx:pt>
          <cx:pt idx="22">1.53</cx:pt>
          <cx:pt idx="23">1.48</cx:pt>
          <cx:pt idx="24">2.0600000000000001</cx:pt>
        </cx:lvl>
      </cx:numDim>
    </cx:data>
    <cx:data id="3">
      <cx:numDim type="val">
        <cx:f>'Ящик с усами nLM'!$M$29:$M$56</cx:f>
        <cx:lvl ptCount="28" formatCode="0,00">
          <cx:pt idx="0">0.94999999999999996</cx:pt>
          <cx:pt idx="1">1.45</cx:pt>
          <cx:pt idx="2">2.3500000000000001</cx:pt>
          <cx:pt idx="3">1.28</cx:pt>
          <cx:pt idx="4">1.22</cx:pt>
          <cx:pt idx="5">1.8</cx:pt>
          <cx:pt idx="6">1.3600000000000001</cx:pt>
          <cx:pt idx="7">0.68000000000000005</cx:pt>
          <cx:pt idx="8">1.6299999999999999</cx:pt>
          <cx:pt idx="9">1.1499999999999999</cx:pt>
          <cx:pt idx="10">0.92000000000000004</cx:pt>
          <cx:pt idx="11">0.93000000000000005</cx:pt>
          <cx:pt idx="12">1.0900000000000001</cx:pt>
          <cx:pt idx="13">0.97999999999999998</cx:pt>
          <cx:pt idx="14">1.9399999999999999</cx:pt>
          <cx:pt idx="15">1.8799999999999999</cx:pt>
          <cx:pt idx="16">1.24</cx:pt>
          <cx:pt idx="17">1.1299999999999999</cx:pt>
          <cx:pt idx="18">1.3300000000000001</cx:pt>
          <cx:pt idx="19">1.97</cx:pt>
          <cx:pt idx="20">0.90000000000000002</cx:pt>
          <cx:pt idx="21">0.88</cx:pt>
          <cx:pt idx="22">0.88</cx:pt>
          <cx:pt idx="23">1.9299999999999999</cx:pt>
          <cx:pt idx="24">0.91000000000000003</cx:pt>
          <cx:pt idx="25">1.1200000000000001</cx:pt>
          <cx:pt idx="26">0.90000000000000002</cx:pt>
          <cx:pt idx="27">0.89000000000000001</cx:pt>
        </cx:lvl>
      </cx:numDim>
    </cx:data>
  </cx:chartData>
  <cx:chart>
    <cx:title pos="t" align="ctr" overlay="0">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RRL</a:t>
            </a:r>
            <a:endParaRPr lang="ru-KZ" sz="1200" b="1">
              <a:solidFill>
                <a:sysClr val="windowText" lastClr="000000"/>
              </a:solidFill>
              <a:latin typeface="Times New Roman" panose="02020603050405020304" pitchFamily="18" charset="0"/>
              <a:cs typeface="Times New Roman" panose="02020603050405020304" pitchFamily="18" charset="0"/>
            </a:endParaRPr>
          </a:p>
        </cx:rich>
      </cx:tx>
    </cx:title>
    <cx:plotArea>
      <cx:plotAreaRegion>
        <cx:series layoutId="boxWhisker" uniqueId="{EF19F11C-EDA5-4A31-9B9B-33CF31CDB523}">
          <cx:tx>
            <cx:txData>
              <cx:f>'Ящик с усами nLM'!$D$1</cx:f>
              <cx:v>nLM I</cx:v>
            </cx:txData>
          </cx:tx>
          <cx:spPr>
            <a:solidFill>
              <a:srgbClr val="92D05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3"/>
            <cx:dataLabelHidden idx="24"/>
            <cx:dataLabelHidden idx="25"/>
            <cx:dataLabelHidden idx="27"/>
            <cx:dataLabelHidden idx="28"/>
          </cx:dataLabels>
          <cx:dataId val="0"/>
          <cx:layoutPr>
            <cx:visibility meanLine="0" meanMarker="1" nonoutliers="0" outliers="1"/>
            <cx:statistics quartileMethod="exclusive"/>
          </cx:layoutPr>
        </cx:series>
        <cx:series layoutId="boxWhisker" uniqueId="{13DB5462-5FAE-4F34-A871-D25A2068A631}">
          <cx:tx>
            <cx:txData>
              <cx:f>'Ящик с усами nLM'!$D$28</cx:f>
              <cx:v>pLM 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7"/>
            <cx:dataLabelHidden idx="28"/>
            <cx:dataLabelHidden idx="29"/>
            <cx:dataLabelHidden idx="30"/>
          </cx:dataLabels>
          <cx:dataId val="1"/>
          <cx:layoutPr>
            <cx:visibility meanLine="0" meanMarker="1" nonoutliers="0" outliers="1"/>
            <cx:statistics quartileMethod="exclusive"/>
          </cx:layoutPr>
        </cx:series>
        <cx:series layoutId="boxWhisker" uniqueId="{395E19BF-B967-421B-A3BA-B21787412899}">
          <cx:tx>
            <cx:txData>
              <cx:f>'Ящик с усами nLM'!$M$1</cx:f>
              <cx:v>nLM II</cx:v>
            </cx:txData>
          </cx:tx>
          <cx:spPr>
            <a:solidFill>
              <a:srgbClr val="92D05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4"/>
            <cx:dataLabelHidden idx="25"/>
            <cx:dataLabelHidden idx="27"/>
            <cx:dataLabelHidden idx="28"/>
          </cx:dataLabels>
          <cx:dataId val="2"/>
          <cx:layoutPr>
            <cx:visibility meanLine="0" meanMarker="1" nonoutliers="0" outliers="1"/>
            <cx:statistics quartileMethod="exclusive"/>
          </cx:layoutPr>
        </cx:series>
        <cx:series layoutId="boxWhisker" uniqueId="{306E85CE-F769-4801-8191-48182ACCEAE0}">
          <cx:tx>
            <cx:txData>
              <cx:f>'Ящик с усами nLM'!$M$28</cx:f>
              <cx:v>pLM II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7"/>
            <cx:dataLabelHidden idx="28"/>
            <cx:dataLabelHidden idx="30"/>
            <cx:dataLabelHidden idx="31"/>
          </cx:dataLabels>
          <cx:dataId val="3"/>
          <cx:layoutPr>
            <cx:visibility meanLine="0" meanMarker="1" nonoutliers="0" outliers="1"/>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r" align="ctr" overlay="0">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41.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'Ящик с усами nLM'!$E$2:$E$26</cx:f>
        <cx:lvl ptCount="25" formatCode="0,00">
          <cx:pt idx="0">0.93999999999999995</cx:pt>
          <cx:pt idx="1">1.1000000000000001</cx:pt>
          <cx:pt idx="2">0.64000000000000001</cx:pt>
          <cx:pt idx="3">0.52000000000000002</cx:pt>
          <cx:pt idx="4">0.93999999999999995</cx:pt>
          <cx:pt idx="5">0.64000000000000001</cx:pt>
          <cx:pt idx="6">0.72999999999999998</cx:pt>
          <cx:pt idx="7">0.53000000000000003</cx:pt>
          <cx:pt idx="8">0.68999999999999995</cx:pt>
          <cx:pt idx="9">0.47999999999999998</cx:pt>
          <cx:pt idx="10">0.70999999999999996</cx:pt>
          <cx:pt idx="11">0.68000000000000005</cx:pt>
          <cx:pt idx="12">1.1699999999999999</cx:pt>
          <cx:pt idx="13">1.1000000000000001</cx:pt>
          <cx:pt idx="14">0.65000000000000002</cx:pt>
          <cx:pt idx="15">0.32000000000000001</cx:pt>
          <cx:pt idx="16">1.3899999999999999</cx:pt>
          <cx:pt idx="17">1.76</cx:pt>
          <cx:pt idx="18">1.0700000000000001</cx:pt>
          <cx:pt idx="19">0.87</cx:pt>
          <cx:pt idx="20">1.47</cx:pt>
          <cx:pt idx="21">0.91000000000000003</cx:pt>
          <cx:pt idx="22">1.5800000000000001</cx:pt>
          <cx:pt idx="23">1.26</cx:pt>
          <cx:pt idx="24">1.5700000000000001</cx:pt>
        </cx:lvl>
      </cx:numDim>
    </cx:data>
    <cx:data id="1">
      <cx:numDim type="val">
        <cx:f>'Ящик с усами nLM'!$E$29:$E$56</cx:f>
        <cx:lvl ptCount="28" formatCode="0,00">
          <cx:pt idx="0">0.85999999999999999</cx:pt>
          <cx:pt idx="1">0.69999999999999996</cx:pt>
          <cx:pt idx="2">0.62</cx:pt>
          <cx:pt idx="3">0.58999999999999997</cx:pt>
          <cx:pt idx="4">1.02</cx:pt>
          <cx:pt idx="5">0.56000000000000005</cx:pt>
          <cx:pt idx="6">0.72999999999999998</cx:pt>
          <cx:pt idx="7">0.33000000000000002</cx:pt>
          <cx:pt idx="8">0.75</cx:pt>
          <cx:pt idx="9">0.54000000000000004</cx:pt>
          <cx:pt idx="10">0.71999999999999997</cx:pt>
          <cx:pt idx="11">0.76000000000000001</cx:pt>
          <cx:pt idx="12">0.64000000000000001</cx:pt>
          <cx:pt idx="13">1.03</cx:pt>
          <cx:pt idx="14">1.3100000000000001</cx:pt>
          <cx:pt idx="15">1.29</cx:pt>
          <cx:pt idx="16">0.82999999999999996</cx:pt>
          <cx:pt idx="17">2.1499999999999999</cx:pt>
          <cx:pt idx="18">0.40999999999999998</cx:pt>
          <cx:pt idx="19">1.45</cx:pt>
          <cx:pt idx="20">1.1599999999999999</cx:pt>
          <cx:pt idx="21">0.77000000000000002</cx:pt>
          <cx:pt idx="22">0.68999999999999995</cx:pt>
          <cx:pt idx="23">1.21</cx:pt>
          <cx:pt idx="24">0.70999999999999996</cx:pt>
          <cx:pt idx="25">1.26</cx:pt>
          <cx:pt idx="26">0.65000000000000002</cx:pt>
          <cx:pt idx="27">0.28000000000000003</cx:pt>
        </cx:lvl>
      </cx:numDim>
    </cx:data>
    <cx:data id="2">
      <cx:numDim type="val">
        <cx:f>'Ящик с усами nLM'!$N$2:$N$26</cx:f>
        <cx:lvl ptCount="25" formatCode="0,00">
          <cx:pt idx="0">0.68000000000000005</cx:pt>
          <cx:pt idx="1">0.58999999999999997</cx:pt>
          <cx:pt idx="2">1.03</cx:pt>
          <cx:pt idx="3">1</cx:pt>
          <cx:pt idx="4">1.8</cx:pt>
          <cx:pt idx="5">1.23</cx:pt>
          <cx:pt idx="6">1.8</cx:pt>
          <cx:pt idx="7">0.70999999999999996</cx:pt>
          <cx:pt idx="8">1.1000000000000001</cx:pt>
          <cx:pt idx="9">1.04</cx:pt>
          <cx:pt idx="10">1.27</cx:pt>
          <cx:pt idx="11">0.92000000000000004</cx:pt>
          <cx:pt idx="12">1.73</cx:pt>
          <cx:pt idx="13">0.90000000000000002</cx:pt>
          <cx:pt idx="14">1.2</cx:pt>
          <cx:pt idx="15">1.1899999999999999</cx:pt>
          <cx:pt idx="16">1.22</cx:pt>
          <cx:pt idx="17">1.73</cx:pt>
          <cx:pt idx="18">0.94999999999999996</cx:pt>
          <cx:pt idx="19">0.70999999999999996</cx:pt>
          <cx:pt idx="20">1.04</cx:pt>
          <cx:pt idx="21">1.1100000000000001</cx:pt>
          <cx:pt idx="22">1.1200000000000001</cx:pt>
          <cx:pt idx="23">1.1200000000000001</cx:pt>
          <cx:pt idx="24">1.24</cx:pt>
        </cx:lvl>
      </cx:numDim>
    </cx:data>
    <cx:data id="3">
      <cx:numDim type="val">
        <cx:f>'Ящик с усами nLM'!$N$29:$N$56</cx:f>
        <cx:lvl ptCount="28" formatCode="0,00">
          <cx:pt idx="0">1.1399999999999999</cx:pt>
          <cx:pt idx="1">1.0700000000000001</cx:pt>
          <cx:pt idx="2">1.3700000000000001</cx:pt>
          <cx:pt idx="3">1.0900000000000001</cx:pt>
          <cx:pt idx="4">1.25</cx:pt>
          <cx:pt idx="5">0.78000000000000003</cx:pt>
          <cx:pt idx="6">1.1299999999999999</cx:pt>
          <cx:pt idx="7">0.59999999999999998</cx:pt>
          <cx:pt idx="8">0.75</cx:pt>
          <cx:pt idx="9">1.1299999999999999</cx:pt>
          <cx:pt idx="10">1.3500000000000001</cx:pt>
          <cx:pt idx="11">0.62</cx:pt>
          <cx:pt idx="12">1.1399999999999999</cx:pt>
          <cx:pt idx="13">1.21</cx:pt>
          <cx:pt idx="14">1.1499999999999999</cx:pt>
          <cx:pt idx="15">1.52</cx:pt>
          <cx:pt idx="16">1.25</cx:pt>
          <cx:pt idx="17">1.8</cx:pt>
          <cx:pt idx="18">0.93000000000000005</cx:pt>
          <cx:pt idx="19">1.4399999999999999</cx:pt>
          <cx:pt idx="20">0.60999999999999999</cx:pt>
          <cx:pt idx="21">1.03</cx:pt>
          <cx:pt idx="22">0.66000000000000003</cx:pt>
          <cx:pt idx="23">1.3200000000000001</cx:pt>
          <cx:pt idx="24">1.01</cx:pt>
          <cx:pt idx="25">0.92000000000000004</cx:pt>
          <cx:pt idx="26">0.53000000000000003</cx:pt>
          <cx:pt idx="27">1.23</cx:pt>
        </cx:lvl>
      </cx:numDim>
    </cx:data>
  </cx:chartData>
  <cx:chart>
    <cx:title pos="t" align="ctr" overlay="0">
      <cx:tx>
        <cx:rich>
          <a:bodyPr spcFirstLastPara="1" vertOverflow="ellipsis" horzOverflow="overflow" wrap="square" lIns="0" tIns="0" rIns="0" bIns="0" anchor="ctr" anchorCtr="1"/>
          <a:lstStyle/>
          <a:p>
            <a:pPr algn="ctr" rtl="0">
              <a:defRPr sz="12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latin typeface="Times New Roman" panose="02020603050405020304" pitchFamily="18" charset="0"/>
                <a:cs typeface="Times New Roman" panose="02020603050405020304" pitchFamily="18" charset="0"/>
              </a:rPr>
              <a:t>RU</a:t>
            </a:r>
            <a:endParaRPr lang="ru-RU" sz="1200" b="1" i="0" u="none" strike="noStrike" baseline="0">
              <a:solidFill>
                <a:sysClr val="windowText" lastClr="000000"/>
              </a:solidFill>
              <a:latin typeface="Times New Roman" panose="02020603050405020304" pitchFamily="18" charset="0"/>
              <a:cs typeface="Times New Roman" panose="02020603050405020304" pitchFamily="18" charset="0"/>
            </a:endParaRPr>
          </a:p>
        </cx:rich>
      </cx:tx>
    </cx:title>
    <cx:plotArea>
      <cx:plotAreaRegion>
        <cx:series layoutId="boxWhisker" uniqueId="{58376504-D80A-4664-9A21-18FA4D803536}">
          <cx:tx>
            <cx:txData>
              <cx:f>'Ящик с усами nLM'!$E$1</cx:f>
              <cx:v>nLM I</cx:v>
            </cx:txData>
          </cx:tx>
          <cx:spPr>
            <a:solidFill>
              <a:srgbClr val="92D05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26" pos="b">
              <cx:visibility seriesName="0" categoryName="0" value="1"/>
              <cx:separator>, </cx:separator>
            </cx:dataLabel>
            <cx:dataLabelHidden idx="0"/>
            <cx:dataLabelHidden idx="24"/>
            <cx:dataLabelHidden idx="25"/>
            <cx:dataLabelHidden idx="27"/>
            <cx:dataLabelHidden idx="28"/>
          </cx:dataLabels>
          <cx:dataId val="0"/>
          <cx:layoutPr>
            <cx:visibility meanLine="0" meanMarker="1" nonoutliers="0" outliers="1"/>
            <cx:statistics quartileMethod="exclusive"/>
          </cx:layoutPr>
        </cx:series>
        <cx:series layoutId="boxWhisker" uniqueId="{FE159A95-6C7E-424B-9628-84D24E16C82E}">
          <cx:tx>
            <cx:txData>
              <cx:f>'Ящик с усами nLM'!$E$28</cx:f>
              <cx:v>pLM I</cx:v>
            </cx:txData>
          </cx:tx>
          <cx:spPr>
            <a:solidFill>
              <a:srgbClr val="0070C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29" pos="b">
              <cx:visibility seriesName="0" categoryName="0" value="1"/>
              <cx:separator>, </cx:separator>
            </cx:dataLabel>
            <cx:dataLabelHidden idx="0"/>
            <cx:dataLabelHidden idx="26"/>
            <cx:dataLabelHidden idx="27"/>
            <cx:dataLabelHidden idx="28"/>
            <cx:dataLabelHidden idx="30"/>
            <cx:dataLabelHidden idx="31"/>
          </cx:dataLabels>
          <cx:dataId val="1"/>
          <cx:layoutPr>
            <cx:visibility meanLine="0" meanMarker="1" nonoutliers="0" outliers="1"/>
            <cx:statistics quartileMethod="exclusive"/>
          </cx:layoutPr>
        </cx:series>
        <cx:series layoutId="boxWhisker" uniqueId="{78511DEA-4247-49BF-BD8F-8947A52E9F70}">
          <cx:tx>
            <cx:txData>
              <cx:f>'Ящик с усами nLM'!$N$1</cx:f>
              <cx:v>nLM II</cx:v>
            </cx:txData>
          </cx:tx>
          <cx:spPr>
            <a:solidFill>
              <a:srgbClr val="92D05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0"/>
            <cx:dataLabelHidden idx="21"/>
            <cx:dataLabelHidden idx="23"/>
            <cx:dataLabelHidden idx="25"/>
            <cx:dataLabelHidden idx="27"/>
            <cx:dataLabelHidden idx="28"/>
          </cx:dataLabels>
          <cx:dataId val="2"/>
          <cx:layoutPr>
            <cx:visibility meanLine="0" meanMarker="1" nonoutliers="0" outliers="1"/>
            <cx:statistics quartileMethod="exclusive"/>
          </cx:layoutPr>
        </cx:series>
        <cx:series layoutId="boxWhisker" uniqueId="{0DF7EAA2-EEC4-4DC6-BA43-4E8F0B630917}">
          <cx:tx>
            <cx:txData>
              <cx:f>'Ящик с усами nLM'!$N$28</cx:f>
              <cx:v>pLM II</cx:v>
            </cx:txData>
          </cx:tx>
          <cx:spPr>
            <a:solidFill>
              <a:srgbClr val="0070C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29" pos="b">
              <cx:visibility seriesName="0" categoryName="0" value="1"/>
              <cx:separator>, </cx:separator>
            </cx:dataLabel>
            <cx:dataLabelHidden idx="0"/>
            <cx:dataLabelHidden idx="27"/>
            <cx:dataLabelHidden idx="28"/>
            <cx:dataLabelHidden idx="30"/>
            <cx:dataLabelHidden idx="31"/>
          </cx:dataLabels>
          <cx:dataId val="3"/>
          <cx:layoutPr>
            <cx:visibility meanLine="0" meanMarker="1" nonoutliers="0" outliers="1"/>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r" align="ctr" overlay="0">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42.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'Ящик с усами nLM'!$F$2:$F$26</cx:f>
        <cx:lvl ptCount="25" formatCode="0,00">
          <cx:pt idx="0">1.1499999999999999</cx:pt>
          <cx:pt idx="1">0.85999999999999999</cx:pt>
          <cx:pt idx="2">0.75</cx:pt>
          <cx:pt idx="3">0.83999999999999997</cx:pt>
          <cx:pt idx="4">0.93999999999999995</cx:pt>
          <cx:pt idx="5">0.57999999999999996</cx:pt>
          <cx:pt idx="6">0.68999999999999995</cx:pt>
          <cx:pt idx="7">0.76000000000000001</cx:pt>
          <cx:pt idx="8">0.79000000000000004</cx:pt>
          <cx:pt idx="9">1.01</cx:pt>
          <cx:pt idx="10">0.58999999999999997</cx:pt>
          <cx:pt idx="11">0.89000000000000001</cx:pt>
          <cx:pt idx="12">1.6899999999999999</cx:pt>
          <cx:pt idx="13">1.4199999999999999</cx:pt>
          <cx:pt idx="14">0.68000000000000005</cx:pt>
          <cx:pt idx="15">0.68000000000000005</cx:pt>
          <cx:pt idx="16">2.4199999999999999</cx:pt>
          <cx:pt idx="17">1.01</cx:pt>
          <cx:pt idx="18">0.91000000000000003</cx:pt>
          <cx:pt idx="19">1.01</cx:pt>
          <cx:pt idx="20">1.52</cx:pt>
          <cx:pt idx="21">1.1299999999999999</cx:pt>
          <cx:pt idx="22">3.3199999999999998</cx:pt>
          <cx:pt idx="23">1.0600000000000001</cx:pt>
          <cx:pt idx="24">2.6000000000000001</cx:pt>
        </cx:lvl>
      </cx:numDim>
    </cx:data>
    <cx:data id="1">
      <cx:numDim type="val">
        <cx:f>'Ящик с усами nLM'!$F$29:$F$56</cx:f>
        <cx:lvl ptCount="28" formatCode="0,00">
          <cx:pt idx="0">0.68999999999999995</cx:pt>
          <cx:pt idx="1">1</cx:pt>
          <cx:pt idx="2">1.04</cx:pt>
          <cx:pt idx="3">0.87</cx:pt>
          <cx:pt idx="4">0.56999999999999995</cx:pt>
          <cx:pt idx="5">0.77000000000000002</cx:pt>
          <cx:pt idx="6">0.81000000000000005</cx:pt>
          <cx:pt idx="7">0.5</cx:pt>
          <cx:pt idx="8">0.96999999999999997</cx:pt>
          <cx:pt idx="9">0.54000000000000004</cx:pt>
          <cx:pt idx="10">0.53000000000000003</cx:pt>
          <cx:pt idx="11">1</cx:pt>
          <cx:pt idx="12">0.51000000000000001</cx:pt>
          <cx:pt idx="13">1.04</cx:pt>
          <cx:pt idx="14">1.54</cx:pt>
          <cx:pt idx="15">2.0800000000000001</cx:pt>
          <cx:pt idx="16">1.6000000000000001</cx:pt>
          <cx:pt idx="17">1.3500000000000001</cx:pt>
          <cx:pt idx="18">0.60999999999999999</cx:pt>
          <cx:pt idx="19">0.80000000000000004</cx:pt>
          <cx:pt idx="20">1.4299999999999999</cx:pt>
          <cx:pt idx="21">1.1899999999999999</cx:pt>
          <cx:pt idx="22">0.73999999999999999</cx:pt>
          <cx:pt idx="23">0.97999999999999998</cx:pt>
          <cx:pt idx="24">0.92000000000000004</cx:pt>
          <cx:pt idx="25">1.3799999999999999</cx:pt>
          <cx:pt idx="26">1.0700000000000001</cx:pt>
          <cx:pt idx="27">0.48999999999999999</cx:pt>
        </cx:lvl>
      </cx:numDim>
    </cx:data>
    <cx:data id="2">
      <cx:numDim type="val">
        <cx:f>'Ящик с усами nLM'!$O$2:$O$26</cx:f>
        <cx:lvl ptCount="25" formatCode="0,00">
          <cx:pt idx="0">1.01</cx:pt>
          <cx:pt idx="1">0.84999999999999998</cx:pt>
          <cx:pt idx="2">1.03</cx:pt>
          <cx:pt idx="3">1.9399999999999999</cx:pt>
          <cx:pt idx="4">1.46</cx:pt>
          <cx:pt idx="5">1.74</cx:pt>
          <cx:pt idx="6">1.26</cx:pt>
          <cx:pt idx="7">0.89000000000000001</cx:pt>
          <cx:pt idx="8">1.5</cx:pt>
          <cx:pt idx="9">1.1699999999999999</cx:pt>
          <cx:pt idx="10">1.0800000000000001</cx:pt>
          <cx:pt idx="11">1.27</cx:pt>
          <cx:pt idx="12">1.6499999999999999</cx:pt>
          <cx:pt idx="13">1.1000000000000001</cx:pt>
          <cx:pt idx="14">1.3899999999999999</cx:pt>
          <cx:pt idx="15">1.0800000000000001</cx:pt>
          <cx:pt idx="16">1.76</cx:pt>
          <cx:pt idx="17">1.24</cx:pt>
          <cx:pt idx="18">0.90000000000000002</cx:pt>
          <cx:pt idx="19">1</cx:pt>
          <cx:pt idx="20">1.28</cx:pt>
          <cx:pt idx="21">1.6399999999999999</cx:pt>
          <cx:pt idx="22">2.0899999999999999</cx:pt>
          <cx:pt idx="23">1.1699999999999999</cx:pt>
          <cx:pt idx="24">1.8899999999999999</cx:pt>
        </cx:lvl>
      </cx:numDim>
    </cx:data>
    <cx:data id="3">
      <cx:numDim type="val">
        <cx:f>'Ящик с усами nLM'!$O$29:$O$56</cx:f>
        <cx:lvl ptCount="28" formatCode="0,00">
          <cx:pt idx="0">1.3999999999999999</cx:pt>
          <cx:pt idx="1">1.1399999999999999</cx:pt>
          <cx:pt idx="2">1.26</cx:pt>
          <cx:pt idx="3">1.1299999999999999</cx:pt>
          <cx:pt idx="4">2.1400000000000001</cx:pt>
          <cx:pt idx="5">1.46</cx:pt>
          <cx:pt idx="6">1.3600000000000001</cx:pt>
          <cx:pt idx="7">1.0700000000000001</cx:pt>
          <cx:pt idx="8">1.1000000000000001</cx:pt>
          <cx:pt idx="9">1.3500000000000001</cx:pt>
          <cx:pt idx="10">1.01</cx:pt>
          <cx:pt idx="11">0.79000000000000004</cx:pt>
          <cx:pt idx="12">1.6000000000000001</cx:pt>
          <cx:pt idx="13">0.97999999999999998</cx:pt>
          <cx:pt idx="14">1.5600000000000001</cx:pt>
          <cx:pt idx="15">1.3100000000000001</cx:pt>
          <cx:pt idx="16">1.77</cx:pt>
          <cx:pt idx="17">1.0600000000000001</cx:pt>
          <cx:pt idx="18">1.47</cx:pt>
          <cx:pt idx="19">1.45</cx:pt>
          <cx:pt idx="20">0.77000000000000002</cx:pt>
          <cx:pt idx="21">1.1799999999999999</cx:pt>
          <cx:pt idx="22">1</cx:pt>
          <cx:pt idx="23">1.1299999999999999</cx:pt>
          <cx:pt idx="24">1.95</cx:pt>
          <cx:pt idx="25">0.89000000000000001</cx:pt>
          <cx:pt idx="26">0.64000000000000001</cx:pt>
          <cx:pt idx="27">1.3700000000000001</cx:pt>
        </cx:lvl>
      </cx:numDim>
    </cx:data>
  </cx:chartData>
  <cx:chart>
    <cx:title pos="t" align="ctr" overlay="0">
      <cx:tx>
        <cx:rich>
          <a:bodyPr spcFirstLastPara="1" vertOverflow="ellipsis" horzOverflow="overflow" wrap="square" lIns="0" tIns="0" rIns="0" bIns="0" anchor="ctr" anchorCtr="1"/>
          <a:lstStyle/>
          <a:p>
            <a:pPr algn="ctr" rtl="0">
              <a:defRPr sz="12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latin typeface="Times New Roman" panose="02020603050405020304" pitchFamily="18" charset="0"/>
                <a:cs typeface="Times New Roman" panose="02020603050405020304" pitchFamily="18" charset="0"/>
              </a:rPr>
              <a:t>RLL</a:t>
            </a:r>
            <a:endParaRPr lang="ru-RU" sz="1200" b="1" i="0" u="none" strike="noStrike" baseline="0">
              <a:solidFill>
                <a:sysClr val="windowText" lastClr="000000"/>
              </a:solidFill>
              <a:latin typeface="Times New Roman" panose="02020603050405020304" pitchFamily="18" charset="0"/>
              <a:cs typeface="Times New Roman" panose="02020603050405020304" pitchFamily="18" charset="0"/>
            </a:endParaRPr>
          </a:p>
        </cx:rich>
      </cx:tx>
    </cx:title>
    <cx:plotArea>
      <cx:plotAreaRegion>
        <cx:series layoutId="boxWhisker" uniqueId="{D5EAC804-1B9C-476C-A4C5-B91C30E39C92}">
          <cx:tx>
            <cx:txData>
              <cx:f>'Ящик с усами nLM'!$F$1</cx:f>
              <cx:v>nLM I</cx:v>
            </cx:txData>
          </cx:tx>
          <cx:spPr>
            <a:solidFill>
              <a:srgbClr val="92D05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1"/>
            <cx:dataLabelHidden idx="22"/>
            <cx:dataLabelHidden idx="23"/>
            <cx:dataLabelHidden idx="24"/>
            <cx:dataLabelHidden idx="25"/>
            <cx:dataLabelHidden idx="27"/>
            <cx:dataLabelHidden idx="28"/>
          </cx:dataLabels>
          <cx:dataId val="0"/>
          <cx:layoutPr>
            <cx:visibility meanLine="0" meanMarker="1" nonoutliers="0" outliers="1"/>
            <cx:statistics quartileMethod="exclusive"/>
          </cx:layoutPr>
        </cx:series>
        <cx:series layoutId="boxWhisker" uniqueId="{E3ACE84E-457D-45D7-8AC3-070DB25E8876}">
          <cx:tx>
            <cx:txData>
              <cx:f>'Ящик с усами nLM'!$F$28</cx:f>
              <cx:v>pLM I</cx:v>
            </cx:txData>
          </cx:tx>
          <cx:spPr>
            <a:solidFill>
              <a:srgbClr val="0070C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29" pos="b">
              <cx:visibility seriesName="0" categoryName="0" value="1"/>
              <cx:separator>, </cx:separator>
            </cx:dataLabel>
            <cx:dataLabelHidden idx="0"/>
            <cx:dataLabelHidden idx="26"/>
            <cx:dataLabelHidden idx="27"/>
            <cx:dataLabelHidden idx="28"/>
            <cx:dataLabelHidden idx="30"/>
            <cx:dataLabelHidden idx="31"/>
          </cx:dataLabels>
          <cx:dataId val="1"/>
          <cx:layoutPr>
            <cx:visibility meanLine="0" meanMarker="1" nonoutliers="0" outliers="1"/>
            <cx:statistics quartileMethod="exclusive"/>
          </cx:layoutPr>
        </cx:series>
        <cx:series layoutId="boxWhisker" uniqueId="{00D17F36-10A0-48E6-8C40-F0E665330E9A}">
          <cx:tx>
            <cx:txData>
              <cx:f>'Ящик с усами nLM'!$O$1</cx:f>
              <cx:v>nLM II</cx:v>
            </cx:txData>
          </cx:tx>
          <cx:spPr>
            <a:solidFill>
              <a:srgbClr val="92D05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26" pos="b">
              <cx:visibility seriesName="0" categoryName="0" value="1"/>
              <cx:separator>, </cx:separator>
            </cx:dataLabel>
            <cx:dataLabelHidden idx="0"/>
            <cx:dataLabelHidden idx="24"/>
            <cx:dataLabelHidden idx="25"/>
            <cx:dataLabelHidden idx="27"/>
            <cx:dataLabelHidden idx="28"/>
          </cx:dataLabels>
          <cx:dataId val="2"/>
          <cx:layoutPr>
            <cx:visibility meanLine="0" meanMarker="1" nonoutliers="0" outliers="1"/>
            <cx:statistics quartileMethod="exclusive"/>
          </cx:layoutPr>
        </cx:series>
        <cx:series layoutId="boxWhisker" uniqueId="{3DB50540-947E-4552-A210-B535A3312B88}">
          <cx:tx>
            <cx:txData>
              <cx:f>'Ящик с усами nLM'!$O$28</cx:f>
              <cx:v>pLM II</cx:v>
            </cx:txData>
          </cx:tx>
          <cx:spPr>
            <a:solidFill>
              <a:srgbClr val="0070C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29" pos="b">
              <cx:visibility seriesName="0" categoryName="0" value="1"/>
              <cx:separator>, </cx:separator>
            </cx:dataLabel>
            <cx:dataLabelHidden idx="0"/>
            <cx:dataLabelHidden idx="26"/>
            <cx:dataLabelHidden idx="27"/>
            <cx:dataLabelHidden idx="28"/>
            <cx:dataLabelHidden idx="30"/>
            <cx:dataLabelHidden idx="31"/>
          </cx:dataLabels>
          <cx:dataId val="3"/>
          <cx:layoutPr>
            <cx:visibility meanLine="0" meanMarker="1" nonoutliers="0" outliers="1"/>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r" align="ctr" overlay="0">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43.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'Ящик с усами nLM'!$G$2:$G$26</cx:f>
        <cx:lvl ptCount="25" formatCode="0,00">
          <cx:pt idx="0">0.51000000000000001</cx:pt>
          <cx:pt idx="1">0.55000000000000004</cx:pt>
          <cx:pt idx="2">0.47999999999999998</cx:pt>
          <cx:pt idx="3">0.39000000000000001</cx:pt>
          <cx:pt idx="4">0.44</cx:pt>
          <cx:pt idx="5">0.29999999999999999</cx:pt>
          <cx:pt idx="6">0.52000000000000002</cx:pt>
          <cx:pt idx="7">0.98999999999999999</cx:pt>
          <cx:pt idx="8">0.46999999999999997</cx:pt>
          <cx:pt idx="9">0.39000000000000001</cx:pt>
          <cx:pt idx="10">0.77000000000000002</cx:pt>
          <cx:pt idx="11">0.51000000000000001</cx:pt>
          <cx:pt idx="12">1.3700000000000001</cx:pt>
          <cx:pt idx="13">0.56999999999999995</cx:pt>
          <cx:pt idx="14">0.28999999999999998</cx:pt>
          <cx:pt idx="15">0.47999999999999998</cx:pt>
          <cx:pt idx="16">1.1100000000000001</cx:pt>
          <cx:pt idx="17">0.96999999999999997</cx:pt>
          <cx:pt idx="18">0.75</cx:pt>
          <cx:pt idx="19">0.76000000000000001</cx:pt>
          <cx:pt idx="20">1.1100000000000001</cx:pt>
          <cx:pt idx="21">0.91000000000000003</cx:pt>
          <cx:pt idx="22">1.1000000000000001</cx:pt>
          <cx:pt idx="23">0.83999999999999997</cx:pt>
          <cx:pt idx="24">0.78000000000000003</cx:pt>
        </cx:lvl>
      </cx:numDim>
    </cx:data>
    <cx:data id="1">
      <cx:numDim type="val">
        <cx:f>'Ящик с усами nLM'!$G$29:$G$56</cx:f>
        <cx:lvl ptCount="28" formatCode="0,00">
          <cx:pt idx="0">0.57999999999999996</cx:pt>
          <cx:pt idx="1">0.35999999999999999</cx:pt>
          <cx:pt idx="2">0.46000000000000002</cx:pt>
          <cx:pt idx="3">0.40999999999999998</cx:pt>
          <cx:pt idx="4">0.53000000000000003</cx:pt>
          <cx:pt idx="5">0.32000000000000001</cx:pt>
          <cx:pt idx="6">0.40000000000000002</cx:pt>
          <cx:pt idx="7">0.14999999999999999</cx:pt>
          <cx:pt idx="8">0.48999999999999999</cx:pt>
          <cx:pt idx="9">0.55000000000000004</cx:pt>
          <cx:pt idx="10">0.66000000000000003</cx:pt>
          <cx:pt idx="11">0.53000000000000003</cx:pt>
          <cx:pt idx="12">0.45000000000000001</cx:pt>
          <cx:pt idx="13">0.62</cx:pt>
          <cx:pt idx="14">0.55000000000000004</cx:pt>
          <cx:pt idx="15">0.98999999999999999</cx:pt>
          <cx:pt idx="16">0.53000000000000003</cx:pt>
          <cx:pt idx="17">0.83999999999999997</cx:pt>
          <cx:pt idx="18">0.52000000000000002</cx:pt>
          <cx:pt idx="19">1.02</cx:pt>
          <cx:pt idx="20">1.05</cx:pt>
          <cx:pt idx="21">0.83999999999999997</cx:pt>
          <cx:pt idx="22">0.60999999999999999</cx:pt>
          <cx:pt idx="23">0.73999999999999999</cx:pt>
          <cx:pt idx="24">0.82999999999999996</cx:pt>
          <cx:pt idx="25">0.77000000000000002</cx:pt>
          <cx:pt idx="26">0.51000000000000001</cx:pt>
          <cx:pt idx="27">0.35999999999999999</cx:pt>
        </cx:lvl>
      </cx:numDim>
    </cx:data>
    <cx:data id="2">
      <cx:numDim type="val">
        <cx:f>'Ящик с усами nLM'!$P$2:$P$26</cx:f>
        <cx:lvl ptCount="25" formatCode="0,00">
          <cx:pt idx="0">0.34000000000000002</cx:pt>
          <cx:pt idx="1">0.41999999999999998</cx:pt>
          <cx:pt idx="2">0.83999999999999997</cx:pt>
          <cx:pt idx="3">0.68000000000000005</cx:pt>
          <cx:pt idx="4">0.77000000000000002</cx:pt>
          <cx:pt idx="5">0.91000000000000003</cx:pt>
          <cx:pt idx="6">1.0900000000000001</cx:pt>
          <cx:pt idx="7">0.70999999999999996</cx:pt>
          <cx:pt idx="8">0.57999999999999996</cx:pt>
          <cx:pt idx="9">1.03</cx:pt>
          <cx:pt idx="10">1.46</cx:pt>
          <cx:pt idx="11">0.67000000000000004</cx:pt>
          <cx:pt idx="12">1.23</cx:pt>
          <cx:pt idx="13">0.93999999999999995</cx:pt>
          <cx:pt idx="14">0.73999999999999999</cx:pt>
          <cx:pt idx="15">0.97999999999999998</cx:pt>
          <cx:pt idx="16">1.0700000000000001</cx:pt>
          <cx:pt idx="17">1.01</cx:pt>
          <cx:pt idx="18">1.0700000000000001</cx:pt>
          <cx:pt idx="19">0.57999999999999996</cx:pt>
          <cx:pt idx="20">0.73999999999999999</cx:pt>
          <cx:pt idx="21">1.26</cx:pt>
          <cx:pt idx="22">0.81000000000000005</cx:pt>
          <cx:pt idx="23">0.92000000000000004</cx:pt>
          <cx:pt idx="24">0.62</cx:pt>
        </cx:lvl>
      </cx:numDim>
    </cx:data>
    <cx:data id="3">
      <cx:numDim type="val">
        <cx:f>'Ящик с усами nLM'!$P$29:$P$56</cx:f>
        <cx:lvl ptCount="28" formatCode="0,00">
          <cx:pt idx="0">0.71999999999999997</cx:pt>
          <cx:pt idx="1">0.80000000000000004</cx:pt>
          <cx:pt idx="2">0.82999999999999996</cx:pt>
          <cx:pt idx="3">0.81000000000000005</cx:pt>
          <cx:pt idx="4">0.53000000000000003</cx:pt>
          <cx:pt idx="5">0.59999999999999998</cx:pt>
          <cx:pt idx="6">0.70999999999999996</cx:pt>
          <cx:pt idx="7">0.45000000000000001</cx:pt>
          <cx:pt idx="8">1.0700000000000001</cx:pt>
          <cx:pt idx="9">1</cx:pt>
          <cx:pt idx="10">0.77000000000000002</cx:pt>
          <cx:pt idx="11">0.5</cx:pt>
          <cx:pt idx="12">1.0600000000000001</cx:pt>
          <cx:pt idx="13">0.73999999999999999</cx:pt>
          <cx:pt idx="14">0.71999999999999997</cx:pt>
          <cx:pt idx="15">0.75</cx:pt>
          <cx:pt idx="16">0.56000000000000005</cx:pt>
          <cx:pt idx="17">0.73999999999999999</cx:pt>
          <cx:pt idx="18">0.77000000000000002</cx:pt>
          <cx:pt idx="19">1.1399999999999999</cx:pt>
          <cx:pt idx="20">0.80000000000000004</cx:pt>
          <cx:pt idx="21">0.82999999999999996</cx:pt>
          <cx:pt idx="22">0.77000000000000002</cx:pt>
          <cx:pt idx="23">0.64000000000000001</cx:pt>
          <cx:pt idx="24">1.1299999999999999</cx:pt>
          <cx:pt idx="25">0.67000000000000004</cx:pt>
          <cx:pt idx="26">0.40000000000000002</cx:pt>
          <cx:pt idx="27">0.95999999999999996</cx:pt>
        </cx:lvl>
      </cx:numDim>
    </cx:data>
  </cx:chartData>
  <cx:chart>
    <cx:title pos="t" align="ctr" overlay="0">
      <cx:tx>
        <cx:rich>
          <a:bodyPr spcFirstLastPara="1" vertOverflow="ellipsis" horzOverflow="overflow" wrap="square" lIns="0" tIns="0" rIns="0" bIns="0" anchor="ctr" anchorCtr="1"/>
          <a:lstStyle/>
          <a:p>
            <a:pPr algn="ctr" rtl="0">
              <a:defRPr sz="12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latin typeface="Times New Roman" panose="02020603050405020304" pitchFamily="18" charset="0"/>
                <a:cs typeface="Times New Roman" panose="02020603050405020304" pitchFamily="18" charset="0"/>
              </a:rPr>
              <a:t>RRI</a:t>
            </a:r>
            <a:endParaRPr lang="ru-RU" sz="1200" b="1" i="0" u="none" strike="noStrike" baseline="0">
              <a:solidFill>
                <a:sysClr val="windowText" lastClr="000000"/>
              </a:solidFill>
              <a:latin typeface="Times New Roman" panose="02020603050405020304" pitchFamily="18" charset="0"/>
              <a:cs typeface="Times New Roman" panose="02020603050405020304" pitchFamily="18" charset="0"/>
            </a:endParaRPr>
          </a:p>
        </cx:rich>
      </cx:tx>
    </cx:title>
    <cx:plotArea>
      <cx:plotAreaRegion>
        <cx:series layoutId="boxWhisker" uniqueId="{105CD7C5-A2D2-495E-8E21-541B6995301F}">
          <cx:tx>
            <cx:txData>
              <cx:f>'Ящик с усами nLM'!$G$1</cx:f>
              <cx:v>nLM I</cx:v>
            </cx:txData>
          </cx:tx>
          <cx:spPr>
            <a:solidFill>
              <a:srgbClr val="92D05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4"/>
            <cx:dataLabelHidden idx="25"/>
            <cx:dataLabelHidden idx="27"/>
            <cx:dataLabelHidden idx="28"/>
          </cx:dataLabels>
          <cx:dataId val="0"/>
          <cx:layoutPr>
            <cx:visibility meanLine="0" meanMarker="1" nonoutliers="0" outliers="1"/>
            <cx:statistics quartileMethod="exclusive"/>
          </cx:layoutPr>
        </cx:series>
        <cx:series layoutId="boxWhisker" uniqueId="{D9D8B7A4-6BEB-4AB4-A02E-90A1D7933F04}">
          <cx:tx>
            <cx:txData>
              <cx:f>'Ящик с усами nLM'!$G$28</cx:f>
              <cx:v>pLM I</cx:v>
            </cx:txData>
          </cx:tx>
          <cx:spPr>
            <a:solidFill>
              <a:srgbClr val="0070C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29" pos="b">
              <cx:visibility seriesName="0" categoryName="0" value="1"/>
              <cx:separator>, </cx:separator>
            </cx:dataLabel>
            <cx:dataLabelHidden idx="0"/>
            <cx:dataLabelHidden idx="27"/>
            <cx:dataLabelHidden idx="28"/>
            <cx:dataLabelHidden idx="30"/>
            <cx:dataLabelHidden idx="31"/>
          </cx:dataLabels>
          <cx:dataId val="1"/>
          <cx:layoutPr>
            <cx:visibility meanLine="0" meanMarker="1" nonoutliers="0" outliers="1"/>
            <cx:statistics quartileMethod="exclusive"/>
          </cx:layoutPr>
        </cx:series>
        <cx:series layoutId="boxWhisker" uniqueId="{13B5F327-0295-4926-B24F-A7462039E429}">
          <cx:tx>
            <cx:txData>
              <cx:f>'Ящик с усами nLM'!$P$1</cx:f>
              <cx:v>nLM II</cx:v>
            </cx:txData>
          </cx:tx>
          <cx:spPr>
            <a:solidFill>
              <a:srgbClr val="92D05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26" pos="b">
              <cx:visibility seriesName="0" categoryName="0" value="1"/>
              <cx:separator>, </cx:separator>
            </cx:dataLabel>
            <cx:dataLabelHidden idx="0"/>
            <cx:dataLabelHidden idx="24"/>
            <cx:dataLabelHidden idx="25"/>
            <cx:dataLabelHidden idx="27"/>
            <cx:dataLabelHidden idx="28"/>
          </cx:dataLabels>
          <cx:dataId val="2"/>
          <cx:layoutPr>
            <cx:visibility meanLine="0" meanMarker="1" nonoutliers="0" outliers="1"/>
            <cx:statistics quartileMethod="exclusive"/>
          </cx:layoutPr>
        </cx:series>
        <cx:series layoutId="boxWhisker" uniqueId="{FA98B2A5-2216-4AD7-B054-7DF494A2CA00}">
          <cx:tx>
            <cx:txData>
              <cx:f>'Ящик с усами nLM'!$P$28</cx:f>
              <cx:v>pLM II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5"/>
            <cx:dataLabelHidden idx="26"/>
            <cx:dataLabelHidden idx="28"/>
            <cx:dataLabelHidden idx="30"/>
            <cx:dataLabelHidden idx="31"/>
          </cx:dataLabels>
          <cx:dataId val="3"/>
          <cx:layoutPr>
            <cx:visibility meanLine="0" meanMarker="1" nonoutliers="0" outliers="1"/>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r" align="ctr" overlay="0">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44.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'Ящик с усами nLM'!$H$2:$H$26</cx:f>
        <cx:lvl ptCount="25" formatCode="0,00">
          <cx:pt idx="0">1.02</cx:pt>
          <cx:pt idx="1">1.3100000000000001</cx:pt>
          <cx:pt idx="2">0.69999999999999996</cx:pt>
          <cx:pt idx="3">0.5</cx:pt>
          <cx:pt idx="4">0.63</cx:pt>
          <cx:pt idx="5">0.88</cx:pt>
          <cx:pt idx="6">0.68999999999999995</cx:pt>
          <cx:pt idx="7">1</cx:pt>
          <cx:pt idx="8">0.68999999999999995</cx:pt>
          <cx:pt idx="9">0.81999999999999995</cx:pt>
          <cx:pt idx="10">0.68000000000000005</cx:pt>
          <cx:pt idx="11">0.68000000000000005</cx:pt>
          <cx:pt idx="12">1.52</cx:pt>
          <cx:pt idx="13">1.0900000000000001</cx:pt>
          <cx:pt idx="14">0.65000000000000002</cx:pt>
          <cx:pt idx="15">0.70999999999999996</cx:pt>
          <cx:pt idx="16">1.8700000000000001</cx:pt>
          <cx:pt idx="17">1.1299999999999999</cx:pt>
          <cx:pt idx="18">0.92000000000000004</cx:pt>
          <cx:pt idx="19">1</cx:pt>
          <cx:pt idx="20">1.5</cx:pt>
          <cx:pt idx="21">0.92000000000000004</cx:pt>
          <cx:pt idx="22">1.45</cx:pt>
          <cx:pt idx="23">1.1799999999999999</cx:pt>
          <cx:pt idx="24">1.54</cx:pt>
        </cx:lvl>
      </cx:numDim>
    </cx:data>
    <cx:data id="1">
      <cx:numDim type="val">
        <cx:f>'Ящик с усами nLM'!$H$29:$H$56</cx:f>
        <cx:lvl ptCount="28" formatCode="0,00">
          <cx:pt idx="0">0.76000000000000001</cx:pt>
          <cx:pt idx="1">0.68999999999999995</cx:pt>
          <cx:pt idx="2">0.82999999999999996</cx:pt>
          <cx:pt idx="3">0.73999999999999999</cx:pt>
          <cx:pt idx="4">0.78000000000000003</cx:pt>
          <cx:pt idx="5">0.5</cx:pt>
          <cx:pt idx="6">0.55000000000000004</cx:pt>
          <cx:pt idx="7">0.42999999999999999</cx:pt>
          <cx:pt idx="8">0.77000000000000002</cx:pt>
          <cx:pt idx="9">0.46000000000000002</cx:pt>
          <cx:pt idx="10">1.04</cx:pt>
          <cx:pt idx="11">0.78000000000000003</cx:pt>
          <cx:pt idx="12">0.53000000000000003</cx:pt>
          <cx:pt idx="13">1.0600000000000001</cx:pt>
          <cx:pt idx="14">1.3799999999999999</cx:pt>
          <cx:pt idx="15">1.22</cx:pt>
          <cx:pt idx="16">0.92000000000000004</cx:pt>
          <cx:pt idx="17">1.95</cx:pt>
          <cx:pt idx="18">0.84999999999999998</cx:pt>
          <cx:pt idx="19">0.81999999999999995</cx:pt>
          <cx:pt idx="20">0.98999999999999999</cx:pt>
          <cx:pt idx="21">0.88</cx:pt>
          <cx:pt idx="22">0.71999999999999997</cx:pt>
          <cx:pt idx="23">1.02</cx:pt>
          <cx:pt idx="24">1.21</cx:pt>
          <cx:pt idx="25">1.6299999999999999</cx:pt>
          <cx:pt idx="26">0.40999999999999998</cx:pt>
          <cx:pt idx="27">0.37</cx:pt>
        </cx:lvl>
      </cx:numDim>
    </cx:data>
    <cx:data id="2">
      <cx:numDim type="val">
        <cx:f>'Ящик с усами nLM'!$Q$2:$Q$26</cx:f>
        <cx:lvl ptCount="25" formatCode="0,00">
          <cx:pt idx="0">0.62</cx:pt>
          <cx:pt idx="1">0.68000000000000005</cx:pt>
          <cx:pt idx="2">0.89000000000000001</cx:pt>
          <cx:pt idx="3">1.1399999999999999</cx:pt>
          <cx:pt idx="4">1.23</cx:pt>
          <cx:pt idx="5">1.3400000000000001</cx:pt>
          <cx:pt idx="6">1.23</cx:pt>
          <cx:pt idx="7">1</cx:pt>
          <cx:pt idx="8">1.49</cx:pt>
          <cx:pt idx="9">1.29</cx:pt>
          <cx:pt idx="10">1.05</cx:pt>
          <cx:pt idx="11">1.6200000000000001</cx:pt>
          <cx:pt idx="12">1.3899999999999999</cx:pt>
          <cx:pt idx="13">0.94999999999999996</cx:pt>
          <cx:pt idx="14">1.3100000000000001</cx:pt>
          <cx:pt idx="15">1.05</cx:pt>
          <cx:pt idx="16">1.3899999999999999</cx:pt>
          <cx:pt idx="17">1.3700000000000001</cx:pt>
          <cx:pt idx="18">1.03</cx:pt>
          <cx:pt idx="19">0.88</cx:pt>
          <cx:pt idx="20">1.3899999999999999</cx:pt>
          <cx:pt idx="21">2.46</cx:pt>
          <cx:pt idx="22">1.0700000000000001</cx:pt>
          <cx:pt idx="23">1.48</cx:pt>
          <cx:pt idx="24">1.2</cx:pt>
        </cx:lvl>
      </cx:numDim>
    </cx:data>
    <cx:data id="3">
      <cx:numDim type="val">
        <cx:f>'Ящик с усами nLM'!$Q$29:$Q$56</cx:f>
        <cx:lvl ptCount="28" formatCode="0,00">
          <cx:pt idx="0">1.2</cx:pt>
          <cx:pt idx="1">1.22</cx:pt>
          <cx:pt idx="2">1.6699999999999999</cx:pt>
          <cx:pt idx="3">1.29</cx:pt>
          <cx:pt idx="4">1.26</cx:pt>
          <cx:pt idx="5">1.23</cx:pt>
          <cx:pt idx="6">1.3400000000000001</cx:pt>
          <cx:pt idx="7">0.92000000000000004</cx:pt>
          <cx:pt idx="8">1.2</cx:pt>
          <cx:pt idx="9">1.29</cx:pt>
          <cx:pt idx="10">0.93000000000000005</cx:pt>
          <cx:pt idx="11">0.88</cx:pt>
          <cx:pt idx="12">1.3200000000000001</cx:pt>
          <cx:pt idx="13">1.02</cx:pt>
          <cx:pt idx="14">1.55</cx:pt>
          <cx:pt idx="15">1.1000000000000001</cx:pt>
          <cx:pt idx="16">1.3100000000000001</cx:pt>
          <cx:pt idx="17">1.0600000000000001</cx:pt>
          <cx:pt idx="18">1.1000000000000001</cx:pt>
          <cx:pt idx="19">1.7</cx:pt>
          <cx:pt idx="20">1.1399999999999999</cx:pt>
          <cx:pt idx="21">0.91000000000000003</cx:pt>
          <cx:pt idx="22">0.72999999999999998</cx:pt>
          <cx:pt idx="23">1.1899999999999999</cx:pt>
          <cx:pt idx="24">1.1799999999999999</cx:pt>
          <cx:pt idx="25">1.46</cx:pt>
          <cx:pt idx="26">0.52000000000000002</cx:pt>
          <cx:pt idx="27">0.95999999999999996</cx:pt>
        </cx:lvl>
      </cx:numDim>
    </cx:data>
  </cx:chartData>
  <cx:chart>
    <cx:title pos="t" align="ctr" overlay="0">
      <cx:tx>
        <cx:rich>
          <a:bodyPr spcFirstLastPara="1" vertOverflow="ellipsis" horzOverflow="overflow" wrap="square" lIns="0" tIns="0" rIns="0" bIns="0" anchor="ctr" anchorCtr="1"/>
          <a:lstStyle/>
          <a:p>
            <a:pPr algn="ctr" rtl="0">
              <a:defRPr sz="12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latin typeface="Times New Roman" panose="02020603050405020304" pitchFamily="18" charset="0"/>
                <a:cs typeface="Times New Roman" panose="02020603050405020304" pitchFamily="18" charset="0"/>
              </a:rPr>
              <a:t>RP</a:t>
            </a:r>
            <a:endParaRPr lang="ru-RU" sz="1200" b="1" i="0" u="none" strike="noStrike" baseline="0">
              <a:solidFill>
                <a:sysClr val="windowText" lastClr="000000"/>
              </a:solidFill>
              <a:latin typeface="Times New Roman" panose="02020603050405020304" pitchFamily="18" charset="0"/>
              <a:cs typeface="Times New Roman" panose="02020603050405020304" pitchFamily="18" charset="0"/>
            </a:endParaRPr>
          </a:p>
        </cx:rich>
      </cx:tx>
    </cx:title>
    <cx:plotArea>
      <cx:plotAreaRegion>
        <cx:series layoutId="boxWhisker" uniqueId="{95214DEC-F4B4-4900-BC0F-537CB8430874}">
          <cx:tx>
            <cx:txData>
              <cx:f>'Ящик с усами nLM'!$H$1</cx:f>
              <cx:v>nLM I</cx:v>
            </cx:txData>
          </cx:tx>
          <cx:spPr>
            <a:solidFill>
              <a:srgbClr val="92D05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26" pos="b">
              <cx:visibility seriesName="0" categoryName="0" value="1"/>
              <cx:separator>, </cx:separator>
            </cx:dataLabel>
            <cx:dataLabelHidden idx="0"/>
            <cx:dataLabelHidden idx="24"/>
            <cx:dataLabelHidden idx="25"/>
            <cx:dataLabelHidden idx="27"/>
            <cx:dataLabelHidden idx="28"/>
          </cx:dataLabels>
          <cx:dataId val="0"/>
          <cx:layoutPr>
            <cx:visibility meanLine="0" meanMarker="1" nonoutliers="0" outliers="1"/>
            <cx:statistics quartileMethod="exclusive"/>
          </cx:layoutPr>
        </cx:series>
        <cx:series layoutId="boxWhisker" uniqueId="{731D19E9-41E7-4C9B-A92A-54C3747767DA}">
          <cx:tx>
            <cx:txData>
              <cx:f>'Ящик с усами nLM'!$H$28</cx:f>
              <cx:v>pLM I</cx:v>
            </cx:txData>
          </cx:tx>
          <cx:spPr>
            <a:solidFill>
              <a:srgbClr val="0070C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29" pos="b">
              <cx:visibility seriesName="0" categoryName="0" value="1"/>
              <cx:separator>, </cx:separator>
            </cx:dataLabel>
            <cx:dataLabelHidden idx="0"/>
            <cx:dataLabelHidden idx="26"/>
            <cx:dataLabelHidden idx="27"/>
            <cx:dataLabelHidden idx="28"/>
            <cx:dataLabelHidden idx="30"/>
            <cx:dataLabelHidden idx="31"/>
          </cx:dataLabels>
          <cx:dataId val="1"/>
          <cx:layoutPr>
            <cx:visibility meanLine="0" meanMarker="1" nonoutliers="0" outliers="1"/>
            <cx:statistics quartileMethod="exclusive"/>
          </cx:layoutPr>
        </cx:series>
        <cx:series layoutId="boxWhisker" uniqueId="{D407178C-BF66-48A1-9A70-E092848B5A40}">
          <cx:tx>
            <cx:txData>
              <cx:f>'Ящик с усами nLM'!$Q$1</cx:f>
              <cx:v>nLM II</cx:v>
            </cx:txData>
          </cx:tx>
          <cx:spPr>
            <a:solidFill>
              <a:srgbClr val="92D05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3"/>
            <cx:dataLabelHidden idx="24"/>
            <cx:dataLabelHidden idx="25"/>
            <cx:dataLabelHidden idx="27"/>
            <cx:dataLabelHidden idx="28"/>
          </cx:dataLabels>
          <cx:dataId val="2"/>
          <cx:layoutPr>
            <cx:visibility meanLine="0" meanMarker="1" nonoutliers="0" outliers="1"/>
            <cx:statistics quartileMethod="exclusive"/>
          </cx:layoutPr>
        </cx:series>
        <cx:series layoutId="boxWhisker" uniqueId="{CB7DA6C3-E00C-4A18-841F-F5AB94F1180C}">
          <cx:tx>
            <cx:txData>
              <cx:f>'Ящик с усами nLM'!$Q$28</cx:f>
              <cx:v>pLM II</cx:v>
            </cx:txData>
          </cx:tx>
          <cx:spPr>
            <a:solidFill>
              <a:srgbClr val="0070C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29" pos="b">
              <cx:visibility seriesName="0" categoryName="0" value="1"/>
              <cx:separator>, </cx:separator>
            </cx:dataLabel>
            <cx:dataLabelHidden idx="0"/>
            <cx:dataLabelHidden idx="27"/>
            <cx:dataLabelHidden idx="28"/>
            <cx:dataLabelHidden idx="30"/>
            <cx:dataLabelHidden idx="31"/>
          </cx:dataLabels>
          <cx:dataId val="3"/>
          <cx:layoutPr>
            <cx:visibility meanLine="0" meanMarker="1" nonoutliers="0" outliers="1"/>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r" align="ctr" overlay="0">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45.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'Ящик с усами nLM'!$I$2:$I$26</cx:f>
        <cx:lvl ptCount="25" formatCode="0,00">
          <cx:pt idx="0">0.69999999999999996</cx:pt>
          <cx:pt idx="1">0.57999999999999996</cx:pt>
          <cx:pt idx="2">0.56999999999999995</cx:pt>
          <cx:pt idx="3">0.44</cx:pt>
          <cx:pt idx="4">0.34000000000000002</cx:pt>
          <cx:pt idx="5">0.38</cx:pt>
          <cx:pt idx="6">0.46999999999999997</cx:pt>
          <cx:pt idx="7">0.92000000000000004</cx:pt>
          <cx:pt idx="8">0.45000000000000001</cx:pt>
          <cx:pt idx="9">0.52000000000000002</cx:pt>
          <cx:pt idx="10">0.58999999999999997</cx:pt>
          <cx:pt idx="11">0.51000000000000001</cx:pt>
          <cx:pt idx="12">1.01</cx:pt>
          <cx:pt idx="13">0.80000000000000004</cx:pt>
          <cx:pt idx="14">0.39000000000000001</cx:pt>
          <cx:pt idx="15">0.40999999999999998</cx:pt>
          <cx:pt idx="16">1.48</cx:pt>
          <cx:pt idx="17">1.3700000000000001</cx:pt>
          <cx:pt idx="18">1.1299999999999999</cx:pt>
          <cx:pt idx="19">0.68000000000000005</cx:pt>
          <cx:pt idx="20">0.98999999999999999</cx:pt>
          <cx:pt idx="21">0.96999999999999997</cx:pt>
          <cx:pt idx="22">1.47</cx:pt>
          <cx:pt idx="23">1.1599999999999999</cx:pt>
          <cx:pt idx="24">0.69999999999999996</cx:pt>
        </cx:lvl>
      </cx:numDim>
    </cx:data>
    <cx:data id="1">
      <cx:numDim type="val">
        <cx:f>'Ящик с усами nLM'!$I$29:$I$56</cx:f>
        <cx:lvl ptCount="28" formatCode="0,00">
          <cx:pt idx="0">0.56000000000000005</cx:pt>
          <cx:pt idx="1">0.34999999999999998</cx:pt>
          <cx:pt idx="2">0.53000000000000003</cx:pt>
          <cx:pt idx="3">0.38</cx:pt>
          <cx:pt idx="4">0.40000000000000002</cx:pt>
          <cx:pt idx="5">0.41999999999999998</cx:pt>
          <cx:pt idx="6">0.32000000000000001</cx:pt>
          <cx:pt idx="7">0.31</cx:pt>
          <cx:pt idx="8">0.42999999999999999</cx:pt>
          <cx:pt idx="9">0.51000000000000001</cx:pt>
          <cx:pt idx="10">0.53000000000000003</cx:pt>
          <cx:pt idx="11">0.44</cx:pt>
          <cx:pt idx="12">0.59999999999999998</cx:pt>
          <cx:pt idx="13">0.59999999999999998</cx:pt>
          <cx:pt idx="14">0.62</cx:pt>
          <cx:pt idx="15">1.4099999999999999</cx:pt>
          <cx:pt idx="16">0.54000000000000004</cx:pt>
          <cx:pt idx="17">1.04</cx:pt>
          <cx:pt idx="18">0.53000000000000003</cx:pt>
          <cx:pt idx="19">0.78000000000000003</cx:pt>
          <cx:pt idx="20">0.88</cx:pt>
          <cx:pt idx="21">0.51000000000000001</cx:pt>
          <cx:pt idx="22">0.60999999999999999</cx:pt>
          <cx:pt idx="23">0.59999999999999998</cx:pt>
          <cx:pt idx="24">0.67000000000000004</cx:pt>
          <cx:pt idx="25">1.1499999999999999</cx:pt>
          <cx:pt idx="26">0.56000000000000005</cx:pt>
          <cx:pt idx="27">0.44</cx:pt>
        </cx:lvl>
      </cx:numDim>
    </cx:data>
    <cx:data id="2">
      <cx:numDim type="val">
        <cx:f>'Ящик с усами nLM'!$R$2:$R$26</cx:f>
        <cx:lvl ptCount="25" formatCode="0,00">
          <cx:pt idx="0">0.40000000000000002</cx:pt>
          <cx:pt idx="1">0.38</cx:pt>
          <cx:pt idx="2">1.0800000000000001</cx:pt>
          <cx:pt idx="3">0.73999999999999999</cx:pt>
          <cx:pt idx="4">0.77000000000000002</cx:pt>
          <cx:pt idx="5">0.84999999999999998</cx:pt>
          <cx:pt idx="6">1.4199999999999999</cx:pt>
          <cx:pt idx="7">0.73999999999999999</cx:pt>
          <cx:pt idx="8">0.89000000000000001</cx:pt>
          <cx:pt idx="9">0.90000000000000002</cx:pt>
          <cx:pt idx="10">1.1000000000000001</cx:pt>
          <cx:pt idx="11">1</cx:pt>
          <cx:pt idx="12">0.96999999999999997</cx:pt>
          <cx:pt idx="13">0.79000000000000004</cx:pt>
          <cx:pt idx="14">0.87</cx:pt>
          <cx:pt idx="15">0.77000000000000002</cx:pt>
          <cx:pt idx="16">1.1200000000000001</cx:pt>
          <cx:pt idx="17">1.28</cx:pt>
          <cx:pt idx="18">1.04</cx:pt>
          <cx:pt idx="19">0.5</cx:pt>
          <cx:pt idx="20">0.81000000000000005</cx:pt>
          <cx:pt idx="21">1.29</cx:pt>
          <cx:pt idx="22">1.0900000000000001</cx:pt>
          <cx:pt idx="23">0.93000000000000005</cx:pt>
          <cx:pt idx="24">0.81999999999999995</cx:pt>
        </cx:lvl>
      </cx:numDim>
    </cx:data>
    <cx:data id="3">
      <cx:numDim type="val">
        <cx:f>'Ящик с усами nLM'!$R$29:$R$56</cx:f>
        <cx:lvl ptCount="28" formatCode="0,00">
          <cx:pt idx="0">0.82999999999999996</cx:pt>
          <cx:pt idx="1">0.70999999999999996</cx:pt>
          <cx:pt idx="2">1</cx:pt>
          <cx:pt idx="3">0.87</cx:pt>
          <cx:pt idx="4">0.56000000000000005</cx:pt>
          <cx:pt idx="5">0.79000000000000004</cx:pt>
          <cx:pt idx="6">0.65000000000000002</cx:pt>
          <cx:pt idx="7">0.41999999999999998</cx:pt>
          <cx:pt idx="8">0.66000000000000003</cx:pt>
          <cx:pt idx="9">1.3</cx:pt>
          <cx:pt idx="10">1.1499999999999999</cx:pt>
          <cx:pt idx="11">0.40999999999999998</cx:pt>
          <cx:pt idx="12">0.90000000000000002</cx:pt>
          <cx:pt idx="13">0.59999999999999998</cx:pt>
          <cx:pt idx="14">0.63</cx:pt>
          <cx:pt idx="15">0.93000000000000005</cx:pt>
          <cx:pt idx="16">0.84999999999999998</cx:pt>
          <cx:pt idx="17">1.03</cx:pt>
          <cx:pt idx="18">0.93999999999999995</cx:pt>
          <cx:pt idx="19">0.84999999999999998</cx:pt>
          <cx:pt idx="20">0.63</cx:pt>
          <cx:pt idx="21">0.54000000000000004</cx:pt>
          <cx:pt idx="22">0.52000000000000002</cx:pt>
          <cx:pt idx="23">0.81999999999999995</cx:pt>
          <cx:pt idx="24">0.93000000000000005</cx:pt>
          <cx:pt idx="25">0.80000000000000004</cx:pt>
          <cx:pt idx="26">0.46000000000000002</cx:pt>
          <cx:pt idx="27">0.80000000000000004</cx:pt>
        </cx:lvl>
      </cx:numDim>
    </cx:data>
  </cx:chartData>
  <cx:chart>
    <cx:title pos="t" align="ctr" overlay="0">
      <cx:tx>
        <cx:rich>
          <a:bodyPr spcFirstLastPara="1" vertOverflow="ellipsis" horzOverflow="overflow" wrap="square" lIns="0" tIns="0" rIns="0" bIns="0" anchor="ctr" anchorCtr="1"/>
          <a:lstStyle/>
          <a:p>
            <a:pPr algn="ctr" rtl="0">
              <a:defRPr sz="12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latin typeface="Times New Roman" panose="02020603050405020304" pitchFamily="18" charset="0"/>
                <a:cs typeface="Times New Roman" panose="02020603050405020304" pitchFamily="18" charset="0"/>
              </a:rPr>
              <a:t>RLI</a:t>
            </a:r>
            <a:endParaRPr lang="ru-RU" sz="1200" b="1" i="0" u="none" strike="noStrike" baseline="0">
              <a:solidFill>
                <a:sysClr val="windowText" lastClr="000000"/>
              </a:solidFill>
              <a:latin typeface="Times New Roman" panose="02020603050405020304" pitchFamily="18" charset="0"/>
              <a:cs typeface="Times New Roman" panose="02020603050405020304" pitchFamily="18" charset="0"/>
            </a:endParaRPr>
          </a:p>
        </cx:rich>
      </cx:tx>
    </cx:title>
    <cx:plotArea>
      <cx:plotAreaRegion>
        <cx:series layoutId="boxWhisker" uniqueId="{403EA32E-D528-466B-9642-581B2223CBF7}">
          <cx:tx>
            <cx:txData>
              <cx:f>'Ящик с усами nLM'!$I$1</cx:f>
              <cx:v>nLM I</cx:v>
            </cx:txData>
          </cx:tx>
          <cx:spPr>
            <a:solidFill>
              <a:srgbClr val="92D05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26" pos="b">
              <cx:visibility seriesName="0" categoryName="0" value="1"/>
              <cx:separator>, </cx:separator>
            </cx:dataLabel>
            <cx:dataLabelHidden idx="0"/>
            <cx:dataLabelHidden idx="24"/>
            <cx:dataLabelHidden idx="25"/>
            <cx:dataLabelHidden idx="27"/>
            <cx:dataLabelHidden idx="28"/>
          </cx:dataLabels>
          <cx:dataId val="0"/>
          <cx:layoutPr>
            <cx:visibility meanLine="0" meanMarker="1" nonoutliers="0" outliers="1"/>
            <cx:statistics quartileMethod="exclusive"/>
          </cx:layoutPr>
        </cx:series>
        <cx:series layoutId="boxWhisker" uniqueId="{CCEDCF71-A151-4337-88B1-3F77F1A910A4}">
          <cx:tx>
            <cx:txData>
              <cx:f>'Ящик с усами nLM'!$I$28</cx:f>
              <cx:v>pLM I</cx:v>
            </cx:txData>
          </cx:tx>
          <cx:spPr>
            <a:solidFill>
              <a:srgbClr val="0070C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29" pos="b">
              <cx:visibility seriesName="0" categoryName="0" value="1"/>
              <cx:separator>, </cx:separator>
            </cx:dataLabel>
            <cx:dataLabelHidden idx="0"/>
            <cx:dataLabelHidden idx="24"/>
            <cx:dataLabelHidden idx="25"/>
            <cx:dataLabelHidden idx="26"/>
            <cx:dataLabelHidden idx="27"/>
            <cx:dataLabelHidden idx="28"/>
            <cx:dataLabelHidden idx="30"/>
            <cx:dataLabelHidden idx="31"/>
          </cx:dataLabels>
          <cx:dataId val="1"/>
          <cx:layoutPr>
            <cx:visibility meanLine="0" meanMarker="1" nonoutliers="0" outliers="1"/>
            <cx:statistics quartileMethod="exclusive"/>
          </cx:layoutPr>
        </cx:series>
        <cx:series layoutId="boxWhisker" uniqueId="{88F8F215-7951-4421-9A60-7FDB0E7BEE7F}">
          <cx:tx>
            <cx:txData>
              <cx:f>'Ящик с усами nLM'!$R$1</cx:f>
              <cx:v>nLM II</cx:v>
            </cx:txData>
          </cx:tx>
          <cx:spPr>
            <a:solidFill>
              <a:srgbClr val="92D05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26" pos="b">
              <cx:visibility seriesName="0" categoryName="0" value="1"/>
              <cx:separator>, </cx:separator>
            </cx:dataLabel>
            <cx:dataLabelHidden idx="0"/>
            <cx:dataLabelHidden idx="24"/>
            <cx:dataLabelHidden idx="25"/>
            <cx:dataLabelHidden idx="27"/>
            <cx:dataLabelHidden idx="28"/>
          </cx:dataLabels>
          <cx:dataId val="2"/>
          <cx:layoutPr>
            <cx:visibility meanLine="0" meanMarker="1" nonoutliers="0" outliers="1"/>
            <cx:statistics quartileMethod="exclusive"/>
          </cx:layoutPr>
        </cx:series>
        <cx:series layoutId="boxWhisker" uniqueId="{95C8C80C-32C5-4F34-B69E-A533D08366B9}">
          <cx:tx>
            <cx:txData>
              <cx:f>'Ящик с усами nLM'!$R$28</cx:f>
              <cx:v>pLM II</cx:v>
            </cx:txData>
          </cx:tx>
          <cx:spPr>
            <a:solidFill>
              <a:srgbClr val="0070C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29" pos="b">
              <cx:visibility seriesName="0" categoryName="0" value="1"/>
              <cx:separator>, </cx:separator>
            </cx:dataLabel>
            <cx:dataLabelHidden idx="0"/>
            <cx:dataLabelHidden idx="27"/>
            <cx:dataLabelHidden idx="28"/>
            <cx:dataLabelHidden idx="30"/>
            <cx:dataLabelHidden idx="31"/>
          </cx:dataLabels>
          <cx:dataId val="3"/>
          <cx:layoutPr>
            <cx:visibility meanLine="0" meanMarker="1" nonoutliers="0" outliers="1"/>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r" align="ctr" overlay="0">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46.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'Ящик с усами nLM'!$J$2:$J$26</cx:f>
        <cx:lvl ptCount="25" formatCode="0,00">
          <cx:pt idx="0">1.1699999999999999</cx:pt>
          <cx:pt idx="1">0.93999999999999995</cx:pt>
          <cx:pt idx="2">0.95999999999999996</cx:pt>
          <cx:pt idx="3">0.73999999999999999</cx:pt>
          <cx:pt idx="4">0.66000000000000003</cx:pt>
          <cx:pt idx="5">0.78000000000000003</cx:pt>
          <cx:pt idx="6">0.63</cx:pt>
          <cx:pt idx="7">0.94999999999999996</cx:pt>
          <cx:pt idx="8">0.53000000000000003</cx:pt>
          <cx:pt idx="9">0.59999999999999998</cx:pt>
          <cx:pt idx="10">0.68000000000000005</cx:pt>
          <cx:pt idx="11">0.85999999999999999</cx:pt>
          <cx:pt idx="12">1.55</cx:pt>
          <cx:pt idx="13">1.23</cx:pt>
          <cx:pt idx="14">0.38</cx:pt>
          <cx:pt idx="15">0.63</cx:pt>
          <cx:pt idx="16">1.3999999999999999</cx:pt>
          <cx:pt idx="17">1.0700000000000001</cx:pt>
          <cx:pt idx="18">1.01</cx:pt>
          <cx:pt idx="19">0.97999999999999998</cx:pt>
          <cx:pt idx="20">1.6000000000000001</cx:pt>
          <cx:pt idx="21">0.98999999999999999</cx:pt>
          <cx:pt idx="22">1.4299999999999999</cx:pt>
          <cx:pt idx="23">1.3600000000000001</cx:pt>
          <cx:pt idx="24">1.45</cx:pt>
        </cx:lvl>
      </cx:numDim>
    </cx:data>
    <cx:data id="1">
      <cx:numDim type="val">
        <cx:f>'Ящик с усами nLM'!$J$29:$J$56</cx:f>
        <cx:lvl ptCount="28" formatCode="0,00">
          <cx:pt idx="0">0.68000000000000005</cx:pt>
          <cx:pt idx="1">0.57999999999999996</cx:pt>
          <cx:pt idx="2">0.46000000000000002</cx:pt>
          <cx:pt idx="3">0.5</cx:pt>
          <cx:pt idx="4">0.64000000000000001</cx:pt>
          <cx:pt idx="5">0.90000000000000002</cx:pt>
          <cx:pt idx="6">0.58999999999999997</cx:pt>
          <cx:pt idx="7">0.39000000000000001</cx:pt>
          <cx:pt idx="8">0.83999999999999997</cx:pt>
          <cx:pt idx="9">0.67000000000000004</cx:pt>
          <cx:pt idx="10">0.65000000000000002</cx:pt>
          <cx:pt idx="11">0.94999999999999996</cx:pt>
          <cx:pt idx="12">0.70999999999999996</cx:pt>
          <cx:pt idx="13">0.89000000000000001</cx:pt>
          <cx:pt idx="14">1.4299999999999999</cx:pt>
          <cx:pt idx="15">1.3100000000000001</cx:pt>
          <cx:pt idx="16">1.75</cx:pt>
          <cx:pt idx="17">1.3600000000000001</cx:pt>
          <cx:pt idx="18">0.77000000000000002</cx:pt>
          <cx:pt idx="19">0.91000000000000003</cx:pt>
          <cx:pt idx="20">1.0600000000000001</cx:pt>
          <cx:pt idx="21">0.97999999999999998</cx:pt>
          <cx:pt idx="22">0.81999999999999995</cx:pt>
          <cx:pt idx="23">0.79000000000000004</cx:pt>
          <cx:pt idx="24">1.4299999999999999</cx:pt>
          <cx:pt idx="25">1.4199999999999999</cx:pt>
          <cx:pt idx="26">0.67000000000000004</cx:pt>
          <cx:pt idx="27">0.55000000000000004</cx:pt>
        </cx:lvl>
      </cx:numDim>
    </cx:data>
    <cx:data id="2">
      <cx:numDim type="val">
        <cx:f>'Ящик с усами nLM'!$S$2:$S$26</cx:f>
        <cx:lvl ptCount="25" formatCode="0,00">
          <cx:pt idx="0">0.64000000000000001</cx:pt>
          <cx:pt idx="1">0.58999999999999997</cx:pt>
          <cx:pt idx="2">1.01</cx:pt>
          <cx:pt idx="3">1.6200000000000001</cx:pt>
          <cx:pt idx="4">1.0700000000000001</cx:pt>
          <cx:pt idx="5">1.01</cx:pt>
          <cx:pt idx="6">1.73</cx:pt>
          <cx:pt idx="7">0.97999999999999998</cx:pt>
          <cx:pt idx="8">1.1799999999999999</cx:pt>
          <cx:pt idx="9">1.5800000000000001</cx:pt>
          <cx:pt idx="10">1.5</cx:pt>
          <cx:pt idx="11">1.26</cx:pt>
          <cx:pt idx="12">1.0700000000000001</cx:pt>
          <cx:pt idx="13">1.75</cx:pt>
          <cx:pt idx="14">0.93999999999999995</cx:pt>
          <cx:pt idx="15">1.1599999999999999</cx:pt>
          <cx:pt idx="16">1.3200000000000001</cx:pt>
          <cx:pt idx="17">0.95999999999999996</cx:pt>
          <cx:pt idx="18">1.1299999999999999</cx:pt>
          <cx:pt idx="19">0.90000000000000002</cx:pt>
          <cx:pt idx="20">1.0800000000000001</cx:pt>
          <cx:pt idx="21">1.3200000000000001</cx:pt>
          <cx:pt idx="22">1.3400000000000001</cx:pt>
          <cx:pt idx="23">1.6200000000000001</cx:pt>
          <cx:pt idx="24">1.4399999999999999</cx:pt>
        </cx:lvl>
      </cx:numDim>
    </cx:data>
    <cx:data id="3">
      <cx:numDim type="val">
        <cx:f>'Ящик с усами nLM'!$S$29:$S$56</cx:f>
        <cx:lvl ptCount="28" formatCode="0,00">
          <cx:pt idx="0">1.0600000000000001</cx:pt>
          <cx:pt idx="1">1.0800000000000001</cx:pt>
          <cx:pt idx="2">1.22</cx:pt>
          <cx:pt idx="3">1.1000000000000001</cx:pt>
          <cx:pt idx="4">0.87</cx:pt>
          <cx:pt idx="5">1.3899999999999999</cx:pt>
          <cx:pt idx="6">1.53</cx:pt>
          <cx:pt idx="7">0.75</cx:pt>
          <cx:pt idx="8">1.05</cx:pt>
          <cx:pt idx="9">0.92000000000000004</cx:pt>
          <cx:pt idx="10">1.23</cx:pt>
          <cx:pt idx="11">0.91000000000000003</cx:pt>
          <cx:pt idx="12">1.46</cx:pt>
          <cx:pt idx="13">0.79000000000000004</cx:pt>
          <cx:pt idx="14">1.4399999999999999</cx:pt>
          <cx:pt idx="15">1.28</cx:pt>
          <cx:pt idx="16">1.6799999999999999</cx:pt>
          <cx:pt idx="17">1.3500000000000001</cx:pt>
          <cx:pt idx="18">1.1699999999999999</cx:pt>
          <cx:pt idx="19">0.96999999999999997</cx:pt>
          <cx:pt idx="20">1.2</cx:pt>
          <cx:pt idx="21">1.24</cx:pt>
          <cx:pt idx="22">0.67000000000000004</cx:pt>
          <cx:pt idx="23">0.81999999999999995</cx:pt>
          <cx:pt idx="24">1.5</cx:pt>
          <cx:pt idx="25">0.90000000000000002</cx:pt>
          <cx:pt idx="26">0.54000000000000004</cx:pt>
          <cx:pt idx="27">1.3999999999999999</cx:pt>
        </cx:lvl>
      </cx:numDim>
    </cx:data>
  </cx:chartData>
  <cx:chart>
    <cx:title pos="t" align="ctr" overlay="0">
      <cx:tx>
        <cx:rich>
          <a:bodyPr spcFirstLastPara="1" vertOverflow="ellipsis" horzOverflow="overflow" wrap="square" lIns="0" tIns="0" rIns="0" bIns="0" anchor="ctr" anchorCtr="1"/>
          <a:lstStyle/>
          <a:p>
            <a:pPr algn="ctr" rtl="0">
              <a:defRPr sz="12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latin typeface="Times New Roman" panose="02020603050405020304" pitchFamily="18" charset="0"/>
                <a:cs typeface="Times New Roman" panose="02020603050405020304" pitchFamily="18" charset="0"/>
              </a:rPr>
              <a:t>P</a:t>
            </a:r>
            <a:endParaRPr lang="ru-RU" sz="1200" b="1" i="0" u="none" strike="noStrike" baseline="0">
              <a:solidFill>
                <a:sysClr val="windowText" lastClr="000000"/>
              </a:solidFill>
              <a:latin typeface="Times New Roman" panose="02020603050405020304" pitchFamily="18" charset="0"/>
              <a:cs typeface="Times New Roman" panose="02020603050405020304" pitchFamily="18" charset="0"/>
            </a:endParaRPr>
          </a:p>
        </cx:rich>
      </cx:tx>
    </cx:title>
    <cx:plotArea>
      <cx:plotAreaRegion>
        <cx:series layoutId="boxWhisker" uniqueId="{E3525A1C-88F6-4585-B6A6-A7511AC7E7C8}">
          <cx:tx>
            <cx:txData>
              <cx:f>'Ящик с усами nLM'!$J$1</cx:f>
              <cx:v>nLM I</cx:v>
            </cx:txData>
          </cx:tx>
          <cx:spPr>
            <a:solidFill>
              <a:srgbClr val="92D05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26" pos="b">
              <cx:visibility seriesName="0" categoryName="0" value="1"/>
              <cx:separator>, </cx:separator>
            </cx:dataLabel>
            <cx:dataLabelHidden idx="0"/>
            <cx:dataLabelHidden idx="24"/>
            <cx:dataLabelHidden idx="25"/>
            <cx:dataLabelHidden idx="27"/>
            <cx:dataLabelHidden idx="28"/>
          </cx:dataLabels>
          <cx:dataId val="0"/>
          <cx:layoutPr>
            <cx:visibility meanLine="0" meanMarker="1" nonoutliers="0" outliers="1"/>
            <cx:statistics quartileMethod="exclusive"/>
          </cx:layoutPr>
        </cx:series>
        <cx:series layoutId="boxWhisker" uniqueId="{BD710984-1F5E-4A28-A1E0-95D03E6A0B4F}">
          <cx:tx>
            <cx:txData>
              <cx:f>'Ящик с усами nLM'!$J$28</cx:f>
              <cx:v>pLM I</cx:v>
            </cx:txData>
          </cx:tx>
          <cx:spPr>
            <a:solidFill>
              <a:srgbClr val="0070C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29" pos="b">
              <cx:visibility seriesName="0" categoryName="0" value="1"/>
              <cx:separator>, </cx:separator>
            </cx:dataLabel>
            <cx:dataLabelHidden idx="0"/>
            <cx:dataLabelHidden idx="26"/>
            <cx:dataLabelHidden idx="27"/>
            <cx:dataLabelHidden idx="28"/>
            <cx:dataLabelHidden idx="30"/>
            <cx:dataLabelHidden idx="31"/>
          </cx:dataLabels>
          <cx:dataId val="1"/>
          <cx:layoutPr>
            <cx:visibility meanLine="0" meanMarker="1" nonoutliers="0" outliers="1"/>
            <cx:statistics quartileMethod="exclusive"/>
          </cx:layoutPr>
        </cx:series>
        <cx:series layoutId="boxWhisker" uniqueId="{52F2188E-A230-4A99-BAB3-945C91DBA086}">
          <cx:tx>
            <cx:txData>
              <cx:f>'Ящик с усами nLM'!$S$1</cx:f>
              <cx:v>nLM II</cx:v>
            </cx:txData>
          </cx:tx>
          <cx:spPr>
            <a:solidFill>
              <a:srgbClr val="92D05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26" pos="b">
              <cx:visibility seriesName="0" categoryName="0" value="1"/>
              <cx:separator>, </cx:separator>
            </cx:dataLabel>
            <cx:dataLabelHidden idx="0"/>
            <cx:dataLabelHidden idx="24"/>
            <cx:dataLabelHidden idx="25"/>
            <cx:dataLabelHidden idx="27"/>
            <cx:dataLabelHidden idx="28"/>
          </cx:dataLabels>
          <cx:dataId val="2"/>
          <cx:layoutPr>
            <cx:visibility meanLine="0" meanMarker="1" nonoutliers="0" outliers="1"/>
            <cx:statistics quartileMethod="exclusive"/>
          </cx:layoutPr>
        </cx:series>
        <cx:series layoutId="boxWhisker" uniqueId="{C1152DEA-5F59-4CDB-AC81-CE5943323B44}">
          <cx:tx>
            <cx:txData>
              <cx:f>'Ящик с усами nLM'!$S$28</cx:f>
              <cx:v>pLM II</cx:v>
            </cx:txData>
          </cx:tx>
          <cx:spPr>
            <a:solidFill>
              <a:srgbClr val="0070C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29" pos="b">
              <cx:visibility seriesName="0" categoryName="0" value="1"/>
              <cx:separator>, </cx:separator>
            </cx:dataLabel>
            <cx:dataLabelHidden idx="0"/>
            <cx:dataLabelHidden idx="27"/>
            <cx:dataLabelHidden idx="28"/>
            <cx:dataLabelHidden idx="30"/>
            <cx:dataLabelHidden idx="31"/>
          </cx:dataLabels>
          <cx:dataId val="3"/>
          <cx:layoutPr>
            <cx:visibility meanLine="0" meanMarker="1" nonoutliers="0" outliers="1"/>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spcFirstLastPara="1" vertOverflow="ellipsis" horzOverflow="overflow" wrap="square" lIns="0" tIns="0" rIns="0" bIns="0" anchor="ctr" anchorCtr="1"/>
              <a:lstStyle/>
              <a:p>
                <a:pPr algn="ctr" rtl="0">
                  <a:defRPr sz="12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latin typeface="Times New Roman" panose="02020603050405020304" pitchFamily="18" charset="0"/>
                    <a:cs typeface="Times New Roman" panose="02020603050405020304" pitchFamily="18" charset="0"/>
                  </a:rPr>
                  <a:t>SUV</a:t>
                </a:r>
                <a:r>
                  <a:rPr lang="en-US" sz="1200" b="1" i="0" u="none" strike="noStrike" baseline="-25000">
                    <a:solidFill>
                      <a:sysClr val="windowText" lastClr="000000"/>
                    </a:solidFill>
                    <a:latin typeface="Times New Roman" panose="02020603050405020304" pitchFamily="18" charset="0"/>
                    <a:cs typeface="Times New Roman" panose="02020603050405020304" pitchFamily="18" charset="0"/>
                  </a:rPr>
                  <a:t>max</a:t>
                </a:r>
                <a:endParaRPr lang="ru-RU" sz="1200" b="1" i="0" u="none" strike="noStrike"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r" align="ctr" overlay="0">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47.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пол КРР'!$A$2:$A$61</cx:f>
        <cx:lvl ptCount="60">
          <cx:pt idx="0">Ж</cx:pt>
          <cx:pt idx="1">Ж</cx:pt>
          <cx:pt idx="2">Ж</cx:pt>
          <cx:pt idx="3">Ж</cx:pt>
          <cx:pt idx="4">Ж</cx:pt>
          <cx:pt idx="5">Ж</cx:pt>
          <cx:pt idx="6">Ж</cx:pt>
          <cx:pt idx="7">Ж</cx:pt>
          <cx:pt idx="8">Ж</cx:pt>
          <cx:pt idx="9">Ж</cx:pt>
          <cx:pt idx="10">Ж</cx:pt>
          <cx:pt idx="11">Ж</cx:pt>
          <cx:pt idx="12">М</cx:pt>
          <cx:pt idx="13">Ж</cx:pt>
          <cx:pt idx="14">Ж</cx:pt>
          <cx:pt idx="15">М</cx:pt>
          <cx:pt idx="16">Ж</cx:pt>
          <cx:pt idx="17">Ж</cx:pt>
          <cx:pt idx="18">М</cx:pt>
          <cx:pt idx="19">Ж</cx:pt>
          <cx:pt idx="20">Ж</cx:pt>
          <cx:pt idx="21">М</cx:pt>
          <cx:pt idx="22">Ж</cx:pt>
          <cx:pt idx="23">М</cx:pt>
          <cx:pt idx="24">Ж</cx:pt>
          <cx:pt idx="25">М</cx:pt>
          <cx:pt idx="26">Ж</cx:pt>
          <cx:pt idx="27">Ж</cx:pt>
          <cx:pt idx="28">Ж</cx:pt>
          <cx:pt idx="29">Ж</cx:pt>
          <cx:pt idx="30">Ж</cx:pt>
          <cx:pt idx="31">Ж</cx:pt>
          <cx:pt idx="32">Ж</cx:pt>
          <cx:pt idx="33">Ж</cx:pt>
          <cx:pt idx="34">Ж</cx:pt>
          <cx:pt idx="35">Ж</cx:pt>
          <cx:pt idx="36">Ж</cx:pt>
          <cx:pt idx="37">М</cx:pt>
          <cx:pt idx="38">Ж</cx:pt>
          <cx:pt idx="39">Ж</cx:pt>
          <cx:pt idx="40">Ж</cx:pt>
          <cx:pt idx="41">Ж</cx:pt>
          <cx:pt idx="42">Ж</cx:pt>
          <cx:pt idx="43">М</cx:pt>
          <cx:pt idx="44">Ж</cx:pt>
          <cx:pt idx="45">М</cx:pt>
          <cx:pt idx="46">Ж</cx:pt>
          <cx:pt idx="47">М</cx:pt>
          <cx:pt idx="48">Ж</cx:pt>
          <cx:pt idx="49">М</cx:pt>
          <cx:pt idx="50">Ж</cx:pt>
          <cx:pt idx="51">Ж</cx:pt>
          <cx:pt idx="52">Ж</cx:pt>
          <cx:pt idx="53">Ж</cx:pt>
          <cx:pt idx="54">Ж</cx:pt>
          <cx:pt idx="55">Ж</cx:pt>
          <cx:pt idx="56">М</cx:pt>
          <cx:pt idx="57">Ж</cx:pt>
          <cx:pt idx="58">М</cx:pt>
          <cx:pt idx="59">М</cx:pt>
        </cx:lvl>
      </cx:strDim>
      <cx:numDim type="val">
        <cx:f>'Ящик с усами пол КРР'!$B$2:$B$61</cx:f>
        <cx:lvl ptCount="60" formatCode="0,00">
          <cx:pt idx="0">0.92259999999999998</cx:pt>
          <cx:pt idx="1">0.85840000000000005</cx:pt>
          <cx:pt idx="2">0.92369999999999997</cx:pt>
          <cx:pt idx="3">0.66420000000000001</cx:pt>
          <cx:pt idx="4">0.82410000000000005</cx:pt>
          <cx:pt idx="5">0.69850000000000001</cx:pt>
          <cx:pt idx="6">0.74199999999999999</cx:pt>
          <cx:pt idx="7">0.90969999999999995</cx:pt>
          <cx:pt idx="8">1.4327000000000001</cx:pt>
          <cx:pt idx="9">0.7117</cx:pt>
          <cx:pt idx="10">0.76449999999999996</cx:pt>
          <cx:pt idx="11">0.62109999999999999</cx:pt>
          <cx:pt idx="12">0.35809999999999997</cx:pt>
          <cx:pt idx="13">0.84330000000000005</cx:pt>
          <cx:pt idx="14">0.45229999999999998</cx:pt>
          <cx:pt idx="15">0.28999999999999998</cx:pt>
          <cx:pt idx="16">0.75380000000000003</cx:pt>
          <cx:pt idx="17">0.69840000000000002</cx:pt>
          <cx:pt idx="18">0.73650000000000004</cx:pt>
          <cx:pt idx="19">0.45279999999999998</cx:pt>
          <cx:pt idx="20">0.75439999999999996</cx:pt>
          <cx:pt idx="21">0.32979999999999998</cx:pt>
          <cx:pt idx="22">0.57020000000000004</cx:pt>
          <cx:pt idx="23">0.75580000000000003</cx:pt>
          <cx:pt idx="24">0.50090000000000001</cx:pt>
          <cx:pt idx="25">0.57520000000000004</cx:pt>
          <cx:pt idx="26">0.84140000000000004</cx:pt>
          <cx:pt idx="27">0.65949999999999998</cx:pt>
          <cx:pt idx="28">0.74839999999999995</cx:pt>
          <cx:pt idx="29">0.93720000000000003</cx:pt>
          <cx:pt idx="30">1.5694999999999999</cx:pt>
          <cx:pt idx="31">1.2897000000000001</cx:pt>
          <cx:pt idx="32">0.43290000000000001</cx:pt>
          <cx:pt idx="33">1.0820000000000001</cx:pt>
          <cx:pt idx="34">0.31180000000000002</cx:pt>
          <cx:pt idx="35">0.67210000000000003</cx:pt>
          <cx:pt idx="36">1.0608</cx:pt>
          <cx:pt idx="37">1.5047999999999999</cx:pt>
          <cx:pt idx="38">1.0861000000000001</cx:pt>
          <cx:pt idx="39">0.49209999999999998</cx:pt>
          <cx:pt idx="40">1.2202999999999999</cx:pt>
          <cx:pt idx="41">0.8377</cx:pt>
          <cx:pt idx="42">1.4490000000000001</cx:pt>
          <cx:pt idx="43">0.44690000000000002</cx:pt>
          <cx:pt idx="44">0.90910000000000002</cx:pt>
          <cx:pt idx="45">0.23119999999999999</cx:pt>
          <cx:pt idx="46">0.68540000000000001</cx:pt>
          <cx:pt idx="47">0.33439999999999998</cx:pt>
          <cx:pt idx="48">0.77370000000000005</cx:pt>
          <cx:pt idx="49">1.165</cx:pt>
          <cx:pt idx="50">1.5702</cx:pt>
          <cx:pt idx="51">0.92210000000000003</cx:pt>
          <cx:pt idx="52">0.49320000000000003</cx:pt>
          <cx:pt idx="53">1.1894</cx:pt>
          <cx:pt idx="54">1.4592000000000001</cx:pt>
          <cx:pt idx="55">1.2484</cx:pt>
          <cx:pt idx="56">1.1508</cx:pt>
          <cx:pt idx="57">1.2644</cx:pt>
          <cx:pt idx="58">1.0011000000000001</cx:pt>
          <cx:pt idx="59">1.4757</cx:pt>
        </cx:lvl>
      </cx:numDim>
    </cx:data>
  </cx:chartData>
  <cx:chart>
    <cx:plotArea>
      <cx:plotAreaRegion>
        <cx:series layoutId="boxWhisker" uniqueId="{DB7602BD-7F21-4313-BC1B-4C3767B019A1}">
          <cx:tx>
            <cx:txData>
              <cx:f>'Ящик с усами пол КРР'!$B$1</cx:f>
              <cx:v>RE</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 idx="65">
              <cx:txPr>
                <a:bodyPr spcFirstLastPara="1" vertOverflow="ellipsis" horzOverflow="overflow" wrap="square" lIns="0" tIns="0" rIns="0" bIns="0" anchor="ctr" anchorCtr="1"/>
                <a:lstStyle/>
                <a:p>
                  <a:pPr algn="ctr" rtl="0">
                    <a:defRPr/>
                  </a:pPr>
                  <a:r>
                    <a:rPr lang="ru-RU" sz="1000" b="1" i="0" u="none" strike="noStrike" baseline="0">
                      <a:solidFill>
                        <a:sysClr val="windowText" lastClr="000000"/>
                      </a:solidFill>
                      <a:latin typeface="Times New Roman" panose="02020603050405020304" pitchFamily="18" charset="0"/>
                      <a:cs typeface="Times New Roman" panose="02020603050405020304" pitchFamily="18" charset="0"/>
                    </a:rPr>
                    <a:t>0,66</a:t>
                  </a:r>
                </a:p>
              </cx:txPr>
              <cx:visibility seriesName="0" categoryName="0" value="1"/>
              <cx:separator>, </cx:separator>
            </cx:dataLabel>
            <cx:dataLabelHidden idx="0"/>
            <cx:dataLabelHidden idx="45"/>
            <cx:dataLabelHidden idx="46"/>
            <cx:dataLabelHidden idx="48"/>
            <cx:dataLabelHidden idx="49"/>
            <cx:dataLabelHidden idx="50"/>
            <cx:dataLabelHidden idx="63"/>
            <cx:dataLabelHidden idx="64"/>
            <cx:dataLabelHidden idx="66"/>
            <cx:dataLabelHidden idx="67"/>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i="0">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48.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пол КРР'!$A$2:$A$61</cx:f>
        <cx:lvl ptCount="60">
          <cx:pt idx="0">Ж</cx:pt>
          <cx:pt idx="1">Ж</cx:pt>
          <cx:pt idx="2">Ж</cx:pt>
          <cx:pt idx="3">Ж</cx:pt>
          <cx:pt idx="4">Ж</cx:pt>
          <cx:pt idx="5">Ж</cx:pt>
          <cx:pt idx="6">Ж</cx:pt>
          <cx:pt idx="7">Ж</cx:pt>
          <cx:pt idx="8">Ж</cx:pt>
          <cx:pt idx="9">Ж</cx:pt>
          <cx:pt idx="10">Ж</cx:pt>
          <cx:pt idx="11">Ж</cx:pt>
          <cx:pt idx="12">М</cx:pt>
          <cx:pt idx="13">Ж</cx:pt>
          <cx:pt idx="14">Ж</cx:pt>
          <cx:pt idx="15">М</cx:pt>
          <cx:pt idx="16">Ж</cx:pt>
          <cx:pt idx="17">Ж</cx:pt>
          <cx:pt idx="18">М</cx:pt>
          <cx:pt idx="19">Ж</cx:pt>
          <cx:pt idx="20">Ж</cx:pt>
          <cx:pt idx="21">М</cx:pt>
          <cx:pt idx="22">Ж</cx:pt>
          <cx:pt idx="23">М</cx:pt>
          <cx:pt idx="24">Ж</cx:pt>
          <cx:pt idx="25">М</cx:pt>
          <cx:pt idx="26">Ж</cx:pt>
          <cx:pt idx="27">Ж</cx:pt>
          <cx:pt idx="28">Ж</cx:pt>
          <cx:pt idx="29">Ж</cx:pt>
          <cx:pt idx="30">Ж</cx:pt>
          <cx:pt idx="31">Ж</cx:pt>
          <cx:pt idx="32">Ж</cx:pt>
          <cx:pt idx="33">Ж</cx:pt>
          <cx:pt idx="34">Ж</cx:pt>
          <cx:pt idx="35">Ж</cx:pt>
          <cx:pt idx="36">Ж</cx:pt>
          <cx:pt idx="37">М</cx:pt>
          <cx:pt idx="38">Ж</cx:pt>
          <cx:pt idx="39">Ж</cx:pt>
          <cx:pt idx="40">Ж</cx:pt>
          <cx:pt idx="41">Ж</cx:pt>
          <cx:pt idx="42">Ж</cx:pt>
          <cx:pt idx="43">М</cx:pt>
          <cx:pt idx="44">Ж</cx:pt>
          <cx:pt idx="45">М</cx:pt>
          <cx:pt idx="46">Ж</cx:pt>
          <cx:pt idx="47">М</cx:pt>
          <cx:pt idx="48">Ж</cx:pt>
          <cx:pt idx="49">М</cx:pt>
          <cx:pt idx="50">Ж</cx:pt>
          <cx:pt idx="51">Ж</cx:pt>
          <cx:pt idx="52">Ж</cx:pt>
          <cx:pt idx="53">Ж</cx:pt>
          <cx:pt idx="54">Ж</cx:pt>
          <cx:pt idx="55">Ж</cx:pt>
          <cx:pt idx="56">М</cx:pt>
          <cx:pt idx="57">Ж</cx:pt>
          <cx:pt idx="58">М</cx:pt>
          <cx:pt idx="59">М</cx:pt>
        </cx:lvl>
      </cx:strDim>
      <cx:numDim type="val">
        <cx:f>'Ящик с усами пол КРР'!$C$2:$C$61</cx:f>
        <cx:lvl ptCount="60" formatCode="0,00">
          <cx:pt idx="0">1.5485</cx:pt>
          <cx:pt idx="1">1.6116999999999999</cx:pt>
          <cx:pt idx="2">1.1812</cx:pt>
          <cx:pt idx="3">2.2414000000000001</cx:pt>
          <cx:pt idx="4">0.61709999999999998</cx:pt>
          <cx:pt idx="5">1.0873999999999999</cx:pt>
          <cx:pt idx="6">0.64649999999999996</cx:pt>
          <cx:pt idx="7">1.0783</cx:pt>
          <cx:pt idx="8">0.50770000000000004</cx:pt>
          <cx:pt idx="9">0.94389999999999996</cx:pt>
          <cx:pt idx="10">0.88039999999999996</cx:pt>
          <cx:pt idx="11">0.4703</cx:pt>
          <cx:pt idx="12">0.42599999999999999</cx:pt>
          <cx:pt idx="13">0.67930000000000001</cx:pt>
          <cx:pt idx="14">0.46879999999999999</cx:pt>
          <cx:pt idx="15">0.51319999999999999</cx:pt>
          <cx:pt idx="16">0.42380000000000001</cx:pt>
          <cx:pt idx="17">0.38769999999999999</cx:pt>
          <cx:pt idx="18">0.67789999999999995</cx:pt>
          <cx:pt idx="19">0.46339999999999998</cx:pt>
          <cx:pt idx="20">1.0066999999999999</cx:pt>
          <cx:pt idx="21">0.36990000000000001</cx:pt>
          <cx:pt idx="22">0.58940000000000003</cx:pt>
          <cx:pt idx="23">0.61609999999999998</cx:pt>
          <cx:pt idx="24">0.81820000000000004</cx:pt>
          <cx:pt idx="25">0.65780000000000005</cx:pt>
          <cx:pt idx="26">0.79669999999999996</cx:pt>
          <cx:pt idx="27">0.4037</cx:pt>
          <cx:pt idx="28">0.63570000000000004</cx:pt>
          <cx:pt idx="29">0.73240000000000005</cx:pt>
          <cx:pt idx="30">1.1529</cx:pt>
          <cx:pt idx="31">0.73599999999999999</cx:pt>
          <cx:pt idx="32">0.53680000000000005</cx:pt>
          <cx:pt idx="33">1.4714</cx:pt>
          <cx:pt idx="34">0.61339999999999995</cx:pt>
          <cx:pt idx="35">0.4103</cx:pt>
          <cx:pt idx="36">1.5860000000000001</cx:pt>
          <cx:pt idx="37">1.3130999999999999</cx:pt>
          <cx:pt idx="38">0.87909999999999999</cx:pt>
          <cx:pt idx="39">0.5252</cx:pt>
          <cx:pt idx="40">1.0931999999999999</cx:pt>
          <cx:pt idx="41">0.54420000000000002</cx:pt>
          <cx:pt idx="42">1.0989</cx:pt>
          <cx:pt idx="43">0.31259999999999999</cx:pt>
          <cx:pt idx="44">0.53690000000000004</cx:pt>
          <cx:pt idx="45">0.47910000000000003</cx:pt>
          <cx:pt idx="46">0.60140000000000005</cx:pt>
          <cx:pt idx="47">0.50419999999999998</cx:pt>
          <cx:pt idx="48">0.92920000000000003</cx:pt>
          <cx:pt idx="49">0.60029999999999994</cx:pt>
          <cx:pt idx="50">1.6329</cx:pt>
          <cx:pt idx="51">0.81489999999999996</cx:pt>
          <cx:pt idx="52">0.80989999999999995</cx:pt>
          <cx:pt idx="53">0.83279999999999998</cx:pt>
          <cx:pt idx="54">0.874</cx:pt>
          <cx:pt idx="55">2.0908000000000002</cx:pt>
          <cx:pt idx="56">0.75880000000000003</cx:pt>
          <cx:pt idx="57">1.4639</cx:pt>
          <cx:pt idx="58">1.3025</cx:pt>
          <cx:pt idx="59">0.6885</cx:pt>
        </cx:lvl>
      </cx:numDim>
    </cx:data>
  </cx:chartData>
  <cx:chart>
    <cx:plotArea>
      <cx:plotAreaRegion>
        <cx:series layoutId="boxWhisker" uniqueId="{BC40D327-90EA-4B45-9D5B-41E04C351A5A}">
          <cx:tx>
            <cx:txData>
              <cx:f>'Ящик с усами пол КРР'!$C$1</cx:f>
              <cx:v>RLH</cx:v>
            </cx:txData>
          </cx:tx>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47" pos="b">
              <cx:txPr>
                <a:bodyPr vertOverflow="overflow" horzOverflow="overflow" wrap="square" lIns="0" tIns="0" rIns="0" bIns="0"/>
                <a:lstStyle/>
                <a:p>
                  <a:pPr algn="ctr" rtl="0">
                    <a:defRPr/>
                  </a:pPr>
                  <a:r>
                    <a:rPr lang="ru-KZ" sz="1000">
                      <a:solidFill>
                        <a:sysClr val="windowText" lastClr="000000"/>
                      </a:solidFill>
                      <a:latin typeface="Times New Roman" panose="02020603050405020304" pitchFamily="18" charset="0"/>
                      <a:cs typeface="Times New Roman" panose="02020603050405020304" pitchFamily="18" charset="0"/>
                    </a:rPr>
                    <a:t>0,81</a:t>
                  </a:r>
                </a:p>
              </cx:txPr>
              <cx:visibility seriesName="0" categoryName="0" value="1"/>
              <cx:separator>, </cx:separator>
            </cx:dataLabel>
            <cx:dataLabel idx="65" pos="b">
              <cx:txPr>
                <a:bodyPr vertOverflow="overflow" horzOverflow="overflow" wrap="square" lIns="0" tIns="0" rIns="0" bIns="0"/>
                <a:lstStyle/>
                <a:p>
                  <a:pPr algn="ctr" rtl="0">
                    <a:defRPr/>
                  </a:pPr>
                  <a:r>
                    <a:rPr lang="ru-KZ" sz="1000">
                      <a:solidFill>
                        <a:sysClr val="windowText" lastClr="000000"/>
                      </a:solidFill>
                      <a:latin typeface="Times New Roman" panose="02020603050405020304" pitchFamily="18" charset="0"/>
                      <a:cs typeface="Times New Roman" panose="02020603050405020304" pitchFamily="18" charset="0"/>
                    </a:rPr>
                    <a:t>0,61</a:t>
                  </a:r>
                </a:p>
              </cx:txPr>
              <cx:visibility seriesName="0" categoryName="0" value="1"/>
              <cx:separator>, </cx:separator>
            </cx:dataLabel>
            <cx:dataLabelHidden idx="0"/>
            <cx:dataLabelHidden idx="43"/>
            <cx:dataLabelHidden idx="44"/>
            <cx:dataLabelHidden idx="45"/>
            <cx:dataLabelHidden idx="46"/>
            <cx:dataLabelHidden idx="48"/>
            <cx:dataLabelHidden idx="49"/>
            <cx:dataLabelHidden idx="50"/>
            <cx:dataLabelHidden idx="61"/>
            <cx:dataLabelHidden idx="62"/>
            <cx:dataLabelHidden idx="64"/>
            <cx:dataLabelHidden idx="66"/>
            <cx:dataLabelHidden idx="67"/>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5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5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49.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пол КРР'!$A$2:$A$61</cx:f>
        <cx:lvl ptCount="60">
          <cx:pt idx="0">Ж</cx:pt>
          <cx:pt idx="1">Ж</cx:pt>
          <cx:pt idx="2">Ж</cx:pt>
          <cx:pt idx="3">Ж</cx:pt>
          <cx:pt idx="4">Ж</cx:pt>
          <cx:pt idx="5">Ж</cx:pt>
          <cx:pt idx="6">Ж</cx:pt>
          <cx:pt idx="7">Ж</cx:pt>
          <cx:pt idx="8">Ж</cx:pt>
          <cx:pt idx="9">Ж</cx:pt>
          <cx:pt idx="10">Ж</cx:pt>
          <cx:pt idx="11">Ж</cx:pt>
          <cx:pt idx="12">М</cx:pt>
          <cx:pt idx="13">Ж</cx:pt>
          <cx:pt idx="14">Ж</cx:pt>
          <cx:pt idx="15">М</cx:pt>
          <cx:pt idx="16">Ж</cx:pt>
          <cx:pt idx="17">Ж</cx:pt>
          <cx:pt idx="18">М</cx:pt>
          <cx:pt idx="19">Ж</cx:pt>
          <cx:pt idx="20">Ж</cx:pt>
          <cx:pt idx="21">М</cx:pt>
          <cx:pt idx="22">Ж</cx:pt>
          <cx:pt idx="23">М</cx:pt>
          <cx:pt idx="24">Ж</cx:pt>
          <cx:pt idx="25">М</cx:pt>
          <cx:pt idx="26">Ж</cx:pt>
          <cx:pt idx="27">Ж</cx:pt>
          <cx:pt idx="28">Ж</cx:pt>
          <cx:pt idx="29">Ж</cx:pt>
          <cx:pt idx="30">Ж</cx:pt>
          <cx:pt idx="31">Ж</cx:pt>
          <cx:pt idx="32">Ж</cx:pt>
          <cx:pt idx="33">Ж</cx:pt>
          <cx:pt idx="34">Ж</cx:pt>
          <cx:pt idx="35">Ж</cx:pt>
          <cx:pt idx="36">Ж</cx:pt>
          <cx:pt idx="37">М</cx:pt>
          <cx:pt idx="38">Ж</cx:pt>
          <cx:pt idx="39">Ж</cx:pt>
          <cx:pt idx="40">Ж</cx:pt>
          <cx:pt idx="41">Ж</cx:pt>
          <cx:pt idx="42">Ж</cx:pt>
          <cx:pt idx="43">М</cx:pt>
          <cx:pt idx="44">Ж</cx:pt>
          <cx:pt idx="45">М</cx:pt>
          <cx:pt idx="46">Ж</cx:pt>
          <cx:pt idx="47">М</cx:pt>
          <cx:pt idx="48">Ж</cx:pt>
          <cx:pt idx="49">М</cx:pt>
          <cx:pt idx="50">Ж</cx:pt>
          <cx:pt idx="51">Ж</cx:pt>
          <cx:pt idx="52">Ж</cx:pt>
          <cx:pt idx="53">Ж</cx:pt>
          <cx:pt idx="54">Ж</cx:pt>
          <cx:pt idx="55">Ж</cx:pt>
          <cx:pt idx="56">М</cx:pt>
          <cx:pt idx="57">Ж</cx:pt>
          <cx:pt idx="58">М</cx:pt>
          <cx:pt idx="59">М</cx:pt>
        </cx:lvl>
      </cx:strDim>
      <cx:numDim type="val">
        <cx:f>'Ящик с усами пол КРР'!$D$2:$D$61</cx:f>
        <cx:lvl ptCount="60" formatCode="0,00">
          <cx:pt idx="0">1.8083</cx:pt>
          <cx:pt idx="1">1.1706000000000001</cx:pt>
          <cx:pt idx="2">0.8155</cx:pt>
          <cx:pt idx="3">1.0499000000000001</cx:pt>
          <cx:pt idx="4">0.93430000000000002</cx:pt>
          <cx:pt idx="5">0.75590000000000002</cx:pt>
          <cx:pt idx="6">1.0347</cx:pt>
          <cx:pt idx="7">0.73980000000000001</cx:pt>
          <cx:pt idx="8">0.6976</cx:pt>
          <cx:pt idx="9">1.3533999999999999</cx:pt>
          <cx:pt idx="10">0.88829999999999998</cx:pt>
          <cx:pt idx="11">0.86739999999999995</cx:pt>
          <cx:pt idx="12">0.77370000000000005</cx:pt>
          <cx:pt idx="13">1.129</cx:pt>
          <cx:pt idx="14">0.42070000000000002</cx:pt>
          <cx:pt idx="15">0.29320000000000002</cx:pt>
          <cx:pt idx="16">0.48430000000000001</cx:pt>
          <cx:pt idx="17">0.61319999999999997</cx:pt>
          <cx:pt idx="18">0.81520000000000004</cx:pt>
          <cx:pt idx="19">0.66549999999999998</cx:pt>
          <cx:pt idx="20">0.74539999999999995</cx:pt>
          <cx:pt idx="21">0.40799999999999997</cx:pt>
          <cx:pt idx="22">0.42149999999999999</cx:pt>
          <cx:pt idx="23">0.68620000000000003</cx:pt>
          <cx:pt idx="24">0.4451</cx:pt>
          <cx:pt idx="25">0.75009999999999999</cx:pt>
          <cx:pt idx="26">0.81889999999999996</cx:pt>
          <cx:pt idx="27">1.3343</cx:pt>
          <cx:pt idx="28">0.69010000000000005</cx:pt>
          <cx:pt idx="29">1.0184</cx:pt>
          <cx:pt idx="30">1.4965999999999999</cx:pt>
          <cx:pt idx="31">1.5466</cx:pt>
          <cx:pt idx="32">0.58130000000000004</cx:pt>
          <cx:pt idx="33">2.1457999999999999</cx:pt>
          <cx:pt idx="34">0.65359999999999996</cx:pt>
          <cx:pt idx="35">0.38090000000000002</cx:pt>
          <cx:pt idx="36">1.4305000000000001</cx:pt>
          <cx:pt idx="37">1.1892</cx:pt>
          <cx:pt idx="38">1.1422000000000001</cx:pt>
          <cx:pt idx="39">0.8589</cx:pt>
          <cx:pt idx="40">1.6548</cx:pt>
          <cx:pt idx="41">0.66459999999999997</cx:pt>
          <cx:pt idx="42">1.736</cx:pt>
          <cx:pt idx="43">0.751</cx:pt>
          <cx:pt idx="44">0.85819999999999996</cx:pt>
          <cx:pt idx="45">0.80069999999999997</cx:pt>
          <cx:pt idx="46">1.798</cx:pt>
          <cx:pt idx="47">0.64339999999999997</cx:pt>
          <cx:pt idx="48">0.8569</cx:pt>
          <cx:pt idx="49">1.3805000000000001</cx:pt>
          <cx:pt idx="50">2.9357000000000002</cx:pt>
          <cx:pt idx="51">1.2485999999999999</cx:pt>
          <cx:pt idx="52">0.92030000000000001</cx:pt>
          <cx:pt idx="53">1.4228000000000001</cx:pt>
          <cx:pt idx="54">0.82940000000000003</cx:pt>
          <cx:pt idx="55">0.86909999999999998</cx:pt>
          <cx:pt idx="56">1.5174000000000001</cx:pt>
          <cx:pt idx="57">1.6382000000000001</cx:pt>
          <cx:pt idx="58">0.77600000000000002</cx:pt>
          <cx:pt idx="59">0.61099999999999999</cx:pt>
        </cx:lvl>
      </cx:numDim>
    </cx:data>
  </cx:chartData>
  <cx:chart>
    <cx:plotArea>
      <cx:plotAreaRegion>
        <cx:series layoutId="boxWhisker" uniqueId="{4322CA09-E7A4-48E4-8F15-00AB8A7574FD}">
          <cx:tx>
            <cx:txData>
              <cx:f>'Ящик с усами пол КРР'!$D$1</cx:f>
              <cx:v>RRL</cx:v>
            </cx:txData>
          </cx:tx>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44"/>
            <cx:dataLabelHidden idx="45"/>
            <cx:dataLabelHidden idx="46"/>
            <cx:dataLabelHidden idx="48"/>
            <cx:dataLabelHidden idx="49"/>
            <cx:dataLabelHidden idx="50"/>
            <cx:dataLabelHidden idx="61"/>
            <cx:dataLabelHidden idx="62"/>
            <cx:dataLabelHidden idx="63"/>
            <cx:dataLabelHidden idx="64"/>
            <cx:dataLabelHidden idx="66"/>
            <cx:dataLabelHidden idx="67"/>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5.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T РЯ'!$A$2:$A$54</cx:f>
        <cx:lvl ptCount="53">
          <cx:pt idx="0">T1</cx:pt>
          <cx:pt idx="1">T1</cx:pt>
          <cx:pt idx="2">T1</cx:pt>
          <cx:pt idx="3">T1</cx:pt>
          <cx:pt idx="4">T1</cx:pt>
          <cx:pt idx="5">T1</cx:pt>
          <cx:pt idx="6">T1</cx:pt>
          <cx:pt idx="7">T1</cx:pt>
          <cx:pt idx="8">T2</cx:pt>
          <cx:pt idx="9">T2</cx:pt>
          <cx:pt idx="10">T2</cx:pt>
          <cx:pt idx="11">T2</cx:pt>
          <cx:pt idx="12">T2</cx:pt>
          <cx:pt idx="13">T2</cx:pt>
          <cx:pt idx="14">T2</cx:pt>
          <cx:pt idx="15">T2</cx:pt>
          <cx:pt idx="16">T2</cx:pt>
          <cx:pt idx="17">T2</cx:pt>
          <cx:pt idx="18">T2</cx:pt>
          <cx:pt idx="19">T2</cx:pt>
          <cx:pt idx="20">T2</cx:pt>
          <cx:pt idx="21">T2</cx:pt>
          <cx:pt idx="22">T2</cx:pt>
          <cx:pt idx="23">T3</cx:pt>
          <cx:pt idx="24">T3</cx:pt>
          <cx:pt idx="25">T3</cx:pt>
          <cx:pt idx="26">T3</cx:pt>
          <cx:pt idx="27">T3</cx:pt>
          <cx:pt idx="28">T3</cx:pt>
          <cx:pt idx="29">T3</cx:pt>
          <cx:pt idx="30">T3</cx:pt>
          <cx:pt idx="31">T3</cx:pt>
          <cx:pt idx="32">T3</cx:pt>
          <cx:pt idx="33">T3</cx:pt>
          <cx:pt idx="34">T3</cx:pt>
          <cx:pt idx="35">T3</cx:pt>
          <cx:pt idx="36">T3</cx:pt>
          <cx:pt idx="37">T3</cx:pt>
          <cx:pt idx="38">T3</cx:pt>
          <cx:pt idx="39">T3</cx:pt>
          <cx:pt idx="40">T3</cx:pt>
          <cx:pt idx="41">T3</cx:pt>
          <cx:pt idx="42">T3</cx:pt>
          <cx:pt idx="43">T3</cx:pt>
          <cx:pt idx="44">T3</cx:pt>
          <cx:pt idx="45">T3</cx:pt>
          <cx:pt idx="46">T3</cx:pt>
          <cx:pt idx="47">T3</cx:pt>
          <cx:pt idx="48">T3</cx:pt>
          <cx:pt idx="49">T3</cx:pt>
          <cx:pt idx="50">T3</cx:pt>
          <cx:pt idx="51">T4</cx:pt>
          <cx:pt idx="52">T4</cx:pt>
        </cx:lvl>
      </cx:strDim>
      <cx:numDim type="val">
        <cx:f>'Ящик с усами T РЯ'!$E$2:$E$54</cx:f>
        <cx:lvl ptCount="53" formatCode="0,00">
          <cx:pt idx="0">0.64000000000000001</cx:pt>
          <cx:pt idx="1">1.02</cx:pt>
          <cx:pt idx="2">0.70999999999999996</cx:pt>
          <cx:pt idx="3">0.33000000000000002</cx:pt>
          <cx:pt idx="4">0.76000000000000001</cx:pt>
          <cx:pt idx="5">0.87</cx:pt>
          <cx:pt idx="6">1.3100000000000001</cx:pt>
          <cx:pt idx="7">1.26</cx:pt>
          <cx:pt idx="8">1.1000000000000001</cx:pt>
          <cx:pt idx="9">0.52000000000000002</cx:pt>
          <cx:pt idx="10">0.58999999999999997</cx:pt>
          <cx:pt idx="11">0.64000000000000001</cx:pt>
          <cx:pt idx="12">0.47999999999999998</cx:pt>
          <cx:pt idx="13">0.72999999999999998</cx:pt>
          <cx:pt idx="14">0.75</cx:pt>
          <cx:pt idx="15">0.68000000000000005</cx:pt>
          <cx:pt idx="16">1.1000000000000001</cx:pt>
          <cx:pt idx="17">0.65000000000000002</cx:pt>
          <cx:pt idx="18">1.3899999999999999</cx:pt>
          <cx:pt idx="19">0.64000000000000001</cx:pt>
          <cx:pt idx="20">0.91000000000000003</cx:pt>
          <cx:pt idx="21">1.5800000000000001</cx:pt>
          <cx:pt idx="22">0.68999999999999995</cx:pt>
          <cx:pt idx="23">0.93999999999999995</cx:pt>
          <cx:pt idx="24">0.85999999999999999</cx:pt>
          <cx:pt idx="25">0.69999999999999996</cx:pt>
          <cx:pt idx="26">0.62</cx:pt>
          <cx:pt idx="27">0.56000000000000005</cx:pt>
          <cx:pt idx="28">0.93999999999999995</cx:pt>
          <cx:pt idx="29">0.72999999999999998</cx:pt>
          <cx:pt idx="30">0.53000000000000003</cx:pt>
          <cx:pt idx="31">0.68999999999999995</cx:pt>
          <cx:pt idx="32">0.54000000000000004</cx:pt>
          <cx:pt idx="33">1.1699999999999999</cx:pt>
          <cx:pt idx="34">0.71999999999999997</cx:pt>
          <cx:pt idx="35">0.32000000000000001</cx:pt>
          <cx:pt idx="36">1.76</cx:pt>
          <cx:pt idx="37">1.03</cx:pt>
          <cx:pt idx="38">1.47</cx:pt>
          <cx:pt idx="39">1.29</cx:pt>
          <cx:pt idx="40">2.1499999999999999</cx:pt>
          <cx:pt idx="41">0.40999999999999998</cx:pt>
          <cx:pt idx="42">1.45</cx:pt>
          <cx:pt idx="43">1.1599999999999999</cx:pt>
          <cx:pt idx="44">0.77000000000000002</cx:pt>
          <cx:pt idx="45">1.21</cx:pt>
          <cx:pt idx="46">0.70999999999999996</cx:pt>
          <cx:pt idx="47">0.65000000000000002</cx:pt>
          <cx:pt idx="48">1.26</cx:pt>
          <cx:pt idx="49">1.5700000000000001</cx:pt>
          <cx:pt idx="50">0.28000000000000003</cx:pt>
          <cx:pt idx="51">1.0700000000000001</cx:pt>
          <cx:pt idx="52">0.82999999999999996</cx:pt>
        </cx:lvl>
      </cx:numDim>
    </cx:data>
  </cx:chartData>
  <cx:chart>
    <cx:plotArea>
      <cx:plotAreaRegion>
        <cx:series layoutId="boxWhisker" uniqueId="{E2000FD8-73CE-43EB-819D-35321873698D}">
          <cx:tx>
            <cx:txData>
              <cx:f>'Ящик с усами T РЯ'!$E$1</cx:f>
              <cx:v>RU</cx:v>
            </cx:txData>
          </cx:tx>
          <cx:spPr>
            <a:solidFill>
              <a:srgbClr val="0070C0"/>
            </a:solidFill>
          </cx:spPr>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 idx="28" pos="b">
              <cx:txPr>
                <a:bodyPr spcFirstLastPara="1" vertOverflow="ellipsis" horzOverflow="overflow" wrap="square" lIns="0" tIns="0" rIns="0" bIns="0" anchor="ctr" anchorCtr="1"/>
                <a:lstStyle/>
                <a:p>
                  <a:pPr algn="ctr" rtl="0">
                    <a:defRPr/>
                  </a:pPr>
                  <a:r>
                    <a:rPr lang="ru-RU" sz="1000" b="1" i="0" u="none" strike="noStrike" baseline="0">
                      <a:solidFill>
                        <a:sysClr val="windowText" lastClr="000000"/>
                      </a:solidFill>
                      <a:latin typeface="Times New Roman" panose="02020603050405020304" pitchFamily="18" charset="0"/>
                      <a:cs typeface="Times New Roman" panose="02020603050405020304" pitchFamily="18" charset="0"/>
                    </a:rPr>
                    <a:t>0,69</a:t>
                  </a:r>
                </a:p>
              </cx:txPr>
              <cx:visibility seriesName="0" categoryName="0" value="1"/>
              <cx:separator>, </cx:separator>
            </cx:dataLabel>
            <cx:dataLabelHidden idx="0"/>
            <cx:dataLabelHidden idx="7"/>
            <cx:dataLabelHidden idx="8"/>
            <cx:dataLabelHidden idx="10"/>
            <cx:dataLabelHidden idx="11"/>
            <cx:dataLabelHidden idx="12"/>
            <cx:dataLabelHidden idx="26"/>
            <cx:dataLabelHidden idx="27"/>
            <cx:dataLabelHidden idx="29"/>
            <cx:dataLabelHidden idx="30"/>
            <cx:dataLabelHidden idx="31"/>
            <cx:dataLabelHidden idx="58"/>
            <cx:dataLabelHidden idx="59"/>
            <cx:dataLabelHidden idx="61"/>
            <cx:dataLabelHidden idx="62"/>
            <cx:dataLabelHidden idx="63"/>
            <cx:dataLabelHidden idx="64"/>
            <cx:dataLabelHidden idx="65"/>
            <cx:dataLabelHidden idx="67"/>
            <cx:dataLabelHidden idx="68"/>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50.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пол КРР'!$A$2:$A$61</cx:f>
        <cx:lvl ptCount="60">
          <cx:pt idx="0">Ж</cx:pt>
          <cx:pt idx="1">Ж</cx:pt>
          <cx:pt idx="2">Ж</cx:pt>
          <cx:pt idx="3">Ж</cx:pt>
          <cx:pt idx="4">Ж</cx:pt>
          <cx:pt idx="5">Ж</cx:pt>
          <cx:pt idx="6">Ж</cx:pt>
          <cx:pt idx="7">Ж</cx:pt>
          <cx:pt idx="8">Ж</cx:pt>
          <cx:pt idx="9">Ж</cx:pt>
          <cx:pt idx="10">Ж</cx:pt>
          <cx:pt idx="11">Ж</cx:pt>
          <cx:pt idx="12">М</cx:pt>
          <cx:pt idx="13">Ж</cx:pt>
          <cx:pt idx="14">Ж</cx:pt>
          <cx:pt idx="15">М</cx:pt>
          <cx:pt idx="16">Ж</cx:pt>
          <cx:pt idx="17">Ж</cx:pt>
          <cx:pt idx="18">М</cx:pt>
          <cx:pt idx="19">Ж</cx:pt>
          <cx:pt idx="20">Ж</cx:pt>
          <cx:pt idx="21">М</cx:pt>
          <cx:pt idx="22">Ж</cx:pt>
          <cx:pt idx="23">М</cx:pt>
          <cx:pt idx="24">Ж</cx:pt>
          <cx:pt idx="25">М</cx:pt>
          <cx:pt idx="26">Ж</cx:pt>
          <cx:pt idx="27">Ж</cx:pt>
          <cx:pt idx="28">Ж</cx:pt>
          <cx:pt idx="29">Ж</cx:pt>
          <cx:pt idx="30">Ж</cx:pt>
          <cx:pt idx="31">Ж</cx:pt>
          <cx:pt idx="32">Ж</cx:pt>
          <cx:pt idx="33">Ж</cx:pt>
          <cx:pt idx="34">Ж</cx:pt>
          <cx:pt idx="35">Ж</cx:pt>
          <cx:pt idx="36">Ж</cx:pt>
          <cx:pt idx="37">М</cx:pt>
          <cx:pt idx="38">Ж</cx:pt>
          <cx:pt idx="39">Ж</cx:pt>
          <cx:pt idx="40">Ж</cx:pt>
          <cx:pt idx="41">Ж</cx:pt>
          <cx:pt idx="42">Ж</cx:pt>
          <cx:pt idx="43">М</cx:pt>
          <cx:pt idx="44">Ж</cx:pt>
          <cx:pt idx="45">М</cx:pt>
          <cx:pt idx="46">Ж</cx:pt>
          <cx:pt idx="47">М</cx:pt>
          <cx:pt idx="48">Ж</cx:pt>
          <cx:pt idx="49">М</cx:pt>
          <cx:pt idx="50">Ж</cx:pt>
          <cx:pt idx="51">Ж</cx:pt>
          <cx:pt idx="52">Ж</cx:pt>
          <cx:pt idx="53">Ж</cx:pt>
          <cx:pt idx="54">Ж</cx:pt>
          <cx:pt idx="55">Ж</cx:pt>
          <cx:pt idx="56">М</cx:pt>
          <cx:pt idx="57">Ж</cx:pt>
          <cx:pt idx="58">М</cx:pt>
          <cx:pt idx="59">М</cx:pt>
        </cx:lvl>
      </cx:strDim>
      <cx:numDim type="val">
        <cx:f>'Ящик с усами пол КРР'!$E$2:$E$61</cx:f>
        <cx:lvl ptCount="60" formatCode="0,00">
          <cx:pt idx="0">1.0718000000000001</cx:pt>
          <cx:pt idx="1">0.85360000000000003</cx:pt>
          <cx:pt idx="2">1.3078000000000001</cx:pt>
          <cx:pt idx="3">0.79620000000000002</cx:pt>
          <cx:pt idx="4">0.61419999999999997</cx:pt>
          <cx:pt idx="5">1.1435</cx:pt>
          <cx:pt idx="6">1.4419999999999999</cx:pt>
          <cx:pt idx="7">1.1160000000000001</cx:pt>
          <cx:pt idx="8">0.58930000000000005</cx:pt>
          <cx:pt idx="9">0.56020000000000003</cx:pt>
          <cx:pt idx="10">0.7883</cx:pt>
          <cx:pt idx="11">0.61719999999999997</cx:pt>
          <cx:pt idx="12">0.32700000000000001</cx:pt>
          <cx:pt idx="13">0.9839</cx:pt>
          <cx:pt idx="14">0.5403</cx:pt>
          <cx:pt idx="15">0.46039999999999998</cx:pt>
          <cx:pt idx="16">0.62180000000000002</cx:pt>
          <cx:pt idx="17">0.44140000000000001</cx:pt>
          <cx:pt idx="18">0.58099999999999996</cx:pt>
          <cx:pt idx="19">0.58230000000000004</cx:pt>
          <cx:pt idx="20">0.9194</cx:pt>
          <cx:pt idx="21">0.50339999999999996</cx:pt>
          <cx:pt idx="22">0.49919999999999998</cx:pt>
          <cx:pt idx="23">0.50429999999999997</cx:pt>
          <cx:pt idx="24">0.50090000000000001</cx:pt>
          <cx:pt idx="25">0.66969999999999996</cx:pt>
          <cx:pt idx="26">0.92000000000000004</cx:pt>
          <cx:pt idx="27">0.53520000000000001</cx:pt>
          <cx:pt idx="28">0.71160000000000001</cx:pt>
          <cx:pt idx="29">0.75509999999999999</cx:pt>
          <cx:pt idx="30">2.2519</cx:pt>
          <cx:pt idx="31">1.8771</cx:pt>
          <cx:pt idx="32">0.45290000000000002</cx:pt>
          <cx:pt idx="33">1.4247000000000001</cx:pt>
          <cx:pt idx="34">0.62219999999999998</cx:pt>
          <cx:pt idx="35">0.41799999999999998</cx:pt>
          <cx:pt idx="36">1.6369</cx:pt>
          <cx:pt idx="37">1.2042999999999999</cx:pt>
          <cx:pt idx="38">1.0603</cx:pt>
          <cx:pt idx="39">0.76190000000000002</cx:pt>
          <cx:pt idx="40">1.6229</cx:pt>
          <cx:pt idx="41">0.53180000000000005</cx:pt>
          <cx:pt idx="42">1.1100000000000001</cx:pt>
          <cx:pt idx="43">0.45839999999999997</cx:pt>
          <cx:pt idx="44">0.62380000000000002</cx:pt>
          <cx:pt idx="45">0.5746</cx:pt>
          <cx:pt idx="46">1.1052</cx:pt>
          <cx:pt idx="47">0.7006</cx:pt>
          <cx:pt idx="48">1.1407</cx:pt>
          <cx:pt idx="49">0.99890000000000001</cx:pt>
          <cx:pt idx="50">1.5598000000000001</cx:pt>
          <cx:pt idx="51">0.9294</cx:pt>
          <cx:pt idx="52">0.84889999999999999</cx:pt>
          <cx:pt idx="53">1.1613</cx:pt>
          <cx:pt idx="54">0.69920000000000004</cx:pt>
          <cx:pt idx="55">1.5258</cx:pt>
          <cx:pt idx="56">1.3401000000000001</cx:pt>
          <cx:pt idx="57">1.5353000000000001</cx:pt>
          <cx:pt idx="58">0.93089999999999995</cx:pt>
          <cx:pt idx="59">0.79779999999999995</cx:pt>
        </cx:lvl>
      </cx:numDim>
    </cx:data>
  </cx:chartData>
  <cx:chart>
    <cx:plotArea>
      <cx:plotAreaRegion>
        <cx:series layoutId="boxWhisker" uniqueId="{2F0F7668-FC2D-4622-A6DE-08C409BCC60C}">
          <cx:tx>
            <cx:txData>
              <cx:f>'Ящик с усами пол КРР'!$E$1</cx:f>
              <cx:v>RU</cx:v>
            </cx:txData>
          </cx:tx>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44"/>
            <cx:dataLabelHidden idx="45"/>
            <cx:dataLabelHidden idx="46"/>
            <cx:dataLabelHidden idx="48"/>
            <cx:dataLabelHidden idx="49"/>
            <cx:dataLabelHidden idx="50"/>
            <cx:dataLabelHidden idx="63"/>
            <cx:dataLabelHidden idx="64"/>
            <cx:dataLabelHidden idx="66"/>
            <cx:dataLabelHidden idx="67"/>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5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пол КРР'!$A$2:$A$61</cx:f>
        <cx:lvl ptCount="60">
          <cx:pt idx="0">Ж</cx:pt>
          <cx:pt idx="1">Ж</cx:pt>
          <cx:pt idx="2">Ж</cx:pt>
          <cx:pt idx="3">Ж</cx:pt>
          <cx:pt idx="4">Ж</cx:pt>
          <cx:pt idx="5">Ж</cx:pt>
          <cx:pt idx="6">Ж</cx:pt>
          <cx:pt idx="7">Ж</cx:pt>
          <cx:pt idx="8">Ж</cx:pt>
          <cx:pt idx="9">Ж</cx:pt>
          <cx:pt idx="10">Ж</cx:pt>
          <cx:pt idx="11">Ж</cx:pt>
          <cx:pt idx="12">М</cx:pt>
          <cx:pt idx="13">Ж</cx:pt>
          <cx:pt idx="14">Ж</cx:pt>
          <cx:pt idx="15">М</cx:pt>
          <cx:pt idx="16">Ж</cx:pt>
          <cx:pt idx="17">Ж</cx:pt>
          <cx:pt idx="18">М</cx:pt>
          <cx:pt idx="19">Ж</cx:pt>
          <cx:pt idx="20">Ж</cx:pt>
          <cx:pt idx="21">М</cx:pt>
          <cx:pt idx="22">Ж</cx:pt>
          <cx:pt idx="23">М</cx:pt>
          <cx:pt idx="24">Ж</cx:pt>
          <cx:pt idx="25">М</cx:pt>
          <cx:pt idx="26">Ж</cx:pt>
          <cx:pt idx="27">Ж</cx:pt>
          <cx:pt idx="28">Ж</cx:pt>
          <cx:pt idx="29">Ж</cx:pt>
          <cx:pt idx="30">Ж</cx:pt>
          <cx:pt idx="31">Ж</cx:pt>
          <cx:pt idx="32">Ж</cx:pt>
          <cx:pt idx="33">Ж</cx:pt>
          <cx:pt idx="34">Ж</cx:pt>
          <cx:pt idx="35">Ж</cx:pt>
          <cx:pt idx="36">Ж</cx:pt>
          <cx:pt idx="37">М</cx:pt>
          <cx:pt idx="38">Ж</cx:pt>
          <cx:pt idx="39">Ж</cx:pt>
          <cx:pt idx="40">Ж</cx:pt>
          <cx:pt idx="41">Ж</cx:pt>
          <cx:pt idx="42">Ж</cx:pt>
          <cx:pt idx="43">М</cx:pt>
          <cx:pt idx="44">Ж</cx:pt>
          <cx:pt idx="45">М</cx:pt>
          <cx:pt idx="46">Ж</cx:pt>
          <cx:pt idx="47">М</cx:pt>
          <cx:pt idx="48">Ж</cx:pt>
          <cx:pt idx="49">М</cx:pt>
          <cx:pt idx="50">Ж</cx:pt>
          <cx:pt idx="51">Ж</cx:pt>
          <cx:pt idx="52">Ж</cx:pt>
          <cx:pt idx="53">Ж</cx:pt>
          <cx:pt idx="54">Ж</cx:pt>
          <cx:pt idx="55">Ж</cx:pt>
          <cx:pt idx="56">М</cx:pt>
          <cx:pt idx="57">Ж</cx:pt>
          <cx:pt idx="58">М</cx:pt>
          <cx:pt idx="59">М</cx:pt>
        </cx:lvl>
      </cx:strDim>
      <cx:numDim type="val">
        <cx:f>'Ящик с усами пол КРР'!$F$2:$F$61</cx:f>
        <cx:lvl ptCount="60" formatCode="0,00">
          <cx:pt idx="0">1.2702</cx:pt>
          <cx:pt idx="1">1.0275000000000001</cx:pt>
          <cx:pt idx="2">0.67290000000000005</cx:pt>
          <cx:pt idx="3">1.1175999999999999</cx:pt>
          <cx:pt idx="4">0.78820000000000001</cx:pt>
          <cx:pt idx="5">0.95530000000000004</cx:pt>
          <cx:pt idx="6">1.5286</cx:pt>
          <cx:pt idx="7">0.8669</cx:pt>
          <cx:pt idx="8">0.64480000000000004</cx:pt>
          <cx:pt idx="9">0.78390000000000004</cx:pt>
          <cx:pt idx="10">1.1021000000000001</cx:pt>
          <cx:pt idx="11">1.0688</cx:pt>
          <cx:pt idx="12">0.95820000000000005</cx:pt>
          <cx:pt idx="13">0.76160000000000005</cx:pt>
          <cx:pt idx="14">0.60909999999999997</cx:pt>
          <cx:pt idx="15">0.28570000000000001</cx:pt>
          <cx:pt idx="16">0.50590000000000002</cx:pt>
          <cx:pt idx="17">0.38290000000000002</cx:pt>
          <cx:pt idx="18">0.61040000000000005</cx:pt>
          <cx:pt idx="19">0.78900000000000003</cx:pt>
          <cx:pt idx="20">0.85799999999999998</cx:pt>
          <cx:pt idx="21">0.1153</cx:pt>
          <cx:pt idx="22">0.5655</cx:pt>
          <cx:pt idx="23">0.6855</cx:pt>
          <cx:pt idx="24">0.59099999999999997</cx:pt>
          <cx:pt idx="25">0.90800000000000003</cx:pt>
          <cx:pt idx="26">0.93159999999999998</cx:pt>
          <cx:pt idx="27">0.66900000000000004</cx:pt>
          <cx:pt idx="28">0.8115</cx:pt>
          <cx:pt idx="29">1.0942000000000001</cx:pt>
          <cx:pt idx="30">0.94620000000000004</cx:pt>
          <cx:pt idx="31">2.2650000000000001</cx:pt>
          <cx:pt idx="32">0.4617</cx:pt>
          <cx:pt idx="33">1.4926999999999999</cx:pt>
          <cx:pt idx="34">0.77680000000000005</cx:pt>
          <cx:pt idx="35">0.44419999999999998</cx:pt>
          <cx:pt idx="36">0.93689999999999996</cx:pt>
          <cx:pt idx="37">1.6556999999999999</cx:pt>
          <cx:pt idx="38">0.87970000000000004</cx:pt>
          <cx:pt idx="39">0.59360000000000002</cx:pt>
          <cx:pt idx="40">1.6148</cx:pt>
          <cx:pt idx="41">0.38800000000000001</cx:pt>
          <cx:pt idx="42">1.4387000000000001</cx:pt>
          <cx:pt idx="43">0.34599999999999997</cx:pt>
          <cx:pt idx="44">0.8538</cx:pt>
          <cx:pt idx="45">0.72240000000000004</cx:pt>
          <cx:pt idx="46">1.2293000000000001</cx:pt>
          <cx:pt idx="47">0.53090000000000004</cx:pt>
          <cx:pt idx="48">1.1879</cx:pt>
          <cx:pt idx="49">1.0149999999999999</cx:pt>
          <cx:pt idx="50">1.0646</cx:pt>
          <cx:pt idx="51">1.1423000000000001</cx:pt>
          <cx:pt idx="52">0.78779999999999994</cx:pt>
          <cx:pt idx="53">1.4469000000000001</cx:pt>
          <cx:pt idx="54">0.97929999999999995</cx:pt>
          <cx:pt idx="55">0.9244</cx:pt>
          <cx:pt idx="56">0.76219999999999999</cx:pt>
          <cx:pt idx="57">1.3353999999999999</cx:pt>
          <cx:pt idx="58">0.92610000000000003</cx:pt>
          <cx:pt idx="59">0.62490000000000001</cx:pt>
        </cx:lvl>
      </cx:numDim>
    </cx:data>
  </cx:chartData>
  <cx:chart>
    <cx:plotArea>
      <cx:plotAreaRegion>
        <cx:series layoutId="boxWhisker" uniqueId="{0FAD7FF3-11F2-4484-AFD3-93E79BBA6EDE}">
          <cx:tx>
            <cx:txData>
              <cx:f>'Ящик с усами пол КРР'!$F$1</cx:f>
              <cx:v>RLL</cx:v>
            </cx:txData>
          </cx:tx>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47" pos="b">
              <cx:txPr>
                <a:bodyPr vertOverflow="overflow" horzOverflow="overflow" wrap="square" lIns="0" tIns="0" rIns="0" bIns="0"/>
                <a:lstStyle/>
                <a:p>
                  <a:pPr algn="ctr" rtl="0">
                    <a:defRPr/>
                  </a:pPr>
                  <a:r>
                    <a:rPr lang="ru-KZ" sz="1000">
                      <a:solidFill>
                        <a:sysClr val="windowText" lastClr="000000"/>
                      </a:solidFill>
                      <a:latin typeface="Times New Roman" panose="02020603050405020304" pitchFamily="18" charset="0"/>
                      <a:cs typeface="Times New Roman" panose="02020603050405020304" pitchFamily="18" charset="0"/>
                    </a:rPr>
                    <a:t>0,90</a:t>
                  </a:r>
                </a:p>
              </cx:txPr>
              <cx:visibility seriesName="0" categoryName="0" value="1"/>
              <cx:separator>, </cx:separator>
            </cx:dataLabel>
            <cx:dataLabel idx="65" pos="b">
              <cx:txPr>
                <a:bodyPr vertOverflow="overflow" horzOverflow="overflow" wrap="square" lIns="0" tIns="0" rIns="0" bIns="0"/>
                <a:lstStyle/>
                <a:p>
                  <a:pPr algn="ctr" rtl="0">
                    <a:defRPr/>
                  </a:pPr>
                  <a:r>
                    <a:rPr lang="ru-KZ" sz="1000">
                      <a:solidFill>
                        <a:sysClr val="windowText" lastClr="000000"/>
                      </a:solidFill>
                      <a:latin typeface="Times New Roman" panose="02020603050405020304" pitchFamily="18" charset="0"/>
                      <a:cs typeface="Times New Roman" panose="02020603050405020304" pitchFamily="18" charset="0"/>
                    </a:rPr>
                    <a:t>0,70</a:t>
                  </a:r>
                </a:p>
              </cx:txPr>
              <cx:visibility seriesName="0" categoryName="0" value="1"/>
              <cx:separator>, </cx:separator>
            </cx:dataLabel>
            <cx:dataLabelHidden idx="0"/>
            <cx:dataLabelHidden idx="44"/>
            <cx:dataLabelHidden idx="45"/>
            <cx:dataLabelHidden idx="46"/>
            <cx:dataLabelHidden idx="48"/>
            <cx:dataLabelHidden idx="49"/>
            <cx:dataLabelHidden idx="50"/>
            <cx:dataLabelHidden idx="62"/>
            <cx:dataLabelHidden idx="63"/>
            <cx:dataLabelHidden idx="64"/>
            <cx:dataLabelHidden idx="66"/>
            <cx:dataLabelHidden idx="67"/>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52.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пол КРР'!$A$2:$A$61</cx:f>
        <cx:lvl ptCount="60">
          <cx:pt idx="0">Ж</cx:pt>
          <cx:pt idx="1">Ж</cx:pt>
          <cx:pt idx="2">Ж</cx:pt>
          <cx:pt idx="3">Ж</cx:pt>
          <cx:pt idx="4">Ж</cx:pt>
          <cx:pt idx="5">Ж</cx:pt>
          <cx:pt idx="6">Ж</cx:pt>
          <cx:pt idx="7">Ж</cx:pt>
          <cx:pt idx="8">Ж</cx:pt>
          <cx:pt idx="9">Ж</cx:pt>
          <cx:pt idx="10">Ж</cx:pt>
          <cx:pt idx="11">Ж</cx:pt>
          <cx:pt idx="12">М</cx:pt>
          <cx:pt idx="13">Ж</cx:pt>
          <cx:pt idx="14">Ж</cx:pt>
          <cx:pt idx="15">М</cx:pt>
          <cx:pt idx="16">Ж</cx:pt>
          <cx:pt idx="17">Ж</cx:pt>
          <cx:pt idx="18">М</cx:pt>
          <cx:pt idx="19">Ж</cx:pt>
          <cx:pt idx="20">Ж</cx:pt>
          <cx:pt idx="21">М</cx:pt>
          <cx:pt idx="22">Ж</cx:pt>
          <cx:pt idx="23">М</cx:pt>
          <cx:pt idx="24">Ж</cx:pt>
          <cx:pt idx="25">М</cx:pt>
          <cx:pt idx="26">Ж</cx:pt>
          <cx:pt idx="27">Ж</cx:pt>
          <cx:pt idx="28">Ж</cx:pt>
          <cx:pt idx="29">Ж</cx:pt>
          <cx:pt idx="30">Ж</cx:pt>
          <cx:pt idx="31">Ж</cx:pt>
          <cx:pt idx="32">Ж</cx:pt>
          <cx:pt idx="33">Ж</cx:pt>
          <cx:pt idx="34">Ж</cx:pt>
          <cx:pt idx="35">Ж</cx:pt>
          <cx:pt idx="36">Ж</cx:pt>
          <cx:pt idx="37">М</cx:pt>
          <cx:pt idx="38">Ж</cx:pt>
          <cx:pt idx="39">Ж</cx:pt>
          <cx:pt idx="40">Ж</cx:pt>
          <cx:pt idx="41">Ж</cx:pt>
          <cx:pt idx="42">Ж</cx:pt>
          <cx:pt idx="43">М</cx:pt>
          <cx:pt idx="44">Ж</cx:pt>
          <cx:pt idx="45">М</cx:pt>
          <cx:pt idx="46">Ж</cx:pt>
          <cx:pt idx="47">М</cx:pt>
          <cx:pt idx="48">Ж</cx:pt>
          <cx:pt idx="49">М</cx:pt>
          <cx:pt idx="50">Ж</cx:pt>
          <cx:pt idx="51">Ж</cx:pt>
          <cx:pt idx="52">Ж</cx:pt>
          <cx:pt idx="53">Ж</cx:pt>
          <cx:pt idx="54">Ж</cx:pt>
          <cx:pt idx="55">Ж</cx:pt>
          <cx:pt idx="56">М</cx:pt>
          <cx:pt idx="57">Ж</cx:pt>
          <cx:pt idx="58">М</cx:pt>
          <cx:pt idx="59">М</cx:pt>
        </cx:lvl>
      </cx:strDim>
      <cx:numDim type="val">
        <cx:f>'Ящик с усами пол КРР'!$G$2:$G$61</cx:f>
        <cx:lvl ptCount="60" formatCode="0,00">
          <cx:pt idx="0">1.3323</cx:pt>
          <cx:pt idx="1">1.0057</cx:pt>
          <cx:pt idx="2">1.0667</cx:pt>
          <cx:pt idx="3">1.5214000000000001</cx:pt>
          <cx:pt idx="4">1.0752999999999999</cx:pt>
          <cx:pt idx="5">1.2581</cx:pt>
          <cx:pt idx="6">0.9093</cx:pt>
          <cx:pt idx="7">1.0225</cx:pt>
          <cx:pt idx="8">0.97440000000000004</cx:pt>
          <cx:pt idx="9">0.79200000000000004</cx:pt>
          <cx:pt idx="10">1.0212000000000001</cx:pt>
          <cx:pt idx="11">1.0179</cx:pt>
          <cx:pt idx="12">0.76639999999999997</cx:pt>
          <cx:pt idx="13">0.96640000000000004</cx:pt>
          <cx:pt idx="14">0.51139999999999997</cx:pt>
          <cx:pt idx="15">0.38940000000000002</cx:pt>
          <cx:pt idx="16">0.54649999999999999</cx:pt>
          <cx:pt idx="17">0.44090000000000001</cx:pt>
          <cx:pt idx="18">0.52869999999999995</cx:pt>
          <cx:pt idx="19">0.5786</cx:pt>
          <cx:pt idx="20">1.0146999999999999</cx:pt>
          <cx:pt idx="21">0.26400000000000001</cx:pt>
          <cx:pt idx="22">0.51929999999999998</cx:pt>
          <cx:pt idx="23">0.72970000000000002</cx:pt>
          <cx:pt idx="24">0.68969999999999998</cx:pt>
          <cx:pt idx="25">0.51759999999999995</cx:pt>
          <cx:pt idx="26">0.8397</cx:pt>
          <cx:pt idx="27">0.66810000000000003</cx:pt>
          <cx:pt idx="28">1.1648000000000001</cx:pt>
          <cx:pt idx="29">0.55669999999999997</cx:pt>
          <cx:pt idx="30">0.7863</cx:pt>
          <cx:pt idx="31">1.4702</cx:pt>
          <cx:pt idx="32">0.63759999999999994</cx:pt>
          <cx:pt idx="33">1.1778</cx:pt>
          <cx:pt idx="34">0.58360000000000001</cx:pt>
          <cx:pt idx="35">0.58889999999999998</cx:pt>
          <cx:pt idx="36">0.70120000000000005</cx:pt>
          <cx:pt idx="37">1.1412</cx:pt>
          <cx:pt idx="38">0.56410000000000005</cx:pt>
          <cx:pt idx="39">0.70689999999999997</cx:pt>
          <cx:pt idx="40">1.0529999999999999</cx:pt>
          <cx:pt idx="41">0.50939999999999996</cx:pt>
          <cx:pt idx="42">0.68799999999999994</cx:pt>
          <cx:pt idx="43">0.41070000000000001</cx:pt>
          <cx:pt idx="44">0.51900000000000002</cx:pt>
          <cx:pt idx="45">0.3463</cx:pt>
          <cx:pt idx="46">0.92610000000000003</cx:pt>
          <cx:pt idx="47">0.49049999999999999</cx:pt>
          <cx:pt idx="48">0.73499999999999999</cx:pt>
          <cx:pt idx="49">1.1698</cx:pt>
          <cx:pt idx="50">1.6856</cx:pt>
          <cx:pt idx="51">0.54830000000000001</cx:pt>
          <cx:pt idx="52">0.4335</cx:pt>
          <cx:pt idx="53">1.3482000000000001</cx:pt>
          <cx:pt idx="54">0.52959999999999996</cx:pt>
          <cx:pt idx="55">0.72460000000000002</cx:pt>
          <cx:pt idx="56">1.2285999999999999</cx:pt>
          <cx:pt idx="57">1.097</cx:pt>
          <cx:pt idx="58">0.66979999999999995</cx:pt>
          <cx:pt idx="59">0.77859999999999996</cx:pt>
        </cx:lvl>
      </cx:numDim>
    </cx:data>
  </cx:chartData>
  <cx:chart>
    <cx:plotArea>
      <cx:plotAreaRegion>
        <cx:series layoutId="boxWhisker" uniqueId="{3954868E-43A9-4B14-BD48-4BECE74A325A}">
          <cx:tx>
            <cx:txData>
              <cx:f>'Ящик с усами пол КРР'!$G$1</cx:f>
              <cx:v>RRI</cx:v>
            </cx:txData>
          </cx:tx>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45"/>
            <cx:dataLabelHidden idx="46"/>
            <cx:dataLabelHidden idx="48"/>
            <cx:dataLabelHidden idx="49"/>
            <cx:dataLabelHidden idx="50"/>
            <cx:dataLabelHidden idx="63"/>
            <cx:dataLabelHidden idx="64"/>
            <cx:dataLabelHidden idx="66"/>
            <cx:dataLabelHidden idx="67"/>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53.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пол КРР'!$A$2:$A$61</cx:f>
        <cx:lvl ptCount="60">
          <cx:pt idx="0">Ж</cx:pt>
          <cx:pt idx="1">Ж</cx:pt>
          <cx:pt idx="2">Ж</cx:pt>
          <cx:pt idx="3">Ж</cx:pt>
          <cx:pt idx="4">Ж</cx:pt>
          <cx:pt idx="5">Ж</cx:pt>
          <cx:pt idx="6">Ж</cx:pt>
          <cx:pt idx="7">Ж</cx:pt>
          <cx:pt idx="8">Ж</cx:pt>
          <cx:pt idx="9">Ж</cx:pt>
          <cx:pt idx="10">Ж</cx:pt>
          <cx:pt idx="11">Ж</cx:pt>
          <cx:pt idx="12">М</cx:pt>
          <cx:pt idx="13">Ж</cx:pt>
          <cx:pt idx="14">Ж</cx:pt>
          <cx:pt idx="15">М</cx:pt>
          <cx:pt idx="16">Ж</cx:pt>
          <cx:pt idx="17">Ж</cx:pt>
          <cx:pt idx="18">М</cx:pt>
          <cx:pt idx="19">Ж</cx:pt>
          <cx:pt idx="20">Ж</cx:pt>
          <cx:pt idx="21">М</cx:pt>
          <cx:pt idx="22">Ж</cx:pt>
          <cx:pt idx="23">М</cx:pt>
          <cx:pt idx="24">Ж</cx:pt>
          <cx:pt idx="25">М</cx:pt>
          <cx:pt idx="26">Ж</cx:pt>
          <cx:pt idx="27">Ж</cx:pt>
          <cx:pt idx="28">Ж</cx:pt>
          <cx:pt idx="29">Ж</cx:pt>
          <cx:pt idx="30">Ж</cx:pt>
          <cx:pt idx="31">Ж</cx:pt>
          <cx:pt idx="32">Ж</cx:pt>
          <cx:pt idx="33">Ж</cx:pt>
          <cx:pt idx="34">Ж</cx:pt>
          <cx:pt idx="35">Ж</cx:pt>
          <cx:pt idx="36">Ж</cx:pt>
          <cx:pt idx="37">М</cx:pt>
          <cx:pt idx="38">Ж</cx:pt>
          <cx:pt idx="39">Ж</cx:pt>
          <cx:pt idx="40">Ж</cx:pt>
          <cx:pt idx="41">Ж</cx:pt>
          <cx:pt idx="42">Ж</cx:pt>
          <cx:pt idx="43">М</cx:pt>
          <cx:pt idx="44">Ж</cx:pt>
          <cx:pt idx="45">М</cx:pt>
          <cx:pt idx="46">Ж</cx:pt>
          <cx:pt idx="47">М</cx:pt>
          <cx:pt idx="48">Ж</cx:pt>
          <cx:pt idx="49">М</cx:pt>
          <cx:pt idx="50">Ж</cx:pt>
          <cx:pt idx="51">Ж</cx:pt>
          <cx:pt idx="52">Ж</cx:pt>
          <cx:pt idx="53">Ж</cx:pt>
          <cx:pt idx="54">Ж</cx:pt>
          <cx:pt idx="55">Ж</cx:pt>
          <cx:pt idx="56">М</cx:pt>
          <cx:pt idx="57">Ж</cx:pt>
          <cx:pt idx="58">М</cx:pt>
          <cx:pt idx="59">М</cx:pt>
        </cx:lvl>
      </cx:strDim>
      <cx:numDim type="val">
        <cx:f>'Ящик с усами пол КРР'!$H$2:$H$61</cx:f>
        <cx:lvl ptCount="60" formatCode="0,00">
          <cx:pt idx="0">0.90720000000000001</cx:pt>
          <cx:pt idx="1">0.82799999999999996</cx:pt>
          <cx:pt idx="2">1.0501</cx:pt>
          <cx:pt idx="3">0.86299999999999999</cx:pt>
          <cx:pt idx="4">1.2715000000000001</cx:pt>
          <cx:pt idx="5">1.121</cx:pt>
          <cx:pt idx="6">1.5311999999999999</cx:pt>
          <cx:pt idx="7">1.0337000000000001</cx:pt>
          <cx:pt idx="8">1.0737000000000001</cx:pt>
          <cx:pt idx="9">0.63839999999999997</cx:pt>
          <cx:pt idx="10">1.4131</cx:pt>
          <cx:pt idx="11">1.4077999999999999</cx:pt>
          <cx:pt idx="12">0.60829999999999995</cx:pt>
          <cx:pt idx="13">0.95399999999999996</cx:pt>
          <cx:pt idx="14">0.55710000000000004</cx:pt>
          <cx:pt idx="15">0.50719999999999998</cx:pt>
          <cx:pt idx="16">0.81489999999999996</cx:pt>
          <cx:pt idx="17">0.53190000000000004</cx:pt>
          <cx:pt idx="18">0.80289999999999995</cx:pt>
          <cx:pt idx="19">0.84089999999999998</cx:pt>
          <cx:pt idx="20">0.9234</cx:pt>
          <cx:pt idx="21">0.3649</cx:pt>
          <cx:pt idx="22">0.59919999999999995</cx:pt>
          <cx:pt idx="23">0.58450000000000002</cx:pt>
          <cx:pt idx="24">0.72899999999999998</cx:pt>
          <cx:pt idx="25">0.51080000000000003</cx:pt>
          <cx:pt idx="26">0.91569999999999996</cx:pt>
          <cx:pt idx="27">0.52200000000000002</cx:pt>
          <cx:pt idx="28">0.92279999999999995</cx:pt>
          <cx:pt idx="29">0.88470000000000004</cx:pt>
          <cx:pt idx="30">1.1920999999999999</cx:pt>
          <cx:pt idx="31">3.903</cx:pt>
          <cx:pt idx="32">0.61699999999999999</cx:pt>
          <cx:pt idx="33">1.2392000000000001</cx:pt>
          <cx:pt idx="34">0.81859999999999999</cx:pt>
          <cx:pt idx="35">0.59509999999999996</cx:pt>
          <cx:pt idx="36">1.2827999999999999</cx:pt>
          <cx:pt idx="37">1.1893</cx:pt>
          <cx:pt idx="38">1.1037999999999999</cx:pt>
          <cx:pt idx="39">0.74339999999999995</cx:pt>
          <cx:pt idx="40">0.95289999999999997</cx:pt>
          <cx:pt idx="41">0.53869999999999996</cx:pt>
          <cx:pt idx="42">1.1963999999999999</cx:pt>
          <cx:pt idx="43">0.69799999999999995</cx:pt>
          <cx:pt idx="44">0.75</cx:pt>
          <cx:pt idx="45">0.46939999999999998</cx:pt>
          <cx:pt idx="46">0.86680000000000001</cx:pt>
          <cx:pt idx="47">0.65539999999999998</cx:pt>
          <cx:pt idx="48">0.84889999999999999</cx:pt>
          <cx:pt idx="49">1.3254999999999999</cx:pt>
          <cx:pt idx="50">1.6477999999999999</cx:pt>
          <cx:pt idx="51">0.74070000000000003</cx:pt>
          <cx:pt idx="52">0.81100000000000005</cx:pt>
          <cx:pt idx="53">1.4662999999999999</cx:pt>
          <cx:pt idx="54">0.89139999999999997</cx:pt>
          <cx:pt idx="55">1.5969</cx:pt>
          <cx:pt idx="56">1.355</cx:pt>
          <cx:pt idx="57">1.7184999999999999</cx:pt>
          <cx:pt idx="58">0.95689999999999997</cx:pt>
          <cx:pt idx="59">1.2072000000000001</cx:pt>
        </cx:lvl>
      </cx:numDim>
    </cx:data>
  </cx:chartData>
  <cx:chart>
    <cx:plotArea>
      <cx:plotAreaRegion>
        <cx:series layoutId="boxWhisker" uniqueId="{2AF0CF72-B74E-441C-96F0-D2BF7E748A05}">
          <cx:tx>
            <cx:txData>
              <cx:f>'Ящик с усами пол КРР'!$H$1</cx:f>
              <cx:v>RP</cx:v>
            </cx:txData>
          </cx:tx>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47" pos="b">
              <cx:txPr>
                <a:bodyPr vertOverflow="overflow" horzOverflow="overflow" wrap="square" lIns="0" tIns="0" rIns="0" bIns="0"/>
                <a:lstStyle/>
                <a:p>
                  <a:pPr algn="ctr" rtl="0">
                    <a:defRPr/>
                  </a:pPr>
                  <a:r>
                    <a:rPr lang="ru-KZ" sz="1000">
                      <a:solidFill>
                        <a:sysClr val="windowText" lastClr="000000"/>
                      </a:solidFill>
                      <a:latin typeface="Times New Roman" panose="02020603050405020304" pitchFamily="18" charset="0"/>
                      <a:cs typeface="Times New Roman" panose="02020603050405020304" pitchFamily="18" charset="0"/>
                    </a:rPr>
                    <a:t>0,91</a:t>
                  </a:r>
                </a:p>
              </cx:txPr>
              <cx:visibility seriesName="0" categoryName="0" value="1"/>
              <cx:separator>, </cx:separator>
            </cx:dataLabel>
            <cx:dataLabel idx="65" pos="b">
              <cx:txPr>
                <a:bodyPr vertOverflow="overflow" horzOverflow="overflow" wrap="square" lIns="0" tIns="0" rIns="0" bIns="0"/>
                <a:lstStyle/>
                <a:p>
                  <a:pPr algn="ctr" rtl="0">
                    <a:defRPr/>
                  </a:pPr>
                  <a:r>
                    <a:rPr lang="ru-KZ" sz="1000">
                      <a:solidFill>
                        <a:sysClr val="windowText" lastClr="000000"/>
                      </a:solidFill>
                      <a:latin typeface="Times New Roman" panose="02020603050405020304" pitchFamily="18" charset="0"/>
                      <a:cs typeface="Times New Roman" panose="02020603050405020304" pitchFamily="18" charset="0"/>
                    </a:rPr>
                    <a:t>0,68</a:t>
                  </a:r>
                </a:p>
              </cx:txPr>
              <cx:visibility seriesName="0" categoryName="0" value="1"/>
              <cx:separator>, </cx:separator>
            </cx:dataLabel>
            <cx:dataLabelHidden idx="0"/>
            <cx:dataLabelHidden idx="44"/>
            <cx:dataLabelHidden idx="45"/>
            <cx:dataLabelHidden idx="46"/>
            <cx:dataLabelHidden idx="48"/>
            <cx:dataLabelHidden idx="49"/>
            <cx:dataLabelHidden idx="50"/>
            <cx:dataLabelHidden idx="63"/>
            <cx:dataLabelHidden idx="64"/>
            <cx:dataLabelHidden idx="66"/>
            <cx:dataLabelHidden idx="67"/>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54.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пол КРР'!$A$2:$A$61</cx:f>
        <cx:lvl ptCount="60">
          <cx:pt idx="0">Ж</cx:pt>
          <cx:pt idx="1">Ж</cx:pt>
          <cx:pt idx="2">Ж</cx:pt>
          <cx:pt idx="3">Ж</cx:pt>
          <cx:pt idx="4">Ж</cx:pt>
          <cx:pt idx="5">Ж</cx:pt>
          <cx:pt idx="6">Ж</cx:pt>
          <cx:pt idx="7">Ж</cx:pt>
          <cx:pt idx="8">Ж</cx:pt>
          <cx:pt idx="9">Ж</cx:pt>
          <cx:pt idx="10">Ж</cx:pt>
          <cx:pt idx="11">Ж</cx:pt>
          <cx:pt idx="12">М</cx:pt>
          <cx:pt idx="13">Ж</cx:pt>
          <cx:pt idx="14">Ж</cx:pt>
          <cx:pt idx="15">М</cx:pt>
          <cx:pt idx="16">Ж</cx:pt>
          <cx:pt idx="17">Ж</cx:pt>
          <cx:pt idx="18">М</cx:pt>
          <cx:pt idx="19">Ж</cx:pt>
          <cx:pt idx="20">Ж</cx:pt>
          <cx:pt idx="21">М</cx:pt>
          <cx:pt idx="22">Ж</cx:pt>
          <cx:pt idx="23">М</cx:pt>
          <cx:pt idx="24">Ж</cx:pt>
          <cx:pt idx="25">М</cx:pt>
          <cx:pt idx="26">Ж</cx:pt>
          <cx:pt idx="27">Ж</cx:pt>
          <cx:pt idx="28">Ж</cx:pt>
          <cx:pt idx="29">Ж</cx:pt>
          <cx:pt idx="30">Ж</cx:pt>
          <cx:pt idx="31">Ж</cx:pt>
          <cx:pt idx="32">Ж</cx:pt>
          <cx:pt idx="33">Ж</cx:pt>
          <cx:pt idx="34">Ж</cx:pt>
          <cx:pt idx="35">Ж</cx:pt>
          <cx:pt idx="36">Ж</cx:pt>
          <cx:pt idx="37">М</cx:pt>
          <cx:pt idx="38">Ж</cx:pt>
          <cx:pt idx="39">Ж</cx:pt>
          <cx:pt idx="40">Ж</cx:pt>
          <cx:pt idx="41">Ж</cx:pt>
          <cx:pt idx="42">Ж</cx:pt>
          <cx:pt idx="43">М</cx:pt>
          <cx:pt idx="44">Ж</cx:pt>
          <cx:pt idx="45">М</cx:pt>
          <cx:pt idx="46">Ж</cx:pt>
          <cx:pt idx="47">М</cx:pt>
          <cx:pt idx="48">Ж</cx:pt>
          <cx:pt idx="49">М</cx:pt>
          <cx:pt idx="50">Ж</cx:pt>
          <cx:pt idx="51">Ж</cx:pt>
          <cx:pt idx="52">Ж</cx:pt>
          <cx:pt idx="53">Ж</cx:pt>
          <cx:pt idx="54">Ж</cx:pt>
          <cx:pt idx="55">Ж</cx:pt>
          <cx:pt idx="56">М</cx:pt>
          <cx:pt idx="57">Ж</cx:pt>
          <cx:pt idx="58">М</cx:pt>
          <cx:pt idx="59">М</cx:pt>
        </cx:lvl>
      </cx:strDim>
      <cx:numDim type="val">
        <cx:f>'Ящик с усами пол КРР'!$I$2:$I$61</cx:f>
        <cx:lvl ptCount="60" formatCode="0,00">
          <cx:pt idx="0">0.97509999999999997</cx:pt>
          <cx:pt idx="1">0.66300000000000003</cx:pt>
          <cx:pt idx="2">0.75209999999999999</cx:pt>
          <cx:pt idx="3">1.5349999999999999</cx:pt>
          <cx:pt idx="4">0.77759999999999996</cx:pt>
          <cx:pt idx="5">0.84730000000000005</cx:pt>
          <cx:pt idx="6">1.6128</cx:pt>
          <cx:pt idx="7">0.90480000000000005</cx:pt>
          <cx:pt idx="8">0.87490000000000001</cx:pt>
          <cx:pt idx="9">0.46889999999999998</cx:pt>
          <cx:pt idx="10">0.58779999999999999</cx:pt>
          <cx:pt idx="11">1.2330000000000001</cx:pt>
          <cx:pt idx="12">0.40820000000000001</cx:pt>
          <cx:pt idx="13">0.51819999999999999</cx:pt>
          <cx:pt idx="14">0.58909999999999996</cx:pt>
          <cx:pt idx="15">0.39910000000000001</cx:pt>
          <cx:pt idx="16">0.48089999999999999</cx:pt>
          <cx:pt idx="17">0.44800000000000001</cx:pt>
          <cx:pt idx="18">0.59209999999999996</cx:pt>
          <cx:pt idx="19">0.86150000000000004</cx:pt>
          <cx:pt idx="20">0.50429999999999997</cx:pt>
          <cx:pt idx="21">0.2087</cx:pt>
          <cx:pt idx="22">0.63419999999999999</cx:pt>
          <cx:pt idx="23">0.74219999999999997</cx:pt>
          <cx:pt idx="24">0.50919999999999999</cx:pt>
          <cx:pt idx="25">0.38319999999999999</cx:pt>
          <cx:pt idx="26">0.86770000000000003</cx:pt>
          <cx:pt idx="27">0.25790000000000002</cx:pt>
          <cx:pt idx="28">0.46300000000000002</cx:pt>
          <cx:pt idx="29">0.65859999999999996</cx:pt>
          <cx:pt idx="30">0.86980000000000002</cx:pt>
          <cx:pt idx="31">2.4015</cx:pt>
          <cx:pt idx="32">0.52890000000000004</cx:pt>
          <cx:pt idx="33">0.99880000000000002</cx:pt>
          <cx:pt idx="34">0.58550000000000002</cx:pt>
          <cx:pt idx="35">0.55840000000000001</cx:pt>
          <cx:pt idx="36">1.1792</cx:pt>
          <cx:pt idx="37">1.0827</cx:pt>
          <cx:pt idx="38">0.77100000000000002</cx:pt>
          <cx:pt idx="39">0.60129999999999995</cx:pt>
          <cx:pt idx="40">0.73050000000000004</cx:pt>
          <cx:pt idx="41">0.29909999999999998</cx:pt>
          <cx:pt idx="42">0.84389999999999998</cx:pt>
          <cx:pt idx="43">0.48420000000000002</cx:pt>
          <cx:pt idx="44">0.58809999999999996</cx:pt>
          <cx:pt idx="45">0.25819999999999999</cx:pt>
          <cx:pt idx="46">0.75190000000000001</cx:pt>
          <cx:pt idx="47">0.48949999999999999</cx:pt>
          <cx:pt idx="48">1.0703</cx:pt>
          <cx:pt idx="49">1.056</cx:pt>
          <cx:pt idx="50">2.0392000000000001</cx:pt>
          <cx:pt idx="51">0.5948</cx:pt>
          <cx:pt idx="52">0.82210000000000005</cx:pt>
          <cx:pt idx="53">1.1634</cx:pt>
          <cx:pt idx="54">0.66439999999999999</cx:pt>
          <cx:pt idx="55">0.59530000000000005</cx:pt>
          <cx:pt idx="56">0.69940000000000002</cx:pt>
          <cx:pt idx="57">0.81159999999999999</cx:pt>
          <cx:pt idx="58">0.79049999999999998</cx:pt>
          <cx:pt idx="59">0.93030000000000002</cx:pt>
        </cx:lvl>
      </cx:numDim>
    </cx:data>
  </cx:chartData>
  <cx:chart>
    <cx:plotArea>
      <cx:plotAreaRegion>
        <cx:series layoutId="boxWhisker" uniqueId="{F013B6DB-637F-416F-B79B-708E26AAB40D}">
          <cx:tx>
            <cx:txData>
              <cx:f>'Ящик с усами пол КРР'!$I$1</cx:f>
              <cx:v>RLI</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 idx="47">
              <cx:txPr>
                <a:bodyPr spcFirstLastPara="1" vertOverflow="ellipsis" horzOverflow="overflow" wrap="square" lIns="0" tIns="0" rIns="0" bIns="0" anchor="ctr" anchorCtr="1"/>
                <a:lstStyle/>
                <a:p>
                  <a:pPr algn="ctr" rtl="0">
                    <a:defRPr/>
                  </a:pPr>
                  <a:r>
                    <a:rPr lang="ru-RU" sz="1000" b="1" i="0" u="none" strike="noStrike" baseline="0">
                      <a:solidFill>
                        <a:sysClr val="windowText" lastClr="000000"/>
                      </a:solidFill>
                      <a:latin typeface="Times New Roman" panose="02020603050405020304" pitchFamily="18" charset="0"/>
                      <a:cs typeface="Times New Roman" panose="02020603050405020304" pitchFamily="18" charset="0"/>
                    </a:rPr>
                    <a:t>0,74</a:t>
                  </a:r>
                </a:p>
              </cx:txPr>
              <cx:visibility seriesName="0" categoryName="0" value="1"/>
              <cx:separator>, </cx:separator>
            </cx:dataLabel>
            <cx:dataLabelHidden idx="0"/>
            <cx:dataLabelHidden idx="41"/>
            <cx:dataLabelHidden idx="42"/>
            <cx:dataLabelHidden idx="44"/>
            <cx:dataLabelHidden idx="45"/>
            <cx:dataLabelHidden idx="46"/>
            <cx:dataLabelHidden idx="48"/>
            <cx:dataLabelHidden idx="49"/>
            <cx:dataLabelHidden idx="50"/>
            <cx:dataLabelHidden idx="63"/>
            <cx:dataLabelHidden idx="64"/>
            <cx:dataLabelHidden idx="66"/>
            <cx:dataLabelHidden idx="67"/>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55.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пол КРР'!$A$2:$A$61</cx:f>
        <cx:lvl ptCount="60">
          <cx:pt idx="0">Ж</cx:pt>
          <cx:pt idx="1">Ж</cx:pt>
          <cx:pt idx="2">Ж</cx:pt>
          <cx:pt idx="3">Ж</cx:pt>
          <cx:pt idx="4">Ж</cx:pt>
          <cx:pt idx="5">Ж</cx:pt>
          <cx:pt idx="6">Ж</cx:pt>
          <cx:pt idx="7">Ж</cx:pt>
          <cx:pt idx="8">Ж</cx:pt>
          <cx:pt idx="9">Ж</cx:pt>
          <cx:pt idx="10">Ж</cx:pt>
          <cx:pt idx="11">Ж</cx:pt>
          <cx:pt idx="12">М</cx:pt>
          <cx:pt idx="13">Ж</cx:pt>
          <cx:pt idx="14">Ж</cx:pt>
          <cx:pt idx="15">М</cx:pt>
          <cx:pt idx="16">Ж</cx:pt>
          <cx:pt idx="17">Ж</cx:pt>
          <cx:pt idx="18">М</cx:pt>
          <cx:pt idx="19">Ж</cx:pt>
          <cx:pt idx="20">Ж</cx:pt>
          <cx:pt idx="21">М</cx:pt>
          <cx:pt idx="22">Ж</cx:pt>
          <cx:pt idx="23">М</cx:pt>
          <cx:pt idx="24">Ж</cx:pt>
          <cx:pt idx="25">М</cx:pt>
          <cx:pt idx="26">Ж</cx:pt>
          <cx:pt idx="27">Ж</cx:pt>
          <cx:pt idx="28">Ж</cx:pt>
          <cx:pt idx="29">Ж</cx:pt>
          <cx:pt idx="30">Ж</cx:pt>
          <cx:pt idx="31">Ж</cx:pt>
          <cx:pt idx="32">Ж</cx:pt>
          <cx:pt idx="33">Ж</cx:pt>
          <cx:pt idx="34">Ж</cx:pt>
          <cx:pt idx="35">Ж</cx:pt>
          <cx:pt idx="36">Ж</cx:pt>
          <cx:pt idx="37">М</cx:pt>
          <cx:pt idx="38">Ж</cx:pt>
          <cx:pt idx="39">Ж</cx:pt>
          <cx:pt idx="40">Ж</cx:pt>
          <cx:pt idx="41">Ж</cx:pt>
          <cx:pt idx="42">Ж</cx:pt>
          <cx:pt idx="43">М</cx:pt>
          <cx:pt idx="44">Ж</cx:pt>
          <cx:pt idx="45">М</cx:pt>
          <cx:pt idx="46">Ж</cx:pt>
          <cx:pt idx="47">М</cx:pt>
          <cx:pt idx="48">Ж</cx:pt>
          <cx:pt idx="49">М</cx:pt>
          <cx:pt idx="50">Ж</cx:pt>
          <cx:pt idx="51">Ж</cx:pt>
          <cx:pt idx="52">Ж</cx:pt>
          <cx:pt idx="53">Ж</cx:pt>
          <cx:pt idx="54">Ж</cx:pt>
          <cx:pt idx="55">Ж</cx:pt>
          <cx:pt idx="56">М</cx:pt>
          <cx:pt idx="57">Ж</cx:pt>
          <cx:pt idx="58">М</cx:pt>
          <cx:pt idx="59">М</cx:pt>
        </cx:lvl>
      </cx:strDim>
      <cx:numDim type="val">
        <cx:f>'Ящик с усами пол КРР'!$J$2:$J$61</cx:f>
        <cx:lvl ptCount="60" formatCode="0,00">
          <cx:pt idx="0">1.4847999999999999</cx:pt>
          <cx:pt idx="1">1.8121</cx:pt>
          <cx:pt idx="2">1.0331999999999999</cx:pt>
          <cx:pt idx="3">1.2092000000000001</cx:pt>
          <cx:pt idx="4">1.2238</cx:pt>
          <cx:pt idx="5">1.1717</cx:pt>
          <cx:pt idx="6">1.1789000000000001</cx:pt>
          <cx:pt idx="7">1.1093</cx:pt>
          <cx:pt idx="8">0.97440000000000004</cx:pt>
          <cx:pt idx="9">1.1459999999999999</cx:pt>
          <cx:pt idx="10">0.53449999999999998</cx:pt>
          <cx:pt idx="11">1.8266</cx:pt>
          <cx:pt idx="12">0.87170000000000003</cx:pt>
          <cx:pt idx="13">0.92490000000000006</cx:pt>
          <cx:pt idx="14">0.55230000000000001</cx:pt>
          <cx:pt idx="15">0.39810000000000001</cx:pt>
          <cx:pt idx="16">0.87770000000000004</cx:pt>
          <cx:pt idx="17">0.54139999999999999</cx:pt>
          <cx:pt idx="18">0.67390000000000005</cx:pt>
          <cx:pt idx="19">0.59419999999999995</cx:pt>
          <cx:pt idx="20">0.95999999999999996</cx:pt>
          <cx:pt idx="21">0.44550000000000001</cx:pt>
          <cx:pt idx="22">0.66590000000000005</cx:pt>
          <cx:pt idx="23">0.66930000000000001</cx:pt>
          <cx:pt idx="24">0.67379999999999995</cx:pt>
          <cx:pt idx="25">0.63980000000000004</cx:pt>
          <cx:pt idx="26">0.76429999999999998</cx:pt>
          <cx:pt idx="27">0.55020000000000002</cx:pt>
          <cx:pt idx="28">0.45850000000000002</cx:pt>
          <cx:pt idx="29">0.73109999999999997</cx:pt>
          <cx:pt idx="30">1.1402000000000001</cx:pt>
          <cx:pt idx="31">1.2663</cx:pt>
          <cx:pt idx="32">0.58199999999999996</cx:pt>
          <cx:pt idx="33">1.5062</cx:pt>
          <cx:pt idx="34">0.72140000000000004</cx:pt>
          <cx:pt idx="35">0.71860000000000002</cx:pt>
          <cx:pt idx="36">0.88549999999999995</cx:pt>
          <cx:pt idx="37">1.1406000000000001</cx:pt>
          <cx:pt idx="38">0.71050000000000002</cx:pt>
          <cx:pt idx="39">0.62060000000000004</cx:pt>
          <cx:pt idx="40">0.71120000000000005</cx:pt>
          <cx:pt idx="41">0.52880000000000005</cx:pt>
          <cx:pt idx="42">1.0996999999999999</cx:pt>
          <cx:pt idx="43">0.61019999999999996</cx:pt>
          <cx:pt idx="44">0.65669999999999995</cx:pt>
          <cx:pt idx="45">0.47999999999999998</cx:pt>
          <cx:pt idx="46">0.88700000000000001</cx:pt>
          <cx:pt idx="47">0.77490000000000003</cx:pt>
          <cx:pt idx="48">0.99929999999999997</cx:pt>
          <cx:pt idx="49">1.1751</cx:pt>
          <cx:pt idx="50">2.3134000000000001</cx:pt>
          <cx:pt idx="51">0.79759999999999998</cx:pt>
          <cx:pt idx="52">0.6139</cx:pt>
          <cx:pt idx="53">0.90080000000000005</cx:pt>
          <cx:pt idx="54">0.95220000000000005</cx:pt>
          <cx:pt idx="55">0.95389999999999997</cx:pt>
          <cx:pt idx="56">0.91249999999999998</cx:pt>
          <cx:pt idx="57">1.0181</cx:pt>
          <cx:pt idx="58">0.7177</cx:pt>
          <cx:pt idx="59">1.0193000000000001</cx:pt>
        </cx:lvl>
      </cx:numDim>
    </cx:data>
  </cx:chartData>
  <cx:chart>
    <cx:plotArea>
      <cx:plotAreaRegion>
        <cx:series layoutId="boxWhisker" uniqueId="{4DE12C10-B3AF-4D51-A5F9-8BDB95F7FF43}">
          <cx:tx>
            <cx:txData>
              <cx:f>'Ящик с усами пол КРР'!$J$1</cx:f>
              <cx:v>P</cx:v>
            </cx:txData>
          </cx:tx>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44"/>
            <cx:dataLabelHidden idx="45"/>
            <cx:dataLabelHidden idx="46"/>
            <cx:dataLabelHidden idx="48"/>
            <cx:dataLabelHidden idx="49"/>
            <cx:dataLabelHidden idx="50"/>
            <cx:dataLabelHidden idx="63"/>
            <cx:dataLabelHidden idx="64"/>
            <cx:dataLabelHidden idx="66"/>
            <cx:dataLabelHidden idx="67"/>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56.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PTL КРР'!$A$2:$A$61</cx:f>
        <cx:lvl ptCount="60">
          <cx:pt idx="0">Ободочная кишка</cx:pt>
          <cx:pt idx="1">Прямая кишка</cx:pt>
          <cx:pt idx="2">Ободочная кишка</cx:pt>
          <cx:pt idx="3">Прямая кишка</cx:pt>
          <cx:pt idx="4">Прямая кишка</cx:pt>
          <cx:pt idx="5">Сигмовидная кишка</cx:pt>
          <cx:pt idx="6">Ободочная кишка</cx:pt>
          <cx:pt idx="7">Сигмовидная кишка</cx:pt>
          <cx:pt idx="8">Ободочная кишка</cx:pt>
          <cx:pt idx="9">Прямая кишка</cx:pt>
          <cx:pt idx="10">Сигмовидная кишка</cx:pt>
          <cx:pt idx="11">Прямая кишка</cx:pt>
          <cx:pt idx="12">Прямая кишка</cx:pt>
          <cx:pt idx="13">Ободочная кишка</cx:pt>
          <cx:pt idx="14">Ободочная кишка</cx:pt>
          <cx:pt idx="15">Сигмовидная кишка</cx:pt>
          <cx:pt idx="16">Сигмовидная кишка</cx:pt>
          <cx:pt idx="17">Ободочная кишка</cx:pt>
          <cx:pt idx="18">Прямая кишка</cx:pt>
          <cx:pt idx="19">Прямая кишка</cx:pt>
          <cx:pt idx="20">Прямая кишка</cx:pt>
          <cx:pt idx="21">Сигмовидная кишка</cx:pt>
          <cx:pt idx="22">Сигмовидная кишка</cx:pt>
          <cx:pt idx="23">Прямая кишка</cx:pt>
          <cx:pt idx="24">Сигмовидная кишка</cx:pt>
          <cx:pt idx="25">Сигмовидная кишка</cx:pt>
          <cx:pt idx="26">Прямая кишка</cx:pt>
          <cx:pt idx="27">Сигмовидная кишка</cx:pt>
          <cx:pt idx="28">Ободочная кишка</cx:pt>
          <cx:pt idx="29">Ободочная кишка</cx:pt>
          <cx:pt idx="30">Прямая кишка</cx:pt>
          <cx:pt idx="31">Прямая кишка</cx:pt>
          <cx:pt idx="32">Сигмовидная кишка</cx:pt>
          <cx:pt idx="33">Сигмовидная кишка</cx:pt>
          <cx:pt idx="34">Сигмовидная кишка</cx:pt>
          <cx:pt idx="35">Сигмовидная кишка</cx:pt>
          <cx:pt idx="36">Ободочная кишка</cx:pt>
          <cx:pt idx="37">Ободочная кишка</cx:pt>
          <cx:pt idx="38">Ободочная кишка</cx:pt>
          <cx:pt idx="39">Ободочная кишка</cx:pt>
          <cx:pt idx="40">Ободочная кишка</cx:pt>
          <cx:pt idx="41">Сигмовидная кишка</cx:pt>
          <cx:pt idx="42">Прямая кишка</cx:pt>
          <cx:pt idx="43">Прямая кишка</cx:pt>
          <cx:pt idx="44">Сигмовидная кишка</cx:pt>
          <cx:pt idx="45">Прямая кишка</cx:pt>
          <cx:pt idx="46">Ободочная кишка</cx:pt>
          <cx:pt idx="47">Прямая кишка</cx:pt>
          <cx:pt idx="48">Прямая кишка</cx:pt>
          <cx:pt idx="49">Прямая кишка</cx:pt>
          <cx:pt idx="50">Сигмовидная кишка</cx:pt>
          <cx:pt idx="51">Ободочная кишка</cx:pt>
          <cx:pt idx="52">Сигмовидная кишка</cx:pt>
          <cx:pt idx="53">Ободочная кишка</cx:pt>
          <cx:pt idx="54">Сигмовидная кишка</cx:pt>
          <cx:pt idx="55">Ободочная кишка</cx:pt>
          <cx:pt idx="56">Ободочная кишка</cx:pt>
          <cx:pt idx="57">Прямая кишка</cx:pt>
          <cx:pt idx="58">Ободочная кишка</cx:pt>
          <cx:pt idx="59">Прямая кишка</cx:pt>
        </cx:lvl>
      </cx:strDim>
      <cx:numDim type="val">
        <cx:f>'Ящик с усами PTL КРР'!$B$2:$B$61</cx:f>
        <cx:lvl ptCount="60" formatCode="0,00">
          <cx:pt idx="0">0.92259999999999998</cx:pt>
          <cx:pt idx="1">0.85840000000000005</cx:pt>
          <cx:pt idx="2">0.92369999999999997</cx:pt>
          <cx:pt idx="3">0.66420000000000001</cx:pt>
          <cx:pt idx="4">0.82410000000000005</cx:pt>
          <cx:pt idx="5">0.69850000000000001</cx:pt>
          <cx:pt idx="6">0.74199999999999999</cx:pt>
          <cx:pt idx="7">0.90969999999999995</cx:pt>
          <cx:pt idx="8">1.4327000000000001</cx:pt>
          <cx:pt idx="9">0.7117</cx:pt>
          <cx:pt idx="10">0.76449999999999996</cx:pt>
          <cx:pt idx="11">0.62109999999999999</cx:pt>
          <cx:pt idx="12">0.35809999999999997</cx:pt>
          <cx:pt idx="13">0.84330000000000005</cx:pt>
          <cx:pt idx="14">0.45229999999999998</cx:pt>
          <cx:pt idx="15">0.28999999999999998</cx:pt>
          <cx:pt idx="16">0.75380000000000003</cx:pt>
          <cx:pt idx="17">0.69840000000000002</cx:pt>
          <cx:pt idx="18">0.73650000000000004</cx:pt>
          <cx:pt idx="19">0.45279999999999998</cx:pt>
          <cx:pt idx="20">0.75439999999999996</cx:pt>
          <cx:pt idx="21">0.32979999999999998</cx:pt>
          <cx:pt idx="22">0.57020000000000004</cx:pt>
          <cx:pt idx="23">0.75580000000000003</cx:pt>
          <cx:pt idx="24">0.50090000000000001</cx:pt>
          <cx:pt idx="25">0.57520000000000004</cx:pt>
          <cx:pt idx="26">0.84140000000000004</cx:pt>
          <cx:pt idx="27">0.65949999999999998</cx:pt>
          <cx:pt idx="28">0.74839999999999995</cx:pt>
          <cx:pt idx="29">0.93720000000000003</cx:pt>
          <cx:pt idx="30">1.5694999999999999</cx:pt>
          <cx:pt idx="31">1.2897000000000001</cx:pt>
          <cx:pt idx="32">0.43290000000000001</cx:pt>
          <cx:pt idx="33">1.0820000000000001</cx:pt>
          <cx:pt idx="34">0.31180000000000002</cx:pt>
          <cx:pt idx="35">0.67210000000000003</cx:pt>
          <cx:pt idx="36">1.0608</cx:pt>
          <cx:pt idx="37">1.5047999999999999</cx:pt>
          <cx:pt idx="38">1.0861000000000001</cx:pt>
          <cx:pt idx="39">0.49209999999999998</cx:pt>
          <cx:pt idx="40">1.2202999999999999</cx:pt>
          <cx:pt idx="41">0.8377</cx:pt>
          <cx:pt idx="42">1.4490000000000001</cx:pt>
          <cx:pt idx="43">0.44690000000000002</cx:pt>
          <cx:pt idx="44">0.90910000000000002</cx:pt>
          <cx:pt idx="45">0.23119999999999999</cx:pt>
          <cx:pt idx="46">0.68540000000000001</cx:pt>
          <cx:pt idx="47">0.33439999999999998</cx:pt>
          <cx:pt idx="48">0.77370000000000005</cx:pt>
          <cx:pt idx="49">1.165</cx:pt>
          <cx:pt idx="50">1.5702</cx:pt>
          <cx:pt idx="51">0.92210000000000003</cx:pt>
          <cx:pt idx="52">0.49320000000000003</cx:pt>
          <cx:pt idx="53">1.1894</cx:pt>
          <cx:pt idx="54">1.4592000000000001</cx:pt>
          <cx:pt idx="55">1.2484</cx:pt>
          <cx:pt idx="56">1.1508</cx:pt>
          <cx:pt idx="57">1.2644</cx:pt>
          <cx:pt idx="58">1.0011000000000001</cx:pt>
          <cx:pt idx="59">1.4757</cx:pt>
        </cx:lvl>
      </cx:numDim>
    </cx:data>
  </cx:chartData>
  <cx:chart>
    <cx:plotArea>
      <cx:plotAreaRegion>
        <cx:series layoutId="boxWhisker" uniqueId="{DB7602BD-7F21-4313-BC1B-4C3767B019A1}">
          <cx:tx>
            <cx:txData>
              <cx:f>'Ящик с усами PTL КРР'!$B$1</cx:f>
              <cx:v>RE</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9"/>
            <cx:dataLabelHidden idx="20"/>
            <cx:dataLabelHidden idx="22"/>
            <cx:dataLabelHidden idx="23"/>
            <cx:dataLabelHidden idx="24"/>
            <cx:dataLabelHidden idx="44"/>
            <cx:dataLabelHidden idx="45"/>
            <cx:dataLabelHidden idx="47"/>
            <cx:dataLabelHidden idx="48"/>
            <cx:dataLabelHidden idx="49"/>
            <cx:dataLabelHidden idx="66"/>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5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500" b="1" i="0">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57.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PTL КРР'!$A$2:$A$61</cx:f>
        <cx:lvl ptCount="60">
          <cx:pt idx="0">Ободочная кишка</cx:pt>
          <cx:pt idx="1">Прямая кишка</cx:pt>
          <cx:pt idx="2">Ободочная кишка</cx:pt>
          <cx:pt idx="3">Прямая кишка</cx:pt>
          <cx:pt idx="4">Прямая кишка</cx:pt>
          <cx:pt idx="5">Сигмовидная кишка</cx:pt>
          <cx:pt idx="6">Ободочная кишка</cx:pt>
          <cx:pt idx="7">Сигмовидная кишка</cx:pt>
          <cx:pt idx="8">Ободочная кишка</cx:pt>
          <cx:pt idx="9">Прямая кишка</cx:pt>
          <cx:pt idx="10">Сигмовидная кишка</cx:pt>
          <cx:pt idx="11">Прямая кишка</cx:pt>
          <cx:pt idx="12">Прямая кишка</cx:pt>
          <cx:pt idx="13">Ободочная кишка</cx:pt>
          <cx:pt idx="14">Ободочная кишка</cx:pt>
          <cx:pt idx="15">Сигмовидная кишка</cx:pt>
          <cx:pt idx="16">Сигмовидная кишка</cx:pt>
          <cx:pt idx="17">Ободочная кишка</cx:pt>
          <cx:pt idx="18">Прямая кишка</cx:pt>
          <cx:pt idx="19">Прямая кишка</cx:pt>
          <cx:pt idx="20">Прямая кишка</cx:pt>
          <cx:pt idx="21">Сигмовидная кишка</cx:pt>
          <cx:pt idx="22">Сигмовидная кишка</cx:pt>
          <cx:pt idx="23">Прямая кишка</cx:pt>
          <cx:pt idx="24">Сигмовидная кишка</cx:pt>
          <cx:pt idx="25">Сигмовидная кишка</cx:pt>
          <cx:pt idx="26">Прямая кишка</cx:pt>
          <cx:pt idx="27">Сигмовидная кишка</cx:pt>
          <cx:pt idx="28">Ободочная кишка</cx:pt>
          <cx:pt idx="29">Ободочная кишка</cx:pt>
          <cx:pt idx="30">Прямая кишка</cx:pt>
          <cx:pt idx="31">Прямая кишка</cx:pt>
          <cx:pt idx="32">Сигмовидная кишка</cx:pt>
          <cx:pt idx="33">Сигмовидная кишка</cx:pt>
          <cx:pt idx="34">Сигмовидная кишка</cx:pt>
          <cx:pt idx="35">Сигмовидная кишка</cx:pt>
          <cx:pt idx="36">Ободочная кишка</cx:pt>
          <cx:pt idx="37">Ободочная кишка</cx:pt>
          <cx:pt idx="38">Ободочная кишка</cx:pt>
          <cx:pt idx="39">Ободочная кишка</cx:pt>
          <cx:pt idx="40">Ободочная кишка</cx:pt>
          <cx:pt idx="41">Сигмовидная кишка</cx:pt>
          <cx:pt idx="42">Прямая кишка</cx:pt>
          <cx:pt idx="43">Прямая кишка</cx:pt>
          <cx:pt idx="44">Сигмовидная кишка</cx:pt>
          <cx:pt idx="45">Прямая кишка</cx:pt>
          <cx:pt idx="46">Ободочная кишка</cx:pt>
          <cx:pt idx="47">Прямая кишка</cx:pt>
          <cx:pt idx="48">Прямая кишка</cx:pt>
          <cx:pt idx="49">Прямая кишка</cx:pt>
          <cx:pt idx="50">Сигмовидная кишка</cx:pt>
          <cx:pt idx="51">Ободочная кишка</cx:pt>
          <cx:pt idx="52">Сигмовидная кишка</cx:pt>
          <cx:pt idx="53">Ободочная кишка</cx:pt>
          <cx:pt idx="54">Сигмовидная кишка</cx:pt>
          <cx:pt idx="55">Ободочная кишка</cx:pt>
          <cx:pt idx="56">Ободочная кишка</cx:pt>
          <cx:pt idx="57">Прямая кишка</cx:pt>
          <cx:pt idx="58">Ободочная кишка</cx:pt>
          <cx:pt idx="59">Прямая кишка</cx:pt>
        </cx:lvl>
      </cx:strDim>
      <cx:numDim type="val">
        <cx:f>'Ящик с усами PTL КРР'!$C$2:$C$61</cx:f>
        <cx:lvl ptCount="60" formatCode="0,00">
          <cx:pt idx="0">1.5485</cx:pt>
          <cx:pt idx="1">1.6116999999999999</cx:pt>
          <cx:pt idx="2">1.1812</cx:pt>
          <cx:pt idx="3">2.2414000000000001</cx:pt>
          <cx:pt idx="4">0.61709999999999998</cx:pt>
          <cx:pt idx="5">1.0873999999999999</cx:pt>
          <cx:pt idx="6">0.64649999999999996</cx:pt>
          <cx:pt idx="7">1.0783</cx:pt>
          <cx:pt idx="8">0.50770000000000004</cx:pt>
          <cx:pt idx="9">0.94389999999999996</cx:pt>
          <cx:pt idx="10">0.88039999999999996</cx:pt>
          <cx:pt idx="11">0.4703</cx:pt>
          <cx:pt idx="12">0.42599999999999999</cx:pt>
          <cx:pt idx="13">0.67930000000000001</cx:pt>
          <cx:pt idx="14">0.46879999999999999</cx:pt>
          <cx:pt idx="15">0.51319999999999999</cx:pt>
          <cx:pt idx="16">0.42380000000000001</cx:pt>
          <cx:pt idx="17">0.38769999999999999</cx:pt>
          <cx:pt idx="18">0.67789999999999995</cx:pt>
          <cx:pt idx="19">0.46339999999999998</cx:pt>
          <cx:pt idx="20">1.0066999999999999</cx:pt>
          <cx:pt idx="21">0.36990000000000001</cx:pt>
          <cx:pt idx="22">0.58940000000000003</cx:pt>
          <cx:pt idx="23">0.61609999999999998</cx:pt>
          <cx:pt idx="24">0.81820000000000004</cx:pt>
          <cx:pt idx="25">0.65780000000000005</cx:pt>
          <cx:pt idx="26">0.79669999999999996</cx:pt>
          <cx:pt idx="27">0.4037</cx:pt>
          <cx:pt idx="28">0.63570000000000004</cx:pt>
          <cx:pt idx="29">0.73240000000000005</cx:pt>
          <cx:pt idx="30">1.1529</cx:pt>
          <cx:pt idx="31">0.73599999999999999</cx:pt>
          <cx:pt idx="32">0.53680000000000005</cx:pt>
          <cx:pt idx="33">1.4714</cx:pt>
          <cx:pt idx="34">0.61339999999999995</cx:pt>
          <cx:pt idx="35">0.4103</cx:pt>
          <cx:pt idx="36">1.5860000000000001</cx:pt>
          <cx:pt idx="37">1.3130999999999999</cx:pt>
          <cx:pt idx="38">0.87909999999999999</cx:pt>
          <cx:pt idx="39">0.5252</cx:pt>
          <cx:pt idx="40">1.0931999999999999</cx:pt>
          <cx:pt idx="41">0.54420000000000002</cx:pt>
          <cx:pt idx="42">1.0989</cx:pt>
          <cx:pt idx="43">0.31259999999999999</cx:pt>
          <cx:pt idx="44">0.53690000000000004</cx:pt>
          <cx:pt idx="45">0.47910000000000003</cx:pt>
          <cx:pt idx="46">0.60140000000000005</cx:pt>
          <cx:pt idx="47">0.50419999999999998</cx:pt>
          <cx:pt idx="48">0.92920000000000003</cx:pt>
          <cx:pt idx="49">0.60029999999999994</cx:pt>
          <cx:pt idx="50">1.6329</cx:pt>
          <cx:pt idx="51">0.81489999999999996</cx:pt>
          <cx:pt idx="52">0.80989999999999995</cx:pt>
          <cx:pt idx="53">0.83279999999999998</cx:pt>
          <cx:pt idx="54">0.874</cx:pt>
          <cx:pt idx="55">2.0908000000000002</cx:pt>
          <cx:pt idx="56">0.75880000000000003</cx:pt>
          <cx:pt idx="57">1.4639</cx:pt>
          <cx:pt idx="58">1.3025</cx:pt>
          <cx:pt idx="59">0.6885</cx:pt>
        </cx:lvl>
      </cx:numDim>
    </cx:data>
  </cx:chartData>
  <cx:chart>
    <cx:plotArea>
      <cx:plotAreaRegion>
        <cx:series layoutId="boxWhisker" uniqueId="{BC40D327-90EA-4B45-9D5B-41E04C351A5A}">
          <cx:tx>
            <cx:txData>
              <cx:f>'Ящик с усами PTL КРР'!$C$1</cx:f>
              <cx:v>RLH</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9"/>
            <cx:dataLabelHidden idx="20"/>
            <cx:dataLabelHidden idx="22"/>
            <cx:dataLabelHidden idx="23"/>
            <cx:dataLabelHidden idx="24"/>
            <cx:dataLabelHidden idx="43"/>
            <cx:dataLabelHidden idx="44"/>
            <cx:dataLabelHidden idx="45"/>
            <cx:dataLabelHidden idx="47"/>
            <cx:dataLabelHidden idx="48"/>
            <cx:dataLabelHidden idx="49"/>
            <cx:dataLabelHidden idx="65"/>
            <cx:dataLabelHidden idx="66"/>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5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5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5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5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58.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PTL КРР'!$A$2:$A$61</cx:f>
        <cx:lvl ptCount="60">
          <cx:pt idx="0">Ободочная кишка</cx:pt>
          <cx:pt idx="1">Прямая кишка</cx:pt>
          <cx:pt idx="2">Ободочная кишка</cx:pt>
          <cx:pt idx="3">Прямая кишка</cx:pt>
          <cx:pt idx="4">Прямая кишка</cx:pt>
          <cx:pt idx="5">Сигмовидная кишка</cx:pt>
          <cx:pt idx="6">Ободочная кишка</cx:pt>
          <cx:pt idx="7">Сигмовидная кишка</cx:pt>
          <cx:pt idx="8">Ободочная кишка</cx:pt>
          <cx:pt idx="9">Прямая кишка</cx:pt>
          <cx:pt idx="10">Сигмовидная кишка</cx:pt>
          <cx:pt idx="11">Прямая кишка</cx:pt>
          <cx:pt idx="12">Прямая кишка</cx:pt>
          <cx:pt idx="13">Ободочная кишка</cx:pt>
          <cx:pt idx="14">Ободочная кишка</cx:pt>
          <cx:pt idx="15">Сигмовидная кишка</cx:pt>
          <cx:pt idx="16">Сигмовидная кишка</cx:pt>
          <cx:pt idx="17">Ободочная кишка</cx:pt>
          <cx:pt idx="18">Прямая кишка</cx:pt>
          <cx:pt idx="19">Прямая кишка</cx:pt>
          <cx:pt idx="20">Прямая кишка</cx:pt>
          <cx:pt idx="21">Сигмовидная кишка</cx:pt>
          <cx:pt idx="22">Сигмовидная кишка</cx:pt>
          <cx:pt idx="23">Прямая кишка</cx:pt>
          <cx:pt idx="24">Сигмовидная кишка</cx:pt>
          <cx:pt idx="25">Сигмовидная кишка</cx:pt>
          <cx:pt idx="26">Прямая кишка</cx:pt>
          <cx:pt idx="27">Сигмовидная кишка</cx:pt>
          <cx:pt idx="28">Ободочная кишка</cx:pt>
          <cx:pt idx="29">Ободочная кишка</cx:pt>
          <cx:pt idx="30">Прямая кишка</cx:pt>
          <cx:pt idx="31">Прямая кишка</cx:pt>
          <cx:pt idx="32">Сигмовидная кишка</cx:pt>
          <cx:pt idx="33">Сигмовидная кишка</cx:pt>
          <cx:pt idx="34">Сигмовидная кишка</cx:pt>
          <cx:pt idx="35">Сигмовидная кишка</cx:pt>
          <cx:pt idx="36">Ободочная кишка</cx:pt>
          <cx:pt idx="37">Ободочная кишка</cx:pt>
          <cx:pt idx="38">Ободочная кишка</cx:pt>
          <cx:pt idx="39">Ободочная кишка</cx:pt>
          <cx:pt idx="40">Ободочная кишка</cx:pt>
          <cx:pt idx="41">Сигмовидная кишка</cx:pt>
          <cx:pt idx="42">Прямая кишка</cx:pt>
          <cx:pt idx="43">Прямая кишка</cx:pt>
          <cx:pt idx="44">Сигмовидная кишка</cx:pt>
          <cx:pt idx="45">Прямая кишка</cx:pt>
          <cx:pt idx="46">Ободочная кишка</cx:pt>
          <cx:pt idx="47">Прямая кишка</cx:pt>
          <cx:pt idx="48">Прямая кишка</cx:pt>
          <cx:pt idx="49">Прямая кишка</cx:pt>
          <cx:pt idx="50">Сигмовидная кишка</cx:pt>
          <cx:pt idx="51">Ободочная кишка</cx:pt>
          <cx:pt idx="52">Сигмовидная кишка</cx:pt>
          <cx:pt idx="53">Ободочная кишка</cx:pt>
          <cx:pt idx="54">Сигмовидная кишка</cx:pt>
          <cx:pt idx="55">Ободочная кишка</cx:pt>
          <cx:pt idx="56">Ободочная кишка</cx:pt>
          <cx:pt idx="57">Прямая кишка</cx:pt>
          <cx:pt idx="58">Ободочная кишка</cx:pt>
          <cx:pt idx="59">Прямая кишка</cx:pt>
        </cx:lvl>
      </cx:strDim>
      <cx:numDim type="val">
        <cx:f>'Ящик с усами PTL КРР'!$D$2:$D$61</cx:f>
        <cx:lvl ptCount="60" formatCode="0,00">
          <cx:pt idx="0">1.8083</cx:pt>
          <cx:pt idx="1">1.1706000000000001</cx:pt>
          <cx:pt idx="2">0.8155</cx:pt>
          <cx:pt idx="3">1.0499000000000001</cx:pt>
          <cx:pt idx="4">0.93430000000000002</cx:pt>
          <cx:pt idx="5">0.75590000000000002</cx:pt>
          <cx:pt idx="6">1.0347</cx:pt>
          <cx:pt idx="7">0.73980000000000001</cx:pt>
          <cx:pt idx="8">0.6976</cx:pt>
          <cx:pt idx="9">1.3533999999999999</cx:pt>
          <cx:pt idx="10">0.88829999999999998</cx:pt>
          <cx:pt idx="11">0.86739999999999995</cx:pt>
          <cx:pt idx="12">0.77370000000000005</cx:pt>
          <cx:pt idx="13">1.129</cx:pt>
          <cx:pt idx="14">0.42070000000000002</cx:pt>
          <cx:pt idx="15">0.29320000000000002</cx:pt>
          <cx:pt idx="16">0.48430000000000001</cx:pt>
          <cx:pt idx="17">0.61319999999999997</cx:pt>
          <cx:pt idx="18">0.81520000000000004</cx:pt>
          <cx:pt idx="19">0.66549999999999998</cx:pt>
          <cx:pt idx="20">0.74539999999999995</cx:pt>
          <cx:pt idx="21">0.40799999999999997</cx:pt>
          <cx:pt idx="22">0.42149999999999999</cx:pt>
          <cx:pt idx="23">0.68620000000000003</cx:pt>
          <cx:pt idx="24">0.4451</cx:pt>
          <cx:pt idx="25">0.75009999999999999</cx:pt>
          <cx:pt idx="26">0.81889999999999996</cx:pt>
          <cx:pt idx="27">1.3343</cx:pt>
          <cx:pt idx="28">0.69010000000000005</cx:pt>
          <cx:pt idx="29">1.0184</cx:pt>
          <cx:pt idx="30">1.4965999999999999</cx:pt>
          <cx:pt idx="31">1.5466</cx:pt>
          <cx:pt idx="32">0.58130000000000004</cx:pt>
          <cx:pt idx="33">2.1457999999999999</cx:pt>
          <cx:pt idx="34">0.65359999999999996</cx:pt>
          <cx:pt idx="35">0.38090000000000002</cx:pt>
          <cx:pt idx="36">1.4305000000000001</cx:pt>
          <cx:pt idx="37">1.1892</cx:pt>
          <cx:pt idx="38">1.1422000000000001</cx:pt>
          <cx:pt idx="39">0.8589</cx:pt>
          <cx:pt idx="40">1.6548</cx:pt>
          <cx:pt idx="41">0.66459999999999997</cx:pt>
          <cx:pt idx="42">1.736</cx:pt>
          <cx:pt idx="43">0.751</cx:pt>
          <cx:pt idx="44">0.85819999999999996</cx:pt>
          <cx:pt idx="45">0.80069999999999997</cx:pt>
          <cx:pt idx="46">1.798</cx:pt>
          <cx:pt idx="47">0.64339999999999997</cx:pt>
          <cx:pt idx="48">0.8569</cx:pt>
          <cx:pt idx="49">1.3805000000000001</cx:pt>
          <cx:pt idx="50">2.9357000000000002</cx:pt>
          <cx:pt idx="51">1.2485999999999999</cx:pt>
          <cx:pt idx="52">0.92030000000000001</cx:pt>
          <cx:pt idx="53">1.4228000000000001</cx:pt>
          <cx:pt idx="54">0.82940000000000003</cx:pt>
          <cx:pt idx="55">0.86909999999999998</cx:pt>
          <cx:pt idx="56">1.5174000000000001</cx:pt>
          <cx:pt idx="57">1.6382000000000001</cx:pt>
          <cx:pt idx="58">0.77600000000000002</cx:pt>
          <cx:pt idx="59">0.61099999999999999</cx:pt>
        </cx:lvl>
      </cx:numDim>
    </cx:data>
  </cx:chartData>
  <cx:chart>
    <cx:plotArea>
      <cx:plotAreaRegion>
        <cx:series layoutId="boxWhisker" uniqueId="{4322CA09-E7A4-48E4-8F15-00AB8A7574FD}">
          <cx:tx>
            <cx:txData>
              <cx:f>'Ящик с усами PTL КРР'!$D$1</cx:f>
              <cx:v>RRL</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9"/>
            <cx:dataLabelHidden idx="20"/>
            <cx:dataLabelHidden idx="22"/>
            <cx:dataLabelHidden idx="23"/>
            <cx:dataLabelHidden idx="24"/>
            <cx:dataLabelHidden idx="44"/>
            <cx:dataLabelHidden idx="45"/>
            <cx:dataLabelHidden idx="47"/>
            <cx:dataLabelHidden idx="48"/>
            <cx:dataLabelHidden idx="49"/>
            <cx:dataLabelHidden idx="65"/>
            <cx:dataLabelHidden idx="66"/>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5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5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59.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PTL КРР'!$A$2:$A$61</cx:f>
        <cx:lvl ptCount="60">
          <cx:pt idx="0">Ободочная кишка</cx:pt>
          <cx:pt idx="1">Прямая кишка</cx:pt>
          <cx:pt idx="2">Ободочная кишка</cx:pt>
          <cx:pt idx="3">Прямая кишка</cx:pt>
          <cx:pt idx="4">Прямая кишка</cx:pt>
          <cx:pt idx="5">Сигмовидная кишка</cx:pt>
          <cx:pt idx="6">Ободочная кишка</cx:pt>
          <cx:pt idx="7">Сигмовидная кишка</cx:pt>
          <cx:pt idx="8">Ободочная кишка</cx:pt>
          <cx:pt idx="9">Прямая кишка</cx:pt>
          <cx:pt idx="10">Сигмовидная кишка</cx:pt>
          <cx:pt idx="11">Прямая кишка</cx:pt>
          <cx:pt idx="12">Прямая кишка</cx:pt>
          <cx:pt idx="13">Ободочная кишка</cx:pt>
          <cx:pt idx="14">Ободочная кишка</cx:pt>
          <cx:pt idx="15">Сигмовидная кишка</cx:pt>
          <cx:pt idx="16">Сигмовидная кишка</cx:pt>
          <cx:pt idx="17">Ободочная кишка</cx:pt>
          <cx:pt idx="18">Прямая кишка</cx:pt>
          <cx:pt idx="19">Прямая кишка</cx:pt>
          <cx:pt idx="20">Прямая кишка</cx:pt>
          <cx:pt idx="21">Сигмовидная кишка</cx:pt>
          <cx:pt idx="22">Сигмовидная кишка</cx:pt>
          <cx:pt idx="23">Прямая кишка</cx:pt>
          <cx:pt idx="24">Сигмовидная кишка</cx:pt>
          <cx:pt idx="25">Сигмовидная кишка</cx:pt>
          <cx:pt idx="26">Прямая кишка</cx:pt>
          <cx:pt idx="27">Сигмовидная кишка</cx:pt>
          <cx:pt idx="28">Ободочная кишка</cx:pt>
          <cx:pt idx="29">Ободочная кишка</cx:pt>
          <cx:pt idx="30">Прямая кишка</cx:pt>
          <cx:pt idx="31">Прямая кишка</cx:pt>
          <cx:pt idx="32">Сигмовидная кишка</cx:pt>
          <cx:pt idx="33">Сигмовидная кишка</cx:pt>
          <cx:pt idx="34">Сигмовидная кишка</cx:pt>
          <cx:pt idx="35">Сигмовидная кишка</cx:pt>
          <cx:pt idx="36">Ободочная кишка</cx:pt>
          <cx:pt idx="37">Ободочная кишка</cx:pt>
          <cx:pt idx="38">Ободочная кишка</cx:pt>
          <cx:pt idx="39">Ободочная кишка</cx:pt>
          <cx:pt idx="40">Ободочная кишка</cx:pt>
          <cx:pt idx="41">Сигмовидная кишка</cx:pt>
          <cx:pt idx="42">Прямая кишка</cx:pt>
          <cx:pt idx="43">Прямая кишка</cx:pt>
          <cx:pt idx="44">Сигмовидная кишка</cx:pt>
          <cx:pt idx="45">Прямая кишка</cx:pt>
          <cx:pt idx="46">Ободочная кишка</cx:pt>
          <cx:pt idx="47">Прямая кишка</cx:pt>
          <cx:pt idx="48">Прямая кишка</cx:pt>
          <cx:pt idx="49">Прямая кишка</cx:pt>
          <cx:pt idx="50">Сигмовидная кишка</cx:pt>
          <cx:pt idx="51">Ободочная кишка</cx:pt>
          <cx:pt idx="52">Сигмовидная кишка</cx:pt>
          <cx:pt idx="53">Ободочная кишка</cx:pt>
          <cx:pt idx="54">Сигмовидная кишка</cx:pt>
          <cx:pt idx="55">Ободочная кишка</cx:pt>
          <cx:pt idx="56">Ободочная кишка</cx:pt>
          <cx:pt idx="57">Прямая кишка</cx:pt>
          <cx:pt idx="58">Ободочная кишка</cx:pt>
          <cx:pt idx="59">Прямая кишка</cx:pt>
        </cx:lvl>
      </cx:strDim>
      <cx:numDim type="val">
        <cx:f>'Ящик с усами PTL КРР'!$E$2:$E$61</cx:f>
        <cx:lvl ptCount="60" formatCode="0,00">
          <cx:pt idx="0">1.0718000000000001</cx:pt>
          <cx:pt idx="1">0.85360000000000003</cx:pt>
          <cx:pt idx="2">1.3078000000000001</cx:pt>
          <cx:pt idx="3">0.79620000000000002</cx:pt>
          <cx:pt idx="4">0.61419999999999997</cx:pt>
          <cx:pt idx="5">1.1435</cx:pt>
          <cx:pt idx="6">1.4419999999999999</cx:pt>
          <cx:pt idx="7">1.1160000000000001</cx:pt>
          <cx:pt idx="8">0.58930000000000005</cx:pt>
          <cx:pt idx="9">0.56020000000000003</cx:pt>
          <cx:pt idx="10">0.7883</cx:pt>
          <cx:pt idx="11">0.61719999999999997</cx:pt>
          <cx:pt idx="12">0.32700000000000001</cx:pt>
          <cx:pt idx="13">0.9839</cx:pt>
          <cx:pt idx="14">0.5403</cx:pt>
          <cx:pt idx="15">0.46039999999999998</cx:pt>
          <cx:pt idx="16">0.62180000000000002</cx:pt>
          <cx:pt idx="17">0.44140000000000001</cx:pt>
          <cx:pt idx="18">0.58099999999999996</cx:pt>
          <cx:pt idx="19">0.58230000000000004</cx:pt>
          <cx:pt idx="20">0.9194</cx:pt>
          <cx:pt idx="21">0.50339999999999996</cx:pt>
          <cx:pt idx="22">0.49919999999999998</cx:pt>
          <cx:pt idx="23">0.50429999999999997</cx:pt>
          <cx:pt idx="24">0.50090000000000001</cx:pt>
          <cx:pt idx="25">0.66969999999999996</cx:pt>
          <cx:pt idx="26">0.92000000000000004</cx:pt>
          <cx:pt idx="27">0.53520000000000001</cx:pt>
          <cx:pt idx="28">0.71160000000000001</cx:pt>
          <cx:pt idx="29">0.75509999999999999</cx:pt>
          <cx:pt idx="30">2.2519</cx:pt>
          <cx:pt idx="31">1.8771</cx:pt>
          <cx:pt idx="32">0.45290000000000002</cx:pt>
          <cx:pt idx="33">1.4247000000000001</cx:pt>
          <cx:pt idx="34">0.62219999999999998</cx:pt>
          <cx:pt idx="35">0.41799999999999998</cx:pt>
          <cx:pt idx="36">1.6369</cx:pt>
          <cx:pt idx="37">1.2042999999999999</cx:pt>
          <cx:pt idx="38">1.0603</cx:pt>
          <cx:pt idx="39">0.76190000000000002</cx:pt>
          <cx:pt idx="40">1.6229</cx:pt>
          <cx:pt idx="41">0.53180000000000005</cx:pt>
          <cx:pt idx="42">1.1100000000000001</cx:pt>
          <cx:pt idx="43">0.45839999999999997</cx:pt>
          <cx:pt idx="44">0.62380000000000002</cx:pt>
          <cx:pt idx="45">0.5746</cx:pt>
          <cx:pt idx="46">1.1052</cx:pt>
          <cx:pt idx="47">0.7006</cx:pt>
          <cx:pt idx="48">1.1407</cx:pt>
          <cx:pt idx="49">0.99890000000000001</cx:pt>
          <cx:pt idx="50">1.5598000000000001</cx:pt>
          <cx:pt idx="51">0.9294</cx:pt>
          <cx:pt idx="52">0.84889999999999999</cx:pt>
          <cx:pt idx="53">1.1613</cx:pt>
          <cx:pt idx="54">0.69920000000000004</cx:pt>
          <cx:pt idx="55">1.5258</cx:pt>
          <cx:pt idx="56">1.3401000000000001</cx:pt>
          <cx:pt idx="57">1.5353000000000001</cx:pt>
          <cx:pt idx="58">0.93089999999999995</cx:pt>
          <cx:pt idx="59">0.79779999999999995</cx:pt>
        </cx:lvl>
      </cx:numDim>
    </cx:data>
  </cx:chartData>
  <cx:chart>
    <cx:plotArea>
      <cx:plotAreaRegion>
        <cx:series layoutId="boxWhisker" uniqueId="{2F0F7668-FC2D-4622-A6DE-08C409BCC60C}">
          <cx:tx>
            <cx:txData>
              <cx:f>'Ящик с усами PTL КРР'!$E$1</cx:f>
              <cx:v>RU</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9"/>
            <cx:dataLabelHidden idx="20"/>
            <cx:dataLabelHidden idx="22"/>
            <cx:dataLabelHidden idx="23"/>
            <cx:dataLabelHidden idx="24"/>
            <cx:dataLabelHidden idx="42"/>
            <cx:dataLabelHidden idx="43"/>
            <cx:dataLabelHidden idx="44"/>
            <cx:dataLabelHidden idx="45"/>
            <cx:dataLabelHidden idx="47"/>
            <cx:dataLabelHidden idx="48"/>
            <cx:dataLabelHidden idx="49"/>
            <cx:dataLabelHidden idx="65"/>
            <cx:dataLabelHidden idx="66"/>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5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5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6.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T РЯ'!$A$2:$A$54</cx:f>
        <cx:lvl ptCount="53">
          <cx:pt idx="0">T1</cx:pt>
          <cx:pt idx="1">T1</cx:pt>
          <cx:pt idx="2">T1</cx:pt>
          <cx:pt idx="3">T1</cx:pt>
          <cx:pt idx="4">T1</cx:pt>
          <cx:pt idx="5">T1</cx:pt>
          <cx:pt idx="6">T1</cx:pt>
          <cx:pt idx="7">T1</cx:pt>
          <cx:pt idx="8">T2</cx:pt>
          <cx:pt idx="9">T2</cx:pt>
          <cx:pt idx="10">T2</cx:pt>
          <cx:pt idx="11">T2</cx:pt>
          <cx:pt idx="12">T2</cx:pt>
          <cx:pt idx="13">T2</cx:pt>
          <cx:pt idx="14">T2</cx:pt>
          <cx:pt idx="15">T2</cx:pt>
          <cx:pt idx="16">T2</cx:pt>
          <cx:pt idx="17">T2</cx:pt>
          <cx:pt idx="18">T2</cx:pt>
          <cx:pt idx="19">T2</cx:pt>
          <cx:pt idx="20">T2</cx:pt>
          <cx:pt idx="21">T2</cx:pt>
          <cx:pt idx="22">T2</cx:pt>
          <cx:pt idx="23">T3</cx:pt>
          <cx:pt idx="24">T3</cx:pt>
          <cx:pt idx="25">T3</cx:pt>
          <cx:pt idx="26">T3</cx:pt>
          <cx:pt idx="27">T3</cx:pt>
          <cx:pt idx="28">T3</cx:pt>
          <cx:pt idx="29">T3</cx:pt>
          <cx:pt idx="30">T3</cx:pt>
          <cx:pt idx="31">T3</cx:pt>
          <cx:pt idx="32">T3</cx:pt>
          <cx:pt idx="33">T3</cx:pt>
          <cx:pt idx="34">T3</cx:pt>
          <cx:pt idx="35">T3</cx:pt>
          <cx:pt idx="36">T3</cx:pt>
          <cx:pt idx="37">T3</cx:pt>
          <cx:pt idx="38">T3</cx:pt>
          <cx:pt idx="39">T3</cx:pt>
          <cx:pt idx="40">T3</cx:pt>
          <cx:pt idx="41">T3</cx:pt>
          <cx:pt idx="42">T3</cx:pt>
          <cx:pt idx="43">T3</cx:pt>
          <cx:pt idx="44">T3</cx:pt>
          <cx:pt idx="45">T3</cx:pt>
          <cx:pt idx="46">T3</cx:pt>
          <cx:pt idx="47">T3</cx:pt>
          <cx:pt idx="48">T3</cx:pt>
          <cx:pt idx="49">T3</cx:pt>
          <cx:pt idx="50">T3</cx:pt>
          <cx:pt idx="51">T4</cx:pt>
          <cx:pt idx="52">T4</cx:pt>
        </cx:lvl>
      </cx:strDim>
      <cx:numDim type="val">
        <cx:f>'Ящик с усами T РЯ'!$F$2:$F$54</cx:f>
        <cx:lvl ptCount="53" formatCode="0,00">
          <cx:pt idx="0">0.75</cx:pt>
          <cx:pt idx="1">0.56999999999999995</cx:pt>
          <cx:pt idx="2">0.58999999999999997</cx:pt>
          <cx:pt idx="3">0.5</cx:pt>
          <cx:pt idx="4">1</cx:pt>
          <cx:pt idx="5">1.01</cx:pt>
          <cx:pt idx="6">1.54</cx:pt>
          <cx:pt idx="7">1.3799999999999999</cx:pt>
          <cx:pt idx="8">0.85999999999999999</cx:pt>
          <cx:pt idx="9">0.83999999999999997</cx:pt>
          <cx:pt idx="10">0.87</cx:pt>
          <cx:pt idx="11">0.57999999999999996</cx:pt>
          <cx:pt idx="12">1.01</cx:pt>
          <cx:pt idx="13">0.81000000000000005</cx:pt>
          <cx:pt idx="14">0.96999999999999997</cx:pt>
          <cx:pt idx="15">0.89000000000000001</cx:pt>
          <cx:pt idx="16">1.4199999999999999</cx:pt>
          <cx:pt idx="17">0.68000000000000005</cx:pt>
          <cx:pt idx="18">2.4199999999999999</cx:pt>
          <cx:pt idx="19">0.51000000000000001</cx:pt>
          <cx:pt idx="20">1.1299999999999999</cx:pt>
          <cx:pt idx="21">3.3199999999999998</cx:pt>
          <cx:pt idx="22">0.73999999999999999</cx:pt>
          <cx:pt idx="23">1.1499999999999999</cx:pt>
          <cx:pt idx="24">0.68999999999999995</cx:pt>
          <cx:pt idx="25">1</cx:pt>
          <cx:pt idx="26">1.04</cx:pt>
          <cx:pt idx="27">0.77000000000000002</cx:pt>
          <cx:pt idx="28">0.93999999999999995</cx:pt>
          <cx:pt idx="29">0.68999999999999995</cx:pt>
          <cx:pt idx="30">0.76000000000000001</cx:pt>
          <cx:pt idx="31">0.79000000000000004</cx:pt>
          <cx:pt idx="32">0.54000000000000004</cx:pt>
          <cx:pt idx="33">1.6899999999999999</cx:pt>
          <cx:pt idx="34">0.53000000000000003</cx:pt>
          <cx:pt idx="35">0.68000000000000005</cx:pt>
          <cx:pt idx="36">1.01</cx:pt>
          <cx:pt idx="37">1.04</cx:pt>
          <cx:pt idx="38">1.52</cx:pt>
          <cx:pt idx="39">2.0800000000000001</cx:pt>
          <cx:pt idx="40">1.3500000000000001</cx:pt>
          <cx:pt idx="41">0.60999999999999999</cx:pt>
          <cx:pt idx="42">0.80000000000000004</cx:pt>
          <cx:pt idx="43">1.4299999999999999</cx:pt>
          <cx:pt idx="44">1.1899999999999999</cx:pt>
          <cx:pt idx="45">0.97999999999999998</cx:pt>
          <cx:pt idx="46">0.92000000000000004</cx:pt>
          <cx:pt idx="47">1.0700000000000001</cx:pt>
          <cx:pt idx="48">1.0600000000000001</cx:pt>
          <cx:pt idx="49">2.6000000000000001</cx:pt>
          <cx:pt idx="50">0.48999999999999999</cx:pt>
          <cx:pt idx="51">0.91000000000000003</cx:pt>
          <cx:pt idx="52">1.6000000000000001</cx:pt>
        </cx:lvl>
      </cx:numDim>
    </cx:data>
  </cx:chartData>
  <cx:chart>
    <cx:plotArea>
      <cx:plotAreaRegion>
        <cx:series layoutId="boxWhisker" uniqueId="{5971D0EF-F871-4B84-B0DD-3A6DA3A268E5}">
          <cx:tx>
            <cx:txData>
              <cx:f>'Ящик с усами T РЯ'!$F$1</cx:f>
              <cx:v>RLL</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7"/>
            <cx:dataLabelHidden idx="8"/>
            <cx:dataLabelHidden idx="10"/>
            <cx:dataLabelHidden idx="11"/>
            <cx:dataLabelHidden idx="12"/>
            <cx:dataLabelHidden idx="24"/>
            <cx:dataLabelHidden idx="25"/>
            <cx:dataLabelHidden idx="26"/>
            <cx:dataLabelHidden idx="27"/>
            <cx:dataLabelHidden idx="29"/>
            <cx:dataLabelHidden idx="30"/>
            <cx:dataLabelHidden idx="31"/>
            <cx:dataLabelHidden idx="56"/>
            <cx:dataLabelHidden idx="57"/>
            <cx:dataLabelHidden idx="58"/>
            <cx:dataLabelHidden idx="59"/>
            <cx:dataLabelHidden idx="61"/>
            <cx:dataLabelHidden idx="62"/>
            <cx:dataLabelHidden idx="63"/>
            <cx:dataLabelHidden idx="64"/>
            <cx:dataLabelHidden idx="65"/>
            <cx:dataLabelHidden idx="67"/>
            <cx:dataLabelHidden idx="68"/>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60.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PTL КРР'!$A$2:$A$61</cx:f>
        <cx:lvl ptCount="60">
          <cx:pt idx="0">Ободочная кишка</cx:pt>
          <cx:pt idx="1">Прямая кишка</cx:pt>
          <cx:pt idx="2">Ободочная кишка</cx:pt>
          <cx:pt idx="3">Прямая кишка</cx:pt>
          <cx:pt idx="4">Прямая кишка</cx:pt>
          <cx:pt idx="5">Сигмовидная кишка</cx:pt>
          <cx:pt idx="6">Ободочная кишка</cx:pt>
          <cx:pt idx="7">Сигмовидная кишка</cx:pt>
          <cx:pt idx="8">Ободочная кишка</cx:pt>
          <cx:pt idx="9">Прямая кишка</cx:pt>
          <cx:pt idx="10">Сигмовидная кишка</cx:pt>
          <cx:pt idx="11">Прямая кишка</cx:pt>
          <cx:pt idx="12">Прямая кишка</cx:pt>
          <cx:pt idx="13">Ободочная кишка</cx:pt>
          <cx:pt idx="14">Ободочная кишка</cx:pt>
          <cx:pt idx="15">Сигмовидная кишка</cx:pt>
          <cx:pt idx="16">Сигмовидная кишка</cx:pt>
          <cx:pt idx="17">Ободочная кишка</cx:pt>
          <cx:pt idx="18">Прямая кишка</cx:pt>
          <cx:pt idx="19">Прямая кишка</cx:pt>
          <cx:pt idx="20">Прямая кишка</cx:pt>
          <cx:pt idx="21">Сигмовидная кишка</cx:pt>
          <cx:pt idx="22">Сигмовидная кишка</cx:pt>
          <cx:pt idx="23">Прямая кишка</cx:pt>
          <cx:pt idx="24">Сигмовидная кишка</cx:pt>
          <cx:pt idx="25">Сигмовидная кишка</cx:pt>
          <cx:pt idx="26">Прямая кишка</cx:pt>
          <cx:pt idx="27">Сигмовидная кишка</cx:pt>
          <cx:pt idx="28">Ободочная кишка</cx:pt>
          <cx:pt idx="29">Ободочная кишка</cx:pt>
          <cx:pt idx="30">Прямая кишка</cx:pt>
          <cx:pt idx="31">Прямая кишка</cx:pt>
          <cx:pt idx="32">Сигмовидная кишка</cx:pt>
          <cx:pt idx="33">Сигмовидная кишка</cx:pt>
          <cx:pt idx="34">Сигмовидная кишка</cx:pt>
          <cx:pt idx="35">Сигмовидная кишка</cx:pt>
          <cx:pt idx="36">Ободочная кишка</cx:pt>
          <cx:pt idx="37">Ободочная кишка</cx:pt>
          <cx:pt idx="38">Ободочная кишка</cx:pt>
          <cx:pt idx="39">Ободочная кишка</cx:pt>
          <cx:pt idx="40">Ободочная кишка</cx:pt>
          <cx:pt idx="41">Сигмовидная кишка</cx:pt>
          <cx:pt idx="42">Прямая кишка</cx:pt>
          <cx:pt idx="43">Прямая кишка</cx:pt>
          <cx:pt idx="44">Сигмовидная кишка</cx:pt>
          <cx:pt idx="45">Прямая кишка</cx:pt>
          <cx:pt idx="46">Ободочная кишка</cx:pt>
          <cx:pt idx="47">Прямая кишка</cx:pt>
          <cx:pt idx="48">Прямая кишка</cx:pt>
          <cx:pt idx="49">Прямая кишка</cx:pt>
          <cx:pt idx="50">Сигмовидная кишка</cx:pt>
          <cx:pt idx="51">Ободочная кишка</cx:pt>
          <cx:pt idx="52">Сигмовидная кишка</cx:pt>
          <cx:pt idx="53">Ободочная кишка</cx:pt>
          <cx:pt idx="54">Сигмовидная кишка</cx:pt>
          <cx:pt idx="55">Ободочная кишка</cx:pt>
          <cx:pt idx="56">Ободочная кишка</cx:pt>
          <cx:pt idx="57">Прямая кишка</cx:pt>
          <cx:pt idx="58">Ободочная кишка</cx:pt>
          <cx:pt idx="59">Прямая кишка</cx:pt>
        </cx:lvl>
      </cx:strDim>
      <cx:numDim type="val">
        <cx:f>'Ящик с усами PTL КРР'!$F$2:$F$61</cx:f>
        <cx:lvl ptCount="60" formatCode="0,00">
          <cx:pt idx="0">1.2702</cx:pt>
          <cx:pt idx="1">1.0275000000000001</cx:pt>
          <cx:pt idx="2">0.67290000000000005</cx:pt>
          <cx:pt idx="3">1.1175999999999999</cx:pt>
          <cx:pt idx="4">0.78820000000000001</cx:pt>
          <cx:pt idx="5">0.95530000000000004</cx:pt>
          <cx:pt idx="6">1.5286</cx:pt>
          <cx:pt idx="7">0.8669</cx:pt>
          <cx:pt idx="8">0.64480000000000004</cx:pt>
          <cx:pt idx="9">0.78390000000000004</cx:pt>
          <cx:pt idx="10">1.1021000000000001</cx:pt>
          <cx:pt idx="11">1.0688</cx:pt>
          <cx:pt idx="12">0.95820000000000005</cx:pt>
          <cx:pt idx="13">0.76160000000000005</cx:pt>
          <cx:pt idx="14">0.60909999999999997</cx:pt>
          <cx:pt idx="15">0.28570000000000001</cx:pt>
          <cx:pt idx="16">0.50590000000000002</cx:pt>
          <cx:pt idx="17">0.38290000000000002</cx:pt>
          <cx:pt idx="18">0.61040000000000005</cx:pt>
          <cx:pt idx="19">0.78900000000000003</cx:pt>
          <cx:pt idx="20">0.85799999999999998</cx:pt>
          <cx:pt idx="21">0.1153</cx:pt>
          <cx:pt idx="22">0.5655</cx:pt>
          <cx:pt idx="23">0.6855</cx:pt>
          <cx:pt idx="24">0.59099999999999997</cx:pt>
          <cx:pt idx="25">0.90800000000000003</cx:pt>
          <cx:pt idx="26">0.93159999999999998</cx:pt>
          <cx:pt idx="27">0.66900000000000004</cx:pt>
          <cx:pt idx="28">0.8115</cx:pt>
          <cx:pt idx="29">1.0942000000000001</cx:pt>
          <cx:pt idx="30">0.94620000000000004</cx:pt>
          <cx:pt idx="31">2.2650000000000001</cx:pt>
          <cx:pt idx="32">0.4617</cx:pt>
          <cx:pt idx="33">1.4926999999999999</cx:pt>
          <cx:pt idx="34">0.77680000000000005</cx:pt>
          <cx:pt idx="35">0.44419999999999998</cx:pt>
          <cx:pt idx="36">0.93689999999999996</cx:pt>
          <cx:pt idx="37">1.6556999999999999</cx:pt>
          <cx:pt idx="38">0.87970000000000004</cx:pt>
          <cx:pt idx="39">0.59360000000000002</cx:pt>
          <cx:pt idx="40">1.6148</cx:pt>
          <cx:pt idx="41">0.38800000000000001</cx:pt>
          <cx:pt idx="42">1.4387000000000001</cx:pt>
          <cx:pt idx="43">0.34599999999999997</cx:pt>
          <cx:pt idx="44">0.8538</cx:pt>
          <cx:pt idx="45">0.72240000000000004</cx:pt>
          <cx:pt idx="46">1.2293000000000001</cx:pt>
          <cx:pt idx="47">0.53090000000000004</cx:pt>
          <cx:pt idx="48">1.1879</cx:pt>
          <cx:pt idx="49">1.0149999999999999</cx:pt>
          <cx:pt idx="50">1.0646</cx:pt>
          <cx:pt idx="51">1.1423000000000001</cx:pt>
          <cx:pt idx="52">0.78779999999999994</cx:pt>
          <cx:pt idx="53">1.4469000000000001</cx:pt>
          <cx:pt idx="54">0.97929999999999995</cx:pt>
          <cx:pt idx="55">0.9244</cx:pt>
          <cx:pt idx="56">0.76219999999999999</cx:pt>
          <cx:pt idx="57">1.3353999999999999</cx:pt>
          <cx:pt idx="58">0.92610000000000003</cx:pt>
          <cx:pt idx="59">0.62490000000000001</cx:pt>
        </cx:lvl>
      </cx:numDim>
    </cx:data>
  </cx:chartData>
  <cx:chart>
    <cx:plotArea>
      <cx:plotAreaRegion>
        <cx:series layoutId="boxWhisker" uniqueId="{0FAD7FF3-11F2-4484-AFD3-93E79BBA6EDE}">
          <cx:tx>
            <cx:txData>
              <cx:f>'Ящик с усами PTL КРР'!$F$1</cx:f>
              <cx:v>RLL</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9"/>
            <cx:dataLabelHidden idx="20"/>
            <cx:dataLabelHidden idx="22"/>
            <cx:dataLabelHidden idx="23"/>
            <cx:dataLabelHidden idx="24"/>
            <cx:dataLabelHidden idx="43"/>
            <cx:dataLabelHidden idx="44"/>
            <cx:dataLabelHidden idx="45"/>
            <cx:dataLabelHidden idx="47"/>
            <cx:dataLabelHidden idx="48"/>
            <cx:dataLabelHidden idx="49"/>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5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5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6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PTL КРР'!$A$2:$A$61</cx:f>
        <cx:lvl ptCount="60">
          <cx:pt idx="0">Ободочная кишка</cx:pt>
          <cx:pt idx="1">Прямая кишка</cx:pt>
          <cx:pt idx="2">Ободочная кишка</cx:pt>
          <cx:pt idx="3">Прямая кишка</cx:pt>
          <cx:pt idx="4">Прямая кишка</cx:pt>
          <cx:pt idx="5">Сигмовидная кишка</cx:pt>
          <cx:pt idx="6">Ободочная кишка</cx:pt>
          <cx:pt idx="7">Сигмовидная кишка</cx:pt>
          <cx:pt idx="8">Ободочная кишка</cx:pt>
          <cx:pt idx="9">Прямая кишка</cx:pt>
          <cx:pt idx="10">Сигмовидная кишка</cx:pt>
          <cx:pt idx="11">Прямая кишка</cx:pt>
          <cx:pt idx="12">Прямая кишка</cx:pt>
          <cx:pt idx="13">Ободочная кишка</cx:pt>
          <cx:pt idx="14">Ободочная кишка</cx:pt>
          <cx:pt idx="15">Сигмовидная кишка</cx:pt>
          <cx:pt idx="16">Сигмовидная кишка</cx:pt>
          <cx:pt idx="17">Ободочная кишка</cx:pt>
          <cx:pt idx="18">Прямая кишка</cx:pt>
          <cx:pt idx="19">Прямая кишка</cx:pt>
          <cx:pt idx="20">Прямая кишка</cx:pt>
          <cx:pt idx="21">Сигмовидная кишка</cx:pt>
          <cx:pt idx="22">Сигмовидная кишка</cx:pt>
          <cx:pt idx="23">Прямая кишка</cx:pt>
          <cx:pt idx="24">Сигмовидная кишка</cx:pt>
          <cx:pt idx="25">Сигмовидная кишка</cx:pt>
          <cx:pt idx="26">Прямая кишка</cx:pt>
          <cx:pt idx="27">Сигмовидная кишка</cx:pt>
          <cx:pt idx="28">Ободочная кишка</cx:pt>
          <cx:pt idx="29">Ободочная кишка</cx:pt>
          <cx:pt idx="30">Прямая кишка</cx:pt>
          <cx:pt idx="31">Прямая кишка</cx:pt>
          <cx:pt idx="32">Сигмовидная кишка</cx:pt>
          <cx:pt idx="33">Сигмовидная кишка</cx:pt>
          <cx:pt idx="34">Сигмовидная кишка</cx:pt>
          <cx:pt idx="35">Сигмовидная кишка</cx:pt>
          <cx:pt idx="36">Ободочная кишка</cx:pt>
          <cx:pt idx="37">Ободочная кишка</cx:pt>
          <cx:pt idx="38">Ободочная кишка</cx:pt>
          <cx:pt idx="39">Ободочная кишка</cx:pt>
          <cx:pt idx="40">Ободочная кишка</cx:pt>
          <cx:pt idx="41">Сигмовидная кишка</cx:pt>
          <cx:pt idx="42">Прямая кишка</cx:pt>
          <cx:pt idx="43">Прямая кишка</cx:pt>
          <cx:pt idx="44">Сигмовидная кишка</cx:pt>
          <cx:pt idx="45">Прямая кишка</cx:pt>
          <cx:pt idx="46">Ободочная кишка</cx:pt>
          <cx:pt idx="47">Прямая кишка</cx:pt>
          <cx:pt idx="48">Прямая кишка</cx:pt>
          <cx:pt idx="49">Прямая кишка</cx:pt>
          <cx:pt idx="50">Сигмовидная кишка</cx:pt>
          <cx:pt idx="51">Ободочная кишка</cx:pt>
          <cx:pt idx="52">Сигмовидная кишка</cx:pt>
          <cx:pt idx="53">Ободочная кишка</cx:pt>
          <cx:pt idx="54">Сигмовидная кишка</cx:pt>
          <cx:pt idx="55">Ободочная кишка</cx:pt>
          <cx:pt idx="56">Ободочная кишка</cx:pt>
          <cx:pt idx="57">Прямая кишка</cx:pt>
          <cx:pt idx="58">Ободочная кишка</cx:pt>
          <cx:pt idx="59">Прямая кишка</cx:pt>
        </cx:lvl>
      </cx:strDim>
      <cx:numDim type="val">
        <cx:f>'Ящик с усами PTL КРР'!$G$2:$G$61</cx:f>
        <cx:lvl ptCount="60" formatCode="0,00">
          <cx:pt idx="0">1.3323</cx:pt>
          <cx:pt idx="1">1.0057</cx:pt>
          <cx:pt idx="2">1.0667</cx:pt>
          <cx:pt idx="3">1.5214000000000001</cx:pt>
          <cx:pt idx="4">1.0752999999999999</cx:pt>
          <cx:pt idx="5">1.2581</cx:pt>
          <cx:pt idx="6">0.9093</cx:pt>
          <cx:pt idx="7">1.0225</cx:pt>
          <cx:pt idx="8">0.97440000000000004</cx:pt>
          <cx:pt idx="9">0.79200000000000004</cx:pt>
          <cx:pt idx="10">1.0212000000000001</cx:pt>
          <cx:pt idx="11">1.0179</cx:pt>
          <cx:pt idx="12">0.76639999999999997</cx:pt>
          <cx:pt idx="13">0.96640000000000004</cx:pt>
          <cx:pt idx="14">0.51139999999999997</cx:pt>
          <cx:pt idx="15">0.38940000000000002</cx:pt>
          <cx:pt idx="16">0.54649999999999999</cx:pt>
          <cx:pt idx="17">0.44090000000000001</cx:pt>
          <cx:pt idx="18">0.52869999999999995</cx:pt>
          <cx:pt idx="19">0.5786</cx:pt>
          <cx:pt idx="20">1.0146999999999999</cx:pt>
          <cx:pt idx="21">0.26400000000000001</cx:pt>
          <cx:pt idx="22">0.51929999999999998</cx:pt>
          <cx:pt idx="23">0.72970000000000002</cx:pt>
          <cx:pt idx="24">0.68969999999999998</cx:pt>
          <cx:pt idx="25">0.51759999999999995</cx:pt>
          <cx:pt idx="26">0.8397</cx:pt>
          <cx:pt idx="27">0.66810000000000003</cx:pt>
          <cx:pt idx="28">1.1648000000000001</cx:pt>
          <cx:pt idx="29">0.55669999999999997</cx:pt>
          <cx:pt idx="30">0.7863</cx:pt>
          <cx:pt idx="31">1.4702</cx:pt>
          <cx:pt idx="32">0.63759999999999994</cx:pt>
          <cx:pt idx="33">1.1778</cx:pt>
          <cx:pt idx="34">0.58360000000000001</cx:pt>
          <cx:pt idx="35">0.58889999999999998</cx:pt>
          <cx:pt idx="36">0.70120000000000005</cx:pt>
          <cx:pt idx="37">1.1412</cx:pt>
          <cx:pt idx="38">0.56410000000000005</cx:pt>
          <cx:pt idx="39">0.70689999999999997</cx:pt>
          <cx:pt idx="40">1.0529999999999999</cx:pt>
          <cx:pt idx="41">0.50939999999999996</cx:pt>
          <cx:pt idx="42">0.68799999999999994</cx:pt>
          <cx:pt idx="43">0.41070000000000001</cx:pt>
          <cx:pt idx="44">0.51900000000000002</cx:pt>
          <cx:pt idx="45">0.3463</cx:pt>
          <cx:pt idx="46">0.92610000000000003</cx:pt>
          <cx:pt idx="47">0.49049999999999999</cx:pt>
          <cx:pt idx="48">0.73499999999999999</cx:pt>
          <cx:pt idx="49">1.1698</cx:pt>
          <cx:pt idx="50">1.6856</cx:pt>
          <cx:pt idx="51">0.54830000000000001</cx:pt>
          <cx:pt idx="52">0.4335</cx:pt>
          <cx:pt idx="53">1.3482000000000001</cx:pt>
          <cx:pt idx="54">0.52959999999999996</cx:pt>
          <cx:pt idx="55">0.72460000000000002</cx:pt>
          <cx:pt idx="56">1.2285999999999999</cx:pt>
          <cx:pt idx="57">1.097</cx:pt>
          <cx:pt idx="58">0.66979999999999995</cx:pt>
          <cx:pt idx="59">0.77859999999999996</cx:pt>
        </cx:lvl>
      </cx:numDim>
    </cx:data>
  </cx:chartData>
  <cx:chart>
    <cx:plotArea>
      <cx:plotAreaRegion>
        <cx:series layoutId="boxWhisker" uniqueId="{3954868E-43A9-4B14-BD48-4BECE74A325A}">
          <cx:tx>
            <cx:txData>
              <cx:f>'Ящик с усами PTL КРР'!$G$1</cx:f>
              <cx:v>RRI</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9"/>
            <cx:dataLabelHidden idx="20"/>
            <cx:dataLabelHidden idx="22"/>
            <cx:dataLabelHidden idx="23"/>
            <cx:dataLabelHidden idx="24"/>
            <cx:dataLabelHidden idx="44"/>
            <cx:dataLabelHidden idx="45"/>
            <cx:dataLabelHidden idx="47"/>
            <cx:dataLabelHidden idx="48"/>
            <cx:dataLabelHidden idx="49"/>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5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5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62.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PTL КРР'!$A$2:$A$61</cx:f>
        <cx:lvl ptCount="60">
          <cx:pt idx="0">Ободочная кишка</cx:pt>
          <cx:pt idx="1">Прямая кишка</cx:pt>
          <cx:pt idx="2">Ободочная кишка</cx:pt>
          <cx:pt idx="3">Прямая кишка</cx:pt>
          <cx:pt idx="4">Прямая кишка</cx:pt>
          <cx:pt idx="5">Сигмовидная кишка</cx:pt>
          <cx:pt idx="6">Ободочная кишка</cx:pt>
          <cx:pt idx="7">Сигмовидная кишка</cx:pt>
          <cx:pt idx="8">Ободочная кишка</cx:pt>
          <cx:pt idx="9">Прямая кишка</cx:pt>
          <cx:pt idx="10">Сигмовидная кишка</cx:pt>
          <cx:pt idx="11">Прямая кишка</cx:pt>
          <cx:pt idx="12">Прямая кишка</cx:pt>
          <cx:pt idx="13">Ободочная кишка</cx:pt>
          <cx:pt idx="14">Ободочная кишка</cx:pt>
          <cx:pt idx="15">Сигмовидная кишка</cx:pt>
          <cx:pt idx="16">Сигмовидная кишка</cx:pt>
          <cx:pt idx="17">Ободочная кишка</cx:pt>
          <cx:pt idx="18">Прямая кишка</cx:pt>
          <cx:pt idx="19">Прямая кишка</cx:pt>
          <cx:pt idx="20">Прямая кишка</cx:pt>
          <cx:pt idx="21">Сигмовидная кишка</cx:pt>
          <cx:pt idx="22">Сигмовидная кишка</cx:pt>
          <cx:pt idx="23">Прямая кишка</cx:pt>
          <cx:pt idx="24">Сигмовидная кишка</cx:pt>
          <cx:pt idx="25">Сигмовидная кишка</cx:pt>
          <cx:pt idx="26">Прямая кишка</cx:pt>
          <cx:pt idx="27">Сигмовидная кишка</cx:pt>
          <cx:pt idx="28">Ободочная кишка</cx:pt>
          <cx:pt idx="29">Ободочная кишка</cx:pt>
          <cx:pt idx="30">Прямая кишка</cx:pt>
          <cx:pt idx="31">Прямая кишка</cx:pt>
          <cx:pt idx="32">Сигмовидная кишка</cx:pt>
          <cx:pt idx="33">Сигмовидная кишка</cx:pt>
          <cx:pt idx="34">Сигмовидная кишка</cx:pt>
          <cx:pt idx="35">Сигмовидная кишка</cx:pt>
          <cx:pt idx="36">Ободочная кишка</cx:pt>
          <cx:pt idx="37">Ободочная кишка</cx:pt>
          <cx:pt idx="38">Ободочная кишка</cx:pt>
          <cx:pt idx="39">Ободочная кишка</cx:pt>
          <cx:pt idx="40">Ободочная кишка</cx:pt>
          <cx:pt idx="41">Сигмовидная кишка</cx:pt>
          <cx:pt idx="42">Прямая кишка</cx:pt>
          <cx:pt idx="43">Прямая кишка</cx:pt>
          <cx:pt idx="44">Сигмовидная кишка</cx:pt>
          <cx:pt idx="45">Прямая кишка</cx:pt>
          <cx:pt idx="46">Ободочная кишка</cx:pt>
          <cx:pt idx="47">Прямая кишка</cx:pt>
          <cx:pt idx="48">Прямая кишка</cx:pt>
          <cx:pt idx="49">Прямая кишка</cx:pt>
          <cx:pt idx="50">Сигмовидная кишка</cx:pt>
          <cx:pt idx="51">Ободочная кишка</cx:pt>
          <cx:pt idx="52">Сигмовидная кишка</cx:pt>
          <cx:pt idx="53">Ободочная кишка</cx:pt>
          <cx:pt idx="54">Сигмовидная кишка</cx:pt>
          <cx:pt idx="55">Ободочная кишка</cx:pt>
          <cx:pt idx="56">Ободочная кишка</cx:pt>
          <cx:pt idx="57">Прямая кишка</cx:pt>
          <cx:pt idx="58">Ободочная кишка</cx:pt>
          <cx:pt idx="59">Прямая кишка</cx:pt>
        </cx:lvl>
      </cx:strDim>
      <cx:numDim type="val">
        <cx:f>'Ящик с усами PTL КРР'!$H$2:$H$61</cx:f>
        <cx:lvl ptCount="60" formatCode="0,00">
          <cx:pt idx="0">0.90720000000000001</cx:pt>
          <cx:pt idx="1">0.82799999999999996</cx:pt>
          <cx:pt idx="2">1.0501</cx:pt>
          <cx:pt idx="3">0.86299999999999999</cx:pt>
          <cx:pt idx="4">1.2715000000000001</cx:pt>
          <cx:pt idx="5">1.121</cx:pt>
          <cx:pt idx="6">1.5311999999999999</cx:pt>
          <cx:pt idx="7">1.0337000000000001</cx:pt>
          <cx:pt idx="8">1.0737000000000001</cx:pt>
          <cx:pt idx="9">0.63839999999999997</cx:pt>
          <cx:pt idx="10">1.4131</cx:pt>
          <cx:pt idx="11">1.4077999999999999</cx:pt>
          <cx:pt idx="12">0.60829999999999995</cx:pt>
          <cx:pt idx="13">0.95399999999999996</cx:pt>
          <cx:pt idx="14">0.55710000000000004</cx:pt>
          <cx:pt idx="15">0.50719999999999998</cx:pt>
          <cx:pt idx="16">0.81489999999999996</cx:pt>
          <cx:pt idx="17">0.53190000000000004</cx:pt>
          <cx:pt idx="18">0.80289999999999995</cx:pt>
          <cx:pt idx="19">0.84089999999999998</cx:pt>
          <cx:pt idx="20">0.9234</cx:pt>
          <cx:pt idx="21">0.3649</cx:pt>
          <cx:pt idx="22">0.59919999999999995</cx:pt>
          <cx:pt idx="23">0.58450000000000002</cx:pt>
          <cx:pt idx="24">0.72899999999999998</cx:pt>
          <cx:pt idx="25">0.51080000000000003</cx:pt>
          <cx:pt idx="26">0.91569999999999996</cx:pt>
          <cx:pt idx="27">0.52200000000000002</cx:pt>
          <cx:pt idx="28">0.92279999999999995</cx:pt>
          <cx:pt idx="29">0.88470000000000004</cx:pt>
          <cx:pt idx="30">1.1920999999999999</cx:pt>
          <cx:pt idx="31">3.903</cx:pt>
          <cx:pt idx="32">0.61699999999999999</cx:pt>
          <cx:pt idx="33">1.2392000000000001</cx:pt>
          <cx:pt idx="34">0.81859999999999999</cx:pt>
          <cx:pt idx="35">0.59509999999999996</cx:pt>
          <cx:pt idx="36">1.2827999999999999</cx:pt>
          <cx:pt idx="37">1.1893</cx:pt>
          <cx:pt idx="38">1.1037999999999999</cx:pt>
          <cx:pt idx="39">0.74339999999999995</cx:pt>
          <cx:pt idx="40">0.95289999999999997</cx:pt>
          <cx:pt idx="41">0.53869999999999996</cx:pt>
          <cx:pt idx="42">1.1963999999999999</cx:pt>
          <cx:pt idx="43">0.69799999999999995</cx:pt>
          <cx:pt idx="44">0.75</cx:pt>
          <cx:pt idx="45">0.46939999999999998</cx:pt>
          <cx:pt idx="46">0.86680000000000001</cx:pt>
          <cx:pt idx="47">0.65539999999999998</cx:pt>
          <cx:pt idx="48">0.84889999999999999</cx:pt>
          <cx:pt idx="49">1.3254999999999999</cx:pt>
          <cx:pt idx="50">1.6477999999999999</cx:pt>
          <cx:pt idx="51">0.74070000000000003</cx:pt>
          <cx:pt idx="52">0.81100000000000005</cx:pt>
          <cx:pt idx="53">1.4662999999999999</cx:pt>
          <cx:pt idx="54">0.89139999999999997</cx:pt>
          <cx:pt idx="55">1.5969</cx:pt>
          <cx:pt idx="56">1.355</cx:pt>
          <cx:pt idx="57">1.7184999999999999</cx:pt>
          <cx:pt idx="58">0.95689999999999997</cx:pt>
          <cx:pt idx="59">1.2072000000000001</cx:pt>
        </cx:lvl>
      </cx:numDim>
    </cx:data>
  </cx:chartData>
  <cx:chart>
    <cx:plotArea>
      <cx:plotAreaRegion>
        <cx:series layoutId="boxWhisker" uniqueId="{2AF0CF72-B74E-441C-96F0-D2BF7E748A05}">
          <cx:tx>
            <cx:txData>
              <cx:f>'Ящик с усами PTL КРР'!$H$1</cx:f>
              <cx:v>RP</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9"/>
            <cx:dataLabelHidden idx="20"/>
            <cx:dataLabelHidden idx="22"/>
            <cx:dataLabelHidden idx="23"/>
            <cx:dataLabelHidden idx="24"/>
            <cx:dataLabelHidden idx="43"/>
            <cx:dataLabelHidden idx="44"/>
            <cx:dataLabelHidden idx="45"/>
            <cx:dataLabelHidden idx="47"/>
            <cx:dataLabelHidden idx="48"/>
            <cx:dataLabelHidden idx="49"/>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5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5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63.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PTL КРР'!$A$2:$A$61</cx:f>
        <cx:lvl ptCount="60">
          <cx:pt idx="0">Ободочная кишка</cx:pt>
          <cx:pt idx="1">Прямая кишка</cx:pt>
          <cx:pt idx="2">Ободочная кишка</cx:pt>
          <cx:pt idx="3">Прямая кишка</cx:pt>
          <cx:pt idx="4">Прямая кишка</cx:pt>
          <cx:pt idx="5">Сигмовидная кишка</cx:pt>
          <cx:pt idx="6">Ободочная кишка</cx:pt>
          <cx:pt idx="7">Сигмовидная кишка</cx:pt>
          <cx:pt idx="8">Ободочная кишка</cx:pt>
          <cx:pt idx="9">Прямая кишка</cx:pt>
          <cx:pt idx="10">Сигмовидная кишка</cx:pt>
          <cx:pt idx="11">Прямая кишка</cx:pt>
          <cx:pt idx="12">Прямая кишка</cx:pt>
          <cx:pt idx="13">Ободочная кишка</cx:pt>
          <cx:pt idx="14">Ободочная кишка</cx:pt>
          <cx:pt idx="15">Сигмовидная кишка</cx:pt>
          <cx:pt idx="16">Сигмовидная кишка</cx:pt>
          <cx:pt idx="17">Ободочная кишка</cx:pt>
          <cx:pt idx="18">Прямая кишка</cx:pt>
          <cx:pt idx="19">Прямая кишка</cx:pt>
          <cx:pt idx="20">Прямая кишка</cx:pt>
          <cx:pt idx="21">Сигмовидная кишка</cx:pt>
          <cx:pt idx="22">Сигмовидная кишка</cx:pt>
          <cx:pt idx="23">Прямая кишка</cx:pt>
          <cx:pt idx="24">Сигмовидная кишка</cx:pt>
          <cx:pt idx="25">Сигмовидная кишка</cx:pt>
          <cx:pt idx="26">Прямая кишка</cx:pt>
          <cx:pt idx="27">Сигмовидная кишка</cx:pt>
          <cx:pt idx="28">Ободочная кишка</cx:pt>
          <cx:pt idx="29">Ободочная кишка</cx:pt>
          <cx:pt idx="30">Прямая кишка</cx:pt>
          <cx:pt idx="31">Прямая кишка</cx:pt>
          <cx:pt idx="32">Сигмовидная кишка</cx:pt>
          <cx:pt idx="33">Сигмовидная кишка</cx:pt>
          <cx:pt idx="34">Сигмовидная кишка</cx:pt>
          <cx:pt idx="35">Сигмовидная кишка</cx:pt>
          <cx:pt idx="36">Ободочная кишка</cx:pt>
          <cx:pt idx="37">Ободочная кишка</cx:pt>
          <cx:pt idx="38">Ободочная кишка</cx:pt>
          <cx:pt idx="39">Ободочная кишка</cx:pt>
          <cx:pt idx="40">Ободочная кишка</cx:pt>
          <cx:pt idx="41">Сигмовидная кишка</cx:pt>
          <cx:pt idx="42">Прямая кишка</cx:pt>
          <cx:pt idx="43">Прямая кишка</cx:pt>
          <cx:pt idx="44">Сигмовидная кишка</cx:pt>
          <cx:pt idx="45">Прямая кишка</cx:pt>
          <cx:pt idx="46">Ободочная кишка</cx:pt>
          <cx:pt idx="47">Прямая кишка</cx:pt>
          <cx:pt idx="48">Прямая кишка</cx:pt>
          <cx:pt idx="49">Прямая кишка</cx:pt>
          <cx:pt idx="50">Сигмовидная кишка</cx:pt>
          <cx:pt idx="51">Ободочная кишка</cx:pt>
          <cx:pt idx="52">Сигмовидная кишка</cx:pt>
          <cx:pt idx="53">Ободочная кишка</cx:pt>
          <cx:pt idx="54">Сигмовидная кишка</cx:pt>
          <cx:pt idx="55">Ободочная кишка</cx:pt>
          <cx:pt idx="56">Ободочная кишка</cx:pt>
          <cx:pt idx="57">Прямая кишка</cx:pt>
          <cx:pt idx="58">Ободочная кишка</cx:pt>
          <cx:pt idx="59">Прямая кишка</cx:pt>
        </cx:lvl>
      </cx:strDim>
      <cx:numDim type="val">
        <cx:f>'Ящик с усами PTL КРР'!$I$2:$I$61</cx:f>
        <cx:lvl ptCount="60" formatCode="0,00">
          <cx:pt idx="0">0.97509999999999997</cx:pt>
          <cx:pt idx="1">0.66300000000000003</cx:pt>
          <cx:pt idx="2">0.75209999999999999</cx:pt>
          <cx:pt idx="3">1.5349999999999999</cx:pt>
          <cx:pt idx="4">0.77759999999999996</cx:pt>
          <cx:pt idx="5">0.84730000000000005</cx:pt>
          <cx:pt idx="6">1.6128</cx:pt>
          <cx:pt idx="7">0.90480000000000005</cx:pt>
          <cx:pt idx="8">0.87490000000000001</cx:pt>
          <cx:pt idx="9">0.46889999999999998</cx:pt>
          <cx:pt idx="10">0.58779999999999999</cx:pt>
          <cx:pt idx="11">1.2330000000000001</cx:pt>
          <cx:pt idx="12">0.40820000000000001</cx:pt>
          <cx:pt idx="13">0.51819999999999999</cx:pt>
          <cx:pt idx="14">0.58909999999999996</cx:pt>
          <cx:pt idx="15">0.39910000000000001</cx:pt>
          <cx:pt idx="16">0.48089999999999999</cx:pt>
          <cx:pt idx="17">0.44800000000000001</cx:pt>
          <cx:pt idx="18">0.59209999999999996</cx:pt>
          <cx:pt idx="19">0.86150000000000004</cx:pt>
          <cx:pt idx="20">0.50429999999999997</cx:pt>
          <cx:pt idx="21">0.2087</cx:pt>
          <cx:pt idx="22">0.63419999999999999</cx:pt>
          <cx:pt idx="23">0.74219999999999997</cx:pt>
          <cx:pt idx="24">0.50919999999999999</cx:pt>
          <cx:pt idx="25">0.38319999999999999</cx:pt>
          <cx:pt idx="26">0.86770000000000003</cx:pt>
          <cx:pt idx="27">0.25790000000000002</cx:pt>
          <cx:pt idx="28">0.46300000000000002</cx:pt>
          <cx:pt idx="29">0.65859999999999996</cx:pt>
          <cx:pt idx="30">0.86980000000000002</cx:pt>
          <cx:pt idx="31">2.4015</cx:pt>
          <cx:pt idx="32">0.52890000000000004</cx:pt>
          <cx:pt idx="33">0.99880000000000002</cx:pt>
          <cx:pt idx="34">0.58550000000000002</cx:pt>
          <cx:pt idx="35">0.55840000000000001</cx:pt>
          <cx:pt idx="36">1.1792</cx:pt>
          <cx:pt idx="37">1.0827</cx:pt>
          <cx:pt idx="38">0.77100000000000002</cx:pt>
          <cx:pt idx="39">0.60129999999999995</cx:pt>
          <cx:pt idx="40">0.73050000000000004</cx:pt>
          <cx:pt idx="41">0.29909999999999998</cx:pt>
          <cx:pt idx="42">0.84389999999999998</cx:pt>
          <cx:pt idx="43">0.48420000000000002</cx:pt>
          <cx:pt idx="44">0.58809999999999996</cx:pt>
          <cx:pt idx="45">0.25819999999999999</cx:pt>
          <cx:pt idx="46">0.75190000000000001</cx:pt>
          <cx:pt idx="47">0.48949999999999999</cx:pt>
          <cx:pt idx="48">1.0703</cx:pt>
          <cx:pt idx="49">1.056</cx:pt>
          <cx:pt idx="50">2.0392000000000001</cx:pt>
          <cx:pt idx="51">0.5948</cx:pt>
          <cx:pt idx="52">0.82210000000000005</cx:pt>
          <cx:pt idx="53">1.1634</cx:pt>
          <cx:pt idx="54">0.66439999999999999</cx:pt>
          <cx:pt idx="55">0.59530000000000005</cx:pt>
          <cx:pt idx="56">0.69940000000000002</cx:pt>
          <cx:pt idx="57">0.81159999999999999</cx:pt>
          <cx:pt idx="58">0.79049999999999998</cx:pt>
          <cx:pt idx="59">0.93030000000000002</cx:pt>
        </cx:lvl>
      </cx:numDim>
    </cx:data>
  </cx:chartData>
  <cx:chart>
    <cx:plotArea>
      <cx:plotAreaRegion>
        <cx:series layoutId="boxWhisker" uniqueId="{F013B6DB-637F-416F-B79B-708E26AAB40D}">
          <cx:tx>
            <cx:txData>
              <cx:f>'Ящик с усами PTL КРР'!$I$1</cx:f>
              <cx:v>RLI</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8"/>
            <cx:dataLabelHidden idx="19"/>
            <cx:dataLabelHidden idx="20"/>
            <cx:dataLabelHidden idx="22"/>
            <cx:dataLabelHidden idx="23"/>
            <cx:dataLabelHidden idx="24"/>
            <cx:dataLabelHidden idx="43"/>
            <cx:dataLabelHidden idx="44"/>
            <cx:dataLabelHidden idx="45"/>
            <cx:dataLabelHidden idx="47"/>
            <cx:dataLabelHidden idx="48"/>
            <cx:dataLabelHidden idx="49"/>
            <cx:dataLabelHidden idx="66"/>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5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5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64.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PTL КРР'!$A$2:$A$61</cx:f>
        <cx:lvl ptCount="60">
          <cx:pt idx="0">Ободочная кишка</cx:pt>
          <cx:pt idx="1">Прямая кишка</cx:pt>
          <cx:pt idx="2">Ободочная кишка</cx:pt>
          <cx:pt idx="3">Прямая кишка</cx:pt>
          <cx:pt idx="4">Прямая кишка</cx:pt>
          <cx:pt idx="5">Сигмовидная кишка</cx:pt>
          <cx:pt idx="6">Ободочная кишка</cx:pt>
          <cx:pt idx="7">Сигмовидная кишка</cx:pt>
          <cx:pt idx="8">Ободочная кишка</cx:pt>
          <cx:pt idx="9">Прямая кишка</cx:pt>
          <cx:pt idx="10">Сигмовидная кишка</cx:pt>
          <cx:pt idx="11">Прямая кишка</cx:pt>
          <cx:pt idx="12">Прямая кишка</cx:pt>
          <cx:pt idx="13">Ободочная кишка</cx:pt>
          <cx:pt idx="14">Ободочная кишка</cx:pt>
          <cx:pt idx="15">Сигмовидная кишка</cx:pt>
          <cx:pt idx="16">Сигмовидная кишка</cx:pt>
          <cx:pt idx="17">Ободочная кишка</cx:pt>
          <cx:pt idx="18">Прямая кишка</cx:pt>
          <cx:pt idx="19">Прямая кишка</cx:pt>
          <cx:pt idx="20">Прямая кишка</cx:pt>
          <cx:pt idx="21">Сигмовидная кишка</cx:pt>
          <cx:pt idx="22">Сигмовидная кишка</cx:pt>
          <cx:pt idx="23">Прямая кишка</cx:pt>
          <cx:pt idx="24">Сигмовидная кишка</cx:pt>
          <cx:pt idx="25">Сигмовидная кишка</cx:pt>
          <cx:pt idx="26">Прямая кишка</cx:pt>
          <cx:pt idx="27">Сигмовидная кишка</cx:pt>
          <cx:pt idx="28">Ободочная кишка</cx:pt>
          <cx:pt idx="29">Ободочная кишка</cx:pt>
          <cx:pt idx="30">Прямая кишка</cx:pt>
          <cx:pt idx="31">Прямая кишка</cx:pt>
          <cx:pt idx="32">Сигмовидная кишка</cx:pt>
          <cx:pt idx="33">Сигмовидная кишка</cx:pt>
          <cx:pt idx="34">Сигмовидная кишка</cx:pt>
          <cx:pt idx="35">Сигмовидная кишка</cx:pt>
          <cx:pt idx="36">Ободочная кишка</cx:pt>
          <cx:pt idx="37">Ободочная кишка</cx:pt>
          <cx:pt idx="38">Ободочная кишка</cx:pt>
          <cx:pt idx="39">Ободочная кишка</cx:pt>
          <cx:pt idx="40">Ободочная кишка</cx:pt>
          <cx:pt idx="41">Сигмовидная кишка</cx:pt>
          <cx:pt idx="42">Прямая кишка</cx:pt>
          <cx:pt idx="43">Прямая кишка</cx:pt>
          <cx:pt idx="44">Сигмовидная кишка</cx:pt>
          <cx:pt idx="45">Прямая кишка</cx:pt>
          <cx:pt idx="46">Ободочная кишка</cx:pt>
          <cx:pt idx="47">Прямая кишка</cx:pt>
          <cx:pt idx="48">Прямая кишка</cx:pt>
          <cx:pt idx="49">Прямая кишка</cx:pt>
          <cx:pt idx="50">Сигмовидная кишка</cx:pt>
          <cx:pt idx="51">Ободочная кишка</cx:pt>
          <cx:pt idx="52">Сигмовидная кишка</cx:pt>
          <cx:pt idx="53">Ободочная кишка</cx:pt>
          <cx:pt idx="54">Сигмовидная кишка</cx:pt>
          <cx:pt idx="55">Ободочная кишка</cx:pt>
          <cx:pt idx="56">Ободочная кишка</cx:pt>
          <cx:pt idx="57">Прямая кишка</cx:pt>
          <cx:pt idx="58">Ободочная кишка</cx:pt>
          <cx:pt idx="59">Прямая кишка</cx:pt>
        </cx:lvl>
      </cx:strDim>
      <cx:numDim type="val">
        <cx:f>'Ящик с усами PTL КРР'!$J$2:$J$61</cx:f>
        <cx:lvl ptCount="60" formatCode="0,00">
          <cx:pt idx="0">1.4847999999999999</cx:pt>
          <cx:pt idx="1">1.8121</cx:pt>
          <cx:pt idx="2">1.0331999999999999</cx:pt>
          <cx:pt idx="3">1.2092000000000001</cx:pt>
          <cx:pt idx="4">1.2238</cx:pt>
          <cx:pt idx="5">1.1717</cx:pt>
          <cx:pt idx="6">1.1789000000000001</cx:pt>
          <cx:pt idx="7">1.1093</cx:pt>
          <cx:pt idx="8">0.97440000000000004</cx:pt>
          <cx:pt idx="9">1.1459999999999999</cx:pt>
          <cx:pt idx="10">0.53449999999999998</cx:pt>
          <cx:pt idx="11">1.8266</cx:pt>
          <cx:pt idx="12">0.87170000000000003</cx:pt>
          <cx:pt idx="13">0.92490000000000006</cx:pt>
          <cx:pt idx="14">0.55230000000000001</cx:pt>
          <cx:pt idx="15">0.39810000000000001</cx:pt>
          <cx:pt idx="16">0.87770000000000004</cx:pt>
          <cx:pt idx="17">0.54139999999999999</cx:pt>
          <cx:pt idx="18">0.67390000000000005</cx:pt>
          <cx:pt idx="19">0.59419999999999995</cx:pt>
          <cx:pt idx="20">0.95999999999999996</cx:pt>
          <cx:pt idx="21">0.44550000000000001</cx:pt>
          <cx:pt idx="22">0.66590000000000005</cx:pt>
          <cx:pt idx="23">0.66930000000000001</cx:pt>
          <cx:pt idx="24">0.67379999999999995</cx:pt>
          <cx:pt idx="25">0.63980000000000004</cx:pt>
          <cx:pt idx="26">0.76429999999999998</cx:pt>
          <cx:pt idx="27">0.55020000000000002</cx:pt>
          <cx:pt idx="28">0.45850000000000002</cx:pt>
          <cx:pt idx="29">0.73109999999999997</cx:pt>
          <cx:pt idx="30">1.1402000000000001</cx:pt>
          <cx:pt idx="31">1.2663</cx:pt>
          <cx:pt idx="32">0.58199999999999996</cx:pt>
          <cx:pt idx="33">1.5062</cx:pt>
          <cx:pt idx="34">0.72140000000000004</cx:pt>
          <cx:pt idx="35">0.71860000000000002</cx:pt>
          <cx:pt idx="36">0.88549999999999995</cx:pt>
          <cx:pt idx="37">1.1406000000000001</cx:pt>
          <cx:pt idx="38">0.71050000000000002</cx:pt>
          <cx:pt idx="39">0.62060000000000004</cx:pt>
          <cx:pt idx="40">0.71120000000000005</cx:pt>
          <cx:pt idx="41">0.52880000000000005</cx:pt>
          <cx:pt idx="42">1.0996999999999999</cx:pt>
          <cx:pt idx="43">0.61019999999999996</cx:pt>
          <cx:pt idx="44">0.65669999999999995</cx:pt>
          <cx:pt idx="45">0.47999999999999998</cx:pt>
          <cx:pt idx="46">0.88700000000000001</cx:pt>
          <cx:pt idx="47">0.77490000000000003</cx:pt>
          <cx:pt idx="48">0.99929999999999997</cx:pt>
          <cx:pt idx="49">1.1751</cx:pt>
          <cx:pt idx="50">2.3134000000000001</cx:pt>
          <cx:pt idx="51">0.79759999999999998</cx:pt>
          <cx:pt idx="52">0.6139</cx:pt>
          <cx:pt idx="53">0.90080000000000005</cx:pt>
          <cx:pt idx="54">0.95220000000000005</cx:pt>
          <cx:pt idx="55">0.95389999999999997</cx:pt>
          <cx:pt idx="56">0.91249999999999998</cx:pt>
          <cx:pt idx="57">1.0181</cx:pt>
          <cx:pt idx="58">0.7177</cx:pt>
          <cx:pt idx="59">1.0193000000000001</cx:pt>
        </cx:lvl>
      </cx:numDim>
    </cx:data>
  </cx:chartData>
  <cx:chart>
    <cx:plotArea>
      <cx:plotAreaRegion>
        <cx:series layoutId="boxWhisker" uniqueId="{4DE12C10-B3AF-4D51-A5F9-8BDB95F7FF43}">
          <cx:tx>
            <cx:txData>
              <cx:f>'Ящик с усами PTL КРР'!$J$1</cx:f>
              <cx:v>P</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8"/>
            <cx:dataLabelHidden idx="19"/>
            <cx:dataLabelHidden idx="20"/>
            <cx:dataLabelHidden idx="22"/>
            <cx:dataLabelHidden idx="23"/>
            <cx:dataLabelHidden idx="24"/>
            <cx:dataLabelHidden idx="44"/>
            <cx:dataLabelHidden idx="45"/>
            <cx:dataLabelHidden idx="47"/>
            <cx:dataLabelHidden idx="48"/>
            <cx:dataLabelHidden idx="49"/>
            <cx:dataLabelHidden idx="66"/>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5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5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65.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T КРР'!$A$2:$A$61</cx:f>
        <cx:lvl ptCount="60">
          <cx:pt idx="0">T1</cx:pt>
          <cx:pt idx="1">T2</cx:pt>
          <cx:pt idx="2">T2</cx:pt>
          <cx:pt idx="3">T2</cx:pt>
          <cx:pt idx="4">T2</cx:pt>
          <cx:pt idx="5">T2</cx:pt>
          <cx:pt idx="6">T2</cx:pt>
          <cx:pt idx="7">T2</cx:pt>
          <cx:pt idx="8">T2</cx:pt>
          <cx:pt idx="9">T2</cx:pt>
          <cx:pt idx="10">T3</cx:pt>
          <cx:pt idx="11">T3</cx:pt>
          <cx:pt idx="12">T3</cx:pt>
          <cx:pt idx="13">T3</cx:pt>
          <cx:pt idx="14">T3</cx:pt>
          <cx:pt idx="15">T3</cx:pt>
          <cx:pt idx="16">T3</cx:pt>
          <cx:pt idx="17">T3</cx:pt>
          <cx:pt idx="18">T3</cx:pt>
          <cx:pt idx="19">T3</cx:pt>
          <cx:pt idx="20">T3</cx:pt>
          <cx:pt idx="21">T3</cx:pt>
          <cx:pt idx="22">T3</cx:pt>
          <cx:pt idx="23">T3</cx:pt>
          <cx:pt idx="24">T3</cx:pt>
          <cx:pt idx="25">T3</cx:pt>
          <cx:pt idx="26">T3</cx:pt>
          <cx:pt idx="27">T3</cx:pt>
          <cx:pt idx="28">T3</cx:pt>
          <cx:pt idx="29">T3</cx:pt>
          <cx:pt idx="30">T3</cx:pt>
          <cx:pt idx="31">T3</cx:pt>
          <cx:pt idx="32">T3</cx:pt>
          <cx:pt idx="33">T3</cx:pt>
          <cx:pt idx="34">T3</cx:pt>
          <cx:pt idx="35">T3</cx:pt>
          <cx:pt idx="36">T3</cx:pt>
          <cx:pt idx="37">T3</cx:pt>
          <cx:pt idx="38">T4</cx:pt>
          <cx:pt idx="39">T4</cx:pt>
          <cx:pt idx="40">T4</cx:pt>
          <cx:pt idx="41">T4</cx:pt>
          <cx:pt idx="42">T4</cx:pt>
          <cx:pt idx="43">T4</cx:pt>
          <cx:pt idx="44">T4</cx:pt>
          <cx:pt idx="45">T4</cx:pt>
          <cx:pt idx="46">T4</cx:pt>
          <cx:pt idx="47">T4</cx:pt>
          <cx:pt idx="48">T4</cx:pt>
          <cx:pt idx="49">T4</cx:pt>
          <cx:pt idx="50">T4</cx:pt>
          <cx:pt idx="51">T4</cx:pt>
          <cx:pt idx="52">T4</cx:pt>
          <cx:pt idx="53">T4</cx:pt>
          <cx:pt idx="54">T4</cx:pt>
          <cx:pt idx="55">T4</cx:pt>
          <cx:pt idx="56">T4</cx:pt>
          <cx:pt idx="57">T4</cx:pt>
          <cx:pt idx="58">T4</cx:pt>
          <cx:pt idx="59">T4</cx:pt>
        </cx:lvl>
      </cx:strDim>
      <cx:numDim type="val">
        <cx:f>'Ящик с усами T КРР'!$B$2:$B$61</cx:f>
        <cx:lvl ptCount="60" formatCode="0,00">
          <cx:pt idx="0">0.92369999999999997</cx:pt>
          <cx:pt idx="1">0.92259999999999998</cx:pt>
          <cx:pt idx="2">0.74199999999999999</cx:pt>
          <cx:pt idx="3">0.90969999999999995</cx:pt>
          <cx:pt idx="4">0.35809999999999997</cx:pt>
          <cx:pt idx="5">0.75439999999999996</cx:pt>
          <cx:pt idx="6">0.50090000000000001</cx:pt>
          <cx:pt idx="7">1.5694999999999999</cx:pt>
          <cx:pt idx="8">0.77370000000000005</cx:pt>
          <cx:pt idx="9">1.165</cx:pt>
          <cx:pt idx="10">0.85840000000000005</cx:pt>
          <cx:pt idx="11">0.82410000000000005</cx:pt>
          <cx:pt idx="12">0.7117</cx:pt>
          <cx:pt idx="13">0.76449999999999996</cx:pt>
          <cx:pt idx="14">0.62109999999999999</cx:pt>
          <cx:pt idx="15">0.28999999999999998</cx:pt>
          <cx:pt idx="16">0.75380000000000003</cx:pt>
          <cx:pt idx="17">0.73650000000000004</cx:pt>
          <cx:pt idx="18">0.45279999999999998</cx:pt>
          <cx:pt idx="19">0.32979999999999998</cx:pt>
          <cx:pt idx="20">0.57020000000000004</cx:pt>
          <cx:pt idx="21">0.75580000000000003</cx:pt>
          <cx:pt idx="22">0.84140000000000004</cx:pt>
          <cx:pt idx="23">0.65949999999999998</cx:pt>
          <cx:pt idx="24">0.74839999999999995</cx:pt>
          <cx:pt idx="25">0.93720000000000003</cx:pt>
          <cx:pt idx="26">1.2897000000000001</cx:pt>
          <cx:pt idx="27">0.31180000000000002</cx:pt>
          <cx:pt idx="28">1.5047999999999999</cx:pt>
          <cx:pt idx="29">0.8377</cx:pt>
          <cx:pt idx="30">1.4490000000000001</cx:pt>
          <cx:pt idx="31">0.44690000000000002</cx:pt>
          <cx:pt idx="32">0.23119999999999999</cx:pt>
          <cx:pt idx="33">0.33439999999999998</cx:pt>
          <cx:pt idx="34">1.5702</cx:pt>
          <cx:pt idx="35">1.4592000000000001</cx:pt>
          <cx:pt idx="36">1.2644</cx:pt>
          <cx:pt idx="37">1.0011000000000001</cx:pt>
          <cx:pt idx="38">0.66420000000000001</cx:pt>
          <cx:pt idx="39">0.69850000000000001</cx:pt>
          <cx:pt idx="40">1.4327000000000001</cx:pt>
          <cx:pt idx="41">0.84330000000000005</cx:pt>
          <cx:pt idx="42">0.45229999999999998</cx:pt>
          <cx:pt idx="43">0.69840000000000002</cx:pt>
          <cx:pt idx="44">0.57520000000000004</cx:pt>
          <cx:pt idx="45">0.43290000000000001</cx:pt>
          <cx:pt idx="46">1.0820000000000001</cx:pt>
          <cx:pt idx="47">0.67210000000000003</cx:pt>
          <cx:pt idx="48">1.0608</cx:pt>
          <cx:pt idx="49">1.0861000000000001</cx:pt>
          <cx:pt idx="50">0.49209999999999998</cx:pt>
          <cx:pt idx="51">1.2202999999999999</cx:pt>
          <cx:pt idx="52">0.90910000000000002</cx:pt>
          <cx:pt idx="53">0.68540000000000001</cx:pt>
          <cx:pt idx="54">0.92210000000000003</cx:pt>
          <cx:pt idx="55">0.49320000000000003</cx:pt>
          <cx:pt idx="56">1.1894</cx:pt>
          <cx:pt idx="57">1.2484</cx:pt>
          <cx:pt idx="58">1.1508</cx:pt>
          <cx:pt idx="59">1.4757</cx:pt>
        </cx:lvl>
      </cx:numDim>
    </cx:data>
  </cx:chartData>
  <cx:chart>
    <cx:plotArea>
      <cx:plotAreaRegion>
        <cx:series layoutId="boxWhisker" uniqueId="{DB7602BD-7F21-4313-BC1B-4C3767B019A1}">
          <cx:tx>
            <cx:txData>
              <cx:f>'Ящик с усами T КРР'!$B$1</cx:f>
              <cx:v>RE</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4"/>
            <cx:dataLabelHidden idx="5"/>
            <cx:dataLabelHidden idx="13"/>
            <cx:dataLabelHidden idx="14"/>
            <cx:dataLabelHidden idx="16"/>
            <cx:dataLabelHidden idx="17"/>
            <cx:dataLabelHidden idx="18"/>
            <cx:dataLabelHidden idx="45"/>
            <cx:dataLabelHidden idx="46"/>
            <cx:dataLabelHidden idx="48"/>
            <cx:dataLabelHidden idx="49"/>
            <cx:dataLabelHidden idx="50"/>
            <cx:dataLabelHidden idx="71"/>
            <cx:dataLabelHidden idx="72"/>
            <cx:dataLabelHidden idx="74"/>
            <cx:dataLabelHidden idx="75"/>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i="0">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66.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T КРР'!$A$2:$A$61</cx:f>
        <cx:lvl ptCount="60">
          <cx:pt idx="0">T1</cx:pt>
          <cx:pt idx="1">T2</cx:pt>
          <cx:pt idx="2">T2</cx:pt>
          <cx:pt idx="3">T2</cx:pt>
          <cx:pt idx="4">T2</cx:pt>
          <cx:pt idx="5">T2</cx:pt>
          <cx:pt idx="6">T2</cx:pt>
          <cx:pt idx="7">T2</cx:pt>
          <cx:pt idx="8">T2</cx:pt>
          <cx:pt idx="9">T2</cx:pt>
          <cx:pt idx="10">T3</cx:pt>
          <cx:pt idx="11">T3</cx:pt>
          <cx:pt idx="12">T3</cx:pt>
          <cx:pt idx="13">T3</cx:pt>
          <cx:pt idx="14">T3</cx:pt>
          <cx:pt idx="15">T3</cx:pt>
          <cx:pt idx="16">T3</cx:pt>
          <cx:pt idx="17">T3</cx:pt>
          <cx:pt idx="18">T3</cx:pt>
          <cx:pt idx="19">T3</cx:pt>
          <cx:pt idx="20">T3</cx:pt>
          <cx:pt idx="21">T3</cx:pt>
          <cx:pt idx="22">T3</cx:pt>
          <cx:pt idx="23">T3</cx:pt>
          <cx:pt idx="24">T3</cx:pt>
          <cx:pt idx="25">T3</cx:pt>
          <cx:pt idx="26">T3</cx:pt>
          <cx:pt idx="27">T3</cx:pt>
          <cx:pt idx="28">T3</cx:pt>
          <cx:pt idx="29">T3</cx:pt>
          <cx:pt idx="30">T3</cx:pt>
          <cx:pt idx="31">T3</cx:pt>
          <cx:pt idx="32">T3</cx:pt>
          <cx:pt idx="33">T3</cx:pt>
          <cx:pt idx="34">T3</cx:pt>
          <cx:pt idx="35">T3</cx:pt>
          <cx:pt idx="36">T3</cx:pt>
          <cx:pt idx="37">T3</cx:pt>
          <cx:pt idx="38">T4</cx:pt>
          <cx:pt idx="39">T4</cx:pt>
          <cx:pt idx="40">T4</cx:pt>
          <cx:pt idx="41">T4</cx:pt>
          <cx:pt idx="42">T4</cx:pt>
          <cx:pt idx="43">T4</cx:pt>
          <cx:pt idx="44">T4</cx:pt>
          <cx:pt idx="45">T4</cx:pt>
          <cx:pt idx="46">T4</cx:pt>
          <cx:pt idx="47">T4</cx:pt>
          <cx:pt idx="48">T4</cx:pt>
          <cx:pt idx="49">T4</cx:pt>
          <cx:pt idx="50">T4</cx:pt>
          <cx:pt idx="51">T4</cx:pt>
          <cx:pt idx="52">T4</cx:pt>
          <cx:pt idx="53">T4</cx:pt>
          <cx:pt idx="54">T4</cx:pt>
          <cx:pt idx="55">T4</cx:pt>
          <cx:pt idx="56">T4</cx:pt>
          <cx:pt idx="57">T4</cx:pt>
          <cx:pt idx="58">T4</cx:pt>
          <cx:pt idx="59">T4</cx:pt>
        </cx:lvl>
      </cx:strDim>
      <cx:numDim type="val">
        <cx:f>'Ящик с усами T КРР'!$C$2:$C$61</cx:f>
        <cx:lvl ptCount="60" formatCode="0,00">
          <cx:pt idx="0">1.1812</cx:pt>
          <cx:pt idx="1">1.5485</cx:pt>
          <cx:pt idx="2">0.64649999999999996</cx:pt>
          <cx:pt idx="3">1.0783</cx:pt>
          <cx:pt idx="4">0.42599999999999999</cx:pt>
          <cx:pt idx="5">1.0066999999999999</cx:pt>
          <cx:pt idx="6">0.81820000000000004</cx:pt>
          <cx:pt idx="7">1.1529</cx:pt>
          <cx:pt idx="8">0.92920000000000003</cx:pt>
          <cx:pt idx="9">0.60029999999999994</cx:pt>
          <cx:pt idx="10">1.6116999999999999</cx:pt>
          <cx:pt idx="11">0.61709999999999998</cx:pt>
          <cx:pt idx="12">0.94389999999999996</cx:pt>
          <cx:pt idx="13">0.88039999999999996</cx:pt>
          <cx:pt idx="14">0.4703</cx:pt>
          <cx:pt idx="15">0.51319999999999999</cx:pt>
          <cx:pt idx="16">0.42380000000000001</cx:pt>
          <cx:pt idx="17">0.67789999999999995</cx:pt>
          <cx:pt idx="18">0.46339999999999998</cx:pt>
          <cx:pt idx="19">0.36990000000000001</cx:pt>
          <cx:pt idx="20">0.58940000000000003</cx:pt>
          <cx:pt idx="21">0.61609999999999998</cx:pt>
          <cx:pt idx="22">0.79669999999999996</cx:pt>
          <cx:pt idx="23">0.4037</cx:pt>
          <cx:pt idx="24">0.63570000000000004</cx:pt>
          <cx:pt idx="25">0.73240000000000005</cx:pt>
          <cx:pt idx="26">0.73599999999999999</cx:pt>
          <cx:pt idx="27">0.61339999999999995</cx:pt>
          <cx:pt idx="28">1.3130999999999999</cx:pt>
          <cx:pt idx="29">0.54420000000000002</cx:pt>
          <cx:pt idx="30">1.0989</cx:pt>
          <cx:pt idx="31">0.31259999999999999</cx:pt>
          <cx:pt idx="32">0.47910000000000003</cx:pt>
          <cx:pt idx="33">0.50419999999999998</cx:pt>
          <cx:pt idx="34">1.6329</cx:pt>
          <cx:pt idx="35">0.874</cx:pt>
          <cx:pt idx="36">1.4639</cx:pt>
          <cx:pt idx="37">1.3025</cx:pt>
          <cx:pt idx="38">2.2414000000000001</cx:pt>
          <cx:pt idx="39">1.0873999999999999</cx:pt>
          <cx:pt idx="40">0.50770000000000004</cx:pt>
          <cx:pt idx="41">0.67930000000000001</cx:pt>
          <cx:pt idx="42">0.46879999999999999</cx:pt>
          <cx:pt idx="43">0.38769999999999999</cx:pt>
          <cx:pt idx="44">0.65780000000000005</cx:pt>
          <cx:pt idx="45">0.53680000000000005</cx:pt>
          <cx:pt idx="46">1.4714</cx:pt>
          <cx:pt idx="47">0.4103</cx:pt>
          <cx:pt idx="48">1.5860000000000001</cx:pt>
          <cx:pt idx="49">0.87909999999999999</cx:pt>
          <cx:pt idx="50">0.5252</cx:pt>
          <cx:pt idx="51">1.0931999999999999</cx:pt>
          <cx:pt idx="52">0.53690000000000004</cx:pt>
          <cx:pt idx="53">0.60140000000000005</cx:pt>
          <cx:pt idx="54">0.81489999999999996</cx:pt>
          <cx:pt idx="55">0.80989999999999995</cx:pt>
          <cx:pt idx="56">0.83279999999999998</cx:pt>
          <cx:pt idx="57">2.0908000000000002</cx:pt>
          <cx:pt idx="58">0.75880000000000003</cx:pt>
          <cx:pt idx="59">0.6885</cx:pt>
        </cx:lvl>
      </cx:numDim>
    </cx:data>
  </cx:chartData>
  <cx:chart>
    <cx:plotArea>
      <cx:plotAreaRegion>
        <cx:series layoutId="boxWhisker" uniqueId="{BC40D327-90EA-4B45-9D5B-41E04C351A5A}">
          <cx:tx>
            <cx:txData>
              <cx:f>'Ящик с усами T КРР'!$C$1</cx:f>
              <cx:v>RLH</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4"/>
            <cx:dataLabelHidden idx="5"/>
            <cx:dataLabelHidden idx="13"/>
            <cx:dataLabelHidden idx="14"/>
            <cx:dataLabelHidden idx="16"/>
            <cx:dataLabelHidden idx="17"/>
            <cx:dataLabelHidden idx="18"/>
            <cx:dataLabelHidden idx="43"/>
            <cx:dataLabelHidden idx="44"/>
            <cx:dataLabelHidden idx="46"/>
            <cx:dataLabelHidden idx="48"/>
            <cx:dataLabelHidden idx="49"/>
            <cx:dataLabelHidden idx="50"/>
            <cx:dataLabelHidden idx="69"/>
            <cx:dataLabelHidden idx="70"/>
            <cx:dataLabelHidden idx="71"/>
            <cx:dataLabelHidden idx="72"/>
            <cx:dataLabelHidden idx="74"/>
            <cx:dataLabelHidden idx="75"/>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5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5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67.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T КРР'!$A$2:$A$61</cx:f>
        <cx:lvl ptCount="60">
          <cx:pt idx="0">T1</cx:pt>
          <cx:pt idx="1">T2</cx:pt>
          <cx:pt idx="2">T2</cx:pt>
          <cx:pt idx="3">T2</cx:pt>
          <cx:pt idx="4">T2</cx:pt>
          <cx:pt idx="5">T2</cx:pt>
          <cx:pt idx="6">T2</cx:pt>
          <cx:pt idx="7">T2</cx:pt>
          <cx:pt idx="8">T2</cx:pt>
          <cx:pt idx="9">T2</cx:pt>
          <cx:pt idx="10">T3</cx:pt>
          <cx:pt idx="11">T3</cx:pt>
          <cx:pt idx="12">T3</cx:pt>
          <cx:pt idx="13">T3</cx:pt>
          <cx:pt idx="14">T3</cx:pt>
          <cx:pt idx="15">T3</cx:pt>
          <cx:pt idx="16">T3</cx:pt>
          <cx:pt idx="17">T3</cx:pt>
          <cx:pt idx="18">T3</cx:pt>
          <cx:pt idx="19">T3</cx:pt>
          <cx:pt idx="20">T3</cx:pt>
          <cx:pt idx="21">T3</cx:pt>
          <cx:pt idx="22">T3</cx:pt>
          <cx:pt idx="23">T3</cx:pt>
          <cx:pt idx="24">T3</cx:pt>
          <cx:pt idx="25">T3</cx:pt>
          <cx:pt idx="26">T3</cx:pt>
          <cx:pt idx="27">T3</cx:pt>
          <cx:pt idx="28">T3</cx:pt>
          <cx:pt idx="29">T3</cx:pt>
          <cx:pt idx="30">T3</cx:pt>
          <cx:pt idx="31">T3</cx:pt>
          <cx:pt idx="32">T3</cx:pt>
          <cx:pt idx="33">T3</cx:pt>
          <cx:pt idx="34">T3</cx:pt>
          <cx:pt idx="35">T3</cx:pt>
          <cx:pt idx="36">T3</cx:pt>
          <cx:pt idx="37">T3</cx:pt>
          <cx:pt idx="38">T4</cx:pt>
          <cx:pt idx="39">T4</cx:pt>
          <cx:pt idx="40">T4</cx:pt>
          <cx:pt idx="41">T4</cx:pt>
          <cx:pt idx="42">T4</cx:pt>
          <cx:pt idx="43">T4</cx:pt>
          <cx:pt idx="44">T4</cx:pt>
          <cx:pt idx="45">T4</cx:pt>
          <cx:pt idx="46">T4</cx:pt>
          <cx:pt idx="47">T4</cx:pt>
          <cx:pt idx="48">T4</cx:pt>
          <cx:pt idx="49">T4</cx:pt>
          <cx:pt idx="50">T4</cx:pt>
          <cx:pt idx="51">T4</cx:pt>
          <cx:pt idx="52">T4</cx:pt>
          <cx:pt idx="53">T4</cx:pt>
          <cx:pt idx="54">T4</cx:pt>
          <cx:pt idx="55">T4</cx:pt>
          <cx:pt idx="56">T4</cx:pt>
          <cx:pt idx="57">T4</cx:pt>
          <cx:pt idx="58">T4</cx:pt>
          <cx:pt idx="59">T4</cx:pt>
        </cx:lvl>
      </cx:strDim>
      <cx:numDim type="val">
        <cx:f>'Ящик с усами T КРР'!$D$2:$D$61</cx:f>
        <cx:lvl ptCount="60" formatCode="0,00">
          <cx:pt idx="0">0.8155</cx:pt>
          <cx:pt idx="1">1.8083</cx:pt>
          <cx:pt idx="2">1.0347</cx:pt>
          <cx:pt idx="3">0.73980000000000001</cx:pt>
          <cx:pt idx="4">0.77370000000000005</cx:pt>
          <cx:pt idx="5">0.74539999999999995</cx:pt>
          <cx:pt idx="6">0.4451</cx:pt>
          <cx:pt idx="7">1.4965999999999999</cx:pt>
          <cx:pt idx="8">0.8569</cx:pt>
          <cx:pt idx="9">1.3805000000000001</cx:pt>
          <cx:pt idx="10">1.1706000000000001</cx:pt>
          <cx:pt idx="11">0.93430000000000002</cx:pt>
          <cx:pt idx="12">1.3533999999999999</cx:pt>
          <cx:pt idx="13">0.88829999999999998</cx:pt>
          <cx:pt idx="14">0.86739999999999995</cx:pt>
          <cx:pt idx="15">0.29320000000000002</cx:pt>
          <cx:pt idx="16">0.48430000000000001</cx:pt>
          <cx:pt idx="17">0.81520000000000004</cx:pt>
          <cx:pt idx="18">0.66549999999999998</cx:pt>
          <cx:pt idx="19">0.40799999999999997</cx:pt>
          <cx:pt idx="20">0.42149999999999999</cx:pt>
          <cx:pt idx="21">0.68620000000000003</cx:pt>
          <cx:pt idx="22">0.81889999999999996</cx:pt>
          <cx:pt idx="23">1.3343</cx:pt>
          <cx:pt idx="24">0.69010000000000005</cx:pt>
          <cx:pt idx="25">1.0184</cx:pt>
          <cx:pt idx="26">1.5466</cx:pt>
          <cx:pt idx="27">0.65359999999999996</cx:pt>
          <cx:pt idx="28">1.1892</cx:pt>
          <cx:pt idx="29">0.66459999999999997</cx:pt>
          <cx:pt idx="30">1.736</cx:pt>
          <cx:pt idx="31">0.751</cx:pt>
          <cx:pt idx="32">0.80069999999999997</cx:pt>
          <cx:pt idx="33">0.64339999999999997</cx:pt>
          <cx:pt idx="34">2.9357000000000002</cx:pt>
          <cx:pt idx="35">0.82940000000000003</cx:pt>
          <cx:pt idx="36">1.6382000000000001</cx:pt>
          <cx:pt idx="37">0.77600000000000002</cx:pt>
          <cx:pt idx="38">1.0499000000000001</cx:pt>
          <cx:pt idx="39">0.75590000000000002</cx:pt>
          <cx:pt idx="40">0.6976</cx:pt>
          <cx:pt idx="41">1.129</cx:pt>
          <cx:pt idx="42">0.42070000000000002</cx:pt>
          <cx:pt idx="43">0.61319999999999997</cx:pt>
          <cx:pt idx="44">0.75009999999999999</cx:pt>
          <cx:pt idx="45">0.58130000000000004</cx:pt>
          <cx:pt idx="46">2.1457999999999999</cx:pt>
          <cx:pt idx="47">0.38090000000000002</cx:pt>
          <cx:pt idx="48">1.4305000000000001</cx:pt>
          <cx:pt idx="49">1.1422000000000001</cx:pt>
          <cx:pt idx="50">0.8589</cx:pt>
          <cx:pt idx="51">1.6548</cx:pt>
          <cx:pt idx="52">0.85819999999999996</cx:pt>
          <cx:pt idx="53">1.798</cx:pt>
          <cx:pt idx="54">1.2485999999999999</cx:pt>
          <cx:pt idx="55">0.92030000000000001</cx:pt>
          <cx:pt idx="56">1.4228000000000001</cx:pt>
          <cx:pt idx="57">0.86909999999999998</cx:pt>
          <cx:pt idx="58">1.5174000000000001</cx:pt>
          <cx:pt idx="59">0.61099999999999999</cx:pt>
        </cx:lvl>
      </cx:numDim>
    </cx:data>
  </cx:chartData>
  <cx:chart>
    <cx:plotArea>
      <cx:plotAreaRegion>
        <cx:series layoutId="boxWhisker" uniqueId="{4322CA09-E7A4-48E4-8F15-00AB8A7574FD}">
          <cx:tx>
            <cx:txData>
              <cx:f>'Ящик с усами T КРР'!$D$1</cx:f>
              <cx:v>RRL</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4"/>
            <cx:dataLabelHidden idx="5"/>
            <cx:dataLabelHidden idx="13"/>
            <cx:dataLabelHidden idx="14"/>
            <cx:dataLabelHidden idx="16"/>
            <cx:dataLabelHidden idx="17"/>
            <cx:dataLabelHidden idx="18"/>
            <cx:dataLabelHidden idx="44"/>
            <cx:dataLabelHidden idx="45"/>
            <cx:dataLabelHidden idx="46"/>
            <cx:dataLabelHidden idx="48"/>
            <cx:dataLabelHidden idx="49"/>
            <cx:dataLabelHidden idx="50"/>
            <cx:dataLabelHidden idx="71"/>
            <cx:dataLabelHidden idx="72"/>
            <cx:dataLabelHidden idx="74"/>
            <cx:dataLabelHidden idx="75"/>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68.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T КРР'!$A$2:$A$61</cx:f>
        <cx:lvl ptCount="60">
          <cx:pt idx="0">T1</cx:pt>
          <cx:pt idx="1">T2</cx:pt>
          <cx:pt idx="2">T2</cx:pt>
          <cx:pt idx="3">T2</cx:pt>
          <cx:pt idx="4">T2</cx:pt>
          <cx:pt idx="5">T2</cx:pt>
          <cx:pt idx="6">T2</cx:pt>
          <cx:pt idx="7">T2</cx:pt>
          <cx:pt idx="8">T2</cx:pt>
          <cx:pt idx="9">T2</cx:pt>
          <cx:pt idx="10">T3</cx:pt>
          <cx:pt idx="11">T3</cx:pt>
          <cx:pt idx="12">T3</cx:pt>
          <cx:pt idx="13">T3</cx:pt>
          <cx:pt idx="14">T3</cx:pt>
          <cx:pt idx="15">T3</cx:pt>
          <cx:pt idx="16">T3</cx:pt>
          <cx:pt idx="17">T3</cx:pt>
          <cx:pt idx="18">T3</cx:pt>
          <cx:pt idx="19">T3</cx:pt>
          <cx:pt idx="20">T3</cx:pt>
          <cx:pt idx="21">T3</cx:pt>
          <cx:pt idx="22">T3</cx:pt>
          <cx:pt idx="23">T3</cx:pt>
          <cx:pt idx="24">T3</cx:pt>
          <cx:pt idx="25">T3</cx:pt>
          <cx:pt idx="26">T3</cx:pt>
          <cx:pt idx="27">T3</cx:pt>
          <cx:pt idx="28">T3</cx:pt>
          <cx:pt idx="29">T3</cx:pt>
          <cx:pt idx="30">T3</cx:pt>
          <cx:pt idx="31">T3</cx:pt>
          <cx:pt idx="32">T3</cx:pt>
          <cx:pt idx="33">T3</cx:pt>
          <cx:pt idx="34">T3</cx:pt>
          <cx:pt idx="35">T3</cx:pt>
          <cx:pt idx="36">T3</cx:pt>
          <cx:pt idx="37">T3</cx:pt>
          <cx:pt idx="38">T4</cx:pt>
          <cx:pt idx="39">T4</cx:pt>
          <cx:pt idx="40">T4</cx:pt>
          <cx:pt idx="41">T4</cx:pt>
          <cx:pt idx="42">T4</cx:pt>
          <cx:pt idx="43">T4</cx:pt>
          <cx:pt idx="44">T4</cx:pt>
          <cx:pt idx="45">T4</cx:pt>
          <cx:pt idx="46">T4</cx:pt>
          <cx:pt idx="47">T4</cx:pt>
          <cx:pt idx="48">T4</cx:pt>
          <cx:pt idx="49">T4</cx:pt>
          <cx:pt idx="50">T4</cx:pt>
          <cx:pt idx="51">T4</cx:pt>
          <cx:pt idx="52">T4</cx:pt>
          <cx:pt idx="53">T4</cx:pt>
          <cx:pt idx="54">T4</cx:pt>
          <cx:pt idx="55">T4</cx:pt>
          <cx:pt idx="56">T4</cx:pt>
          <cx:pt idx="57">T4</cx:pt>
          <cx:pt idx="58">T4</cx:pt>
          <cx:pt idx="59">T4</cx:pt>
        </cx:lvl>
      </cx:strDim>
      <cx:numDim type="val">
        <cx:f>'Ящик с усами T КРР'!$E$2:$E$61</cx:f>
        <cx:lvl ptCount="60" formatCode="0,00">
          <cx:pt idx="0">1.3078000000000001</cx:pt>
          <cx:pt idx="1">1.0718000000000001</cx:pt>
          <cx:pt idx="2">1.4419999999999999</cx:pt>
          <cx:pt idx="3">1.1160000000000001</cx:pt>
          <cx:pt idx="4">0.32700000000000001</cx:pt>
          <cx:pt idx="5">0.9194</cx:pt>
          <cx:pt idx="6">0.50090000000000001</cx:pt>
          <cx:pt idx="7">2.2519</cx:pt>
          <cx:pt idx="8">1.1407</cx:pt>
          <cx:pt idx="9">0.99890000000000001</cx:pt>
          <cx:pt idx="10">0.85360000000000003</cx:pt>
          <cx:pt idx="11">0.61419999999999997</cx:pt>
          <cx:pt idx="12">0.56020000000000003</cx:pt>
          <cx:pt idx="13">0.7883</cx:pt>
          <cx:pt idx="14">0.61719999999999997</cx:pt>
          <cx:pt idx="15">0.46039999999999998</cx:pt>
          <cx:pt idx="16">0.62180000000000002</cx:pt>
          <cx:pt idx="17">0.58099999999999996</cx:pt>
          <cx:pt idx="18">0.58230000000000004</cx:pt>
          <cx:pt idx="19">0.50339999999999996</cx:pt>
          <cx:pt idx="20">0.49919999999999998</cx:pt>
          <cx:pt idx="21">0.50429999999999997</cx:pt>
          <cx:pt idx="22">0.92000000000000004</cx:pt>
          <cx:pt idx="23">0.53520000000000001</cx:pt>
          <cx:pt idx="24">0.71160000000000001</cx:pt>
          <cx:pt idx="25">0.75509999999999999</cx:pt>
          <cx:pt idx="26">1.8771</cx:pt>
          <cx:pt idx="27">0.62219999999999998</cx:pt>
          <cx:pt idx="28">1.2042999999999999</cx:pt>
          <cx:pt idx="29">0.53180000000000005</cx:pt>
          <cx:pt idx="30">1.1100000000000001</cx:pt>
          <cx:pt idx="31">0.45839999999999997</cx:pt>
          <cx:pt idx="32">0.5746</cx:pt>
          <cx:pt idx="33">0.7006</cx:pt>
          <cx:pt idx="34">1.5598000000000001</cx:pt>
          <cx:pt idx="35">0.69920000000000004</cx:pt>
          <cx:pt idx="36">1.5353000000000001</cx:pt>
          <cx:pt idx="37">0.93089999999999995</cx:pt>
          <cx:pt idx="38">0.79620000000000002</cx:pt>
          <cx:pt idx="39">1.1435</cx:pt>
          <cx:pt idx="40">0.58930000000000005</cx:pt>
          <cx:pt idx="41">0.9839</cx:pt>
          <cx:pt idx="42">0.5403</cx:pt>
          <cx:pt idx="43">0.44140000000000001</cx:pt>
          <cx:pt idx="44">0.66969999999999996</cx:pt>
          <cx:pt idx="45">0.45290000000000002</cx:pt>
          <cx:pt idx="46">1.4247000000000001</cx:pt>
          <cx:pt idx="47">0.41799999999999998</cx:pt>
          <cx:pt idx="48">1.6369</cx:pt>
          <cx:pt idx="49">1.0603</cx:pt>
          <cx:pt idx="50">0.76190000000000002</cx:pt>
          <cx:pt idx="51">1.6229</cx:pt>
          <cx:pt idx="52">0.62380000000000002</cx:pt>
          <cx:pt idx="53">1.1052</cx:pt>
          <cx:pt idx="54">0.9294</cx:pt>
          <cx:pt idx="55">0.84889999999999999</cx:pt>
          <cx:pt idx="56">1.1613</cx:pt>
          <cx:pt idx="57">1.5258</cx:pt>
          <cx:pt idx="58">1.3401000000000001</cx:pt>
          <cx:pt idx="59">0.79779999999999995</cx:pt>
        </cx:lvl>
      </cx:numDim>
    </cx:data>
  </cx:chartData>
  <cx:chart>
    <cx:plotArea>
      <cx:plotAreaRegion>
        <cx:series layoutId="boxWhisker" uniqueId="{2F0F7668-FC2D-4622-A6DE-08C409BCC60C}">
          <cx:tx>
            <cx:txData>
              <cx:f>'Ящик с усами T КРР'!$E$1</cx:f>
              <cx:v>RU</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4"/>
            <cx:dataLabelHidden idx="5"/>
            <cx:dataLabelHidden idx="12"/>
            <cx:dataLabelHidden idx="13"/>
            <cx:dataLabelHidden idx="14"/>
            <cx:dataLabelHidden idx="16"/>
            <cx:dataLabelHidden idx="17"/>
            <cx:dataLabelHidden idx="18"/>
            <cx:dataLabelHidden idx="42"/>
            <cx:dataLabelHidden idx="43"/>
            <cx:dataLabelHidden idx="45"/>
            <cx:dataLabelHidden idx="46"/>
            <cx:dataLabelHidden idx="48"/>
            <cx:dataLabelHidden idx="49"/>
            <cx:dataLabelHidden idx="50"/>
            <cx:dataLabelHidden idx="71"/>
            <cx:dataLabelHidden idx="72"/>
            <cx:dataLabelHidden idx="74"/>
            <cx:dataLabelHidden idx="75"/>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69.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T КРР'!$A$2:$A$61</cx:f>
        <cx:lvl ptCount="60">
          <cx:pt idx="0">T1</cx:pt>
          <cx:pt idx="1">T2</cx:pt>
          <cx:pt idx="2">T2</cx:pt>
          <cx:pt idx="3">T2</cx:pt>
          <cx:pt idx="4">T2</cx:pt>
          <cx:pt idx="5">T2</cx:pt>
          <cx:pt idx="6">T2</cx:pt>
          <cx:pt idx="7">T2</cx:pt>
          <cx:pt idx="8">T2</cx:pt>
          <cx:pt idx="9">T2</cx:pt>
          <cx:pt idx="10">T3</cx:pt>
          <cx:pt idx="11">T3</cx:pt>
          <cx:pt idx="12">T3</cx:pt>
          <cx:pt idx="13">T3</cx:pt>
          <cx:pt idx="14">T3</cx:pt>
          <cx:pt idx="15">T3</cx:pt>
          <cx:pt idx="16">T3</cx:pt>
          <cx:pt idx="17">T3</cx:pt>
          <cx:pt idx="18">T3</cx:pt>
          <cx:pt idx="19">T3</cx:pt>
          <cx:pt idx="20">T3</cx:pt>
          <cx:pt idx="21">T3</cx:pt>
          <cx:pt idx="22">T3</cx:pt>
          <cx:pt idx="23">T3</cx:pt>
          <cx:pt idx="24">T3</cx:pt>
          <cx:pt idx="25">T3</cx:pt>
          <cx:pt idx="26">T3</cx:pt>
          <cx:pt idx="27">T3</cx:pt>
          <cx:pt idx="28">T3</cx:pt>
          <cx:pt idx="29">T3</cx:pt>
          <cx:pt idx="30">T3</cx:pt>
          <cx:pt idx="31">T3</cx:pt>
          <cx:pt idx="32">T3</cx:pt>
          <cx:pt idx="33">T3</cx:pt>
          <cx:pt idx="34">T3</cx:pt>
          <cx:pt idx="35">T3</cx:pt>
          <cx:pt idx="36">T3</cx:pt>
          <cx:pt idx="37">T3</cx:pt>
          <cx:pt idx="38">T4</cx:pt>
          <cx:pt idx="39">T4</cx:pt>
          <cx:pt idx="40">T4</cx:pt>
          <cx:pt idx="41">T4</cx:pt>
          <cx:pt idx="42">T4</cx:pt>
          <cx:pt idx="43">T4</cx:pt>
          <cx:pt idx="44">T4</cx:pt>
          <cx:pt idx="45">T4</cx:pt>
          <cx:pt idx="46">T4</cx:pt>
          <cx:pt idx="47">T4</cx:pt>
          <cx:pt idx="48">T4</cx:pt>
          <cx:pt idx="49">T4</cx:pt>
          <cx:pt idx="50">T4</cx:pt>
          <cx:pt idx="51">T4</cx:pt>
          <cx:pt idx="52">T4</cx:pt>
          <cx:pt idx="53">T4</cx:pt>
          <cx:pt idx="54">T4</cx:pt>
          <cx:pt idx="55">T4</cx:pt>
          <cx:pt idx="56">T4</cx:pt>
          <cx:pt idx="57">T4</cx:pt>
          <cx:pt idx="58">T4</cx:pt>
          <cx:pt idx="59">T4</cx:pt>
        </cx:lvl>
      </cx:strDim>
      <cx:numDim type="val">
        <cx:f>'Ящик с усами T КРР'!$F$2:$F$61</cx:f>
        <cx:lvl ptCount="60" formatCode="0,00">
          <cx:pt idx="0">0.67290000000000005</cx:pt>
          <cx:pt idx="1">1.2702</cx:pt>
          <cx:pt idx="2">1.5286</cx:pt>
          <cx:pt idx="3">0.8669</cx:pt>
          <cx:pt idx="4">0.95820000000000005</cx:pt>
          <cx:pt idx="5">0.85799999999999998</cx:pt>
          <cx:pt idx="6">0.59099999999999997</cx:pt>
          <cx:pt idx="7">0.94620000000000004</cx:pt>
          <cx:pt idx="8">1.1879</cx:pt>
          <cx:pt idx="9">1.0149999999999999</cx:pt>
          <cx:pt idx="10">1.0275000000000001</cx:pt>
          <cx:pt idx="11">0.78820000000000001</cx:pt>
          <cx:pt idx="12">0.78390000000000004</cx:pt>
          <cx:pt idx="13">1.1021000000000001</cx:pt>
          <cx:pt idx="14">1.0688</cx:pt>
          <cx:pt idx="15">0.28570000000000001</cx:pt>
          <cx:pt idx="16">0.50590000000000002</cx:pt>
          <cx:pt idx="17">0.61040000000000005</cx:pt>
          <cx:pt idx="18">0.78900000000000003</cx:pt>
          <cx:pt idx="19">0.1153</cx:pt>
          <cx:pt idx="20">0.5655</cx:pt>
          <cx:pt idx="21">0.6855</cx:pt>
          <cx:pt idx="22">0.93159999999999998</cx:pt>
          <cx:pt idx="23">0.66900000000000004</cx:pt>
          <cx:pt idx="24">0.8115</cx:pt>
          <cx:pt idx="25">1.0942000000000001</cx:pt>
          <cx:pt idx="26">2.2650000000000001</cx:pt>
          <cx:pt idx="27">0.77680000000000005</cx:pt>
          <cx:pt idx="28">1.6556999999999999</cx:pt>
          <cx:pt idx="29">0.38800000000000001</cx:pt>
          <cx:pt idx="30">1.4387000000000001</cx:pt>
          <cx:pt idx="31">0.34599999999999997</cx:pt>
          <cx:pt idx="32">0.72240000000000004</cx:pt>
          <cx:pt idx="33">0.53090000000000004</cx:pt>
          <cx:pt idx="34">1.0646</cx:pt>
          <cx:pt idx="35">0.97929999999999995</cx:pt>
          <cx:pt idx="36">1.3353999999999999</cx:pt>
          <cx:pt idx="37">0.92610000000000003</cx:pt>
          <cx:pt idx="38">1.1175999999999999</cx:pt>
          <cx:pt idx="39">0.95530000000000004</cx:pt>
          <cx:pt idx="40">0.64480000000000004</cx:pt>
          <cx:pt idx="41">0.76160000000000005</cx:pt>
          <cx:pt idx="42">0.60909999999999997</cx:pt>
          <cx:pt idx="43">0.38290000000000002</cx:pt>
          <cx:pt idx="44">0.90800000000000003</cx:pt>
          <cx:pt idx="45">0.4617</cx:pt>
          <cx:pt idx="46">1.4926999999999999</cx:pt>
          <cx:pt idx="47">0.44419999999999998</cx:pt>
          <cx:pt idx="48">0.93689999999999996</cx:pt>
          <cx:pt idx="49">0.87970000000000004</cx:pt>
          <cx:pt idx="50">0.59360000000000002</cx:pt>
          <cx:pt idx="51">1.6148</cx:pt>
          <cx:pt idx="52">0.8538</cx:pt>
          <cx:pt idx="53">1.2293000000000001</cx:pt>
          <cx:pt idx="54">1.1423000000000001</cx:pt>
          <cx:pt idx="55">0.78779999999999994</cx:pt>
          <cx:pt idx="56">1.4469000000000001</cx:pt>
          <cx:pt idx="57">0.9244</cx:pt>
          <cx:pt idx="58">0.76219999999999999</cx:pt>
          <cx:pt idx="59">0.62490000000000001</cx:pt>
        </cx:lvl>
      </cx:numDim>
    </cx:data>
  </cx:chartData>
  <cx:chart>
    <cx:plotArea>
      <cx:plotAreaRegion>
        <cx:series layoutId="boxWhisker" uniqueId="{0FAD7FF3-11F2-4484-AFD3-93E79BBA6EDE}">
          <cx:tx>
            <cx:txData>
              <cx:f>'Ящик с усами T КРР'!$F$1</cx:f>
              <cx:v>RLL</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4"/>
            <cx:dataLabelHidden idx="5"/>
            <cx:dataLabelHidden idx="13"/>
            <cx:dataLabelHidden idx="14"/>
            <cx:dataLabelHidden idx="16"/>
            <cx:dataLabelHidden idx="17"/>
            <cx:dataLabelHidden idx="18"/>
            <cx:dataLabelHidden idx="44"/>
            <cx:dataLabelHidden idx="45"/>
            <cx:dataLabelHidden idx="46"/>
            <cx:dataLabelHidden idx="48"/>
            <cx:dataLabelHidden idx="49"/>
            <cx:dataLabelHidden idx="50"/>
            <cx:dataLabelHidden idx="71"/>
            <cx:dataLabelHidden idx="72"/>
            <cx:dataLabelHidden idx="74"/>
            <cx:dataLabelHidden idx="75"/>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7.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T РЯ'!$A$2:$A$54</cx:f>
        <cx:lvl ptCount="53">
          <cx:pt idx="0">T1</cx:pt>
          <cx:pt idx="1">T1</cx:pt>
          <cx:pt idx="2">T1</cx:pt>
          <cx:pt idx="3">T1</cx:pt>
          <cx:pt idx="4">T1</cx:pt>
          <cx:pt idx="5">T1</cx:pt>
          <cx:pt idx="6">T1</cx:pt>
          <cx:pt idx="7">T1</cx:pt>
          <cx:pt idx="8">T2</cx:pt>
          <cx:pt idx="9">T2</cx:pt>
          <cx:pt idx="10">T2</cx:pt>
          <cx:pt idx="11">T2</cx:pt>
          <cx:pt idx="12">T2</cx:pt>
          <cx:pt idx="13">T2</cx:pt>
          <cx:pt idx="14">T2</cx:pt>
          <cx:pt idx="15">T2</cx:pt>
          <cx:pt idx="16">T2</cx:pt>
          <cx:pt idx="17">T2</cx:pt>
          <cx:pt idx="18">T2</cx:pt>
          <cx:pt idx="19">T2</cx:pt>
          <cx:pt idx="20">T2</cx:pt>
          <cx:pt idx="21">T2</cx:pt>
          <cx:pt idx="22">T2</cx:pt>
          <cx:pt idx="23">T3</cx:pt>
          <cx:pt idx="24">T3</cx:pt>
          <cx:pt idx="25">T3</cx:pt>
          <cx:pt idx="26">T3</cx:pt>
          <cx:pt idx="27">T3</cx:pt>
          <cx:pt idx="28">T3</cx:pt>
          <cx:pt idx="29">T3</cx:pt>
          <cx:pt idx="30">T3</cx:pt>
          <cx:pt idx="31">T3</cx:pt>
          <cx:pt idx="32">T3</cx:pt>
          <cx:pt idx="33">T3</cx:pt>
          <cx:pt idx="34">T3</cx:pt>
          <cx:pt idx="35">T3</cx:pt>
          <cx:pt idx="36">T3</cx:pt>
          <cx:pt idx="37">T3</cx:pt>
          <cx:pt idx="38">T3</cx:pt>
          <cx:pt idx="39">T3</cx:pt>
          <cx:pt idx="40">T3</cx:pt>
          <cx:pt idx="41">T3</cx:pt>
          <cx:pt idx="42">T3</cx:pt>
          <cx:pt idx="43">T3</cx:pt>
          <cx:pt idx="44">T3</cx:pt>
          <cx:pt idx="45">T3</cx:pt>
          <cx:pt idx="46">T3</cx:pt>
          <cx:pt idx="47">T3</cx:pt>
          <cx:pt idx="48">T3</cx:pt>
          <cx:pt idx="49">T3</cx:pt>
          <cx:pt idx="50">T3</cx:pt>
          <cx:pt idx="51">T4</cx:pt>
          <cx:pt idx="52">T4</cx:pt>
        </cx:lvl>
      </cx:strDim>
      <cx:numDim type="val">
        <cx:f>'Ящик с усами T РЯ'!$G$2:$G$54</cx:f>
        <cx:lvl ptCount="53" formatCode="0,00">
          <cx:pt idx="0">0.47999999999999998</cx:pt>
          <cx:pt idx="1">0.53000000000000003</cx:pt>
          <cx:pt idx="2">0.77000000000000002</cx:pt>
          <cx:pt idx="3">0.14999999999999999</cx:pt>
          <cx:pt idx="4">0.53000000000000003</cx:pt>
          <cx:pt idx="5">0.76000000000000001</cx:pt>
          <cx:pt idx="6">0.55000000000000004</cx:pt>
          <cx:pt idx="7">0.77000000000000002</cx:pt>
          <cx:pt idx="8">0.55000000000000004</cx:pt>
          <cx:pt idx="9">0.39000000000000001</cx:pt>
          <cx:pt idx="10">0.40999999999999998</cx:pt>
          <cx:pt idx="11">0.29999999999999999</cx:pt>
          <cx:pt idx="12">0.39000000000000001</cx:pt>
          <cx:pt idx="13">0.40000000000000002</cx:pt>
          <cx:pt idx="14">0.48999999999999999</cx:pt>
          <cx:pt idx="15">0.51000000000000001</cx:pt>
          <cx:pt idx="16">0.56999999999999995</cx:pt>
          <cx:pt idx="17">0.28999999999999998</cx:pt>
          <cx:pt idx="18">1.1100000000000001</cx:pt>
          <cx:pt idx="19">0.45000000000000001</cx:pt>
          <cx:pt idx="20">0.91000000000000003</cx:pt>
          <cx:pt idx="21">1.1000000000000001</cx:pt>
          <cx:pt idx="22">0.60999999999999999</cx:pt>
          <cx:pt idx="23">0.51000000000000001</cx:pt>
          <cx:pt idx="24">0.57999999999999996</cx:pt>
          <cx:pt idx="25">0.35999999999999999</cx:pt>
          <cx:pt idx="26">0.46000000000000002</cx:pt>
          <cx:pt idx="27">0.32000000000000001</cx:pt>
          <cx:pt idx="28">0.44</cx:pt>
          <cx:pt idx="29">0.52000000000000002</cx:pt>
          <cx:pt idx="30">0.98999999999999999</cx:pt>
          <cx:pt idx="31">0.46999999999999997</cx:pt>
          <cx:pt idx="32">0.55000000000000004</cx:pt>
          <cx:pt idx="33">1.3700000000000001</cx:pt>
          <cx:pt idx="34">0.66000000000000003</cx:pt>
          <cx:pt idx="35">0.47999999999999998</cx:pt>
          <cx:pt idx="36">0.96999999999999997</cx:pt>
          <cx:pt idx="37">0.62</cx:pt>
          <cx:pt idx="38">1.1100000000000001</cx:pt>
          <cx:pt idx="39">0.98999999999999999</cx:pt>
          <cx:pt idx="40">0.83999999999999997</cx:pt>
          <cx:pt idx="41">0.52000000000000002</cx:pt>
          <cx:pt idx="42">1.02</cx:pt>
          <cx:pt idx="43">1.05</cx:pt>
          <cx:pt idx="44">0.83999999999999997</cx:pt>
          <cx:pt idx="45">0.73999999999999999</cx:pt>
          <cx:pt idx="46">0.82999999999999996</cx:pt>
          <cx:pt idx="47">0.51000000000000001</cx:pt>
          <cx:pt idx="48">0.83999999999999997</cx:pt>
          <cx:pt idx="49">0.78000000000000003</cx:pt>
          <cx:pt idx="50">0.35999999999999999</cx:pt>
          <cx:pt idx="51">0.75</cx:pt>
          <cx:pt idx="52">0.53000000000000003</cx:pt>
        </cx:lvl>
      </cx:numDim>
    </cx:data>
  </cx:chartData>
  <cx:chart>
    <cx:plotArea>
      <cx:plotAreaRegion>
        <cx:series layoutId="boxWhisker" uniqueId="{F5BA530E-9303-4DD2-9BD0-206B54162366}">
          <cx:tx>
            <cx:txData>
              <cx:f>'Ящик с усами T РЯ'!$G$1</cx:f>
              <cx:v>RRI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7"/>
            <cx:dataLabelHidden idx="8"/>
            <cx:dataLabelHidden idx="10"/>
            <cx:dataLabelHidden idx="11"/>
            <cx:dataLabelHidden idx="12"/>
            <cx:dataLabelHidden idx="24"/>
            <cx:dataLabelHidden idx="25"/>
            <cx:dataLabelHidden idx="27"/>
            <cx:dataLabelHidden idx="29"/>
            <cx:dataLabelHidden idx="30"/>
            <cx:dataLabelHidden idx="31"/>
            <cx:dataLabelHidden idx="58"/>
            <cx:dataLabelHidden idx="59"/>
            <cx:dataLabelHidden idx="61"/>
            <cx:dataLabelHidden idx="62"/>
            <cx:dataLabelHidden idx="63"/>
            <cx:dataLabelHidden idx="64"/>
            <cx:dataLabelHidden idx="65"/>
            <cx:dataLabelHidden idx="67"/>
            <cx:dataLabelHidden idx="68"/>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70.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T КРР'!$A$2:$A$61</cx:f>
        <cx:lvl ptCount="60">
          <cx:pt idx="0">T1</cx:pt>
          <cx:pt idx="1">T2</cx:pt>
          <cx:pt idx="2">T2</cx:pt>
          <cx:pt idx="3">T2</cx:pt>
          <cx:pt idx="4">T2</cx:pt>
          <cx:pt idx="5">T2</cx:pt>
          <cx:pt idx="6">T2</cx:pt>
          <cx:pt idx="7">T2</cx:pt>
          <cx:pt idx="8">T2</cx:pt>
          <cx:pt idx="9">T2</cx:pt>
          <cx:pt idx="10">T3</cx:pt>
          <cx:pt idx="11">T3</cx:pt>
          <cx:pt idx="12">T3</cx:pt>
          <cx:pt idx="13">T3</cx:pt>
          <cx:pt idx="14">T3</cx:pt>
          <cx:pt idx="15">T3</cx:pt>
          <cx:pt idx="16">T3</cx:pt>
          <cx:pt idx="17">T3</cx:pt>
          <cx:pt idx="18">T3</cx:pt>
          <cx:pt idx="19">T3</cx:pt>
          <cx:pt idx="20">T3</cx:pt>
          <cx:pt idx="21">T3</cx:pt>
          <cx:pt idx="22">T3</cx:pt>
          <cx:pt idx="23">T3</cx:pt>
          <cx:pt idx="24">T3</cx:pt>
          <cx:pt idx="25">T3</cx:pt>
          <cx:pt idx="26">T3</cx:pt>
          <cx:pt idx="27">T3</cx:pt>
          <cx:pt idx="28">T3</cx:pt>
          <cx:pt idx="29">T3</cx:pt>
          <cx:pt idx="30">T3</cx:pt>
          <cx:pt idx="31">T3</cx:pt>
          <cx:pt idx="32">T3</cx:pt>
          <cx:pt idx="33">T3</cx:pt>
          <cx:pt idx="34">T3</cx:pt>
          <cx:pt idx="35">T3</cx:pt>
          <cx:pt idx="36">T3</cx:pt>
          <cx:pt idx="37">T3</cx:pt>
          <cx:pt idx="38">T4</cx:pt>
          <cx:pt idx="39">T4</cx:pt>
          <cx:pt idx="40">T4</cx:pt>
          <cx:pt idx="41">T4</cx:pt>
          <cx:pt idx="42">T4</cx:pt>
          <cx:pt idx="43">T4</cx:pt>
          <cx:pt idx="44">T4</cx:pt>
          <cx:pt idx="45">T4</cx:pt>
          <cx:pt idx="46">T4</cx:pt>
          <cx:pt idx="47">T4</cx:pt>
          <cx:pt idx="48">T4</cx:pt>
          <cx:pt idx="49">T4</cx:pt>
          <cx:pt idx="50">T4</cx:pt>
          <cx:pt idx="51">T4</cx:pt>
          <cx:pt idx="52">T4</cx:pt>
          <cx:pt idx="53">T4</cx:pt>
          <cx:pt idx="54">T4</cx:pt>
          <cx:pt idx="55">T4</cx:pt>
          <cx:pt idx="56">T4</cx:pt>
          <cx:pt idx="57">T4</cx:pt>
          <cx:pt idx="58">T4</cx:pt>
          <cx:pt idx="59">T4</cx:pt>
        </cx:lvl>
      </cx:strDim>
      <cx:numDim type="val">
        <cx:f>'Ящик с усами T КРР'!$G$2:$G$61</cx:f>
        <cx:lvl ptCount="60" formatCode="0,00">
          <cx:pt idx="0">1.0667</cx:pt>
          <cx:pt idx="1">1.3323</cx:pt>
          <cx:pt idx="2">0.9093</cx:pt>
          <cx:pt idx="3">1.0225</cx:pt>
          <cx:pt idx="4">0.76639999999999997</cx:pt>
          <cx:pt idx="5">1.0146999999999999</cx:pt>
          <cx:pt idx="6">0.68969999999999998</cx:pt>
          <cx:pt idx="7">0.7863</cx:pt>
          <cx:pt idx="8">0.73499999999999999</cx:pt>
          <cx:pt idx="9">1.1698</cx:pt>
          <cx:pt idx="10">1.0057</cx:pt>
          <cx:pt idx="11">1.0752999999999999</cx:pt>
          <cx:pt idx="12">0.79200000000000004</cx:pt>
          <cx:pt idx="13">1.0212000000000001</cx:pt>
          <cx:pt idx="14">1.0179</cx:pt>
          <cx:pt idx="15">0.38940000000000002</cx:pt>
          <cx:pt idx="16">0.54649999999999999</cx:pt>
          <cx:pt idx="17">0.52869999999999995</cx:pt>
          <cx:pt idx="18">0.5786</cx:pt>
          <cx:pt idx="19">0.26400000000000001</cx:pt>
          <cx:pt idx="20">0.51929999999999998</cx:pt>
          <cx:pt idx="21">0.72970000000000002</cx:pt>
          <cx:pt idx="22">0.8397</cx:pt>
          <cx:pt idx="23">0.66810000000000003</cx:pt>
          <cx:pt idx="24">1.1648000000000001</cx:pt>
          <cx:pt idx="25">0.55669999999999997</cx:pt>
          <cx:pt idx="26">1.4702</cx:pt>
          <cx:pt idx="27">0.58360000000000001</cx:pt>
          <cx:pt idx="28">1.1412</cx:pt>
          <cx:pt idx="29">0.50939999999999996</cx:pt>
          <cx:pt idx="30">0.68799999999999994</cx:pt>
          <cx:pt idx="31">0.41070000000000001</cx:pt>
          <cx:pt idx="32">0.3463</cx:pt>
          <cx:pt idx="33">0.49049999999999999</cx:pt>
          <cx:pt idx="34">1.6856</cx:pt>
          <cx:pt idx="35">0.52959999999999996</cx:pt>
          <cx:pt idx="36">1.097</cx:pt>
          <cx:pt idx="37">0.66979999999999995</cx:pt>
          <cx:pt idx="38">1.5214000000000001</cx:pt>
          <cx:pt idx="39">1.2581</cx:pt>
          <cx:pt idx="40">0.97440000000000004</cx:pt>
          <cx:pt idx="41">0.96640000000000004</cx:pt>
          <cx:pt idx="42">0.51139999999999997</cx:pt>
          <cx:pt idx="43">0.44090000000000001</cx:pt>
          <cx:pt idx="44">0.51759999999999995</cx:pt>
          <cx:pt idx="45">0.63759999999999994</cx:pt>
          <cx:pt idx="46">1.1778</cx:pt>
          <cx:pt idx="47">0.58889999999999998</cx:pt>
          <cx:pt idx="48">0.70120000000000005</cx:pt>
          <cx:pt idx="49">0.56410000000000005</cx:pt>
          <cx:pt idx="50">0.70689999999999997</cx:pt>
          <cx:pt idx="51">1.0529999999999999</cx:pt>
          <cx:pt idx="52">0.51900000000000002</cx:pt>
          <cx:pt idx="53">0.92610000000000003</cx:pt>
          <cx:pt idx="54">0.54830000000000001</cx:pt>
          <cx:pt idx="55">0.4335</cx:pt>
          <cx:pt idx="56">1.3482000000000001</cx:pt>
          <cx:pt idx="57">0.72460000000000002</cx:pt>
          <cx:pt idx="58">1.2285999999999999</cx:pt>
          <cx:pt idx="59">0.77859999999999996</cx:pt>
        </cx:lvl>
      </cx:numDim>
    </cx:data>
  </cx:chartData>
  <cx:chart>
    <cx:plotArea>
      <cx:plotAreaRegion>
        <cx:series layoutId="boxWhisker" uniqueId="{3954868E-43A9-4B14-BD48-4BECE74A325A}">
          <cx:tx>
            <cx:txData>
              <cx:f>'Ящик с усами T КРР'!$G$1</cx:f>
              <cx:v>RRI</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4"/>
            <cx:dataLabelHidden idx="5"/>
            <cx:dataLabelHidden idx="13"/>
            <cx:dataLabelHidden idx="14"/>
            <cx:dataLabelHidden idx="16"/>
            <cx:dataLabelHidden idx="17"/>
            <cx:dataLabelHidden idx="18"/>
            <cx:dataLabelHidden idx="45"/>
            <cx:dataLabelHidden idx="46"/>
            <cx:dataLabelHidden idx="48"/>
            <cx:dataLabelHidden idx="49"/>
            <cx:dataLabelHidden idx="50"/>
            <cx:dataLabelHidden idx="71"/>
            <cx:dataLabelHidden idx="72"/>
            <cx:dataLabelHidden idx="74"/>
            <cx:dataLabelHidden idx="75"/>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7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T КРР'!$A$2:$A$61</cx:f>
        <cx:lvl ptCount="60">
          <cx:pt idx="0">T1</cx:pt>
          <cx:pt idx="1">T2</cx:pt>
          <cx:pt idx="2">T2</cx:pt>
          <cx:pt idx="3">T2</cx:pt>
          <cx:pt idx="4">T2</cx:pt>
          <cx:pt idx="5">T2</cx:pt>
          <cx:pt idx="6">T2</cx:pt>
          <cx:pt idx="7">T2</cx:pt>
          <cx:pt idx="8">T2</cx:pt>
          <cx:pt idx="9">T2</cx:pt>
          <cx:pt idx="10">T3</cx:pt>
          <cx:pt idx="11">T3</cx:pt>
          <cx:pt idx="12">T3</cx:pt>
          <cx:pt idx="13">T3</cx:pt>
          <cx:pt idx="14">T3</cx:pt>
          <cx:pt idx="15">T3</cx:pt>
          <cx:pt idx="16">T3</cx:pt>
          <cx:pt idx="17">T3</cx:pt>
          <cx:pt idx="18">T3</cx:pt>
          <cx:pt idx="19">T3</cx:pt>
          <cx:pt idx="20">T3</cx:pt>
          <cx:pt idx="21">T3</cx:pt>
          <cx:pt idx="22">T3</cx:pt>
          <cx:pt idx="23">T3</cx:pt>
          <cx:pt idx="24">T3</cx:pt>
          <cx:pt idx="25">T3</cx:pt>
          <cx:pt idx="26">T3</cx:pt>
          <cx:pt idx="27">T3</cx:pt>
          <cx:pt idx="28">T3</cx:pt>
          <cx:pt idx="29">T3</cx:pt>
          <cx:pt idx="30">T3</cx:pt>
          <cx:pt idx="31">T3</cx:pt>
          <cx:pt idx="32">T3</cx:pt>
          <cx:pt idx="33">T3</cx:pt>
          <cx:pt idx="34">T3</cx:pt>
          <cx:pt idx="35">T3</cx:pt>
          <cx:pt idx="36">T3</cx:pt>
          <cx:pt idx="37">T3</cx:pt>
          <cx:pt idx="38">T4</cx:pt>
          <cx:pt idx="39">T4</cx:pt>
          <cx:pt idx="40">T4</cx:pt>
          <cx:pt idx="41">T4</cx:pt>
          <cx:pt idx="42">T4</cx:pt>
          <cx:pt idx="43">T4</cx:pt>
          <cx:pt idx="44">T4</cx:pt>
          <cx:pt idx="45">T4</cx:pt>
          <cx:pt idx="46">T4</cx:pt>
          <cx:pt idx="47">T4</cx:pt>
          <cx:pt idx="48">T4</cx:pt>
          <cx:pt idx="49">T4</cx:pt>
          <cx:pt idx="50">T4</cx:pt>
          <cx:pt idx="51">T4</cx:pt>
          <cx:pt idx="52">T4</cx:pt>
          <cx:pt idx="53">T4</cx:pt>
          <cx:pt idx="54">T4</cx:pt>
          <cx:pt idx="55">T4</cx:pt>
          <cx:pt idx="56">T4</cx:pt>
          <cx:pt idx="57">T4</cx:pt>
          <cx:pt idx="58">T4</cx:pt>
          <cx:pt idx="59">T4</cx:pt>
        </cx:lvl>
      </cx:strDim>
      <cx:numDim type="val">
        <cx:f>'Ящик с усами T КРР'!$H$2:$H$61</cx:f>
        <cx:lvl ptCount="60" formatCode="0,00">
          <cx:pt idx="0">1.0501</cx:pt>
          <cx:pt idx="1">0.90720000000000001</cx:pt>
          <cx:pt idx="2">1.5311999999999999</cx:pt>
          <cx:pt idx="3">1.0337000000000001</cx:pt>
          <cx:pt idx="4">0.60829999999999995</cx:pt>
          <cx:pt idx="5">0.9234</cx:pt>
          <cx:pt idx="6">0.72899999999999998</cx:pt>
          <cx:pt idx="7">1.1920999999999999</cx:pt>
          <cx:pt idx="8">0.84889999999999999</cx:pt>
          <cx:pt idx="9">1.3254999999999999</cx:pt>
          <cx:pt idx="10">0.82799999999999996</cx:pt>
          <cx:pt idx="11">1.2715000000000001</cx:pt>
          <cx:pt idx="12">0.63839999999999997</cx:pt>
          <cx:pt idx="13">1.4131</cx:pt>
          <cx:pt idx="14">1.4077999999999999</cx:pt>
          <cx:pt idx="15">0.50719999999999998</cx:pt>
          <cx:pt idx="16">0.81489999999999996</cx:pt>
          <cx:pt idx="17">0.80289999999999995</cx:pt>
          <cx:pt idx="18">0.84089999999999998</cx:pt>
          <cx:pt idx="19">0.3649</cx:pt>
          <cx:pt idx="20">0.59919999999999995</cx:pt>
          <cx:pt idx="21">0.58450000000000002</cx:pt>
          <cx:pt idx="22">0.91569999999999996</cx:pt>
          <cx:pt idx="23">0.52200000000000002</cx:pt>
          <cx:pt idx="24">0.92279999999999995</cx:pt>
          <cx:pt idx="25">0.88470000000000004</cx:pt>
          <cx:pt idx="26">3.903</cx:pt>
          <cx:pt idx="27">0.81859999999999999</cx:pt>
          <cx:pt idx="28">1.1893</cx:pt>
          <cx:pt idx="29">0.53869999999999996</cx:pt>
          <cx:pt idx="30">1.1963999999999999</cx:pt>
          <cx:pt idx="31">0.69799999999999995</cx:pt>
          <cx:pt idx="32">0.46939999999999998</cx:pt>
          <cx:pt idx="33">0.65539999999999998</cx:pt>
          <cx:pt idx="34">1.6477999999999999</cx:pt>
          <cx:pt idx="35">0.89139999999999997</cx:pt>
          <cx:pt idx="36">1.7184999999999999</cx:pt>
          <cx:pt idx="37">0.95689999999999997</cx:pt>
          <cx:pt idx="38">0.86299999999999999</cx:pt>
          <cx:pt idx="39">1.121</cx:pt>
          <cx:pt idx="40">1.0737000000000001</cx:pt>
          <cx:pt idx="41">0.95399999999999996</cx:pt>
          <cx:pt idx="42">0.55710000000000004</cx:pt>
          <cx:pt idx="43">0.53190000000000004</cx:pt>
          <cx:pt idx="44">0.51080000000000003</cx:pt>
          <cx:pt idx="45">0.61699999999999999</cx:pt>
          <cx:pt idx="46">1.2392000000000001</cx:pt>
          <cx:pt idx="47">0.59509999999999996</cx:pt>
          <cx:pt idx="48">1.2827999999999999</cx:pt>
          <cx:pt idx="49">1.1037999999999999</cx:pt>
          <cx:pt idx="50">0.74339999999999995</cx:pt>
          <cx:pt idx="51">0.95289999999999997</cx:pt>
          <cx:pt idx="52">0.75</cx:pt>
          <cx:pt idx="53">0.86680000000000001</cx:pt>
          <cx:pt idx="54">0.74070000000000003</cx:pt>
          <cx:pt idx="55">0.81100000000000005</cx:pt>
          <cx:pt idx="56">1.4662999999999999</cx:pt>
          <cx:pt idx="57">1.5969</cx:pt>
          <cx:pt idx="58">1.355</cx:pt>
          <cx:pt idx="59">1.2072000000000001</cx:pt>
        </cx:lvl>
      </cx:numDim>
    </cx:data>
  </cx:chartData>
  <cx:chart>
    <cx:plotArea>
      <cx:plotAreaRegion>
        <cx:series layoutId="boxWhisker" uniqueId="{2AF0CF72-B74E-441C-96F0-D2BF7E748A05}">
          <cx:tx>
            <cx:txData>
              <cx:f>'Ящик с усами T КРР'!$H$1</cx:f>
              <cx:v>RP</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4"/>
            <cx:dataLabelHidden idx="5"/>
            <cx:dataLabelHidden idx="13"/>
            <cx:dataLabelHidden idx="14"/>
            <cx:dataLabelHidden idx="16"/>
            <cx:dataLabelHidden idx="17"/>
            <cx:dataLabelHidden idx="18"/>
            <cx:dataLabelHidden idx="44"/>
            <cx:dataLabelHidden idx="45"/>
            <cx:dataLabelHidden idx="46"/>
            <cx:dataLabelHidden idx="48"/>
            <cx:dataLabelHidden idx="49"/>
            <cx:dataLabelHidden idx="50"/>
            <cx:dataLabelHidden idx="71"/>
            <cx:dataLabelHidden idx="72"/>
            <cx:dataLabelHidden idx="74"/>
            <cx:dataLabelHidden idx="75"/>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72.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T КРР'!$A$2:$A$61</cx:f>
        <cx:lvl ptCount="60">
          <cx:pt idx="0">T1</cx:pt>
          <cx:pt idx="1">T2</cx:pt>
          <cx:pt idx="2">T2</cx:pt>
          <cx:pt idx="3">T2</cx:pt>
          <cx:pt idx="4">T2</cx:pt>
          <cx:pt idx="5">T2</cx:pt>
          <cx:pt idx="6">T2</cx:pt>
          <cx:pt idx="7">T2</cx:pt>
          <cx:pt idx="8">T2</cx:pt>
          <cx:pt idx="9">T2</cx:pt>
          <cx:pt idx="10">T3</cx:pt>
          <cx:pt idx="11">T3</cx:pt>
          <cx:pt idx="12">T3</cx:pt>
          <cx:pt idx="13">T3</cx:pt>
          <cx:pt idx="14">T3</cx:pt>
          <cx:pt idx="15">T3</cx:pt>
          <cx:pt idx="16">T3</cx:pt>
          <cx:pt idx="17">T3</cx:pt>
          <cx:pt idx="18">T3</cx:pt>
          <cx:pt idx="19">T3</cx:pt>
          <cx:pt idx="20">T3</cx:pt>
          <cx:pt idx="21">T3</cx:pt>
          <cx:pt idx="22">T3</cx:pt>
          <cx:pt idx="23">T3</cx:pt>
          <cx:pt idx="24">T3</cx:pt>
          <cx:pt idx="25">T3</cx:pt>
          <cx:pt idx="26">T3</cx:pt>
          <cx:pt idx="27">T3</cx:pt>
          <cx:pt idx="28">T3</cx:pt>
          <cx:pt idx="29">T3</cx:pt>
          <cx:pt idx="30">T3</cx:pt>
          <cx:pt idx="31">T3</cx:pt>
          <cx:pt idx="32">T3</cx:pt>
          <cx:pt idx="33">T3</cx:pt>
          <cx:pt idx="34">T3</cx:pt>
          <cx:pt idx="35">T3</cx:pt>
          <cx:pt idx="36">T3</cx:pt>
          <cx:pt idx="37">T3</cx:pt>
          <cx:pt idx="38">T4</cx:pt>
          <cx:pt idx="39">T4</cx:pt>
          <cx:pt idx="40">T4</cx:pt>
          <cx:pt idx="41">T4</cx:pt>
          <cx:pt idx="42">T4</cx:pt>
          <cx:pt idx="43">T4</cx:pt>
          <cx:pt idx="44">T4</cx:pt>
          <cx:pt idx="45">T4</cx:pt>
          <cx:pt idx="46">T4</cx:pt>
          <cx:pt idx="47">T4</cx:pt>
          <cx:pt idx="48">T4</cx:pt>
          <cx:pt idx="49">T4</cx:pt>
          <cx:pt idx="50">T4</cx:pt>
          <cx:pt idx="51">T4</cx:pt>
          <cx:pt idx="52">T4</cx:pt>
          <cx:pt idx="53">T4</cx:pt>
          <cx:pt idx="54">T4</cx:pt>
          <cx:pt idx="55">T4</cx:pt>
          <cx:pt idx="56">T4</cx:pt>
          <cx:pt idx="57">T4</cx:pt>
          <cx:pt idx="58">T4</cx:pt>
          <cx:pt idx="59">T4</cx:pt>
        </cx:lvl>
      </cx:strDim>
      <cx:numDim type="val">
        <cx:f>'Ящик с усами T КРР'!$I$2:$I$61</cx:f>
        <cx:lvl ptCount="60" formatCode="0,00">
          <cx:pt idx="0">0.75209999999999999</cx:pt>
          <cx:pt idx="1">0.97509999999999997</cx:pt>
          <cx:pt idx="2">1.6128</cx:pt>
          <cx:pt idx="3">0.90480000000000005</cx:pt>
          <cx:pt idx="4">0.40820000000000001</cx:pt>
          <cx:pt idx="5">0.50429999999999997</cx:pt>
          <cx:pt idx="6">0.50919999999999999</cx:pt>
          <cx:pt idx="7">0.86980000000000002</cx:pt>
          <cx:pt idx="8">1.0703</cx:pt>
          <cx:pt idx="9">1.056</cx:pt>
          <cx:pt idx="10">0.66300000000000003</cx:pt>
          <cx:pt idx="11">0.77759999999999996</cx:pt>
          <cx:pt idx="12">0.46889999999999998</cx:pt>
          <cx:pt idx="13">0.58779999999999999</cx:pt>
          <cx:pt idx="14">1.2330000000000001</cx:pt>
          <cx:pt idx="15">0.39910000000000001</cx:pt>
          <cx:pt idx="16">0.48089999999999999</cx:pt>
          <cx:pt idx="17">0.59209999999999996</cx:pt>
          <cx:pt idx="18">0.86150000000000004</cx:pt>
          <cx:pt idx="19">0.2087</cx:pt>
          <cx:pt idx="20">0.63419999999999999</cx:pt>
          <cx:pt idx="21">0.74219999999999997</cx:pt>
          <cx:pt idx="22">0.86770000000000003</cx:pt>
          <cx:pt idx="23">0.25790000000000002</cx:pt>
          <cx:pt idx="24">0.46300000000000002</cx:pt>
          <cx:pt idx="25">0.65859999999999996</cx:pt>
          <cx:pt idx="26">2.4015</cx:pt>
          <cx:pt idx="27">0.58550000000000002</cx:pt>
          <cx:pt idx="28">1.0827</cx:pt>
          <cx:pt idx="29">0.29909999999999998</cx:pt>
          <cx:pt idx="30">0.84389999999999998</cx:pt>
          <cx:pt idx="31">0.48420000000000002</cx:pt>
          <cx:pt idx="32">0.25819999999999999</cx:pt>
          <cx:pt idx="33">0.48949999999999999</cx:pt>
          <cx:pt idx="34">2.0392000000000001</cx:pt>
          <cx:pt idx="35">0.66439999999999999</cx:pt>
          <cx:pt idx="36">0.81159999999999999</cx:pt>
          <cx:pt idx="37">0.79049999999999998</cx:pt>
          <cx:pt idx="38">1.5349999999999999</cx:pt>
          <cx:pt idx="39">0.84730000000000005</cx:pt>
          <cx:pt idx="40">0.87490000000000001</cx:pt>
          <cx:pt idx="41">0.51819999999999999</cx:pt>
          <cx:pt idx="42">0.58909999999999996</cx:pt>
          <cx:pt idx="43">0.44800000000000001</cx:pt>
          <cx:pt idx="44">0.38319999999999999</cx:pt>
          <cx:pt idx="45">0.52890000000000004</cx:pt>
          <cx:pt idx="46">0.99880000000000002</cx:pt>
          <cx:pt idx="47">0.55840000000000001</cx:pt>
          <cx:pt idx="48">1.1792</cx:pt>
          <cx:pt idx="49">0.77100000000000002</cx:pt>
          <cx:pt idx="50">0.60129999999999995</cx:pt>
          <cx:pt idx="51">0.73050000000000004</cx:pt>
          <cx:pt idx="52">0.58809999999999996</cx:pt>
          <cx:pt idx="53">0.75190000000000001</cx:pt>
          <cx:pt idx="54">0.5948</cx:pt>
          <cx:pt idx="55">0.82210000000000005</cx:pt>
          <cx:pt idx="56">1.1634</cx:pt>
          <cx:pt idx="57">0.59530000000000005</cx:pt>
          <cx:pt idx="58">0.69940000000000002</cx:pt>
          <cx:pt idx="59">0.93030000000000002</cx:pt>
        </cx:lvl>
      </cx:numDim>
    </cx:data>
  </cx:chartData>
  <cx:chart>
    <cx:plotArea>
      <cx:plotAreaRegion>
        <cx:series layoutId="boxWhisker" uniqueId="{F013B6DB-637F-416F-B79B-708E26AAB40D}">
          <cx:tx>
            <cx:txData>
              <cx:f>'Ящик с усами T КРР'!$I$1</cx:f>
              <cx:v>RLI</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4"/>
            <cx:dataLabelHidden idx="5"/>
            <cx:dataLabelHidden idx="13"/>
            <cx:dataLabelHidden idx="14"/>
            <cx:dataLabelHidden idx="16"/>
            <cx:dataLabelHidden idx="17"/>
            <cx:dataLabelHidden idx="18"/>
            <cx:dataLabelHidden idx="43"/>
            <cx:dataLabelHidden idx="44"/>
            <cx:dataLabelHidden idx="45"/>
            <cx:dataLabelHidden idx="46"/>
            <cx:dataLabelHidden idx="48"/>
            <cx:dataLabelHidden idx="49"/>
            <cx:dataLabelHidden idx="50"/>
            <cx:dataLabelHidden idx="70"/>
            <cx:dataLabelHidden idx="71"/>
            <cx:dataLabelHidden idx="72"/>
            <cx:dataLabelHidden idx="74"/>
            <cx:dataLabelHidden idx="75"/>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73.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T КРР'!$A$2:$A$61</cx:f>
        <cx:lvl ptCount="60">
          <cx:pt idx="0">T1</cx:pt>
          <cx:pt idx="1">T2</cx:pt>
          <cx:pt idx="2">T2</cx:pt>
          <cx:pt idx="3">T2</cx:pt>
          <cx:pt idx="4">T2</cx:pt>
          <cx:pt idx="5">T2</cx:pt>
          <cx:pt idx="6">T2</cx:pt>
          <cx:pt idx="7">T2</cx:pt>
          <cx:pt idx="8">T2</cx:pt>
          <cx:pt idx="9">T2</cx:pt>
          <cx:pt idx="10">T3</cx:pt>
          <cx:pt idx="11">T3</cx:pt>
          <cx:pt idx="12">T3</cx:pt>
          <cx:pt idx="13">T3</cx:pt>
          <cx:pt idx="14">T3</cx:pt>
          <cx:pt idx="15">T3</cx:pt>
          <cx:pt idx="16">T3</cx:pt>
          <cx:pt idx="17">T3</cx:pt>
          <cx:pt idx="18">T3</cx:pt>
          <cx:pt idx="19">T3</cx:pt>
          <cx:pt idx="20">T3</cx:pt>
          <cx:pt idx="21">T3</cx:pt>
          <cx:pt idx="22">T3</cx:pt>
          <cx:pt idx="23">T3</cx:pt>
          <cx:pt idx="24">T3</cx:pt>
          <cx:pt idx="25">T3</cx:pt>
          <cx:pt idx="26">T3</cx:pt>
          <cx:pt idx="27">T3</cx:pt>
          <cx:pt idx="28">T3</cx:pt>
          <cx:pt idx="29">T3</cx:pt>
          <cx:pt idx="30">T3</cx:pt>
          <cx:pt idx="31">T3</cx:pt>
          <cx:pt idx="32">T3</cx:pt>
          <cx:pt idx="33">T3</cx:pt>
          <cx:pt idx="34">T3</cx:pt>
          <cx:pt idx="35">T3</cx:pt>
          <cx:pt idx="36">T3</cx:pt>
          <cx:pt idx="37">T3</cx:pt>
          <cx:pt idx="38">T4</cx:pt>
          <cx:pt idx="39">T4</cx:pt>
          <cx:pt idx="40">T4</cx:pt>
          <cx:pt idx="41">T4</cx:pt>
          <cx:pt idx="42">T4</cx:pt>
          <cx:pt idx="43">T4</cx:pt>
          <cx:pt idx="44">T4</cx:pt>
          <cx:pt idx="45">T4</cx:pt>
          <cx:pt idx="46">T4</cx:pt>
          <cx:pt idx="47">T4</cx:pt>
          <cx:pt idx="48">T4</cx:pt>
          <cx:pt idx="49">T4</cx:pt>
          <cx:pt idx="50">T4</cx:pt>
          <cx:pt idx="51">T4</cx:pt>
          <cx:pt idx="52">T4</cx:pt>
          <cx:pt idx="53">T4</cx:pt>
          <cx:pt idx="54">T4</cx:pt>
          <cx:pt idx="55">T4</cx:pt>
          <cx:pt idx="56">T4</cx:pt>
          <cx:pt idx="57">T4</cx:pt>
          <cx:pt idx="58">T4</cx:pt>
          <cx:pt idx="59">T4</cx:pt>
        </cx:lvl>
      </cx:strDim>
      <cx:numDim type="val">
        <cx:f>'Ящик с усами T КРР'!$J$2:$J$61</cx:f>
        <cx:lvl ptCount="60" formatCode="0,00">
          <cx:pt idx="0">1.0331999999999999</cx:pt>
          <cx:pt idx="1">1.4847999999999999</cx:pt>
          <cx:pt idx="2">1.1789000000000001</cx:pt>
          <cx:pt idx="3">1.1093</cx:pt>
          <cx:pt idx="4">0.87170000000000003</cx:pt>
          <cx:pt idx="5">0.95999999999999996</cx:pt>
          <cx:pt idx="6">0.67379999999999995</cx:pt>
          <cx:pt idx="7">1.1402000000000001</cx:pt>
          <cx:pt idx="8">0.99929999999999997</cx:pt>
          <cx:pt idx="9">1.1751</cx:pt>
          <cx:pt idx="10">1.8121</cx:pt>
          <cx:pt idx="11">1.2238</cx:pt>
          <cx:pt idx="12">1.1459999999999999</cx:pt>
          <cx:pt idx="13">0.53449999999999998</cx:pt>
          <cx:pt idx="14">1.8266</cx:pt>
          <cx:pt idx="15">0.39810000000000001</cx:pt>
          <cx:pt idx="16">0.87770000000000004</cx:pt>
          <cx:pt idx="17">0.67390000000000005</cx:pt>
          <cx:pt idx="18">0.59419999999999995</cx:pt>
          <cx:pt idx="19">0.44550000000000001</cx:pt>
          <cx:pt idx="20">0.66590000000000005</cx:pt>
          <cx:pt idx="21">0.66930000000000001</cx:pt>
          <cx:pt idx="22">0.76429999999999998</cx:pt>
          <cx:pt idx="23">0.55020000000000002</cx:pt>
          <cx:pt idx="24">0.45850000000000002</cx:pt>
          <cx:pt idx="25">0.73109999999999997</cx:pt>
          <cx:pt idx="26">1.2663</cx:pt>
          <cx:pt idx="27">0.72140000000000004</cx:pt>
          <cx:pt idx="28">1.1406000000000001</cx:pt>
          <cx:pt idx="29">0.52880000000000005</cx:pt>
          <cx:pt idx="30">1.0996999999999999</cx:pt>
          <cx:pt idx="31">0.61019999999999996</cx:pt>
          <cx:pt idx="32">0.47999999999999998</cx:pt>
          <cx:pt idx="33">0.77490000000000003</cx:pt>
          <cx:pt idx="34">2.3134000000000001</cx:pt>
          <cx:pt idx="35">0.95220000000000005</cx:pt>
          <cx:pt idx="36">1.0181</cx:pt>
          <cx:pt idx="37">0.7177</cx:pt>
          <cx:pt idx="38">1.2092000000000001</cx:pt>
          <cx:pt idx="39">1.1717</cx:pt>
          <cx:pt idx="40">0.97440000000000004</cx:pt>
          <cx:pt idx="41">0.92490000000000006</cx:pt>
          <cx:pt idx="42">0.55230000000000001</cx:pt>
          <cx:pt idx="43">0.54139999999999999</cx:pt>
          <cx:pt idx="44">0.63980000000000004</cx:pt>
          <cx:pt idx="45">0.58199999999999996</cx:pt>
          <cx:pt idx="46">1.5062</cx:pt>
          <cx:pt idx="47">0.71860000000000002</cx:pt>
          <cx:pt idx="48">0.88549999999999995</cx:pt>
          <cx:pt idx="49">0.71050000000000002</cx:pt>
          <cx:pt idx="50">0.62060000000000004</cx:pt>
          <cx:pt idx="51">0.71120000000000005</cx:pt>
          <cx:pt idx="52">0.65669999999999995</cx:pt>
          <cx:pt idx="53">0.88700000000000001</cx:pt>
          <cx:pt idx="54">0.79759999999999998</cx:pt>
          <cx:pt idx="55">0.6139</cx:pt>
          <cx:pt idx="56">0.90080000000000005</cx:pt>
          <cx:pt idx="57">0.95389999999999997</cx:pt>
          <cx:pt idx="58">0.91249999999999998</cx:pt>
          <cx:pt idx="59">1.0193000000000001</cx:pt>
        </cx:lvl>
      </cx:numDim>
    </cx:data>
  </cx:chartData>
  <cx:chart>
    <cx:plotArea>
      <cx:plotAreaRegion>
        <cx:series layoutId="boxWhisker" uniqueId="{4DE12C10-B3AF-4D51-A5F9-8BDB95F7FF43}">
          <cx:tx>
            <cx:txData>
              <cx:f>'Ящик с усами T КРР'!$J$1</cx:f>
              <cx:v>P</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3"/>
            <cx:dataLabelHidden idx="4"/>
            <cx:dataLabelHidden idx="5"/>
            <cx:dataLabelHidden idx="13"/>
            <cx:dataLabelHidden idx="14"/>
            <cx:dataLabelHidden idx="16"/>
            <cx:dataLabelHidden idx="17"/>
            <cx:dataLabelHidden idx="18"/>
            <cx:dataLabelHidden idx="44"/>
            <cx:dataLabelHidden idx="45"/>
            <cx:dataLabelHidden idx="46"/>
            <cx:dataLabelHidden idx="48"/>
            <cx:dataLabelHidden idx="49"/>
            <cx:dataLabelHidden idx="50"/>
            <cx:dataLabelHidden idx="70"/>
            <cx:dataLabelHidden idx="71"/>
            <cx:dataLabelHidden idx="72"/>
            <cx:dataLabelHidden idx="74"/>
            <cx:dataLabelHidden idx="75"/>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74.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N КРР'!$A$2:$A$61</cx:f>
        <cx:lvl ptCount="60">
          <cx:pt idx="0">N0</cx:pt>
          <cx:pt idx="1">N0</cx:pt>
          <cx:pt idx="2">N0</cx:pt>
          <cx:pt idx="3">N0</cx:pt>
          <cx:pt idx="4">N0</cx:pt>
          <cx:pt idx="5">N0</cx:pt>
          <cx:pt idx="6">N0</cx:pt>
          <cx:pt idx="7">N0</cx:pt>
          <cx:pt idx="8">N0</cx:pt>
          <cx:pt idx="9">N0</cx:pt>
          <cx:pt idx="10">N0</cx:pt>
          <cx:pt idx="11">N0</cx:pt>
          <cx:pt idx="12">N0</cx:pt>
          <cx:pt idx="13">N0</cx:pt>
          <cx:pt idx="14">N0</cx:pt>
          <cx:pt idx="15">N0</cx:pt>
          <cx:pt idx="16">N0</cx:pt>
          <cx:pt idx="17">N0</cx:pt>
          <cx:pt idx="18">N0</cx:pt>
          <cx:pt idx="19">N0</cx:pt>
          <cx:pt idx="20">N0</cx:pt>
          <cx:pt idx="21">N1</cx:pt>
          <cx:pt idx="22">N1</cx:pt>
          <cx:pt idx="23">N1</cx:pt>
          <cx:pt idx="24">N1</cx:pt>
          <cx:pt idx="25">N1</cx:pt>
          <cx:pt idx="26">N1</cx:pt>
          <cx:pt idx="27">N1</cx:pt>
          <cx:pt idx="28">N1</cx:pt>
          <cx:pt idx="29">N1</cx:pt>
          <cx:pt idx="30">N1</cx:pt>
          <cx:pt idx="31">N1</cx:pt>
          <cx:pt idx="32">N1</cx:pt>
          <cx:pt idx="33">N1</cx:pt>
          <cx:pt idx="34">N1</cx:pt>
          <cx:pt idx="35">N1</cx:pt>
          <cx:pt idx="36">N1</cx:pt>
          <cx:pt idx="37">N1</cx:pt>
          <cx:pt idx="38">N1</cx:pt>
          <cx:pt idx="39">N1</cx:pt>
          <cx:pt idx="40">N1</cx:pt>
          <cx:pt idx="41">N1</cx:pt>
          <cx:pt idx="42">Nx</cx:pt>
          <cx:pt idx="43">Nx</cx:pt>
          <cx:pt idx="44">Nx</cx:pt>
          <cx:pt idx="45">Nx</cx:pt>
          <cx:pt idx="46">Nx</cx:pt>
          <cx:pt idx="47">Nx</cx:pt>
          <cx:pt idx="48">Nx</cx:pt>
          <cx:pt idx="49">Nx</cx:pt>
          <cx:pt idx="50">Nx</cx:pt>
          <cx:pt idx="51">Nx</cx:pt>
          <cx:pt idx="52">Nx</cx:pt>
          <cx:pt idx="53">Nx</cx:pt>
          <cx:pt idx="54">Nx</cx:pt>
          <cx:pt idx="55">Nx</cx:pt>
          <cx:pt idx="56">Nx</cx:pt>
          <cx:pt idx="57">Nx</cx:pt>
          <cx:pt idx="58">Nx</cx:pt>
          <cx:pt idx="59">Nx</cx:pt>
        </cx:lvl>
      </cx:strDim>
      <cx:numDim type="val">
        <cx:f>'Ящик с усами N КРР'!$B$2:$B$61</cx:f>
        <cx:lvl ptCount="60" formatCode="0,00">
          <cx:pt idx="0">0.92369999999999997</cx:pt>
          <cx:pt idx="1">0.66420000000000001</cx:pt>
          <cx:pt idx="2">0.74199999999999999</cx:pt>
          <cx:pt idx="3">0.90969999999999995</cx:pt>
          <cx:pt idx="4">1.4327000000000001</cx:pt>
          <cx:pt idx="5">0.35809999999999997</cx:pt>
          <cx:pt idx="6">0.69840000000000002</cx:pt>
          <cx:pt idx="7">0.73650000000000004</cx:pt>
          <cx:pt idx="8">0.75439999999999996</cx:pt>
          <cx:pt idx="9">0.75580000000000003</cx:pt>
          <cx:pt idx="10">0.84140000000000004</cx:pt>
          <cx:pt idx="11">1.0608</cx:pt>
          <cx:pt idx="12">1.5047999999999999</cx:pt>
          <cx:pt idx="13">1.0861000000000001</cx:pt>
          <cx:pt idx="14">0.8377</cx:pt>
          <cx:pt idx="15">0.23119999999999999</cx:pt>
          <cx:pt idx="16">0.33439999999999998</cx:pt>
          <cx:pt idx="17">1.165</cx:pt>
          <cx:pt idx="18">1.4592000000000001</cx:pt>
          <cx:pt idx="19">1.1508</cx:pt>
          <cx:pt idx="20">1.0011000000000001</cx:pt>
          <cx:pt idx="21">0.92259999999999998</cx:pt>
          <cx:pt idx="22">0.85840000000000005</cx:pt>
          <cx:pt idx="23">0.82410000000000005</cx:pt>
          <cx:pt idx="24">0.7117</cx:pt>
          <cx:pt idx="25">0.76449999999999996</cx:pt>
          <cx:pt idx="26">0.84330000000000005</cx:pt>
          <cx:pt idx="27">0.45229999999999998</cx:pt>
          <cx:pt idx="28">0.28999999999999998</cx:pt>
          <cx:pt idx="29">0.57520000000000004</cx:pt>
          <cx:pt idx="30">0.65949999999999998</cx:pt>
          <cx:pt idx="31">0.74839999999999995</cx:pt>
          <cx:pt idx="32">0.43290000000000001</cx:pt>
          <cx:pt idx="33">1.0820000000000001</cx:pt>
          <cx:pt idx="34">0.31180000000000002</cx:pt>
          <cx:pt idx="35">0.67210000000000003</cx:pt>
          <cx:pt idx="36">0.49209999999999998</cx:pt>
          <cx:pt idx="37">1.4490000000000001</cx:pt>
          <cx:pt idx="38">0.68540000000000001</cx:pt>
          <cx:pt idx="39">1.1894</cx:pt>
          <cx:pt idx="40">1.2484</cx:pt>
          <cx:pt idx="41">1.4757</cx:pt>
          <cx:pt idx="42">0.69850000000000001</cx:pt>
          <cx:pt idx="43">0.62109999999999999</cx:pt>
          <cx:pt idx="44">0.75380000000000003</cx:pt>
          <cx:pt idx="45">0.45279999999999998</cx:pt>
          <cx:pt idx="46">0.32979999999999998</cx:pt>
          <cx:pt idx="47">0.57020000000000004</cx:pt>
          <cx:pt idx="48">0.50090000000000001</cx:pt>
          <cx:pt idx="49">0.93720000000000003</cx:pt>
          <cx:pt idx="50">1.5694999999999999</cx:pt>
          <cx:pt idx="51">1.2897000000000001</cx:pt>
          <cx:pt idx="52">1.2202999999999999</cx:pt>
          <cx:pt idx="53">0.44690000000000002</cx:pt>
          <cx:pt idx="54">0.90910000000000002</cx:pt>
          <cx:pt idx="55">0.77370000000000005</cx:pt>
          <cx:pt idx="56">1.5702</cx:pt>
          <cx:pt idx="57">0.92210000000000003</cx:pt>
          <cx:pt idx="58">0.49320000000000003</cx:pt>
          <cx:pt idx="59">1.2644</cx:pt>
        </cx:lvl>
      </cx:numDim>
    </cx:data>
  </cx:chartData>
  <cx:chart>
    <cx:plotArea>
      <cx:plotAreaRegion>
        <cx:series layoutId="boxWhisker" uniqueId="{DB7602BD-7F21-4313-BC1B-4C3767B019A1}">
          <cx:tx>
            <cx:txData>
              <cx:f>'Ящик с усами N КРР'!$B$1</cx:f>
              <cx:v>RE</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0"/>
            <cx:dataLabelHidden idx="21"/>
            <cx:dataLabelHidden idx="23"/>
            <cx:dataLabelHidden idx="24"/>
            <cx:dataLabelHidden idx="25"/>
            <cx:dataLabelHidden idx="45"/>
            <cx:dataLabelHidden idx="46"/>
            <cx:dataLabelHidden idx="48"/>
            <cx:dataLabelHidden idx="49"/>
            <cx:dataLabelHidden idx="50"/>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i="0">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75.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N КРР'!$A$2:$A$61</cx:f>
        <cx:lvl ptCount="60">
          <cx:pt idx="0">N0</cx:pt>
          <cx:pt idx="1">N0</cx:pt>
          <cx:pt idx="2">N0</cx:pt>
          <cx:pt idx="3">N0</cx:pt>
          <cx:pt idx="4">N0</cx:pt>
          <cx:pt idx="5">N0</cx:pt>
          <cx:pt idx="6">N0</cx:pt>
          <cx:pt idx="7">N0</cx:pt>
          <cx:pt idx="8">N0</cx:pt>
          <cx:pt idx="9">N0</cx:pt>
          <cx:pt idx="10">N0</cx:pt>
          <cx:pt idx="11">N0</cx:pt>
          <cx:pt idx="12">N0</cx:pt>
          <cx:pt idx="13">N0</cx:pt>
          <cx:pt idx="14">N0</cx:pt>
          <cx:pt idx="15">N0</cx:pt>
          <cx:pt idx="16">N0</cx:pt>
          <cx:pt idx="17">N0</cx:pt>
          <cx:pt idx="18">N0</cx:pt>
          <cx:pt idx="19">N0</cx:pt>
          <cx:pt idx="20">N0</cx:pt>
          <cx:pt idx="21">N1</cx:pt>
          <cx:pt idx="22">N1</cx:pt>
          <cx:pt idx="23">N1</cx:pt>
          <cx:pt idx="24">N1</cx:pt>
          <cx:pt idx="25">N1</cx:pt>
          <cx:pt idx="26">N1</cx:pt>
          <cx:pt idx="27">N1</cx:pt>
          <cx:pt idx="28">N1</cx:pt>
          <cx:pt idx="29">N1</cx:pt>
          <cx:pt idx="30">N1</cx:pt>
          <cx:pt idx="31">N1</cx:pt>
          <cx:pt idx="32">N1</cx:pt>
          <cx:pt idx="33">N1</cx:pt>
          <cx:pt idx="34">N1</cx:pt>
          <cx:pt idx="35">N1</cx:pt>
          <cx:pt idx="36">N1</cx:pt>
          <cx:pt idx="37">N1</cx:pt>
          <cx:pt idx="38">N1</cx:pt>
          <cx:pt idx="39">N1</cx:pt>
          <cx:pt idx="40">N1</cx:pt>
          <cx:pt idx="41">N1</cx:pt>
          <cx:pt idx="42">Nx</cx:pt>
          <cx:pt idx="43">Nx</cx:pt>
          <cx:pt idx="44">Nx</cx:pt>
          <cx:pt idx="45">Nx</cx:pt>
          <cx:pt idx="46">Nx</cx:pt>
          <cx:pt idx="47">Nx</cx:pt>
          <cx:pt idx="48">Nx</cx:pt>
          <cx:pt idx="49">Nx</cx:pt>
          <cx:pt idx="50">Nx</cx:pt>
          <cx:pt idx="51">Nx</cx:pt>
          <cx:pt idx="52">Nx</cx:pt>
          <cx:pt idx="53">Nx</cx:pt>
          <cx:pt idx="54">Nx</cx:pt>
          <cx:pt idx="55">Nx</cx:pt>
          <cx:pt idx="56">Nx</cx:pt>
          <cx:pt idx="57">Nx</cx:pt>
          <cx:pt idx="58">Nx</cx:pt>
          <cx:pt idx="59">Nx</cx:pt>
        </cx:lvl>
      </cx:strDim>
      <cx:numDim type="val">
        <cx:f>'Ящик с усами N КРР'!$C$2:$C$61</cx:f>
        <cx:lvl ptCount="60" formatCode="0,00">
          <cx:pt idx="0">1.1812</cx:pt>
          <cx:pt idx="1">2.2414000000000001</cx:pt>
          <cx:pt idx="2">0.64649999999999996</cx:pt>
          <cx:pt idx="3">1.0783</cx:pt>
          <cx:pt idx="4">0.50770000000000004</cx:pt>
          <cx:pt idx="5">0.42599999999999999</cx:pt>
          <cx:pt idx="6">0.38769999999999999</cx:pt>
          <cx:pt idx="7">0.67789999999999995</cx:pt>
          <cx:pt idx="8">1.0066999999999999</cx:pt>
          <cx:pt idx="9">0.61609999999999998</cx:pt>
          <cx:pt idx="10">0.79669999999999996</cx:pt>
          <cx:pt idx="11">1.5860000000000001</cx:pt>
          <cx:pt idx="12">1.3130999999999999</cx:pt>
          <cx:pt idx="13">0.87909999999999999</cx:pt>
          <cx:pt idx="14">0.54420000000000002</cx:pt>
          <cx:pt idx="15">0.47910000000000003</cx:pt>
          <cx:pt idx="16">0.50419999999999998</cx:pt>
          <cx:pt idx="17">0.60029999999999994</cx:pt>
          <cx:pt idx="18">0.874</cx:pt>
          <cx:pt idx="19">0.75880000000000003</cx:pt>
          <cx:pt idx="20">1.3025</cx:pt>
          <cx:pt idx="21">1.5485</cx:pt>
          <cx:pt idx="22">1.6116999999999999</cx:pt>
          <cx:pt idx="23">0.61709999999999998</cx:pt>
          <cx:pt idx="24">0.94389999999999996</cx:pt>
          <cx:pt idx="25">0.88039999999999996</cx:pt>
          <cx:pt idx="26">0.67930000000000001</cx:pt>
          <cx:pt idx="27">0.46879999999999999</cx:pt>
          <cx:pt idx="28">0.51319999999999999</cx:pt>
          <cx:pt idx="29">0.65780000000000005</cx:pt>
          <cx:pt idx="30">0.4037</cx:pt>
          <cx:pt idx="31">0.63570000000000004</cx:pt>
          <cx:pt idx="32">0.53680000000000005</cx:pt>
          <cx:pt idx="33">1.4714</cx:pt>
          <cx:pt idx="34">0.61339999999999995</cx:pt>
          <cx:pt idx="35">0.4103</cx:pt>
          <cx:pt idx="36">0.5252</cx:pt>
          <cx:pt idx="37">1.0989</cx:pt>
          <cx:pt idx="38">0.60140000000000005</cx:pt>
          <cx:pt idx="39">0.83279999999999998</cx:pt>
          <cx:pt idx="40">2.0908000000000002</cx:pt>
          <cx:pt idx="41">0.6885</cx:pt>
          <cx:pt idx="42">1.0873999999999999</cx:pt>
          <cx:pt idx="43">0.4703</cx:pt>
          <cx:pt idx="44">0.42380000000000001</cx:pt>
          <cx:pt idx="45">0.46339999999999998</cx:pt>
          <cx:pt idx="46">0.36990000000000001</cx:pt>
          <cx:pt idx="47">0.58940000000000003</cx:pt>
          <cx:pt idx="48">0.81820000000000004</cx:pt>
          <cx:pt idx="49">0.73240000000000005</cx:pt>
          <cx:pt idx="50">1.1529</cx:pt>
          <cx:pt idx="51">0.73599999999999999</cx:pt>
          <cx:pt idx="52">1.0931999999999999</cx:pt>
          <cx:pt idx="53">0.31259999999999999</cx:pt>
          <cx:pt idx="54">0.53690000000000004</cx:pt>
          <cx:pt idx="55">0.92920000000000003</cx:pt>
          <cx:pt idx="56">1.6329</cx:pt>
          <cx:pt idx="57">0.81489999999999996</cx:pt>
          <cx:pt idx="58">0.80989999999999995</cx:pt>
          <cx:pt idx="59">1.4639</cx:pt>
        </cx:lvl>
      </cx:numDim>
    </cx:data>
  </cx:chartData>
  <cx:chart>
    <cx:plotArea>
      <cx:plotAreaRegion>
        <cx:series layoutId="boxWhisker" uniqueId="{BC40D327-90EA-4B45-9D5B-41E04C351A5A}">
          <cx:tx>
            <cx:txData>
              <cx:f>'Ящик с усами N КРР'!$C$1</cx:f>
              <cx:v>RLH</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9"/>
            <cx:dataLabelHidden idx="20"/>
            <cx:dataLabelHidden idx="21"/>
            <cx:dataLabelHidden idx="23"/>
            <cx:dataLabelHidden idx="24"/>
            <cx:dataLabelHidden idx="25"/>
            <cx:dataLabelHidden idx="44"/>
            <cx:dataLabelHidden idx="45"/>
            <cx:dataLabelHidden idx="46"/>
            <cx:dataLabelHidden idx="48"/>
            <cx:dataLabelHidden idx="49"/>
            <cx:dataLabelHidden idx="50"/>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5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5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76.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N КРР'!$A$2:$A$61</cx:f>
        <cx:lvl ptCount="60">
          <cx:pt idx="0">N0</cx:pt>
          <cx:pt idx="1">N0</cx:pt>
          <cx:pt idx="2">N0</cx:pt>
          <cx:pt idx="3">N0</cx:pt>
          <cx:pt idx="4">N0</cx:pt>
          <cx:pt idx="5">N0</cx:pt>
          <cx:pt idx="6">N0</cx:pt>
          <cx:pt idx="7">N0</cx:pt>
          <cx:pt idx="8">N0</cx:pt>
          <cx:pt idx="9">N0</cx:pt>
          <cx:pt idx="10">N0</cx:pt>
          <cx:pt idx="11">N0</cx:pt>
          <cx:pt idx="12">N0</cx:pt>
          <cx:pt idx="13">N0</cx:pt>
          <cx:pt idx="14">N0</cx:pt>
          <cx:pt idx="15">N0</cx:pt>
          <cx:pt idx="16">N0</cx:pt>
          <cx:pt idx="17">N0</cx:pt>
          <cx:pt idx="18">N0</cx:pt>
          <cx:pt idx="19">N0</cx:pt>
          <cx:pt idx="20">N0</cx:pt>
          <cx:pt idx="21">N1</cx:pt>
          <cx:pt idx="22">N1</cx:pt>
          <cx:pt idx="23">N1</cx:pt>
          <cx:pt idx="24">N1</cx:pt>
          <cx:pt idx="25">N1</cx:pt>
          <cx:pt idx="26">N1</cx:pt>
          <cx:pt idx="27">N1</cx:pt>
          <cx:pt idx="28">N1</cx:pt>
          <cx:pt idx="29">N1</cx:pt>
          <cx:pt idx="30">N1</cx:pt>
          <cx:pt idx="31">N1</cx:pt>
          <cx:pt idx="32">N1</cx:pt>
          <cx:pt idx="33">N1</cx:pt>
          <cx:pt idx="34">N1</cx:pt>
          <cx:pt idx="35">N1</cx:pt>
          <cx:pt idx="36">N1</cx:pt>
          <cx:pt idx="37">N1</cx:pt>
          <cx:pt idx="38">N1</cx:pt>
          <cx:pt idx="39">N1</cx:pt>
          <cx:pt idx="40">N1</cx:pt>
          <cx:pt idx="41">N1</cx:pt>
          <cx:pt idx="42">Nx</cx:pt>
          <cx:pt idx="43">Nx</cx:pt>
          <cx:pt idx="44">Nx</cx:pt>
          <cx:pt idx="45">Nx</cx:pt>
          <cx:pt idx="46">Nx</cx:pt>
          <cx:pt idx="47">Nx</cx:pt>
          <cx:pt idx="48">Nx</cx:pt>
          <cx:pt idx="49">Nx</cx:pt>
          <cx:pt idx="50">Nx</cx:pt>
          <cx:pt idx="51">Nx</cx:pt>
          <cx:pt idx="52">Nx</cx:pt>
          <cx:pt idx="53">Nx</cx:pt>
          <cx:pt idx="54">Nx</cx:pt>
          <cx:pt idx="55">Nx</cx:pt>
          <cx:pt idx="56">Nx</cx:pt>
          <cx:pt idx="57">Nx</cx:pt>
          <cx:pt idx="58">Nx</cx:pt>
          <cx:pt idx="59">Nx</cx:pt>
        </cx:lvl>
      </cx:strDim>
      <cx:numDim type="val">
        <cx:f>'Ящик с усами N КРР'!$D$2:$D$61</cx:f>
        <cx:lvl ptCount="60" formatCode="0,00">
          <cx:pt idx="0">0.8155</cx:pt>
          <cx:pt idx="1">1.0499000000000001</cx:pt>
          <cx:pt idx="2">1.0347</cx:pt>
          <cx:pt idx="3">0.73980000000000001</cx:pt>
          <cx:pt idx="4">0.6976</cx:pt>
          <cx:pt idx="5">0.77370000000000005</cx:pt>
          <cx:pt idx="6">0.61319999999999997</cx:pt>
          <cx:pt idx="7">0.81520000000000004</cx:pt>
          <cx:pt idx="8">0.74539999999999995</cx:pt>
          <cx:pt idx="9">0.68620000000000003</cx:pt>
          <cx:pt idx="10">0.81889999999999996</cx:pt>
          <cx:pt idx="11">1.4305000000000001</cx:pt>
          <cx:pt idx="12">1.1892</cx:pt>
          <cx:pt idx="13">1.1422000000000001</cx:pt>
          <cx:pt idx="14">0.66459999999999997</cx:pt>
          <cx:pt idx="15">0.80069999999999997</cx:pt>
          <cx:pt idx="16">0.64339999999999997</cx:pt>
          <cx:pt idx="17">1.3805000000000001</cx:pt>
          <cx:pt idx="18">0.82940000000000003</cx:pt>
          <cx:pt idx="19">1.5174000000000001</cx:pt>
          <cx:pt idx="20">0.77600000000000002</cx:pt>
          <cx:pt idx="21">1.8083</cx:pt>
          <cx:pt idx="22">1.1706000000000001</cx:pt>
          <cx:pt idx="23">0.93430000000000002</cx:pt>
          <cx:pt idx="24">1.3533999999999999</cx:pt>
          <cx:pt idx="25">0.88829999999999998</cx:pt>
          <cx:pt idx="26">1.129</cx:pt>
          <cx:pt idx="27">0.42070000000000002</cx:pt>
          <cx:pt idx="28">0.29320000000000002</cx:pt>
          <cx:pt idx="29">0.75009999999999999</cx:pt>
          <cx:pt idx="30">1.3343</cx:pt>
          <cx:pt idx="31">0.69010000000000005</cx:pt>
          <cx:pt idx="32">0.58130000000000004</cx:pt>
          <cx:pt idx="33">2.1457999999999999</cx:pt>
          <cx:pt idx="34">0.65359999999999996</cx:pt>
          <cx:pt idx="35">0.38090000000000002</cx:pt>
          <cx:pt idx="36">0.8589</cx:pt>
          <cx:pt idx="37">1.736</cx:pt>
          <cx:pt idx="38">1.798</cx:pt>
          <cx:pt idx="39">1.4228000000000001</cx:pt>
          <cx:pt idx="40">0.86909999999999998</cx:pt>
          <cx:pt idx="41">0.61099999999999999</cx:pt>
          <cx:pt idx="42">0.75590000000000002</cx:pt>
          <cx:pt idx="43">0.86739999999999995</cx:pt>
          <cx:pt idx="44">0.48430000000000001</cx:pt>
          <cx:pt idx="45">0.66549999999999998</cx:pt>
          <cx:pt idx="46">0.40799999999999997</cx:pt>
          <cx:pt idx="47">0.42149999999999999</cx:pt>
          <cx:pt idx="48">0.4451</cx:pt>
          <cx:pt idx="49">1.0184</cx:pt>
          <cx:pt idx="50">1.4965999999999999</cx:pt>
          <cx:pt idx="51">1.5466</cx:pt>
          <cx:pt idx="52">1.6548</cx:pt>
          <cx:pt idx="53">0.751</cx:pt>
          <cx:pt idx="54">0.85819999999999996</cx:pt>
          <cx:pt idx="55">0.8569</cx:pt>
          <cx:pt idx="56">2.9357000000000002</cx:pt>
          <cx:pt idx="57">1.2485999999999999</cx:pt>
          <cx:pt idx="58">0.92030000000000001</cx:pt>
          <cx:pt idx="59">1.6382000000000001</cx:pt>
        </cx:lvl>
      </cx:numDim>
    </cx:data>
  </cx:chartData>
  <cx:chart>
    <cx:plotArea>
      <cx:plotAreaRegion>
        <cx:series layoutId="boxWhisker" uniqueId="{4322CA09-E7A4-48E4-8F15-00AB8A7574FD}">
          <cx:tx>
            <cx:txData>
              <cx:f>'Ящик с усами N КРР'!$D$1</cx:f>
              <cx:v>RRL</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0"/>
            <cx:dataLabelHidden idx="21"/>
            <cx:dataLabelHidden idx="23"/>
            <cx:dataLabelHidden idx="24"/>
            <cx:dataLabelHidden idx="25"/>
            <cx:dataLabelHidden idx="45"/>
            <cx:dataLabelHidden idx="46"/>
            <cx:dataLabelHidden idx="48"/>
            <cx:dataLabelHidden idx="49"/>
            <cx:dataLabelHidden idx="50"/>
            <cx:dataLabelHidden idx="66"/>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77.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N КРР'!$A$2:$A$61</cx:f>
        <cx:lvl ptCount="60">
          <cx:pt idx="0">N0</cx:pt>
          <cx:pt idx="1">N0</cx:pt>
          <cx:pt idx="2">N0</cx:pt>
          <cx:pt idx="3">N0</cx:pt>
          <cx:pt idx="4">N0</cx:pt>
          <cx:pt idx="5">N0</cx:pt>
          <cx:pt idx="6">N0</cx:pt>
          <cx:pt idx="7">N0</cx:pt>
          <cx:pt idx="8">N0</cx:pt>
          <cx:pt idx="9">N0</cx:pt>
          <cx:pt idx="10">N0</cx:pt>
          <cx:pt idx="11">N0</cx:pt>
          <cx:pt idx="12">N0</cx:pt>
          <cx:pt idx="13">N0</cx:pt>
          <cx:pt idx="14">N0</cx:pt>
          <cx:pt idx="15">N0</cx:pt>
          <cx:pt idx="16">N0</cx:pt>
          <cx:pt idx="17">N0</cx:pt>
          <cx:pt idx="18">N0</cx:pt>
          <cx:pt idx="19">N0</cx:pt>
          <cx:pt idx="20">N0</cx:pt>
          <cx:pt idx="21">N1</cx:pt>
          <cx:pt idx="22">N1</cx:pt>
          <cx:pt idx="23">N1</cx:pt>
          <cx:pt idx="24">N1</cx:pt>
          <cx:pt idx="25">N1</cx:pt>
          <cx:pt idx="26">N1</cx:pt>
          <cx:pt idx="27">N1</cx:pt>
          <cx:pt idx="28">N1</cx:pt>
          <cx:pt idx="29">N1</cx:pt>
          <cx:pt idx="30">N1</cx:pt>
          <cx:pt idx="31">N1</cx:pt>
          <cx:pt idx="32">N1</cx:pt>
          <cx:pt idx="33">N1</cx:pt>
          <cx:pt idx="34">N1</cx:pt>
          <cx:pt idx="35">N1</cx:pt>
          <cx:pt idx="36">N1</cx:pt>
          <cx:pt idx="37">N1</cx:pt>
          <cx:pt idx="38">N1</cx:pt>
          <cx:pt idx="39">N1</cx:pt>
          <cx:pt idx="40">N1</cx:pt>
          <cx:pt idx="41">N1</cx:pt>
          <cx:pt idx="42">Nx</cx:pt>
          <cx:pt idx="43">Nx</cx:pt>
          <cx:pt idx="44">Nx</cx:pt>
          <cx:pt idx="45">Nx</cx:pt>
          <cx:pt idx="46">Nx</cx:pt>
          <cx:pt idx="47">Nx</cx:pt>
          <cx:pt idx="48">Nx</cx:pt>
          <cx:pt idx="49">Nx</cx:pt>
          <cx:pt idx="50">Nx</cx:pt>
          <cx:pt idx="51">Nx</cx:pt>
          <cx:pt idx="52">Nx</cx:pt>
          <cx:pt idx="53">Nx</cx:pt>
          <cx:pt idx="54">Nx</cx:pt>
          <cx:pt idx="55">Nx</cx:pt>
          <cx:pt idx="56">Nx</cx:pt>
          <cx:pt idx="57">Nx</cx:pt>
          <cx:pt idx="58">Nx</cx:pt>
          <cx:pt idx="59">Nx</cx:pt>
        </cx:lvl>
      </cx:strDim>
      <cx:numDim type="val">
        <cx:f>'Ящик с усами N КРР'!$E$2:$E$61</cx:f>
        <cx:lvl ptCount="60" formatCode="0,00">
          <cx:pt idx="0">1.3078000000000001</cx:pt>
          <cx:pt idx="1">0.79620000000000002</cx:pt>
          <cx:pt idx="2">1.4419999999999999</cx:pt>
          <cx:pt idx="3">1.1160000000000001</cx:pt>
          <cx:pt idx="4">0.58930000000000005</cx:pt>
          <cx:pt idx="5">0.32700000000000001</cx:pt>
          <cx:pt idx="6">0.44140000000000001</cx:pt>
          <cx:pt idx="7">0.58099999999999996</cx:pt>
          <cx:pt idx="8">0.9194</cx:pt>
          <cx:pt idx="9">0.50429999999999997</cx:pt>
          <cx:pt idx="10">0.92000000000000004</cx:pt>
          <cx:pt idx="11">1.6369</cx:pt>
          <cx:pt idx="12">1.2042999999999999</cx:pt>
          <cx:pt idx="13">1.0603</cx:pt>
          <cx:pt idx="14">0.53180000000000005</cx:pt>
          <cx:pt idx="15">0.5746</cx:pt>
          <cx:pt idx="16">0.7006</cx:pt>
          <cx:pt idx="17">0.99890000000000001</cx:pt>
          <cx:pt idx="18">0.69920000000000004</cx:pt>
          <cx:pt idx="19">1.3401000000000001</cx:pt>
          <cx:pt idx="20">0.93089999999999995</cx:pt>
          <cx:pt idx="21">1.0718000000000001</cx:pt>
          <cx:pt idx="22">0.85360000000000003</cx:pt>
          <cx:pt idx="23">0.61419999999999997</cx:pt>
          <cx:pt idx="24">0.56020000000000003</cx:pt>
          <cx:pt idx="25">0.7883</cx:pt>
          <cx:pt idx="26">0.9839</cx:pt>
          <cx:pt idx="27">0.5403</cx:pt>
          <cx:pt idx="28">0.46039999999999998</cx:pt>
          <cx:pt idx="29">0.66969999999999996</cx:pt>
          <cx:pt idx="30">0.53520000000000001</cx:pt>
          <cx:pt idx="31">0.71160000000000001</cx:pt>
          <cx:pt idx="32">0.45290000000000002</cx:pt>
          <cx:pt idx="33">1.4247000000000001</cx:pt>
          <cx:pt idx="34">0.62219999999999998</cx:pt>
          <cx:pt idx="35">0.41799999999999998</cx:pt>
          <cx:pt idx="36">0.76190000000000002</cx:pt>
          <cx:pt idx="37">1.1100000000000001</cx:pt>
          <cx:pt idx="38">1.1052</cx:pt>
          <cx:pt idx="39">1.1613</cx:pt>
          <cx:pt idx="40">1.5258</cx:pt>
          <cx:pt idx="41">0.79779999999999995</cx:pt>
          <cx:pt idx="42">1.1435</cx:pt>
          <cx:pt idx="43">0.61719999999999997</cx:pt>
          <cx:pt idx="44">0.62180000000000002</cx:pt>
          <cx:pt idx="45">0.58230000000000004</cx:pt>
          <cx:pt idx="46">0.50339999999999996</cx:pt>
          <cx:pt idx="47">0.49919999999999998</cx:pt>
          <cx:pt idx="48">0.50090000000000001</cx:pt>
          <cx:pt idx="49">0.75509999999999999</cx:pt>
          <cx:pt idx="50">2.2519</cx:pt>
          <cx:pt idx="51">1.8771</cx:pt>
          <cx:pt idx="52">1.6229</cx:pt>
          <cx:pt idx="53">0.45839999999999997</cx:pt>
          <cx:pt idx="54">0.62380000000000002</cx:pt>
          <cx:pt idx="55">1.1407</cx:pt>
          <cx:pt idx="56">1.5598000000000001</cx:pt>
          <cx:pt idx="57">0.9294</cx:pt>
          <cx:pt idx="58">0.84889999999999999</cx:pt>
          <cx:pt idx="59">1.5353000000000001</cx:pt>
        </cx:lvl>
      </cx:numDim>
    </cx:data>
  </cx:chartData>
  <cx:chart>
    <cx:plotArea>
      <cx:plotAreaRegion>
        <cx:series layoutId="boxWhisker" uniqueId="{2F0F7668-FC2D-4622-A6DE-08C409BCC60C}">
          <cx:tx>
            <cx:txData>
              <cx:f>'Ящик с усами N КРР'!$E$1</cx:f>
              <cx:v>RU</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0"/>
            <cx:dataLabelHidden idx="21"/>
            <cx:dataLabelHidden idx="23"/>
            <cx:dataLabelHidden idx="24"/>
            <cx:dataLabelHidden idx="25"/>
            <cx:dataLabelHidden idx="45"/>
            <cx:dataLabelHidden idx="46"/>
            <cx:dataLabelHidden idx="48"/>
            <cx:dataLabelHidden idx="49"/>
            <cx:dataLabelHidden idx="50"/>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78.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N КРР'!$A$2:$A$61</cx:f>
        <cx:lvl ptCount="60">
          <cx:pt idx="0">N0</cx:pt>
          <cx:pt idx="1">N0</cx:pt>
          <cx:pt idx="2">N0</cx:pt>
          <cx:pt idx="3">N0</cx:pt>
          <cx:pt idx="4">N0</cx:pt>
          <cx:pt idx="5">N0</cx:pt>
          <cx:pt idx="6">N0</cx:pt>
          <cx:pt idx="7">N0</cx:pt>
          <cx:pt idx="8">N0</cx:pt>
          <cx:pt idx="9">N0</cx:pt>
          <cx:pt idx="10">N0</cx:pt>
          <cx:pt idx="11">N0</cx:pt>
          <cx:pt idx="12">N0</cx:pt>
          <cx:pt idx="13">N0</cx:pt>
          <cx:pt idx="14">N0</cx:pt>
          <cx:pt idx="15">N0</cx:pt>
          <cx:pt idx="16">N0</cx:pt>
          <cx:pt idx="17">N0</cx:pt>
          <cx:pt idx="18">N0</cx:pt>
          <cx:pt idx="19">N0</cx:pt>
          <cx:pt idx="20">N0</cx:pt>
          <cx:pt idx="21">N1</cx:pt>
          <cx:pt idx="22">N1</cx:pt>
          <cx:pt idx="23">N1</cx:pt>
          <cx:pt idx="24">N1</cx:pt>
          <cx:pt idx="25">N1</cx:pt>
          <cx:pt idx="26">N1</cx:pt>
          <cx:pt idx="27">N1</cx:pt>
          <cx:pt idx="28">N1</cx:pt>
          <cx:pt idx="29">N1</cx:pt>
          <cx:pt idx="30">N1</cx:pt>
          <cx:pt idx="31">N1</cx:pt>
          <cx:pt idx="32">N1</cx:pt>
          <cx:pt idx="33">N1</cx:pt>
          <cx:pt idx="34">N1</cx:pt>
          <cx:pt idx="35">N1</cx:pt>
          <cx:pt idx="36">N1</cx:pt>
          <cx:pt idx="37">N1</cx:pt>
          <cx:pt idx="38">N1</cx:pt>
          <cx:pt idx="39">N1</cx:pt>
          <cx:pt idx="40">N1</cx:pt>
          <cx:pt idx="41">N1</cx:pt>
          <cx:pt idx="42">Nx</cx:pt>
          <cx:pt idx="43">Nx</cx:pt>
          <cx:pt idx="44">Nx</cx:pt>
          <cx:pt idx="45">Nx</cx:pt>
          <cx:pt idx="46">Nx</cx:pt>
          <cx:pt idx="47">Nx</cx:pt>
          <cx:pt idx="48">Nx</cx:pt>
          <cx:pt idx="49">Nx</cx:pt>
          <cx:pt idx="50">Nx</cx:pt>
          <cx:pt idx="51">Nx</cx:pt>
          <cx:pt idx="52">Nx</cx:pt>
          <cx:pt idx="53">Nx</cx:pt>
          <cx:pt idx="54">Nx</cx:pt>
          <cx:pt idx="55">Nx</cx:pt>
          <cx:pt idx="56">Nx</cx:pt>
          <cx:pt idx="57">Nx</cx:pt>
          <cx:pt idx="58">Nx</cx:pt>
          <cx:pt idx="59">Nx</cx:pt>
        </cx:lvl>
      </cx:strDim>
      <cx:numDim type="val">
        <cx:f>'Ящик с усами N КРР'!$F$2:$F$61</cx:f>
        <cx:lvl ptCount="60" formatCode="0,00">
          <cx:pt idx="0">0.67290000000000005</cx:pt>
          <cx:pt idx="1">1.1175999999999999</cx:pt>
          <cx:pt idx="2">1.5286</cx:pt>
          <cx:pt idx="3">0.8669</cx:pt>
          <cx:pt idx="4">0.64480000000000004</cx:pt>
          <cx:pt idx="5">0.95820000000000005</cx:pt>
          <cx:pt idx="6">0.38290000000000002</cx:pt>
          <cx:pt idx="7">0.61040000000000005</cx:pt>
          <cx:pt idx="8">0.85799999999999998</cx:pt>
          <cx:pt idx="9">0.6855</cx:pt>
          <cx:pt idx="10">0.93159999999999998</cx:pt>
          <cx:pt idx="11">0.93689999999999996</cx:pt>
          <cx:pt idx="12">1.6556999999999999</cx:pt>
          <cx:pt idx="13">0.87970000000000004</cx:pt>
          <cx:pt idx="14">0.38800000000000001</cx:pt>
          <cx:pt idx="15">0.72240000000000004</cx:pt>
          <cx:pt idx="16">0.53090000000000004</cx:pt>
          <cx:pt idx="17">1.0149999999999999</cx:pt>
          <cx:pt idx="18">0.97929999999999995</cx:pt>
          <cx:pt idx="19">0.76219999999999999</cx:pt>
          <cx:pt idx="20">0.92610000000000003</cx:pt>
          <cx:pt idx="21">1.2702</cx:pt>
          <cx:pt idx="22">1.0275000000000001</cx:pt>
          <cx:pt idx="23">0.78820000000000001</cx:pt>
          <cx:pt idx="24">0.78390000000000004</cx:pt>
          <cx:pt idx="25">1.1021000000000001</cx:pt>
          <cx:pt idx="26">0.76160000000000005</cx:pt>
          <cx:pt idx="27">0.60909999999999997</cx:pt>
          <cx:pt idx="28">0.28570000000000001</cx:pt>
          <cx:pt idx="29">0.90800000000000003</cx:pt>
          <cx:pt idx="30">0.66900000000000004</cx:pt>
          <cx:pt idx="31">0.8115</cx:pt>
          <cx:pt idx="32">0.4617</cx:pt>
          <cx:pt idx="33">1.4926999999999999</cx:pt>
          <cx:pt idx="34">0.77680000000000005</cx:pt>
          <cx:pt idx="35">0.44419999999999998</cx:pt>
          <cx:pt idx="36">0.59360000000000002</cx:pt>
          <cx:pt idx="37">1.4387000000000001</cx:pt>
          <cx:pt idx="38">1.2293000000000001</cx:pt>
          <cx:pt idx="39">1.4469000000000001</cx:pt>
          <cx:pt idx="40">0.9244</cx:pt>
          <cx:pt idx="41">0.62490000000000001</cx:pt>
          <cx:pt idx="42">0.95530000000000004</cx:pt>
          <cx:pt idx="43">1.0688</cx:pt>
          <cx:pt idx="44">0.50590000000000002</cx:pt>
          <cx:pt idx="45">0.78900000000000003</cx:pt>
          <cx:pt idx="46">0.1153</cx:pt>
          <cx:pt idx="47">0.5655</cx:pt>
          <cx:pt idx="48">0.59099999999999997</cx:pt>
          <cx:pt idx="49">1.0942000000000001</cx:pt>
          <cx:pt idx="50">0.94620000000000004</cx:pt>
          <cx:pt idx="51">2.2650000000000001</cx:pt>
          <cx:pt idx="52">1.6148</cx:pt>
          <cx:pt idx="53">0.34599999999999997</cx:pt>
          <cx:pt idx="54">0.8538</cx:pt>
          <cx:pt idx="55">1.1879</cx:pt>
          <cx:pt idx="56">1.0646</cx:pt>
          <cx:pt idx="57">1.1423000000000001</cx:pt>
          <cx:pt idx="58">0.78779999999999994</cx:pt>
          <cx:pt idx="59">1.3353999999999999</cx:pt>
        </cx:lvl>
      </cx:numDim>
    </cx:data>
  </cx:chartData>
  <cx:chart>
    <cx:plotArea>
      <cx:plotAreaRegion>
        <cx:series layoutId="boxWhisker" uniqueId="{0FAD7FF3-11F2-4484-AFD3-93E79BBA6EDE}">
          <cx:tx>
            <cx:txData>
              <cx:f>'Ящик с усами N КРР'!$F$1</cx:f>
              <cx:v>RLL</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8"/>
            <cx:dataLabelHidden idx="19"/>
            <cx:dataLabelHidden idx="20"/>
            <cx:dataLabelHidden idx="21"/>
            <cx:dataLabelHidden idx="23"/>
            <cx:dataLabelHidden idx="24"/>
            <cx:dataLabelHidden idx="25"/>
            <cx:dataLabelHidden idx="45"/>
            <cx:dataLabelHidden idx="46"/>
            <cx:dataLabelHidden idx="48"/>
            <cx:dataLabelHidden idx="49"/>
            <cx:dataLabelHidden idx="50"/>
            <cx:dataLabelHidden idx="66"/>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79.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N КРР'!$A$2:$A$61</cx:f>
        <cx:lvl ptCount="60">
          <cx:pt idx="0">N0</cx:pt>
          <cx:pt idx="1">N0</cx:pt>
          <cx:pt idx="2">N0</cx:pt>
          <cx:pt idx="3">N0</cx:pt>
          <cx:pt idx="4">N0</cx:pt>
          <cx:pt idx="5">N0</cx:pt>
          <cx:pt idx="6">N0</cx:pt>
          <cx:pt idx="7">N0</cx:pt>
          <cx:pt idx="8">N0</cx:pt>
          <cx:pt idx="9">N0</cx:pt>
          <cx:pt idx="10">N0</cx:pt>
          <cx:pt idx="11">N0</cx:pt>
          <cx:pt idx="12">N0</cx:pt>
          <cx:pt idx="13">N0</cx:pt>
          <cx:pt idx="14">N0</cx:pt>
          <cx:pt idx="15">N0</cx:pt>
          <cx:pt idx="16">N0</cx:pt>
          <cx:pt idx="17">N0</cx:pt>
          <cx:pt idx="18">N0</cx:pt>
          <cx:pt idx="19">N0</cx:pt>
          <cx:pt idx="20">N0</cx:pt>
          <cx:pt idx="21">N1</cx:pt>
          <cx:pt idx="22">N1</cx:pt>
          <cx:pt idx="23">N1</cx:pt>
          <cx:pt idx="24">N1</cx:pt>
          <cx:pt idx="25">N1</cx:pt>
          <cx:pt idx="26">N1</cx:pt>
          <cx:pt idx="27">N1</cx:pt>
          <cx:pt idx="28">N1</cx:pt>
          <cx:pt idx="29">N1</cx:pt>
          <cx:pt idx="30">N1</cx:pt>
          <cx:pt idx="31">N1</cx:pt>
          <cx:pt idx="32">N1</cx:pt>
          <cx:pt idx="33">N1</cx:pt>
          <cx:pt idx="34">N1</cx:pt>
          <cx:pt idx="35">N1</cx:pt>
          <cx:pt idx="36">N1</cx:pt>
          <cx:pt idx="37">N1</cx:pt>
          <cx:pt idx="38">N1</cx:pt>
          <cx:pt idx="39">N1</cx:pt>
          <cx:pt idx="40">N1</cx:pt>
          <cx:pt idx="41">N1</cx:pt>
          <cx:pt idx="42">Nx</cx:pt>
          <cx:pt idx="43">Nx</cx:pt>
          <cx:pt idx="44">Nx</cx:pt>
          <cx:pt idx="45">Nx</cx:pt>
          <cx:pt idx="46">Nx</cx:pt>
          <cx:pt idx="47">Nx</cx:pt>
          <cx:pt idx="48">Nx</cx:pt>
          <cx:pt idx="49">Nx</cx:pt>
          <cx:pt idx="50">Nx</cx:pt>
          <cx:pt idx="51">Nx</cx:pt>
          <cx:pt idx="52">Nx</cx:pt>
          <cx:pt idx="53">Nx</cx:pt>
          <cx:pt idx="54">Nx</cx:pt>
          <cx:pt idx="55">Nx</cx:pt>
          <cx:pt idx="56">Nx</cx:pt>
          <cx:pt idx="57">Nx</cx:pt>
          <cx:pt idx="58">Nx</cx:pt>
          <cx:pt idx="59">Nx</cx:pt>
        </cx:lvl>
      </cx:strDim>
      <cx:numDim type="val">
        <cx:f>'Ящик с усами N КРР'!$G$2:$G$61</cx:f>
        <cx:lvl ptCount="60" formatCode="0,00">
          <cx:pt idx="0">1.0667</cx:pt>
          <cx:pt idx="1">1.5214000000000001</cx:pt>
          <cx:pt idx="2">0.9093</cx:pt>
          <cx:pt idx="3">1.0225</cx:pt>
          <cx:pt idx="4">0.97440000000000004</cx:pt>
          <cx:pt idx="5">0.76639999999999997</cx:pt>
          <cx:pt idx="6">0.44090000000000001</cx:pt>
          <cx:pt idx="7">0.52869999999999995</cx:pt>
          <cx:pt idx="8">1.0146999999999999</cx:pt>
          <cx:pt idx="9">0.72970000000000002</cx:pt>
          <cx:pt idx="10">0.8397</cx:pt>
          <cx:pt idx="11">0.70120000000000005</cx:pt>
          <cx:pt idx="12">1.1412</cx:pt>
          <cx:pt idx="13">0.56410000000000005</cx:pt>
          <cx:pt idx="14">0.50939999999999996</cx:pt>
          <cx:pt idx="15">0.3463</cx:pt>
          <cx:pt idx="16">0.49049999999999999</cx:pt>
          <cx:pt idx="17">1.1698</cx:pt>
          <cx:pt idx="18">0.52959999999999996</cx:pt>
          <cx:pt idx="19">1.2285999999999999</cx:pt>
          <cx:pt idx="20">0.66979999999999995</cx:pt>
          <cx:pt idx="21">1.3323</cx:pt>
          <cx:pt idx="22">1.0057</cx:pt>
          <cx:pt idx="23">1.0752999999999999</cx:pt>
          <cx:pt idx="24">0.79200000000000004</cx:pt>
          <cx:pt idx="25">1.0212000000000001</cx:pt>
          <cx:pt idx="26">0.96640000000000004</cx:pt>
          <cx:pt idx="27">0.51139999999999997</cx:pt>
          <cx:pt idx="28">0.38940000000000002</cx:pt>
          <cx:pt idx="29">0.51759999999999995</cx:pt>
          <cx:pt idx="30">0.66810000000000003</cx:pt>
          <cx:pt idx="31">1.1648000000000001</cx:pt>
          <cx:pt idx="32">0.63759999999999994</cx:pt>
          <cx:pt idx="33">1.1778</cx:pt>
          <cx:pt idx="34">0.58360000000000001</cx:pt>
          <cx:pt idx="35">0.58889999999999998</cx:pt>
          <cx:pt idx="36">0.70689999999999997</cx:pt>
          <cx:pt idx="37">0.68799999999999994</cx:pt>
          <cx:pt idx="38">0.92610000000000003</cx:pt>
          <cx:pt idx="39">1.3482000000000001</cx:pt>
          <cx:pt idx="40">0.72460000000000002</cx:pt>
          <cx:pt idx="41">0.77859999999999996</cx:pt>
          <cx:pt idx="42">1.2581</cx:pt>
          <cx:pt idx="43">1.0179</cx:pt>
          <cx:pt idx="44">0.54649999999999999</cx:pt>
          <cx:pt idx="45">0.5786</cx:pt>
          <cx:pt idx="46">0.26400000000000001</cx:pt>
          <cx:pt idx="47">0.51929999999999998</cx:pt>
          <cx:pt idx="48">0.68969999999999998</cx:pt>
          <cx:pt idx="49">0.55669999999999997</cx:pt>
          <cx:pt idx="50">0.7863</cx:pt>
          <cx:pt idx="51">1.4702</cx:pt>
          <cx:pt idx="52">1.0529999999999999</cx:pt>
          <cx:pt idx="53">0.41070000000000001</cx:pt>
          <cx:pt idx="54">0.51900000000000002</cx:pt>
          <cx:pt idx="55">0.73499999999999999</cx:pt>
          <cx:pt idx="56">1.6856</cx:pt>
          <cx:pt idx="57">0.54830000000000001</cx:pt>
          <cx:pt idx="58">0.4335</cx:pt>
          <cx:pt idx="59">1.097</cx:pt>
        </cx:lvl>
      </cx:numDim>
    </cx:data>
  </cx:chartData>
  <cx:chart>
    <cx:plotArea>
      <cx:plotAreaRegion>
        <cx:series layoutId="boxWhisker" uniqueId="{3954868E-43A9-4B14-BD48-4BECE74A325A}">
          <cx:tx>
            <cx:txData>
              <cx:f>'Ящик с усами N КРР'!$G$1</cx:f>
              <cx:v>RRI</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0"/>
            <cx:dataLabelHidden idx="21"/>
            <cx:dataLabelHidden idx="23"/>
            <cx:dataLabelHidden idx="24"/>
            <cx:dataLabelHidden idx="25"/>
            <cx:dataLabelHidden idx="45"/>
            <cx:dataLabelHidden idx="46"/>
            <cx:dataLabelHidden idx="48"/>
            <cx:dataLabelHidden idx="49"/>
            <cx:dataLabelHidden idx="50"/>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8.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T РЯ'!$A$2:$A$54</cx:f>
        <cx:lvl ptCount="53">
          <cx:pt idx="0">T1</cx:pt>
          <cx:pt idx="1">T1</cx:pt>
          <cx:pt idx="2">T1</cx:pt>
          <cx:pt idx="3">T1</cx:pt>
          <cx:pt idx="4">T1</cx:pt>
          <cx:pt idx="5">T1</cx:pt>
          <cx:pt idx="6">T1</cx:pt>
          <cx:pt idx="7">T1</cx:pt>
          <cx:pt idx="8">T2</cx:pt>
          <cx:pt idx="9">T2</cx:pt>
          <cx:pt idx="10">T2</cx:pt>
          <cx:pt idx="11">T2</cx:pt>
          <cx:pt idx="12">T2</cx:pt>
          <cx:pt idx="13">T2</cx:pt>
          <cx:pt idx="14">T2</cx:pt>
          <cx:pt idx="15">T2</cx:pt>
          <cx:pt idx="16">T2</cx:pt>
          <cx:pt idx="17">T2</cx:pt>
          <cx:pt idx="18">T2</cx:pt>
          <cx:pt idx="19">T2</cx:pt>
          <cx:pt idx="20">T2</cx:pt>
          <cx:pt idx="21">T2</cx:pt>
          <cx:pt idx="22">T2</cx:pt>
          <cx:pt idx="23">T3</cx:pt>
          <cx:pt idx="24">T3</cx:pt>
          <cx:pt idx="25">T3</cx:pt>
          <cx:pt idx="26">T3</cx:pt>
          <cx:pt idx="27">T3</cx:pt>
          <cx:pt idx="28">T3</cx:pt>
          <cx:pt idx="29">T3</cx:pt>
          <cx:pt idx="30">T3</cx:pt>
          <cx:pt idx="31">T3</cx:pt>
          <cx:pt idx="32">T3</cx:pt>
          <cx:pt idx="33">T3</cx:pt>
          <cx:pt idx="34">T3</cx:pt>
          <cx:pt idx="35">T3</cx:pt>
          <cx:pt idx="36">T3</cx:pt>
          <cx:pt idx="37">T3</cx:pt>
          <cx:pt idx="38">T3</cx:pt>
          <cx:pt idx="39">T3</cx:pt>
          <cx:pt idx="40">T3</cx:pt>
          <cx:pt idx="41">T3</cx:pt>
          <cx:pt idx="42">T3</cx:pt>
          <cx:pt idx="43">T3</cx:pt>
          <cx:pt idx="44">T3</cx:pt>
          <cx:pt idx="45">T3</cx:pt>
          <cx:pt idx="46">T3</cx:pt>
          <cx:pt idx="47">T3</cx:pt>
          <cx:pt idx="48">T3</cx:pt>
          <cx:pt idx="49">T3</cx:pt>
          <cx:pt idx="50">T3</cx:pt>
          <cx:pt idx="51">T4</cx:pt>
          <cx:pt idx="52">T4</cx:pt>
        </cx:lvl>
      </cx:strDim>
      <cx:numDim type="val">
        <cx:f>'Ящик с усами T РЯ'!$H$2:$H$54</cx:f>
        <cx:lvl ptCount="53" formatCode="0,00">
          <cx:pt idx="0">0.69999999999999996</cx:pt>
          <cx:pt idx="1">0.78000000000000003</cx:pt>
          <cx:pt idx="2">0.68000000000000005</cx:pt>
          <cx:pt idx="3">0.42999999999999999</cx:pt>
          <cx:pt idx="4">0.78000000000000003</cx:pt>
          <cx:pt idx="5">1</cx:pt>
          <cx:pt idx="6">1.3799999999999999</cx:pt>
          <cx:pt idx="7">1.6299999999999999</cx:pt>
          <cx:pt idx="8">1.3100000000000001</cx:pt>
          <cx:pt idx="9">0.5</cx:pt>
          <cx:pt idx="10">0.73999999999999999</cx:pt>
          <cx:pt idx="11">0.88</cx:pt>
          <cx:pt idx="12">0.81999999999999995</cx:pt>
          <cx:pt idx="13">0.55000000000000004</cx:pt>
          <cx:pt idx="14">0.77000000000000002</cx:pt>
          <cx:pt idx="15">0.68000000000000005</cx:pt>
          <cx:pt idx="16">1.0900000000000001</cx:pt>
          <cx:pt idx="17">0.65000000000000002</cx:pt>
          <cx:pt idx="18">1.8700000000000001</cx:pt>
          <cx:pt idx="19">0.53000000000000003</cx:pt>
          <cx:pt idx="20">0.92000000000000004</cx:pt>
          <cx:pt idx="21">1.45</cx:pt>
          <cx:pt idx="22">0.71999999999999997</cx:pt>
          <cx:pt idx="23">1.02</cx:pt>
          <cx:pt idx="24">0.76000000000000001</cx:pt>
          <cx:pt idx="25">0.68999999999999995</cx:pt>
          <cx:pt idx="26">0.82999999999999996</cx:pt>
          <cx:pt idx="27">0.5</cx:pt>
          <cx:pt idx="28">0.63</cx:pt>
          <cx:pt idx="29">0.68999999999999995</cx:pt>
          <cx:pt idx="30">1</cx:pt>
          <cx:pt idx="31">0.68999999999999995</cx:pt>
          <cx:pt idx="32">0.46000000000000002</cx:pt>
          <cx:pt idx="33">1.52</cx:pt>
          <cx:pt idx="34">1.04</cx:pt>
          <cx:pt idx="35">0.70999999999999996</cx:pt>
          <cx:pt idx="36">1.1299999999999999</cx:pt>
          <cx:pt idx="37">1.0600000000000001</cx:pt>
          <cx:pt idx="38">1.5</cx:pt>
          <cx:pt idx="39">1.22</cx:pt>
          <cx:pt idx="40">1.95</cx:pt>
          <cx:pt idx="41">0.84999999999999998</cx:pt>
          <cx:pt idx="42">0.81999999999999995</cx:pt>
          <cx:pt idx="43">0.98999999999999999</cx:pt>
          <cx:pt idx="44">0.88</cx:pt>
          <cx:pt idx="45">1.02</cx:pt>
          <cx:pt idx="46">1.21</cx:pt>
          <cx:pt idx="47">0.40999999999999998</cx:pt>
          <cx:pt idx="48">1.1799999999999999</cx:pt>
          <cx:pt idx="49">1.54</cx:pt>
          <cx:pt idx="50">0.37</cx:pt>
          <cx:pt idx="51">0.92000000000000004</cx:pt>
          <cx:pt idx="52">0.92000000000000004</cx:pt>
        </cx:lvl>
      </cx:numDim>
    </cx:data>
  </cx:chartData>
  <cx:chart>
    <cx:plotArea>
      <cx:plotAreaRegion>
        <cx:series layoutId="boxWhisker" uniqueId="{D26DE5EC-D936-45C4-B712-7B9BFF9D4F53}">
          <cx:tx>
            <cx:txData>
              <cx:f>'Ящик с усами T РЯ'!$H$1</cx:f>
              <cx:v>RP</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7"/>
            <cx:dataLabelHidden idx="8"/>
            <cx:dataLabelHidden idx="10"/>
            <cx:dataLabelHidden idx="11"/>
            <cx:dataLabelHidden idx="12"/>
            <cx:dataLabelHidden idx="25"/>
            <cx:dataLabelHidden idx="26"/>
            <cx:dataLabelHidden idx="27"/>
            <cx:dataLabelHidden idx="29"/>
            <cx:dataLabelHidden idx="30"/>
            <cx:dataLabelHidden idx="31"/>
            <cx:dataLabelHidden idx="57"/>
            <cx:dataLabelHidden idx="58"/>
            <cx:dataLabelHidden idx="59"/>
            <cx:dataLabelHidden idx="61"/>
            <cx:dataLabelHidden idx="62"/>
            <cx:dataLabelHidden idx="63"/>
            <cx:dataLabelHidden idx="64"/>
            <cx:dataLabelHidden idx="68"/>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80.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N КРР'!$A$2:$A$61</cx:f>
        <cx:lvl ptCount="60">
          <cx:pt idx="0">N0</cx:pt>
          <cx:pt idx="1">N0</cx:pt>
          <cx:pt idx="2">N0</cx:pt>
          <cx:pt idx="3">N0</cx:pt>
          <cx:pt idx="4">N0</cx:pt>
          <cx:pt idx="5">N0</cx:pt>
          <cx:pt idx="6">N0</cx:pt>
          <cx:pt idx="7">N0</cx:pt>
          <cx:pt idx="8">N0</cx:pt>
          <cx:pt idx="9">N0</cx:pt>
          <cx:pt idx="10">N0</cx:pt>
          <cx:pt idx="11">N0</cx:pt>
          <cx:pt idx="12">N0</cx:pt>
          <cx:pt idx="13">N0</cx:pt>
          <cx:pt idx="14">N0</cx:pt>
          <cx:pt idx="15">N0</cx:pt>
          <cx:pt idx="16">N0</cx:pt>
          <cx:pt idx="17">N0</cx:pt>
          <cx:pt idx="18">N0</cx:pt>
          <cx:pt idx="19">N0</cx:pt>
          <cx:pt idx="20">N0</cx:pt>
          <cx:pt idx="21">N1</cx:pt>
          <cx:pt idx="22">N1</cx:pt>
          <cx:pt idx="23">N1</cx:pt>
          <cx:pt idx="24">N1</cx:pt>
          <cx:pt idx="25">N1</cx:pt>
          <cx:pt idx="26">N1</cx:pt>
          <cx:pt idx="27">N1</cx:pt>
          <cx:pt idx="28">N1</cx:pt>
          <cx:pt idx="29">N1</cx:pt>
          <cx:pt idx="30">N1</cx:pt>
          <cx:pt idx="31">N1</cx:pt>
          <cx:pt idx="32">N1</cx:pt>
          <cx:pt idx="33">N1</cx:pt>
          <cx:pt idx="34">N1</cx:pt>
          <cx:pt idx="35">N1</cx:pt>
          <cx:pt idx="36">N1</cx:pt>
          <cx:pt idx="37">N1</cx:pt>
          <cx:pt idx="38">N1</cx:pt>
          <cx:pt idx="39">N1</cx:pt>
          <cx:pt idx="40">N1</cx:pt>
          <cx:pt idx="41">N1</cx:pt>
          <cx:pt idx="42">Nx</cx:pt>
          <cx:pt idx="43">Nx</cx:pt>
          <cx:pt idx="44">Nx</cx:pt>
          <cx:pt idx="45">Nx</cx:pt>
          <cx:pt idx="46">Nx</cx:pt>
          <cx:pt idx="47">Nx</cx:pt>
          <cx:pt idx="48">Nx</cx:pt>
          <cx:pt idx="49">Nx</cx:pt>
          <cx:pt idx="50">Nx</cx:pt>
          <cx:pt idx="51">Nx</cx:pt>
          <cx:pt idx="52">Nx</cx:pt>
          <cx:pt idx="53">Nx</cx:pt>
          <cx:pt idx="54">Nx</cx:pt>
          <cx:pt idx="55">Nx</cx:pt>
          <cx:pt idx="56">Nx</cx:pt>
          <cx:pt idx="57">Nx</cx:pt>
          <cx:pt idx="58">Nx</cx:pt>
          <cx:pt idx="59">Nx</cx:pt>
        </cx:lvl>
      </cx:strDim>
      <cx:numDim type="val">
        <cx:f>'Ящик с усами N КРР'!$H$2:$H$61</cx:f>
        <cx:lvl ptCount="60" formatCode="0,00">
          <cx:pt idx="0">1.0501</cx:pt>
          <cx:pt idx="1">0.86299999999999999</cx:pt>
          <cx:pt idx="2">1.5311999999999999</cx:pt>
          <cx:pt idx="3">1.0337000000000001</cx:pt>
          <cx:pt idx="4">1.0737000000000001</cx:pt>
          <cx:pt idx="5">0.60829999999999995</cx:pt>
          <cx:pt idx="6">0.53190000000000004</cx:pt>
          <cx:pt idx="7">0.80289999999999995</cx:pt>
          <cx:pt idx="8">0.9234</cx:pt>
          <cx:pt idx="9">0.58450000000000002</cx:pt>
          <cx:pt idx="10">0.91569999999999996</cx:pt>
          <cx:pt idx="11">1.2827999999999999</cx:pt>
          <cx:pt idx="12">1.1893</cx:pt>
          <cx:pt idx="13">1.1037999999999999</cx:pt>
          <cx:pt idx="14">0.53869999999999996</cx:pt>
          <cx:pt idx="15">0.46939999999999998</cx:pt>
          <cx:pt idx="16">0.65539999999999998</cx:pt>
          <cx:pt idx="17">1.3254999999999999</cx:pt>
          <cx:pt idx="18">0.89139999999999997</cx:pt>
          <cx:pt idx="19">1.355</cx:pt>
          <cx:pt idx="20">0.95689999999999997</cx:pt>
          <cx:pt idx="21">0.90720000000000001</cx:pt>
          <cx:pt idx="22">0.82799999999999996</cx:pt>
          <cx:pt idx="23">1.2715000000000001</cx:pt>
          <cx:pt idx="24">0.63839999999999997</cx:pt>
          <cx:pt idx="25">1.4131</cx:pt>
          <cx:pt idx="26">0.95399999999999996</cx:pt>
          <cx:pt idx="27">0.55710000000000004</cx:pt>
          <cx:pt idx="28">0.50719999999999998</cx:pt>
          <cx:pt idx="29">0.51080000000000003</cx:pt>
          <cx:pt idx="30">0.52200000000000002</cx:pt>
          <cx:pt idx="31">0.92279999999999995</cx:pt>
          <cx:pt idx="32">0.61699999999999999</cx:pt>
          <cx:pt idx="33">1.2392000000000001</cx:pt>
          <cx:pt idx="34">0.81859999999999999</cx:pt>
          <cx:pt idx="35">0.59509999999999996</cx:pt>
          <cx:pt idx="36">0.74339999999999995</cx:pt>
          <cx:pt idx="37">1.1963999999999999</cx:pt>
          <cx:pt idx="38">0.86680000000000001</cx:pt>
          <cx:pt idx="39">1.4662999999999999</cx:pt>
          <cx:pt idx="40">1.5969</cx:pt>
          <cx:pt idx="41">1.2072000000000001</cx:pt>
          <cx:pt idx="42">1.121</cx:pt>
          <cx:pt idx="43">1.4077999999999999</cx:pt>
          <cx:pt idx="44">0.81489999999999996</cx:pt>
          <cx:pt idx="45">0.84089999999999998</cx:pt>
          <cx:pt idx="46">0.3649</cx:pt>
          <cx:pt idx="47">0.59919999999999995</cx:pt>
          <cx:pt idx="48">0.72899999999999998</cx:pt>
          <cx:pt idx="49">0.88470000000000004</cx:pt>
          <cx:pt idx="50">1.1920999999999999</cx:pt>
          <cx:pt idx="51">3.903</cx:pt>
          <cx:pt idx="52">0.95289999999999997</cx:pt>
          <cx:pt idx="53">0.69799999999999995</cx:pt>
          <cx:pt idx="54">0.75</cx:pt>
          <cx:pt idx="55">0.84889999999999999</cx:pt>
          <cx:pt idx="56">1.6477999999999999</cx:pt>
          <cx:pt idx="57">0.74070000000000003</cx:pt>
          <cx:pt idx="58">0.81100000000000005</cx:pt>
          <cx:pt idx="59">1.7184999999999999</cx:pt>
        </cx:lvl>
      </cx:numDim>
    </cx:data>
  </cx:chartData>
  <cx:chart>
    <cx:plotArea>
      <cx:plotAreaRegion>
        <cx:series layoutId="boxWhisker" uniqueId="{2AF0CF72-B74E-441C-96F0-D2BF7E748A05}">
          <cx:tx>
            <cx:txData>
              <cx:f>'Ящик с усами N КРР'!$H$1</cx:f>
              <cx:v>RP</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0"/>
            <cx:dataLabelHidden idx="21"/>
            <cx:dataLabelHidden idx="23"/>
            <cx:dataLabelHidden idx="24"/>
            <cx:dataLabelHidden idx="25"/>
            <cx:dataLabelHidden idx="45"/>
            <cx:dataLabelHidden idx="46"/>
            <cx:dataLabelHidden idx="48"/>
            <cx:dataLabelHidden idx="49"/>
            <cx:dataLabelHidden idx="50"/>
            <cx:dataLabelHidden idx="66"/>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8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N КРР'!$A$2:$A$61</cx:f>
        <cx:lvl ptCount="60">
          <cx:pt idx="0">N0</cx:pt>
          <cx:pt idx="1">N0</cx:pt>
          <cx:pt idx="2">N0</cx:pt>
          <cx:pt idx="3">N0</cx:pt>
          <cx:pt idx="4">N0</cx:pt>
          <cx:pt idx="5">N0</cx:pt>
          <cx:pt idx="6">N0</cx:pt>
          <cx:pt idx="7">N0</cx:pt>
          <cx:pt idx="8">N0</cx:pt>
          <cx:pt idx="9">N0</cx:pt>
          <cx:pt idx="10">N0</cx:pt>
          <cx:pt idx="11">N0</cx:pt>
          <cx:pt idx="12">N0</cx:pt>
          <cx:pt idx="13">N0</cx:pt>
          <cx:pt idx="14">N0</cx:pt>
          <cx:pt idx="15">N0</cx:pt>
          <cx:pt idx="16">N0</cx:pt>
          <cx:pt idx="17">N0</cx:pt>
          <cx:pt idx="18">N0</cx:pt>
          <cx:pt idx="19">N0</cx:pt>
          <cx:pt idx="20">N0</cx:pt>
          <cx:pt idx="21">N1</cx:pt>
          <cx:pt idx="22">N1</cx:pt>
          <cx:pt idx="23">N1</cx:pt>
          <cx:pt idx="24">N1</cx:pt>
          <cx:pt idx="25">N1</cx:pt>
          <cx:pt idx="26">N1</cx:pt>
          <cx:pt idx="27">N1</cx:pt>
          <cx:pt idx="28">N1</cx:pt>
          <cx:pt idx="29">N1</cx:pt>
          <cx:pt idx="30">N1</cx:pt>
          <cx:pt idx="31">N1</cx:pt>
          <cx:pt idx="32">N1</cx:pt>
          <cx:pt idx="33">N1</cx:pt>
          <cx:pt idx="34">N1</cx:pt>
          <cx:pt idx="35">N1</cx:pt>
          <cx:pt idx="36">N1</cx:pt>
          <cx:pt idx="37">N1</cx:pt>
          <cx:pt idx="38">N1</cx:pt>
          <cx:pt idx="39">N1</cx:pt>
          <cx:pt idx="40">N1</cx:pt>
          <cx:pt idx="41">N1</cx:pt>
          <cx:pt idx="42">Nx</cx:pt>
          <cx:pt idx="43">Nx</cx:pt>
          <cx:pt idx="44">Nx</cx:pt>
          <cx:pt idx="45">Nx</cx:pt>
          <cx:pt idx="46">Nx</cx:pt>
          <cx:pt idx="47">Nx</cx:pt>
          <cx:pt idx="48">Nx</cx:pt>
          <cx:pt idx="49">Nx</cx:pt>
          <cx:pt idx="50">Nx</cx:pt>
          <cx:pt idx="51">Nx</cx:pt>
          <cx:pt idx="52">Nx</cx:pt>
          <cx:pt idx="53">Nx</cx:pt>
          <cx:pt idx="54">Nx</cx:pt>
          <cx:pt idx="55">Nx</cx:pt>
          <cx:pt idx="56">Nx</cx:pt>
          <cx:pt idx="57">Nx</cx:pt>
          <cx:pt idx="58">Nx</cx:pt>
          <cx:pt idx="59">Nx</cx:pt>
        </cx:lvl>
      </cx:strDim>
      <cx:numDim type="val">
        <cx:f>'Ящик с усами N КРР'!$I$2:$I$61</cx:f>
        <cx:lvl ptCount="60" formatCode="0,00">
          <cx:pt idx="0">0.75209999999999999</cx:pt>
          <cx:pt idx="1">1.5349999999999999</cx:pt>
          <cx:pt idx="2">1.6128</cx:pt>
          <cx:pt idx="3">0.90480000000000005</cx:pt>
          <cx:pt idx="4">0.87490000000000001</cx:pt>
          <cx:pt idx="5">0.40820000000000001</cx:pt>
          <cx:pt idx="6">0.44800000000000001</cx:pt>
          <cx:pt idx="7">0.59209999999999996</cx:pt>
          <cx:pt idx="8">0.50429999999999997</cx:pt>
          <cx:pt idx="9">0.74219999999999997</cx:pt>
          <cx:pt idx="10">0.86770000000000003</cx:pt>
          <cx:pt idx="11">1.1792</cx:pt>
          <cx:pt idx="12">1.0827</cx:pt>
          <cx:pt idx="13">0.77100000000000002</cx:pt>
          <cx:pt idx="14">0.29909999999999998</cx:pt>
          <cx:pt idx="15">0.25819999999999999</cx:pt>
          <cx:pt idx="16">0.48949999999999999</cx:pt>
          <cx:pt idx="17">1.056</cx:pt>
          <cx:pt idx="18">0.66439999999999999</cx:pt>
          <cx:pt idx="19">0.69940000000000002</cx:pt>
          <cx:pt idx="20">0.79049999999999998</cx:pt>
          <cx:pt idx="21">0.97509999999999997</cx:pt>
          <cx:pt idx="22">0.66300000000000003</cx:pt>
          <cx:pt idx="23">0.77759999999999996</cx:pt>
          <cx:pt idx="24">0.46889999999999998</cx:pt>
          <cx:pt idx="25">0.58779999999999999</cx:pt>
          <cx:pt idx="26">0.51819999999999999</cx:pt>
          <cx:pt idx="27">0.58909999999999996</cx:pt>
          <cx:pt idx="28">0.39910000000000001</cx:pt>
          <cx:pt idx="29">0.38319999999999999</cx:pt>
          <cx:pt idx="30">0.25790000000000002</cx:pt>
          <cx:pt idx="31">0.46300000000000002</cx:pt>
          <cx:pt idx="32">0.52890000000000004</cx:pt>
          <cx:pt idx="33">0.99880000000000002</cx:pt>
          <cx:pt idx="34">0.58550000000000002</cx:pt>
          <cx:pt idx="35">0.55840000000000001</cx:pt>
          <cx:pt idx="36">0.60129999999999995</cx:pt>
          <cx:pt idx="37">0.84389999999999998</cx:pt>
          <cx:pt idx="38">0.75190000000000001</cx:pt>
          <cx:pt idx="39">1.1634</cx:pt>
          <cx:pt idx="40">0.59530000000000005</cx:pt>
          <cx:pt idx="41">0.93030000000000002</cx:pt>
          <cx:pt idx="42">0.84730000000000005</cx:pt>
          <cx:pt idx="43">1.2330000000000001</cx:pt>
          <cx:pt idx="44">0.48089999999999999</cx:pt>
          <cx:pt idx="45">0.86150000000000004</cx:pt>
          <cx:pt idx="46">0.2087</cx:pt>
          <cx:pt idx="47">0.63419999999999999</cx:pt>
          <cx:pt idx="48">0.50919999999999999</cx:pt>
          <cx:pt idx="49">0.65859999999999996</cx:pt>
          <cx:pt idx="50">0.86980000000000002</cx:pt>
          <cx:pt idx="51">2.4015</cx:pt>
          <cx:pt idx="52">0.73050000000000004</cx:pt>
          <cx:pt idx="53">0.48420000000000002</cx:pt>
          <cx:pt idx="54">0.58809999999999996</cx:pt>
          <cx:pt idx="55">1.0703</cx:pt>
          <cx:pt idx="56">2.0392000000000001</cx:pt>
          <cx:pt idx="57">0.5948</cx:pt>
          <cx:pt idx="58">0.82210000000000005</cx:pt>
          <cx:pt idx="59">0.81159999999999999</cx:pt>
        </cx:lvl>
      </cx:numDim>
    </cx:data>
  </cx:chartData>
  <cx:chart>
    <cx:plotArea>
      <cx:plotAreaRegion>
        <cx:series layoutId="boxWhisker" uniqueId="{F013B6DB-637F-416F-B79B-708E26AAB40D}">
          <cx:tx>
            <cx:txData>
              <cx:f>'Ящик с усами N КРР'!$I$1</cx:f>
              <cx:v>RLI</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0"/>
            <cx:dataLabelHidden idx="21"/>
            <cx:dataLabelHidden idx="23"/>
            <cx:dataLabelHidden idx="24"/>
            <cx:dataLabelHidden idx="25"/>
            <cx:dataLabelHidden idx="45"/>
            <cx:dataLabelHidden idx="46"/>
            <cx:dataLabelHidden idx="48"/>
            <cx:dataLabelHidden idx="49"/>
            <cx:dataLabelHidden idx="50"/>
            <cx:dataLabelHidden idx="65"/>
            <cx:dataLabelHidden idx="66"/>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82.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N КРР'!$A$2:$A$61</cx:f>
        <cx:lvl ptCount="60">
          <cx:pt idx="0">N0</cx:pt>
          <cx:pt idx="1">N0</cx:pt>
          <cx:pt idx="2">N0</cx:pt>
          <cx:pt idx="3">N0</cx:pt>
          <cx:pt idx="4">N0</cx:pt>
          <cx:pt idx="5">N0</cx:pt>
          <cx:pt idx="6">N0</cx:pt>
          <cx:pt idx="7">N0</cx:pt>
          <cx:pt idx="8">N0</cx:pt>
          <cx:pt idx="9">N0</cx:pt>
          <cx:pt idx="10">N0</cx:pt>
          <cx:pt idx="11">N0</cx:pt>
          <cx:pt idx="12">N0</cx:pt>
          <cx:pt idx="13">N0</cx:pt>
          <cx:pt idx="14">N0</cx:pt>
          <cx:pt idx="15">N0</cx:pt>
          <cx:pt idx="16">N0</cx:pt>
          <cx:pt idx="17">N0</cx:pt>
          <cx:pt idx="18">N0</cx:pt>
          <cx:pt idx="19">N0</cx:pt>
          <cx:pt idx="20">N0</cx:pt>
          <cx:pt idx="21">N1</cx:pt>
          <cx:pt idx="22">N1</cx:pt>
          <cx:pt idx="23">N1</cx:pt>
          <cx:pt idx="24">N1</cx:pt>
          <cx:pt idx="25">N1</cx:pt>
          <cx:pt idx="26">N1</cx:pt>
          <cx:pt idx="27">N1</cx:pt>
          <cx:pt idx="28">N1</cx:pt>
          <cx:pt idx="29">N1</cx:pt>
          <cx:pt idx="30">N1</cx:pt>
          <cx:pt idx="31">N1</cx:pt>
          <cx:pt idx="32">N1</cx:pt>
          <cx:pt idx="33">N1</cx:pt>
          <cx:pt idx="34">N1</cx:pt>
          <cx:pt idx="35">N1</cx:pt>
          <cx:pt idx="36">N1</cx:pt>
          <cx:pt idx="37">N1</cx:pt>
          <cx:pt idx="38">N1</cx:pt>
          <cx:pt idx="39">N1</cx:pt>
          <cx:pt idx="40">N1</cx:pt>
          <cx:pt idx="41">N1</cx:pt>
          <cx:pt idx="42">Nx</cx:pt>
          <cx:pt idx="43">Nx</cx:pt>
          <cx:pt idx="44">Nx</cx:pt>
          <cx:pt idx="45">Nx</cx:pt>
          <cx:pt idx="46">Nx</cx:pt>
          <cx:pt idx="47">Nx</cx:pt>
          <cx:pt idx="48">Nx</cx:pt>
          <cx:pt idx="49">Nx</cx:pt>
          <cx:pt idx="50">Nx</cx:pt>
          <cx:pt idx="51">Nx</cx:pt>
          <cx:pt idx="52">Nx</cx:pt>
          <cx:pt idx="53">Nx</cx:pt>
          <cx:pt idx="54">Nx</cx:pt>
          <cx:pt idx="55">Nx</cx:pt>
          <cx:pt idx="56">Nx</cx:pt>
          <cx:pt idx="57">Nx</cx:pt>
          <cx:pt idx="58">Nx</cx:pt>
          <cx:pt idx="59">Nx</cx:pt>
        </cx:lvl>
      </cx:strDim>
      <cx:numDim type="val">
        <cx:f>'Ящик с усами N КРР'!$J$2:$J$61</cx:f>
        <cx:lvl ptCount="60" formatCode="0,00">
          <cx:pt idx="0">1.0331999999999999</cx:pt>
          <cx:pt idx="1">1.2092000000000001</cx:pt>
          <cx:pt idx="2">1.1789000000000001</cx:pt>
          <cx:pt idx="3">1.1093</cx:pt>
          <cx:pt idx="4">0.97440000000000004</cx:pt>
          <cx:pt idx="5">0.87170000000000003</cx:pt>
          <cx:pt idx="6">0.54139999999999999</cx:pt>
          <cx:pt idx="7">0.67390000000000005</cx:pt>
          <cx:pt idx="8">0.95999999999999996</cx:pt>
          <cx:pt idx="9">0.66930000000000001</cx:pt>
          <cx:pt idx="10">0.76429999999999998</cx:pt>
          <cx:pt idx="11">0.88549999999999995</cx:pt>
          <cx:pt idx="12">1.1406000000000001</cx:pt>
          <cx:pt idx="13">0.71050000000000002</cx:pt>
          <cx:pt idx="14">0.52880000000000005</cx:pt>
          <cx:pt idx="15">0.47999999999999998</cx:pt>
          <cx:pt idx="16">0.77490000000000003</cx:pt>
          <cx:pt idx="17">1.1751</cx:pt>
          <cx:pt idx="18">0.95220000000000005</cx:pt>
          <cx:pt idx="19">0.91249999999999998</cx:pt>
          <cx:pt idx="20">0.7177</cx:pt>
          <cx:pt idx="21">1.4847999999999999</cx:pt>
          <cx:pt idx="22">1.8121</cx:pt>
          <cx:pt idx="23">1.2238</cx:pt>
          <cx:pt idx="24">1.1459999999999999</cx:pt>
          <cx:pt idx="25">0.53449999999999998</cx:pt>
          <cx:pt idx="26">0.92490000000000006</cx:pt>
          <cx:pt idx="27">0.55230000000000001</cx:pt>
          <cx:pt idx="28">0.39810000000000001</cx:pt>
          <cx:pt idx="29">0.63980000000000004</cx:pt>
          <cx:pt idx="30">0.55020000000000002</cx:pt>
          <cx:pt idx="31">0.45850000000000002</cx:pt>
          <cx:pt idx="32">0.58199999999999996</cx:pt>
          <cx:pt idx="33">1.5062</cx:pt>
          <cx:pt idx="34">0.72140000000000004</cx:pt>
          <cx:pt idx="35">0.71860000000000002</cx:pt>
          <cx:pt idx="36">0.62060000000000004</cx:pt>
          <cx:pt idx="37">1.0996999999999999</cx:pt>
          <cx:pt idx="38">0.88700000000000001</cx:pt>
          <cx:pt idx="39">0.90080000000000005</cx:pt>
          <cx:pt idx="40">0.95389999999999997</cx:pt>
          <cx:pt idx="41">1.0193000000000001</cx:pt>
          <cx:pt idx="42">1.1717</cx:pt>
          <cx:pt idx="43">1.8266</cx:pt>
          <cx:pt idx="44">0.87770000000000004</cx:pt>
          <cx:pt idx="45">0.59419999999999995</cx:pt>
          <cx:pt idx="46">0.44550000000000001</cx:pt>
          <cx:pt idx="47">0.66590000000000005</cx:pt>
          <cx:pt idx="48">0.67379999999999995</cx:pt>
          <cx:pt idx="49">0.73109999999999997</cx:pt>
          <cx:pt idx="50">1.1402000000000001</cx:pt>
          <cx:pt idx="51">1.2663</cx:pt>
          <cx:pt idx="52">0.71120000000000005</cx:pt>
          <cx:pt idx="53">0.61019999999999996</cx:pt>
          <cx:pt idx="54">0.65669999999999995</cx:pt>
          <cx:pt idx="55">0.99929999999999997</cx:pt>
          <cx:pt idx="56">2.3134000000000001</cx:pt>
          <cx:pt idx="57">0.79759999999999998</cx:pt>
          <cx:pt idx="58">0.6139</cx:pt>
          <cx:pt idx="59">1.0181</cx:pt>
        </cx:lvl>
      </cx:numDim>
    </cx:data>
  </cx:chartData>
  <cx:chart>
    <cx:plotArea>
      <cx:plotAreaRegion>
        <cx:series layoutId="boxWhisker" uniqueId="{4DE12C10-B3AF-4D51-A5F9-8BDB95F7FF43}">
          <cx:tx>
            <cx:txData>
              <cx:f>'Ящик с усами N КРР'!$J$1</cx:f>
              <cx:v>P</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0"/>
            <cx:dataLabelHidden idx="21"/>
            <cx:dataLabelHidden idx="23"/>
            <cx:dataLabelHidden idx="24"/>
            <cx:dataLabelHidden idx="25"/>
            <cx:dataLabelHidden idx="45"/>
            <cx:dataLabelHidden idx="46"/>
            <cx:dataLabelHidden idx="48"/>
            <cx:dataLabelHidden idx="49"/>
            <cx:dataLabelHidden idx="50"/>
            <cx:dataLabelHidden idx="66"/>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83.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M КРР'!$A$2:$A$61</cx:f>
        <cx:lvl ptCount="60">
          <cx:pt idx="0">M0</cx:pt>
          <cx:pt idx="1">M0</cx:pt>
          <cx:pt idx="2">M0</cx:pt>
          <cx:pt idx="3">M0</cx:pt>
          <cx:pt idx="4">M0</cx:pt>
          <cx:pt idx="5">M0</cx:pt>
          <cx:pt idx="6">M0</cx:pt>
          <cx:pt idx="7">M0</cx:pt>
          <cx:pt idx="8">M0</cx:pt>
          <cx:pt idx="9">M0</cx:pt>
          <cx:pt idx="10">M0</cx:pt>
          <cx:pt idx="11">M0</cx:pt>
          <cx:pt idx="12">M0</cx:pt>
          <cx:pt idx="13">M0</cx:pt>
          <cx:pt idx="14">M0</cx:pt>
          <cx:pt idx="15">M0</cx:pt>
          <cx:pt idx="16">M0</cx:pt>
          <cx:pt idx="17">M0</cx:pt>
          <cx:pt idx="18">M0</cx:pt>
          <cx:pt idx="19">M0</cx:pt>
          <cx:pt idx="20">M0</cx:pt>
          <cx:pt idx="21">M0</cx:pt>
          <cx:pt idx="22">M0</cx:pt>
          <cx:pt idx="23">M0</cx:pt>
          <cx:pt idx="24">M0</cx:pt>
          <cx:pt idx="25">M0</cx:pt>
          <cx:pt idx="26">M0</cx:pt>
          <cx:pt idx="27">M0</cx:pt>
          <cx:pt idx="28">M0</cx:pt>
          <cx:pt idx="29">M0</cx:pt>
          <cx:pt idx="30">M0</cx:pt>
          <cx:pt idx="31">M0</cx:pt>
          <cx:pt idx="32">M0</cx:pt>
          <cx:pt idx="33">M0</cx:pt>
          <cx:pt idx="34">M0</cx:pt>
          <cx:pt idx="35">M0</cx:pt>
          <cx:pt idx="36">M0</cx:pt>
          <cx:pt idx="37">M0</cx:pt>
          <cx:pt idx="38">M0</cx:pt>
          <cx:pt idx="39">M0</cx:pt>
          <cx:pt idx="40">M0</cx:pt>
          <cx:pt idx="41">M0</cx:pt>
          <cx:pt idx="42">M0</cx:pt>
          <cx:pt idx="43">M0</cx:pt>
          <cx:pt idx="44">M0</cx:pt>
          <cx:pt idx="45">M0</cx:pt>
          <cx:pt idx="46">M0</cx:pt>
          <cx:pt idx="47">M0</cx:pt>
          <cx:pt idx="48">M0</cx:pt>
          <cx:pt idx="49">M0</cx:pt>
          <cx:pt idx="50">M0</cx:pt>
          <cx:pt idx="51">M0</cx:pt>
          <cx:pt idx="52">M0</cx:pt>
          <cx:pt idx="53">M0</cx:pt>
          <cx:pt idx="54">M0</cx:pt>
          <cx:pt idx="55">M0</cx:pt>
          <cx:pt idx="56">M0</cx:pt>
          <cx:pt idx="57">M0</cx:pt>
          <cx:pt idx="58">M0</cx:pt>
          <cx:pt idx="59">M0</cx:pt>
        </cx:lvl>
      </cx:strDim>
      <cx:numDim type="val">
        <cx:f>'Ящик с усами M КРР'!$B$2:$B$61</cx:f>
        <cx:lvl ptCount="60" formatCode="0,00">
          <cx:pt idx="0">0.92259999999999998</cx:pt>
          <cx:pt idx="1">0.85840000000000005</cx:pt>
          <cx:pt idx="2">0.92369999999999997</cx:pt>
          <cx:pt idx="3">0.66420000000000001</cx:pt>
          <cx:pt idx="4">0.82410000000000005</cx:pt>
          <cx:pt idx="5">0.69850000000000001</cx:pt>
          <cx:pt idx="6">0.74199999999999999</cx:pt>
          <cx:pt idx="7">0.90969999999999995</cx:pt>
          <cx:pt idx="8">1.4327000000000001</cx:pt>
          <cx:pt idx="9">0.7117</cx:pt>
          <cx:pt idx="10">0.76449999999999996</cx:pt>
          <cx:pt idx="11">0.62109999999999999</cx:pt>
          <cx:pt idx="12">0.35809999999999997</cx:pt>
          <cx:pt idx="13">0.84330000000000005</cx:pt>
          <cx:pt idx="14">0.45229999999999998</cx:pt>
          <cx:pt idx="15">0.28999999999999998</cx:pt>
          <cx:pt idx="16">0.75380000000000003</cx:pt>
          <cx:pt idx="17">0.69840000000000002</cx:pt>
          <cx:pt idx="18">0.73650000000000004</cx:pt>
          <cx:pt idx="19">0.45279999999999998</cx:pt>
          <cx:pt idx="20">0.75439999999999996</cx:pt>
          <cx:pt idx="21">0.32979999999999998</cx:pt>
          <cx:pt idx="22">0.57020000000000004</cx:pt>
          <cx:pt idx="23">0.75580000000000003</cx:pt>
          <cx:pt idx="24">0.50090000000000001</cx:pt>
          <cx:pt idx="25">0.57520000000000004</cx:pt>
          <cx:pt idx="26">0.84140000000000004</cx:pt>
          <cx:pt idx="27">0.65949999999999998</cx:pt>
          <cx:pt idx="28">0.74839999999999995</cx:pt>
          <cx:pt idx="29">0.93720000000000003</cx:pt>
          <cx:pt idx="30">1.5694999999999999</cx:pt>
          <cx:pt idx="31">1.2897000000000001</cx:pt>
          <cx:pt idx="32">0.43290000000000001</cx:pt>
          <cx:pt idx="33">1.0820000000000001</cx:pt>
          <cx:pt idx="34">0.31180000000000002</cx:pt>
          <cx:pt idx="35">0.67210000000000003</cx:pt>
          <cx:pt idx="36">1.0608</cx:pt>
          <cx:pt idx="37">1.5047999999999999</cx:pt>
          <cx:pt idx="38">1.0861000000000001</cx:pt>
          <cx:pt idx="39">0.49209999999999998</cx:pt>
          <cx:pt idx="40">1.2202999999999999</cx:pt>
          <cx:pt idx="41">0.8377</cx:pt>
          <cx:pt idx="42">1.4490000000000001</cx:pt>
          <cx:pt idx="43">0.44690000000000002</cx:pt>
          <cx:pt idx="44">0.90910000000000002</cx:pt>
          <cx:pt idx="45">0.23119999999999999</cx:pt>
          <cx:pt idx="46">0.68540000000000001</cx:pt>
          <cx:pt idx="47">0.33439999999999998</cx:pt>
          <cx:pt idx="48">0.77370000000000005</cx:pt>
          <cx:pt idx="49">1.165</cx:pt>
          <cx:pt idx="50">1.5702</cx:pt>
          <cx:pt idx="51">0.92210000000000003</cx:pt>
          <cx:pt idx="52">0.49320000000000003</cx:pt>
          <cx:pt idx="53">1.1894</cx:pt>
          <cx:pt idx="54">1.4592000000000001</cx:pt>
          <cx:pt idx="55">1.2484</cx:pt>
          <cx:pt idx="56">1.1508</cx:pt>
          <cx:pt idx="57">1.2644</cx:pt>
          <cx:pt idx="58">1.0011000000000001</cx:pt>
          <cx:pt idx="59">1.4757</cx:pt>
        </cx:lvl>
      </cx:numDim>
    </cx:data>
    <cx:data id="1">
      <cx:strDim type="cat">
        <cx:f>'Ящик с усами M КРР'!$A$2:$A$61</cx:f>
        <cx:lvl ptCount="60">
          <cx:pt idx="0">M0</cx:pt>
          <cx:pt idx="1">M0</cx:pt>
          <cx:pt idx="2">M0</cx:pt>
          <cx:pt idx="3">M0</cx:pt>
          <cx:pt idx="4">M0</cx:pt>
          <cx:pt idx="5">M0</cx:pt>
          <cx:pt idx="6">M0</cx:pt>
          <cx:pt idx="7">M0</cx:pt>
          <cx:pt idx="8">M0</cx:pt>
          <cx:pt idx="9">M0</cx:pt>
          <cx:pt idx="10">M0</cx:pt>
          <cx:pt idx="11">M0</cx:pt>
          <cx:pt idx="12">M0</cx:pt>
          <cx:pt idx="13">M0</cx:pt>
          <cx:pt idx="14">M0</cx:pt>
          <cx:pt idx="15">M0</cx:pt>
          <cx:pt idx="16">M0</cx:pt>
          <cx:pt idx="17">M0</cx:pt>
          <cx:pt idx="18">M0</cx:pt>
          <cx:pt idx="19">M0</cx:pt>
          <cx:pt idx="20">M0</cx:pt>
          <cx:pt idx="21">M0</cx:pt>
          <cx:pt idx="22">M0</cx:pt>
          <cx:pt idx="23">M0</cx:pt>
          <cx:pt idx="24">M0</cx:pt>
          <cx:pt idx="25">M0</cx:pt>
          <cx:pt idx="26">M0</cx:pt>
          <cx:pt idx="27">M0</cx:pt>
          <cx:pt idx="28">M0</cx:pt>
          <cx:pt idx="29">M0</cx:pt>
          <cx:pt idx="30">M0</cx:pt>
          <cx:pt idx="31">M0</cx:pt>
          <cx:pt idx="32">M0</cx:pt>
          <cx:pt idx="33">M0</cx:pt>
          <cx:pt idx="34">M0</cx:pt>
          <cx:pt idx="35">M0</cx:pt>
          <cx:pt idx="36">M0</cx:pt>
          <cx:pt idx="37">M0</cx:pt>
          <cx:pt idx="38">M0</cx:pt>
          <cx:pt idx="39">M0</cx:pt>
          <cx:pt idx="40">M0</cx:pt>
          <cx:pt idx="41">M0</cx:pt>
          <cx:pt idx="42">M0</cx:pt>
          <cx:pt idx="43">M0</cx:pt>
          <cx:pt idx="44">M0</cx:pt>
          <cx:pt idx="45">M0</cx:pt>
          <cx:pt idx="46">M0</cx:pt>
          <cx:pt idx="47">M0</cx:pt>
          <cx:pt idx="48">M0</cx:pt>
          <cx:pt idx="49">M0</cx:pt>
          <cx:pt idx="50">M0</cx:pt>
          <cx:pt idx="51">M0</cx:pt>
          <cx:pt idx="52">M0</cx:pt>
          <cx:pt idx="53">M0</cx:pt>
          <cx:pt idx="54">M0</cx:pt>
          <cx:pt idx="55">M0</cx:pt>
          <cx:pt idx="56">M0</cx:pt>
          <cx:pt idx="57">M0</cx:pt>
          <cx:pt idx="58">M0</cx:pt>
          <cx:pt idx="59">M0</cx:pt>
        </cx:lvl>
      </cx:strDim>
      <cx:numDim type="val">
        <cx:f>'Ящик с усами M КРР'!$C$2:$C$61</cx:f>
        <cx:lvl ptCount="60" formatCode="0,00">
          <cx:pt idx="0">1.5485</cx:pt>
          <cx:pt idx="1">1.6116999999999999</cx:pt>
          <cx:pt idx="2">1.1812</cx:pt>
          <cx:pt idx="3">2.2414000000000001</cx:pt>
          <cx:pt idx="4">0.61709999999999998</cx:pt>
          <cx:pt idx="5">1.0873999999999999</cx:pt>
          <cx:pt idx="6">0.64649999999999996</cx:pt>
          <cx:pt idx="7">1.0783</cx:pt>
          <cx:pt idx="8">0.50770000000000004</cx:pt>
          <cx:pt idx="9">0.94389999999999996</cx:pt>
          <cx:pt idx="10">0.88039999999999996</cx:pt>
          <cx:pt idx="11">0.4703</cx:pt>
          <cx:pt idx="12">0.42599999999999999</cx:pt>
          <cx:pt idx="13">0.67930000000000001</cx:pt>
          <cx:pt idx="14">0.46879999999999999</cx:pt>
          <cx:pt idx="15">0.51319999999999999</cx:pt>
          <cx:pt idx="16">0.42380000000000001</cx:pt>
          <cx:pt idx="17">0.38769999999999999</cx:pt>
          <cx:pt idx="18">0.67789999999999995</cx:pt>
          <cx:pt idx="19">0.46339999999999998</cx:pt>
          <cx:pt idx="20">1.0066999999999999</cx:pt>
          <cx:pt idx="21">0.36990000000000001</cx:pt>
          <cx:pt idx="22">0.58940000000000003</cx:pt>
          <cx:pt idx="23">0.61609999999999998</cx:pt>
          <cx:pt idx="24">0.81820000000000004</cx:pt>
          <cx:pt idx="25">0.65780000000000005</cx:pt>
          <cx:pt idx="26">0.79669999999999996</cx:pt>
          <cx:pt idx="27">0.4037</cx:pt>
          <cx:pt idx="28">0.63570000000000004</cx:pt>
          <cx:pt idx="29">0.73240000000000005</cx:pt>
          <cx:pt idx="30">1.1529</cx:pt>
          <cx:pt idx="31">0.73599999999999999</cx:pt>
          <cx:pt idx="32">0.53680000000000005</cx:pt>
          <cx:pt idx="33">1.4714</cx:pt>
          <cx:pt idx="34">0.61339999999999995</cx:pt>
          <cx:pt idx="35">0.4103</cx:pt>
          <cx:pt idx="36">1.5860000000000001</cx:pt>
          <cx:pt idx="37">1.3130999999999999</cx:pt>
          <cx:pt idx="38">0.87909999999999999</cx:pt>
          <cx:pt idx="39">0.5252</cx:pt>
          <cx:pt idx="40">1.0931999999999999</cx:pt>
          <cx:pt idx="41">0.54420000000000002</cx:pt>
          <cx:pt idx="42">1.0989</cx:pt>
          <cx:pt idx="43">0.31259999999999999</cx:pt>
          <cx:pt idx="44">0.53690000000000004</cx:pt>
          <cx:pt idx="45">0.47910000000000003</cx:pt>
          <cx:pt idx="46">0.60140000000000005</cx:pt>
          <cx:pt idx="47">0.50419999999999998</cx:pt>
          <cx:pt idx="48">0.92920000000000003</cx:pt>
          <cx:pt idx="49">0.60029999999999994</cx:pt>
          <cx:pt idx="50">1.6329</cx:pt>
          <cx:pt idx="51">0.81489999999999996</cx:pt>
          <cx:pt idx="52">0.80989999999999995</cx:pt>
          <cx:pt idx="53">0.83279999999999998</cx:pt>
          <cx:pt idx="54">0.874</cx:pt>
          <cx:pt idx="55">2.0908000000000002</cx:pt>
          <cx:pt idx="56">0.75880000000000003</cx:pt>
          <cx:pt idx="57">1.4639</cx:pt>
          <cx:pt idx="58">1.3025</cx:pt>
          <cx:pt idx="59">0.6885</cx:pt>
        </cx:lvl>
      </cx:numDim>
    </cx:data>
    <cx:data id="2">
      <cx:strDim type="cat">
        <cx:f>'Ящик с усами M КРР'!$A$2:$A$61</cx:f>
        <cx:lvl ptCount="60">
          <cx:pt idx="0">M0</cx:pt>
          <cx:pt idx="1">M0</cx:pt>
          <cx:pt idx="2">M0</cx:pt>
          <cx:pt idx="3">M0</cx:pt>
          <cx:pt idx="4">M0</cx:pt>
          <cx:pt idx="5">M0</cx:pt>
          <cx:pt idx="6">M0</cx:pt>
          <cx:pt idx="7">M0</cx:pt>
          <cx:pt idx="8">M0</cx:pt>
          <cx:pt idx="9">M0</cx:pt>
          <cx:pt idx="10">M0</cx:pt>
          <cx:pt idx="11">M0</cx:pt>
          <cx:pt idx="12">M0</cx:pt>
          <cx:pt idx="13">M0</cx:pt>
          <cx:pt idx="14">M0</cx:pt>
          <cx:pt idx="15">M0</cx:pt>
          <cx:pt idx="16">M0</cx:pt>
          <cx:pt idx="17">M0</cx:pt>
          <cx:pt idx="18">M0</cx:pt>
          <cx:pt idx="19">M0</cx:pt>
          <cx:pt idx="20">M0</cx:pt>
          <cx:pt idx="21">M0</cx:pt>
          <cx:pt idx="22">M0</cx:pt>
          <cx:pt idx="23">M0</cx:pt>
          <cx:pt idx="24">M0</cx:pt>
          <cx:pt idx="25">M0</cx:pt>
          <cx:pt idx="26">M0</cx:pt>
          <cx:pt idx="27">M0</cx:pt>
          <cx:pt idx="28">M0</cx:pt>
          <cx:pt idx="29">M0</cx:pt>
          <cx:pt idx="30">M0</cx:pt>
          <cx:pt idx="31">M0</cx:pt>
          <cx:pt idx="32">M0</cx:pt>
          <cx:pt idx="33">M0</cx:pt>
          <cx:pt idx="34">M0</cx:pt>
          <cx:pt idx="35">M0</cx:pt>
          <cx:pt idx="36">M0</cx:pt>
          <cx:pt idx="37">M0</cx:pt>
          <cx:pt idx="38">M0</cx:pt>
          <cx:pt idx="39">M0</cx:pt>
          <cx:pt idx="40">M0</cx:pt>
          <cx:pt idx="41">M0</cx:pt>
          <cx:pt idx="42">M0</cx:pt>
          <cx:pt idx="43">M0</cx:pt>
          <cx:pt idx="44">M0</cx:pt>
          <cx:pt idx="45">M0</cx:pt>
          <cx:pt idx="46">M0</cx:pt>
          <cx:pt idx="47">M0</cx:pt>
          <cx:pt idx="48">M0</cx:pt>
          <cx:pt idx="49">M0</cx:pt>
          <cx:pt idx="50">M0</cx:pt>
          <cx:pt idx="51">M0</cx:pt>
          <cx:pt idx="52">M0</cx:pt>
          <cx:pt idx="53">M0</cx:pt>
          <cx:pt idx="54">M0</cx:pt>
          <cx:pt idx="55">M0</cx:pt>
          <cx:pt idx="56">M0</cx:pt>
          <cx:pt idx="57">M0</cx:pt>
          <cx:pt idx="58">M0</cx:pt>
          <cx:pt idx="59">M0</cx:pt>
        </cx:lvl>
      </cx:strDim>
      <cx:numDim type="val">
        <cx:f>'Ящик с усами M КРР'!$D$2:$D$61</cx:f>
        <cx:lvl ptCount="60" formatCode="0,00">
          <cx:pt idx="0">1.8083</cx:pt>
          <cx:pt idx="1">1.1706000000000001</cx:pt>
          <cx:pt idx="2">0.8155</cx:pt>
          <cx:pt idx="3">1.0499000000000001</cx:pt>
          <cx:pt idx="4">0.93430000000000002</cx:pt>
          <cx:pt idx="5">0.75590000000000002</cx:pt>
          <cx:pt idx="6">1.0347</cx:pt>
          <cx:pt idx="7">0.73980000000000001</cx:pt>
          <cx:pt idx="8">0.6976</cx:pt>
          <cx:pt idx="9">1.3533999999999999</cx:pt>
          <cx:pt idx="10">0.88829999999999998</cx:pt>
          <cx:pt idx="11">0.86739999999999995</cx:pt>
          <cx:pt idx="12">0.77370000000000005</cx:pt>
          <cx:pt idx="13">1.129</cx:pt>
          <cx:pt idx="14">0.42070000000000002</cx:pt>
          <cx:pt idx="15">0.29320000000000002</cx:pt>
          <cx:pt idx="16">0.48430000000000001</cx:pt>
          <cx:pt idx="17">0.61319999999999997</cx:pt>
          <cx:pt idx="18">0.81520000000000004</cx:pt>
          <cx:pt idx="19">0.66549999999999998</cx:pt>
          <cx:pt idx="20">0.74539999999999995</cx:pt>
          <cx:pt idx="21">0.40799999999999997</cx:pt>
          <cx:pt idx="22">0.42149999999999999</cx:pt>
          <cx:pt idx="23">0.68620000000000003</cx:pt>
          <cx:pt idx="24">0.4451</cx:pt>
          <cx:pt idx="25">0.75009999999999999</cx:pt>
          <cx:pt idx="26">0.81889999999999996</cx:pt>
          <cx:pt idx="27">1.3343</cx:pt>
          <cx:pt idx="28">0.69010000000000005</cx:pt>
          <cx:pt idx="29">1.0184</cx:pt>
          <cx:pt idx="30">1.4965999999999999</cx:pt>
          <cx:pt idx="31">1.5466</cx:pt>
          <cx:pt idx="32">0.58130000000000004</cx:pt>
          <cx:pt idx="33">2.1457999999999999</cx:pt>
          <cx:pt idx="34">0.65359999999999996</cx:pt>
          <cx:pt idx="35">0.38090000000000002</cx:pt>
          <cx:pt idx="36">1.4305000000000001</cx:pt>
          <cx:pt idx="37">1.1892</cx:pt>
          <cx:pt idx="38">1.1422000000000001</cx:pt>
          <cx:pt idx="39">0.8589</cx:pt>
          <cx:pt idx="40">1.6548</cx:pt>
          <cx:pt idx="41">0.66459999999999997</cx:pt>
          <cx:pt idx="42">1.736</cx:pt>
          <cx:pt idx="43">0.751</cx:pt>
          <cx:pt idx="44">0.85819999999999996</cx:pt>
          <cx:pt idx="45">0.80069999999999997</cx:pt>
          <cx:pt idx="46">1.798</cx:pt>
          <cx:pt idx="47">0.64339999999999997</cx:pt>
          <cx:pt idx="48">0.8569</cx:pt>
          <cx:pt idx="49">1.3805000000000001</cx:pt>
          <cx:pt idx="50">2.9357000000000002</cx:pt>
          <cx:pt idx="51">1.2485999999999999</cx:pt>
          <cx:pt idx="52">0.92030000000000001</cx:pt>
          <cx:pt idx="53">1.4228000000000001</cx:pt>
          <cx:pt idx="54">0.82940000000000003</cx:pt>
          <cx:pt idx="55">0.86909999999999998</cx:pt>
          <cx:pt idx="56">1.5174000000000001</cx:pt>
          <cx:pt idx="57">1.6382000000000001</cx:pt>
          <cx:pt idx="58">0.77600000000000002</cx:pt>
          <cx:pt idx="59">0.61099999999999999</cx:pt>
        </cx:lvl>
      </cx:numDim>
    </cx:data>
    <cx:data id="3">
      <cx:strDim type="cat">
        <cx:f>'Ящик с усами M КРР'!$A$2:$A$61</cx:f>
        <cx:lvl ptCount="60">
          <cx:pt idx="0">M0</cx:pt>
          <cx:pt idx="1">M0</cx:pt>
          <cx:pt idx="2">M0</cx:pt>
          <cx:pt idx="3">M0</cx:pt>
          <cx:pt idx="4">M0</cx:pt>
          <cx:pt idx="5">M0</cx:pt>
          <cx:pt idx="6">M0</cx:pt>
          <cx:pt idx="7">M0</cx:pt>
          <cx:pt idx="8">M0</cx:pt>
          <cx:pt idx="9">M0</cx:pt>
          <cx:pt idx="10">M0</cx:pt>
          <cx:pt idx="11">M0</cx:pt>
          <cx:pt idx="12">M0</cx:pt>
          <cx:pt idx="13">M0</cx:pt>
          <cx:pt idx="14">M0</cx:pt>
          <cx:pt idx="15">M0</cx:pt>
          <cx:pt idx="16">M0</cx:pt>
          <cx:pt idx="17">M0</cx:pt>
          <cx:pt idx="18">M0</cx:pt>
          <cx:pt idx="19">M0</cx:pt>
          <cx:pt idx="20">M0</cx:pt>
          <cx:pt idx="21">M0</cx:pt>
          <cx:pt idx="22">M0</cx:pt>
          <cx:pt idx="23">M0</cx:pt>
          <cx:pt idx="24">M0</cx:pt>
          <cx:pt idx="25">M0</cx:pt>
          <cx:pt idx="26">M0</cx:pt>
          <cx:pt idx="27">M0</cx:pt>
          <cx:pt idx="28">M0</cx:pt>
          <cx:pt idx="29">M0</cx:pt>
          <cx:pt idx="30">M0</cx:pt>
          <cx:pt idx="31">M0</cx:pt>
          <cx:pt idx="32">M0</cx:pt>
          <cx:pt idx="33">M0</cx:pt>
          <cx:pt idx="34">M0</cx:pt>
          <cx:pt idx="35">M0</cx:pt>
          <cx:pt idx="36">M0</cx:pt>
          <cx:pt idx="37">M0</cx:pt>
          <cx:pt idx="38">M0</cx:pt>
          <cx:pt idx="39">M0</cx:pt>
          <cx:pt idx="40">M0</cx:pt>
          <cx:pt idx="41">M0</cx:pt>
          <cx:pt idx="42">M0</cx:pt>
          <cx:pt idx="43">M0</cx:pt>
          <cx:pt idx="44">M0</cx:pt>
          <cx:pt idx="45">M0</cx:pt>
          <cx:pt idx="46">M0</cx:pt>
          <cx:pt idx="47">M0</cx:pt>
          <cx:pt idx="48">M0</cx:pt>
          <cx:pt idx="49">M0</cx:pt>
          <cx:pt idx="50">M0</cx:pt>
          <cx:pt idx="51">M0</cx:pt>
          <cx:pt idx="52">M0</cx:pt>
          <cx:pt idx="53">M0</cx:pt>
          <cx:pt idx="54">M0</cx:pt>
          <cx:pt idx="55">M0</cx:pt>
          <cx:pt idx="56">M0</cx:pt>
          <cx:pt idx="57">M0</cx:pt>
          <cx:pt idx="58">M0</cx:pt>
          <cx:pt idx="59">M0</cx:pt>
        </cx:lvl>
      </cx:strDim>
      <cx:numDim type="val">
        <cx:f>'Ящик с усами M КРР'!$E$2:$E$61</cx:f>
        <cx:lvl ptCount="60" formatCode="0,00">
          <cx:pt idx="0">1.0718000000000001</cx:pt>
          <cx:pt idx="1">0.85360000000000003</cx:pt>
          <cx:pt idx="2">1.3078000000000001</cx:pt>
          <cx:pt idx="3">0.79620000000000002</cx:pt>
          <cx:pt idx="4">0.61419999999999997</cx:pt>
          <cx:pt idx="5">1.1435</cx:pt>
          <cx:pt idx="6">1.4419999999999999</cx:pt>
          <cx:pt idx="7">1.1160000000000001</cx:pt>
          <cx:pt idx="8">0.58930000000000005</cx:pt>
          <cx:pt idx="9">0.56020000000000003</cx:pt>
          <cx:pt idx="10">0.7883</cx:pt>
          <cx:pt idx="11">0.61719999999999997</cx:pt>
          <cx:pt idx="12">0.32700000000000001</cx:pt>
          <cx:pt idx="13">0.9839</cx:pt>
          <cx:pt idx="14">0.5403</cx:pt>
          <cx:pt idx="15">0.46039999999999998</cx:pt>
          <cx:pt idx="16">0.62180000000000002</cx:pt>
          <cx:pt idx="17">0.44140000000000001</cx:pt>
          <cx:pt idx="18">0.58099999999999996</cx:pt>
          <cx:pt idx="19">0.58230000000000004</cx:pt>
          <cx:pt idx="20">0.9194</cx:pt>
          <cx:pt idx="21">0.50339999999999996</cx:pt>
          <cx:pt idx="22">0.49919999999999998</cx:pt>
          <cx:pt idx="23">0.50429999999999997</cx:pt>
          <cx:pt idx="24">0.50090000000000001</cx:pt>
          <cx:pt idx="25">0.66969999999999996</cx:pt>
          <cx:pt idx="26">0.92000000000000004</cx:pt>
          <cx:pt idx="27">0.53520000000000001</cx:pt>
          <cx:pt idx="28">0.71160000000000001</cx:pt>
          <cx:pt idx="29">0.75509999999999999</cx:pt>
          <cx:pt idx="30">2.2519</cx:pt>
          <cx:pt idx="31">1.8771</cx:pt>
          <cx:pt idx="32">0.45290000000000002</cx:pt>
          <cx:pt idx="33">1.4247000000000001</cx:pt>
          <cx:pt idx="34">0.62219999999999998</cx:pt>
          <cx:pt idx="35">0.41799999999999998</cx:pt>
          <cx:pt idx="36">1.6369</cx:pt>
          <cx:pt idx="37">1.2042999999999999</cx:pt>
          <cx:pt idx="38">1.0603</cx:pt>
          <cx:pt idx="39">0.76190000000000002</cx:pt>
          <cx:pt idx="40">1.6229</cx:pt>
          <cx:pt idx="41">0.53180000000000005</cx:pt>
          <cx:pt idx="42">1.1100000000000001</cx:pt>
          <cx:pt idx="43">0.45839999999999997</cx:pt>
          <cx:pt idx="44">0.62380000000000002</cx:pt>
          <cx:pt idx="45">0.5746</cx:pt>
          <cx:pt idx="46">1.1052</cx:pt>
          <cx:pt idx="47">0.7006</cx:pt>
          <cx:pt idx="48">1.1407</cx:pt>
          <cx:pt idx="49">0.99890000000000001</cx:pt>
          <cx:pt idx="50">1.5598000000000001</cx:pt>
          <cx:pt idx="51">0.9294</cx:pt>
          <cx:pt idx="52">0.84889999999999999</cx:pt>
          <cx:pt idx="53">1.1613</cx:pt>
          <cx:pt idx="54">0.69920000000000004</cx:pt>
          <cx:pt idx="55">1.5258</cx:pt>
          <cx:pt idx="56">1.3401000000000001</cx:pt>
          <cx:pt idx="57">1.5353000000000001</cx:pt>
          <cx:pt idx="58">0.93089999999999995</cx:pt>
          <cx:pt idx="59">0.79779999999999995</cx:pt>
        </cx:lvl>
      </cx:numDim>
    </cx:data>
    <cx:data id="4">
      <cx:strDim type="cat">
        <cx:f>'Ящик с усами M КРР'!$A$2:$A$61</cx:f>
        <cx:lvl ptCount="60">
          <cx:pt idx="0">M0</cx:pt>
          <cx:pt idx="1">M0</cx:pt>
          <cx:pt idx="2">M0</cx:pt>
          <cx:pt idx="3">M0</cx:pt>
          <cx:pt idx="4">M0</cx:pt>
          <cx:pt idx="5">M0</cx:pt>
          <cx:pt idx="6">M0</cx:pt>
          <cx:pt idx="7">M0</cx:pt>
          <cx:pt idx="8">M0</cx:pt>
          <cx:pt idx="9">M0</cx:pt>
          <cx:pt idx="10">M0</cx:pt>
          <cx:pt idx="11">M0</cx:pt>
          <cx:pt idx="12">M0</cx:pt>
          <cx:pt idx="13">M0</cx:pt>
          <cx:pt idx="14">M0</cx:pt>
          <cx:pt idx="15">M0</cx:pt>
          <cx:pt idx="16">M0</cx:pt>
          <cx:pt idx="17">M0</cx:pt>
          <cx:pt idx="18">M0</cx:pt>
          <cx:pt idx="19">M0</cx:pt>
          <cx:pt idx="20">M0</cx:pt>
          <cx:pt idx="21">M0</cx:pt>
          <cx:pt idx="22">M0</cx:pt>
          <cx:pt idx="23">M0</cx:pt>
          <cx:pt idx="24">M0</cx:pt>
          <cx:pt idx="25">M0</cx:pt>
          <cx:pt idx="26">M0</cx:pt>
          <cx:pt idx="27">M0</cx:pt>
          <cx:pt idx="28">M0</cx:pt>
          <cx:pt idx="29">M0</cx:pt>
          <cx:pt idx="30">M0</cx:pt>
          <cx:pt idx="31">M0</cx:pt>
          <cx:pt idx="32">M0</cx:pt>
          <cx:pt idx="33">M0</cx:pt>
          <cx:pt idx="34">M0</cx:pt>
          <cx:pt idx="35">M0</cx:pt>
          <cx:pt idx="36">M0</cx:pt>
          <cx:pt idx="37">M0</cx:pt>
          <cx:pt idx="38">M0</cx:pt>
          <cx:pt idx="39">M0</cx:pt>
          <cx:pt idx="40">M0</cx:pt>
          <cx:pt idx="41">M0</cx:pt>
          <cx:pt idx="42">M0</cx:pt>
          <cx:pt idx="43">M0</cx:pt>
          <cx:pt idx="44">M0</cx:pt>
          <cx:pt idx="45">M0</cx:pt>
          <cx:pt idx="46">M0</cx:pt>
          <cx:pt idx="47">M0</cx:pt>
          <cx:pt idx="48">M0</cx:pt>
          <cx:pt idx="49">M0</cx:pt>
          <cx:pt idx="50">M0</cx:pt>
          <cx:pt idx="51">M0</cx:pt>
          <cx:pt idx="52">M0</cx:pt>
          <cx:pt idx="53">M0</cx:pt>
          <cx:pt idx="54">M0</cx:pt>
          <cx:pt idx="55">M0</cx:pt>
          <cx:pt idx="56">M0</cx:pt>
          <cx:pt idx="57">M0</cx:pt>
          <cx:pt idx="58">M0</cx:pt>
          <cx:pt idx="59">M0</cx:pt>
        </cx:lvl>
      </cx:strDim>
      <cx:numDim type="val">
        <cx:f>'Ящик с усами M КРР'!$F$2:$F$61</cx:f>
        <cx:lvl ptCount="60" formatCode="0,00">
          <cx:pt idx="0">1.2702</cx:pt>
          <cx:pt idx="1">1.0275000000000001</cx:pt>
          <cx:pt idx="2">0.67290000000000005</cx:pt>
          <cx:pt idx="3">1.1175999999999999</cx:pt>
          <cx:pt idx="4">0.78820000000000001</cx:pt>
          <cx:pt idx="5">0.95530000000000004</cx:pt>
          <cx:pt idx="6">1.5286</cx:pt>
          <cx:pt idx="7">0.8669</cx:pt>
          <cx:pt idx="8">0.64480000000000004</cx:pt>
          <cx:pt idx="9">0.78390000000000004</cx:pt>
          <cx:pt idx="10">1.1021000000000001</cx:pt>
          <cx:pt idx="11">1.0688</cx:pt>
          <cx:pt idx="12">0.95820000000000005</cx:pt>
          <cx:pt idx="13">0.76160000000000005</cx:pt>
          <cx:pt idx="14">0.60909999999999997</cx:pt>
          <cx:pt idx="15">0.28570000000000001</cx:pt>
          <cx:pt idx="16">0.50590000000000002</cx:pt>
          <cx:pt idx="17">0.38290000000000002</cx:pt>
          <cx:pt idx="18">0.61040000000000005</cx:pt>
          <cx:pt idx="19">0.78900000000000003</cx:pt>
          <cx:pt idx="20">0.85799999999999998</cx:pt>
          <cx:pt idx="21">0.1153</cx:pt>
          <cx:pt idx="22">0.5655</cx:pt>
          <cx:pt idx="23">0.6855</cx:pt>
          <cx:pt idx="24">0.59099999999999997</cx:pt>
          <cx:pt idx="25">0.90800000000000003</cx:pt>
          <cx:pt idx="26">0.93159999999999998</cx:pt>
          <cx:pt idx="27">0.66900000000000004</cx:pt>
          <cx:pt idx="28">0.8115</cx:pt>
          <cx:pt idx="29">1.0942000000000001</cx:pt>
          <cx:pt idx="30">0.94620000000000004</cx:pt>
          <cx:pt idx="31">2.2650000000000001</cx:pt>
          <cx:pt idx="32">0.4617</cx:pt>
          <cx:pt idx="33">1.4926999999999999</cx:pt>
          <cx:pt idx="34">0.77680000000000005</cx:pt>
          <cx:pt idx="35">0.44419999999999998</cx:pt>
          <cx:pt idx="36">0.93689999999999996</cx:pt>
          <cx:pt idx="37">1.6556999999999999</cx:pt>
          <cx:pt idx="38">0.87970000000000004</cx:pt>
          <cx:pt idx="39">0.59360000000000002</cx:pt>
          <cx:pt idx="40">1.6148</cx:pt>
          <cx:pt idx="41">0.38800000000000001</cx:pt>
          <cx:pt idx="42">1.4387000000000001</cx:pt>
          <cx:pt idx="43">0.34599999999999997</cx:pt>
          <cx:pt idx="44">0.8538</cx:pt>
          <cx:pt idx="45">0.72240000000000004</cx:pt>
          <cx:pt idx="46">1.2293000000000001</cx:pt>
          <cx:pt idx="47">0.53090000000000004</cx:pt>
          <cx:pt idx="48">1.1879</cx:pt>
          <cx:pt idx="49">1.0149999999999999</cx:pt>
          <cx:pt idx="50">1.0646</cx:pt>
          <cx:pt idx="51">1.1423000000000001</cx:pt>
          <cx:pt idx="52">0.78779999999999994</cx:pt>
          <cx:pt idx="53">1.4469000000000001</cx:pt>
          <cx:pt idx="54">0.97929999999999995</cx:pt>
          <cx:pt idx="55">0.9244</cx:pt>
          <cx:pt idx="56">0.76219999999999999</cx:pt>
          <cx:pt idx="57">1.3353999999999999</cx:pt>
          <cx:pt idx="58">0.92610000000000003</cx:pt>
          <cx:pt idx="59">0.62490000000000001</cx:pt>
        </cx:lvl>
      </cx:numDim>
    </cx:data>
    <cx:data id="5">
      <cx:strDim type="cat">
        <cx:f>'Ящик с усами M КРР'!$A$2:$A$61</cx:f>
        <cx:lvl ptCount="60">
          <cx:pt idx="0">M0</cx:pt>
          <cx:pt idx="1">M0</cx:pt>
          <cx:pt idx="2">M0</cx:pt>
          <cx:pt idx="3">M0</cx:pt>
          <cx:pt idx="4">M0</cx:pt>
          <cx:pt idx="5">M0</cx:pt>
          <cx:pt idx="6">M0</cx:pt>
          <cx:pt idx="7">M0</cx:pt>
          <cx:pt idx="8">M0</cx:pt>
          <cx:pt idx="9">M0</cx:pt>
          <cx:pt idx="10">M0</cx:pt>
          <cx:pt idx="11">M0</cx:pt>
          <cx:pt idx="12">M0</cx:pt>
          <cx:pt idx="13">M0</cx:pt>
          <cx:pt idx="14">M0</cx:pt>
          <cx:pt idx="15">M0</cx:pt>
          <cx:pt idx="16">M0</cx:pt>
          <cx:pt idx="17">M0</cx:pt>
          <cx:pt idx="18">M0</cx:pt>
          <cx:pt idx="19">M0</cx:pt>
          <cx:pt idx="20">M0</cx:pt>
          <cx:pt idx="21">M0</cx:pt>
          <cx:pt idx="22">M0</cx:pt>
          <cx:pt idx="23">M0</cx:pt>
          <cx:pt idx="24">M0</cx:pt>
          <cx:pt idx="25">M0</cx:pt>
          <cx:pt idx="26">M0</cx:pt>
          <cx:pt idx="27">M0</cx:pt>
          <cx:pt idx="28">M0</cx:pt>
          <cx:pt idx="29">M0</cx:pt>
          <cx:pt idx="30">M0</cx:pt>
          <cx:pt idx="31">M0</cx:pt>
          <cx:pt idx="32">M0</cx:pt>
          <cx:pt idx="33">M0</cx:pt>
          <cx:pt idx="34">M0</cx:pt>
          <cx:pt idx="35">M0</cx:pt>
          <cx:pt idx="36">M0</cx:pt>
          <cx:pt idx="37">M0</cx:pt>
          <cx:pt idx="38">M0</cx:pt>
          <cx:pt idx="39">M0</cx:pt>
          <cx:pt idx="40">M0</cx:pt>
          <cx:pt idx="41">M0</cx:pt>
          <cx:pt idx="42">M0</cx:pt>
          <cx:pt idx="43">M0</cx:pt>
          <cx:pt idx="44">M0</cx:pt>
          <cx:pt idx="45">M0</cx:pt>
          <cx:pt idx="46">M0</cx:pt>
          <cx:pt idx="47">M0</cx:pt>
          <cx:pt idx="48">M0</cx:pt>
          <cx:pt idx="49">M0</cx:pt>
          <cx:pt idx="50">M0</cx:pt>
          <cx:pt idx="51">M0</cx:pt>
          <cx:pt idx="52">M0</cx:pt>
          <cx:pt idx="53">M0</cx:pt>
          <cx:pt idx="54">M0</cx:pt>
          <cx:pt idx="55">M0</cx:pt>
          <cx:pt idx="56">M0</cx:pt>
          <cx:pt idx="57">M0</cx:pt>
          <cx:pt idx="58">M0</cx:pt>
          <cx:pt idx="59">M0</cx:pt>
        </cx:lvl>
      </cx:strDim>
      <cx:numDim type="val">
        <cx:f>'Ящик с усами M КРР'!$G$2:$G$61</cx:f>
        <cx:lvl ptCount="60" formatCode="0,00">
          <cx:pt idx="0">1.3323</cx:pt>
          <cx:pt idx="1">1.0057</cx:pt>
          <cx:pt idx="2">1.0667</cx:pt>
          <cx:pt idx="3">1.5214000000000001</cx:pt>
          <cx:pt idx="4">1.0752999999999999</cx:pt>
          <cx:pt idx="5">1.2581</cx:pt>
          <cx:pt idx="6">0.9093</cx:pt>
          <cx:pt idx="7">1.0225</cx:pt>
          <cx:pt idx="8">0.97440000000000004</cx:pt>
          <cx:pt idx="9">0.79200000000000004</cx:pt>
          <cx:pt idx="10">1.0212000000000001</cx:pt>
          <cx:pt idx="11">1.0179</cx:pt>
          <cx:pt idx="12">0.76639999999999997</cx:pt>
          <cx:pt idx="13">0.96640000000000004</cx:pt>
          <cx:pt idx="14">0.51139999999999997</cx:pt>
          <cx:pt idx="15">0.38940000000000002</cx:pt>
          <cx:pt idx="16">0.54649999999999999</cx:pt>
          <cx:pt idx="17">0.44090000000000001</cx:pt>
          <cx:pt idx="18">0.52869999999999995</cx:pt>
          <cx:pt idx="19">0.5786</cx:pt>
          <cx:pt idx="20">1.0146999999999999</cx:pt>
          <cx:pt idx="21">0.26400000000000001</cx:pt>
          <cx:pt idx="22">0.51929999999999998</cx:pt>
          <cx:pt idx="23">0.72970000000000002</cx:pt>
          <cx:pt idx="24">0.68969999999999998</cx:pt>
          <cx:pt idx="25">0.51759999999999995</cx:pt>
          <cx:pt idx="26">0.8397</cx:pt>
          <cx:pt idx="27">0.66810000000000003</cx:pt>
          <cx:pt idx="28">1.1648000000000001</cx:pt>
          <cx:pt idx="29">0.55669999999999997</cx:pt>
          <cx:pt idx="30">0.7863</cx:pt>
          <cx:pt idx="31">1.4702</cx:pt>
          <cx:pt idx="32">0.63759999999999994</cx:pt>
          <cx:pt idx="33">1.1778</cx:pt>
          <cx:pt idx="34">0.58360000000000001</cx:pt>
          <cx:pt idx="35">0.58889999999999998</cx:pt>
          <cx:pt idx="36">0.70120000000000005</cx:pt>
          <cx:pt idx="37">1.1412</cx:pt>
          <cx:pt idx="38">0.56410000000000005</cx:pt>
          <cx:pt idx="39">0.70689999999999997</cx:pt>
          <cx:pt idx="40">1.0529999999999999</cx:pt>
          <cx:pt idx="41">0.50939999999999996</cx:pt>
          <cx:pt idx="42">0.68799999999999994</cx:pt>
          <cx:pt idx="43">0.41070000000000001</cx:pt>
          <cx:pt idx="44">0.51900000000000002</cx:pt>
          <cx:pt idx="45">0.3463</cx:pt>
          <cx:pt idx="46">0.92610000000000003</cx:pt>
          <cx:pt idx="47">0.49049999999999999</cx:pt>
          <cx:pt idx="48">0.73499999999999999</cx:pt>
          <cx:pt idx="49">1.1698</cx:pt>
          <cx:pt idx="50">1.6856</cx:pt>
          <cx:pt idx="51">0.54830000000000001</cx:pt>
          <cx:pt idx="52">0.4335</cx:pt>
          <cx:pt idx="53">1.3482000000000001</cx:pt>
          <cx:pt idx="54">0.52959999999999996</cx:pt>
          <cx:pt idx="55">0.72460000000000002</cx:pt>
          <cx:pt idx="56">1.2285999999999999</cx:pt>
          <cx:pt idx="57">1.097</cx:pt>
          <cx:pt idx="58">0.66979999999999995</cx:pt>
          <cx:pt idx="59">0.77859999999999996</cx:pt>
        </cx:lvl>
      </cx:numDim>
    </cx:data>
    <cx:data id="6">
      <cx:strDim type="cat">
        <cx:f>'Ящик с усами M КРР'!$A$2:$A$61</cx:f>
        <cx:lvl ptCount="60">
          <cx:pt idx="0">M0</cx:pt>
          <cx:pt idx="1">M0</cx:pt>
          <cx:pt idx="2">M0</cx:pt>
          <cx:pt idx="3">M0</cx:pt>
          <cx:pt idx="4">M0</cx:pt>
          <cx:pt idx="5">M0</cx:pt>
          <cx:pt idx="6">M0</cx:pt>
          <cx:pt idx="7">M0</cx:pt>
          <cx:pt idx="8">M0</cx:pt>
          <cx:pt idx="9">M0</cx:pt>
          <cx:pt idx="10">M0</cx:pt>
          <cx:pt idx="11">M0</cx:pt>
          <cx:pt idx="12">M0</cx:pt>
          <cx:pt idx="13">M0</cx:pt>
          <cx:pt idx="14">M0</cx:pt>
          <cx:pt idx="15">M0</cx:pt>
          <cx:pt idx="16">M0</cx:pt>
          <cx:pt idx="17">M0</cx:pt>
          <cx:pt idx="18">M0</cx:pt>
          <cx:pt idx="19">M0</cx:pt>
          <cx:pt idx="20">M0</cx:pt>
          <cx:pt idx="21">M0</cx:pt>
          <cx:pt idx="22">M0</cx:pt>
          <cx:pt idx="23">M0</cx:pt>
          <cx:pt idx="24">M0</cx:pt>
          <cx:pt idx="25">M0</cx:pt>
          <cx:pt idx="26">M0</cx:pt>
          <cx:pt idx="27">M0</cx:pt>
          <cx:pt idx="28">M0</cx:pt>
          <cx:pt idx="29">M0</cx:pt>
          <cx:pt idx="30">M0</cx:pt>
          <cx:pt idx="31">M0</cx:pt>
          <cx:pt idx="32">M0</cx:pt>
          <cx:pt idx="33">M0</cx:pt>
          <cx:pt idx="34">M0</cx:pt>
          <cx:pt idx="35">M0</cx:pt>
          <cx:pt idx="36">M0</cx:pt>
          <cx:pt idx="37">M0</cx:pt>
          <cx:pt idx="38">M0</cx:pt>
          <cx:pt idx="39">M0</cx:pt>
          <cx:pt idx="40">M0</cx:pt>
          <cx:pt idx="41">M0</cx:pt>
          <cx:pt idx="42">M0</cx:pt>
          <cx:pt idx="43">M0</cx:pt>
          <cx:pt idx="44">M0</cx:pt>
          <cx:pt idx="45">M0</cx:pt>
          <cx:pt idx="46">M0</cx:pt>
          <cx:pt idx="47">M0</cx:pt>
          <cx:pt idx="48">M0</cx:pt>
          <cx:pt idx="49">M0</cx:pt>
          <cx:pt idx="50">M0</cx:pt>
          <cx:pt idx="51">M0</cx:pt>
          <cx:pt idx="52">M0</cx:pt>
          <cx:pt idx="53">M0</cx:pt>
          <cx:pt idx="54">M0</cx:pt>
          <cx:pt idx="55">M0</cx:pt>
          <cx:pt idx="56">M0</cx:pt>
          <cx:pt idx="57">M0</cx:pt>
          <cx:pt idx="58">M0</cx:pt>
          <cx:pt idx="59">M0</cx:pt>
        </cx:lvl>
      </cx:strDim>
      <cx:numDim type="val">
        <cx:f>'Ящик с усами M КРР'!$H$2:$H$61</cx:f>
        <cx:lvl ptCount="60" formatCode="0,00">
          <cx:pt idx="0">0.90720000000000001</cx:pt>
          <cx:pt idx="1">0.82799999999999996</cx:pt>
          <cx:pt idx="2">1.0501</cx:pt>
          <cx:pt idx="3">0.86299999999999999</cx:pt>
          <cx:pt idx="4">1.2715000000000001</cx:pt>
          <cx:pt idx="5">1.121</cx:pt>
          <cx:pt idx="6">1.5311999999999999</cx:pt>
          <cx:pt idx="7">1.0337000000000001</cx:pt>
          <cx:pt idx="8">1.0737000000000001</cx:pt>
          <cx:pt idx="9">0.63839999999999997</cx:pt>
          <cx:pt idx="10">1.4131</cx:pt>
          <cx:pt idx="11">1.4077999999999999</cx:pt>
          <cx:pt idx="12">0.60829999999999995</cx:pt>
          <cx:pt idx="13">0.95399999999999996</cx:pt>
          <cx:pt idx="14">0.55710000000000004</cx:pt>
          <cx:pt idx="15">0.50719999999999998</cx:pt>
          <cx:pt idx="16">0.81489999999999996</cx:pt>
          <cx:pt idx="17">0.53190000000000004</cx:pt>
          <cx:pt idx="18">0.80289999999999995</cx:pt>
          <cx:pt idx="19">0.84089999999999998</cx:pt>
          <cx:pt idx="20">0.9234</cx:pt>
          <cx:pt idx="21">0.3649</cx:pt>
          <cx:pt idx="22">0.59919999999999995</cx:pt>
          <cx:pt idx="23">0.58450000000000002</cx:pt>
          <cx:pt idx="24">0.72899999999999998</cx:pt>
          <cx:pt idx="25">0.51080000000000003</cx:pt>
          <cx:pt idx="26">0.91569999999999996</cx:pt>
          <cx:pt idx="27">0.52200000000000002</cx:pt>
          <cx:pt idx="28">0.92279999999999995</cx:pt>
          <cx:pt idx="29">0.88470000000000004</cx:pt>
          <cx:pt idx="30">1.1920999999999999</cx:pt>
          <cx:pt idx="31">3.903</cx:pt>
          <cx:pt idx="32">0.61699999999999999</cx:pt>
          <cx:pt idx="33">1.2392000000000001</cx:pt>
          <cx:pt idx="34">0.81859999999999999</cx:pt>
          <cx:pt idx="35">0.59509999999999996</cx:pt>
          <cx:pt idx="36">1.2827999999999999</cx:pt>
          <cx:pt idx="37">1.1893</cx:pt>
          <cx:pt idx="38">1.1037999999999999</cx:pt>
          <cx:pt idx="39">0.74339999999999995</cx:pt>
          <cx:pt idx="40">0.95289999999999997</cx:pt>
          <cx:pt idx="41">0.53869999999999996</cx:pt>
          <cx:pt idx="42">1.1963999999999999</cx:pt>
          <cx:pt idx="43">0.69799999999999995</cx:pt>
          <cx:pt idx="44">0.75</cx:pt>
          <cx:pt idx="45">0.46939999999999998</cx:pt>
          <cx:pt idx="46">0.86680000000000001</cx:pt>
          <cx:pt idx="47">0.65539999999999998</cx:pt>
          <cx:pt idx="48">0.84889999999999999</cx:pt>
          <cx:pt idx="49">1.3254999999999999</cx:pt>
          <cx:pt idx="50">1.6477999999999999</cx:pt>
          <cx:pt idx="51">0.74070000000000003</cx:pt>
          <cx:pt idx="52">0.81100000000000005</cx:pt>
          <cx:pt idx="53">1.4662999999999999</cx:pt>
          <cx:pt idx="54">0.89139999999999997</cx:pt>
          <cx:pt idx="55">1.5969</cx:pt>
          <cx:pt idx="56">1.355</cx:pt>
          <cx:pt idx="57">1.7184999999999999</cx:pt>
          <cx:pt idx="58">0.95689999999999997</cx:pt>
          <cx:pt idx="59">1.2072000000000001</cx:pt>
        </cx:lvl>
      </cx:numDim>
    </cx:data>
    <cx:data id="7">
      <cx:strDim type="cat">
        <cx:f>'Ящик с усами M КРР'!$A$2:$A$61</cx:f>
        <cx:lvl ptCount="60">
          <cx:pt idx="0">M0</cx:pt>
          <cx:pt idx="1">M0</cx:pt>
          <cx:pt idx="2">M0</cx:pt>
          <cx:pt idx="3">M0</cx:pt>
          <cx:pt idx="4">M0</cx:pt>
          <cx:pt idx="5">M0</cx:pt>
          <cx:pt idx="6">M0</cx:pt>
          <cx:pt idx="7">M0</cx:pt>
          <cx:pt idx="8">M0</cx:pt>
          <cx:pt idx="9">M0</cx:pt>
          <cx:pt idx="10">M0</cx:pt>
          <cx:pt idx="11">M0</cx:pt>
          <cx:pt idx="12">M0</cx:pt>
          <cx:pt idx="13">M0</cx:pt>
          <cx:pt idx="14">M0</cx:pt>
          <cx:pt idx="15">M0</cx:pt>
          <cx:pt idx="16">M0</cx:pt>
          <cx:pt idx="17">M0</cx:pt>
          <cx:pt idx="18">M0</cx:pt>
          <cx:pt idx="19">M0</cx:pt>
          <cx:pt idx="20">M0</cx:pt>
          <cx:pt idx="21">M0</cx:pt>
          <cx:pt idx="22">M0</cx:pt>
          <cx:pt idx="23">M0</cx:pt>
          <cx:pt idx="24">M0</cx:pt>
          <cx:pt idx="25">M0</cx:pt>
          <cx:pt idx="26">M0</cx:pt>
          <cx:pt idx="27">M0</cx:pt>
          <cx:pt idx="28">M0</cx:pt>
          <cx:pt idx="29">M0</cx:pt>
          <cx:pt idx="30">M0</cx:pt>
          <cx:pt idx="31">M0</cx:pt>
          <cx:pt idx="32">M0</cx:pt>
          <cx:pt idx="33">M0</cx:pt>
          <cx:pt idx="34">M0</cx:pt>
          <cx:pt idx="35">M0</cx:pt>
          <cx:pt idx="36">M0</cx:pt>
          <cx:pt idx="37">M0</cx:pt>
          <cx:pt idx="38">M0</cx:pt>
          <cx:pt idx="39">M0</cx:pt>
          <cx:pt idx="40">M0</cx:pt>
          <cx:pt idx="41">M0</cx:pt>
          <cx:pt idx="42">M0</cx:pt>
          <cx:pt idx="43">M0</cx:pt>
          <cx:pt idx="44">M0</cx:pt>
          <cx:pt idx="45">M0</cx:pt>
          <cx:pt idx="46">M0</cx:pt>
          <cx:pt idx="47">M0</cx:pt>
          <cx:pt idx="48">M0</cx:pt>
          <cx:pt idx="49">M0</cx:pt>
          <cx:pt idx="50">M0</cx:pt>
          <cx:pt idx="51">M0</cx:pt>
          <cx:pt idx="52">M0</cx:pt>
          <cx:pt idx="53">M0</cx:pt>
          <cx:pt idx="54">M0</cx:pt>
          <cx:pt idx="55">M0</cx:pt>
          <cx:pt idx="56">M0</cx:pt>
          <cx:pt idx="57">M0</cx:pt>
          <cx:pt idx="58">M0</cx:pt>
          <cx:pt idx="59">M0</cx:pt>
        </cx:lvl>
      </cx:strDim>
      <cx:numDim type="val">
        <cx:f>'Ящик с усами M КРР'!$I$2:$I$61</cx:f>
        <cx:lvl ptCount="60" formatCode="0,00">
          <cx:pt idx="0">0.97509999999999997</cx:pt>
          <cx:pt idx="1">0.66300000000000003</cx:pt>
          <cx:pt idx="2">0.75209999999999999</cx:pt>
          <cx:pt idx="3">1.5349999999999999</cx:pt>
          <cx:pt idx="4">0.77759999999999996</cx:pt>
          <cx:pt idx="5">0.84730000000000005</cx:pt>
          <cx:pt idx="6">1.6128</cx:pt>
          <cx:pt idx="7">0.90480000000000005</cx:pt>
          <cx:pt idx="8">0.87490000000000001</cx:pt>
          <cx:pt idx="9">0.46889999999999998</cx:pt>
          <cx:pt idx="10">0.58779999999999999</cx:pt>
          <cx:pt idx="11">1.2330000000000001</cx:pt>
          <cx:pt idx="12">0.40820000000000001</cx:pt>
          <cx:pt idx="13">0.51819999999999999</cx:pt>
          <cx:pt idx="14">0.58909999999999996</cx:pt>
          <cx:pt idx="15">0.39910000000000001</cx:pt>
          <cx:pt idx="16">0.48089999999999999</cx:pt>
          <cx:pt idx="17">0.44800000000000001</cx:pt>
          <cx:pt idx="18">0.59209999999999996</cx:pt>
          <cx:pt idx="19">0.86150000000000004</cx:pt>
          <cx:pt idx="20">0.50429999999999997</cx:pt>
          <cx:pt idx="21">0.2087</cx:pt>
          <cx:pt idx="22">0.63419999999999999</cx:pt>
          <cx:pt idx="23">0.74219999999999997</cx:pt>
          <cx:pt idx="24">0.50919999999999999</cx:pt>
          <cx:pt idx="25">0.38319999999999999</cx:pt>
          <cx:pt idx="26">0.86770000000000003</cx:pt>
          <cx:pt idx="27">0.25790000000000002</cx:pt>
          <cx:pt idx="28">0.46300000000000002</cx:pt>
          <cx:pt idx="29">0.65859999999999996</cx:pt>
          <cx:pt idx="30">0.86980000000000002</cx:pt>
          <cx:pt idx="31">2.4015</cx:pt>
          <cx:pt idx="32">0.52890000000000004</cx:pt>
          <cx:pt idx="33">0.99880000000000002</cx:pt>
          <cx:pt idx="34">0.58550000000000002</cx:pt>
          <cx:pt idx="35">0.55840000000000001</cx:pt>
          <cx:pt idx="36">1.1792</cx:pt>
          <cx:pt idx="37">1.0827</cx:pt>
          <cx:pt idx="38">0.77100000000000002</cx:pt>
          <cx:pt idx="39">0.60129999999999995</cx:pt>
          <cx:pt idx="40">0.73050000000000004</cx:pt>
          <cx:pt idx="41">0.29909999999999998</cx:pt>
          <cx:pt idx="42">0.84389999999999998</cx:pt>
          <cx:pt idx="43">0.48420000000000002</cx:pt>
          <cx:pt idx="44">0.58809999999999996</cx:pt>
          <cx:pt idx="45">0.25819999999999999</cx:pt>
          <cx:pt idx="46">0.75190000000000001</cx:pt>
          <cx:pt idx="47">0.48949999999999999</cx:pt>
          <cx:pt idx="48">1.0703</cx:pt>
          <cx:pt idx="49">1.056</cx:pt>
          <cx:pt idx="50">2.0392000000000001</cx:pt>
          <cx:pt idx="51">0.5948</cx:pt>
          <cx:pt idx="52">0.82210000000000005</cx:pt>
          <cx:pt idx="53">1.1634</cx:pt>
          <cx:pt idx="54">0.66439999999999999</cx:pt>
          <cx:pt idx="55">0.59530000000000005</cx:pt>
          <cx:pt idx="56">0.69940000000000002</cx:pt>
          <cx:pt idx="57">0.81159999999999999</cx:pt>
          <cx:pt idx="58">0.79049999999999998</cx:pt>
          <cx:pt idx="59">0.93030000000000002</cx:pt>
        </cx:lvl>
      </cx:numDim>
    </cx:data>
    <cx:data id="8">
      <cx:strDim type="cat">
        <cx:f>'Ящик с усами M КРР'!$A$2:$A$61</cx:f>
        <cx:lvl ptCount="60">
          <cx:pt idx="0">M0</cx:pt>
          <cx:pt idx="1">M0</cx:pt>
          <cx:pt idx="2">M0</cx:pt>
          <cx:pt idx="3">M0</cx:pt>
          <cx:pt idx="4">M0</cx:pt>
          <cx:pt idx="5">M0</cx:pt>
          <cx:pt idx="6">M0</cx:pt>
          <cx:pt idx="7">M0</cx:pt>
          <cx:pt idx="8">M0</cx:pt>
          <cx:pt idx="9">M0</cx:pt>
          <cx:pt idx="10">M0</cx:pt>
          <cx:pt idx="11">M0</cx:pt>
          <cx:pt idx="12">M0</cx:pt>
          <cx:pt idx="13">M0</cx:pt>
          <cx:pt idx="14">M0</cx:pt>
          <cx:pt idx="15">M0</cx:pt>
          <cx:pt idx="16">M0</cx:pt>
          <cx:pt idx="17">M0</cx:pt>
          <cx:pt idx="18">M0</cx:pt>
          <cx:pt idx="19">M0</cx:pt>
          <cx:pt idx="20">M0</cx:pt>
          <cx:pt idx="21">M0</cx:pt>
          <cx:pt idx="22">M0</cx:pt>
          <cx:pt idx="23">M0</cx:pt>
          <cx:pt idx="24">M0</cx:pt>
          <cx:pt idx="25">M0</cx:pt>
          <cx:pt idx="26">M0</cx:pt>
          <cx:pt idx="27">M0</cx:pt>
          <cx:pt idx="28">M0</cx:pt>
          <cx:pt idx="29">M0</cx:pt>
          <cx:pt idx="30">M0</cx:pt>
          <cx:pt idx="31">M0</cx:pt>
          <cx:pt idx="32">M0</cx:pt>
          <cx:pt idx="33">M0</cx:pt>
          <cx:pt idx="34">M0</cx:pt>
          <cx:pt idx="35">M0</cx:pt>
          <cx:pt idx="36">M0</cx:pt>
          <cx:pt idx="37">M0</cx:pt>
          <cx:pt idx="38">M0</cx:pt>
          <cx:pt idx="39">M0</cx:pt>
          <cx:pt idx="40">M0</cx:pt>
          <cx:pt idx="41">M0</cx:pt>
          <cx:pt idx="42">M0</cx:pt>
          <cx:pt idx="43">M0</cx:pt>
          <cx:pt idx="44">M0</cx:pt>
          <cx:pt idx="45">M0</cx:pt>
          <cx:pt idx="46">M0</cx:pt>
          <cx:pt idx="47">M0</cx:pt>
          <cx:pt idx="48">M0</cx:pt>
          <cx:pt idx="49">M0</cx:pt>
          <cx:pt idx="50">M0</cx:pt>
          <cx:pt idx="51">M0</cx:pt>
          <cx:pt idx="52">M0</cx:pt>
          <cx:pt idx="53">M0</cx:pt>
          <cx:pt idx="54">M0</cx:pt>
          <cx:pt idx="55">M0</cx:pt>
          <cx:pt idx="56">M0</cx:pt>
          <cx:pt idx="57">M0</cx:pt>
          <cx:pt idx="58">M0</cx:pt>
          <cx:pt idx="59">M0</cx:pt>
        </cx:lvl>
      </cx:strDim>
      <cx:numDim type="val">
        <cx:f>'Ящик с усами M КРР'!$J$2:$J$61</cx:f>
        <cx:lvl ptCount="60" formatCode="0,00">
          <cx:pt idx="0">1.4847999999999999</cx:pt>
          <cx:pt idx="1">1.8121</cx:pt>
          <cx:pt idx="2">1.0331999999999999</cx:pt>
          <cx:pt idx="3">1.2092000000000001</cx:pt>
          <cx:pt idx="4">1.2238</cx:pt>
          <cx:pt idx="5">1.1717</cx:pt>
          <cx:pt idx="6">1.1789000000000001</cx:pt>
          <cx:pt idx="7">1.1093</cx:pt>
          <cx:pt idx="8">0.97440000000000004</cx:pt>
          <cx:pt idx="9">1.1459999999999999</cx:pt>
          <cx:pt idx="10">0.53449999999999998</cx:pt>
          <cx:pt idx="11">1.8266</cx:pt>
          <cx:pt idx="12">0.87170000000000003</cx:pt>
          <cx:pt idx="13">0.92490000000000006</cx:pt>
          <cx:pt idx="14">0.55230000000000001</cx:pt>
          <cx:pt idx="15">0.39810000000000001</cx:pt>
          <cx:pt idx="16">0.87770000000000004</cx:pt>
          <cx:pt idx="17">0.54139999999999999</cx:pt>
          <cx:pt idx="18">0.67390000000000005</cx:pt>
          <cx:pt idx="19">0.59419999999999995</cx:pt>
          <cx:pt idx="20">0.95999999999999996</cx:pt>
          <cx:pt idx="21">0.44550000000000001</cx:pt>
          <cx:pt idx="22">0.66590000000000005</cx:pt>
          <cx:pt idx="23">0.66930000000000001</cx:pt>
          <cx:pt idx="24">0.67379999999999995</cx:pt>
          <cx:pt idx="25">0.63980000000000004</cx:pt>
          <cx:pt idx="26">0.76429999999999998</cx:pt>
          <cx:pt idx="27">0.55020000000000002</cx:pt>
          <cx:pt idx="28">0.45850000000000002</cx:pt>
          <cx:pt idx="29">0.73109999999999997</cx:pt>
          <cx:pt idx="30">1.1402000000000001</cx:pt>
          <cx:pt idx="31">1.2663</cx:pt>
          <cx:pt idx="32">0.58199999999999996</cx:pt>
          <cx:pt idx="33">1.5062</cx:pt>
          <cx:pt idx="34">0.72140000000000004</cx:pt>
          <cx:pt idx="35">0.71860000000000002</cx:pt>
          <cx:pt idx="36">0.88549999999999995</cx:pt>
          <cx:pt idx="37">1.1406000000000001</cx:pt>
          <cx:pt idx="38">0.71050000000000002</cx:pt>
          <cx:pt idx="39">0.62060000000000004</cx:pt>
          <cx:pt idx="40">0.71120000000000005</cx:pt>
          <cx:pt idx="41">0.52880000000000005</cx:pt>
          <cx:pt idx="42">1.0996999999999999</cx:pt>
          <cx:pt idx="43">0.61019999999999996</cx:pt>
          <cx:pt idx="44">0.65669999999999995</cx:pt>
          <cx:pt idx="45">0.47999999999999998</cx:pt>
          <cx:pt idx="46">0.88700000000000001</cx:pt>
          <cx:pt idx="47">0.77490000000000003</cx:pt>
          <cx:pt idx="48">0.99929999999999997</cx:pt>
          <cx:pt idx="49">1.1751</cx:pt>
          <cx:pt idx="50">2.3134000000000001</cx:pt>
          <cx:pt idx="51">0.79759999999999998</cx:pt>
          <cx:pt idx="52">0.6139</cx:pt>
          <cx:pt idx="53">0.90080000000000005</cx:pt>
          <cx:pt idx="54">0.95220000000000005</cx:pt>
          <cx:pt idx="55">0.95389999999999997</cx:pt>
          <cx:pt idx="56">0.91249999999999998</cx:pt>
          <cx:pt idx="57">1.0181</cx:pt>
          <cx:pt idx="58">0.7177</cx:pt>
          <cx:pt idx="59">1.0193000000000001</cx:pt>
        </cx:lvl>
      </cx:numDim>
    </cx:data>
  </cx:chartData>
  <cx:chart>
    <cx:plotArea>
      <cx:plotAreaRegion>
        <cx:series layoutId="boxWhisker" uniqueId="{E3A6D447-65F4-4C93-88D3-A81AC1C9A107}">
          <cx:tx>
            <cx:txData>
              <cx:f>'Ящик с усами M КРР'!$B$1</cx:f>
              <cx:v>RE</cx:v>
            </cx:txData>
          </cx:tx>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59"/>
            <cx:dataLabelHidden idx="60"/>
            <cx:dataLabelHidden idx="62"/>
            <cx:dataLabelHidden idx="63"/>
          </cx:dataLabels>
          <cx:dataId val="0"/>
          <cx:layoutPr>
            <cx:visibility meanLine="0" meanMarker="1" nonoutliers="0" outliers="1"/>
            <cx:statistics quartileMethod="exclusive"/>
          </cx:layoutPr>
        </cx:series>
        <cx:series layoutId="boxWhisker" uniqueId="{FC4FD632-80C0-417B-BE94-E33BA21354DD}">
          <cx:tx>
            <cx:txData>
              <cx:f>'Ящик с усами M КРР'!$C$1</cx:f>
              <cx:v>RLH</cx:v>
            </cx:txData>
          </cx:tx>
          <cx:dataLabels pos="t">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57"/>
            <cx:dataLabelHidden idx="58"/>
            <cx:dataLabelHidden idx="59"/>
            <cx:dataLabelHidden idx="60"/>
            <cx:dataLabelHidden idx="62"/>
            <cx:dataLabelHidden idx="63"/>
          </cx:dataLabels>
          <cx:dataId val="1"/>
          <cx:layoutPr>
            <cx:visibility meanLine="0" meanMarker="1" nonoutliers="0" outliers="1"/>
            <cx:statistics quartileMethod="exclusive"/>
          </cx:layoutPr>
        </cx:series>
        <cx:series layoutId="boxWhisker" uniqueId="{EEA479A7-5333-4B33-9EA0-9BEE4CDC8C21}">
          <cx:tx>
            <cx:txData>
              <cx:f>'Ящик с усами M КРР'!$D$1</cx:f>
              <cx:v>RRL</cx:v>
            </cx:txData>
          </cx:tx>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58"/>
            <cx:dataLabelHidden idx="59"/>
            <cx:dataLabelHidden idx="60"/>
            <cx:dataLabelHidden idx="62"/>
            <cx:dataLabelHidden idx="63"/>
          </cx:dataLabels>
          <cx:dataId val="2"/>
          <cx:layoutPr>
            <cx:visibility meanLine="0" meanMarker="1" nonoutliers="0" outliers="1"/>
            <cx:statistics quartileMethod="exclusive"/>
          </cx:layoutPr>
        </cx:series>
        <cx:series layoutId="boxWhisker" uniqueId="{1283997B-5391-433F-8C95-2F32B55E36A3}">
          <cx:tx>
            <cx:txData>
              <cx:f>'Ящик с усами M КРР'!$E$1</cx:f>
              <cx:v>RU</cx:v>
            </cx:txData>
          </cx:tx>
          <cx:dataLabels pos="t">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58"/>
            <cx:dataLabelHidden idx="59"/>
            <cx:dataLabelHidden idx="60"/>
            <cx:dataLabelHidden idx="62"/>
            <cx:dataLabelHidden idx="63"/>
          </cx:dataLabels>
          <cx:dataId val="3"/>
          <cx:layoutPr>
            <cx:visibility meanLine="0" meanMarker="1" nonoutliers="0" outliers="1"/>
            <cx:statistics quartileMethod="exclusive"/>
          </cx:layoutPr>
        </cx:series>
        <cx:series layoutId="boxWhisker" uniqueId="{492F081B-D2CE-4D4C-A9DE-A07E301A92E1}">
          <cx:tx>
            <cx:txData>
              <cx:f>'Ящик с усами M КРР'!$F$1</cx:f>
              <cx:v>RLL</cx:v>
            </cx:txData>
          </cx:tx>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58"/>
            <cx:dataLabelHidden idx="59"/>
            <cx:dataLabelHidden idx="60"/>
            <cx:dataLabelHidden idx="62"/>
            <cx:dataLabelHidden idx="63"/>
          </cx:dataLabels>
          <cx:dataId val="4"/>
          <cx:layoutPr>
            <cx:visibility meanLine="0" meanMarker="1" nonoutliers="0" outliers="1"/>
            <cx:statistics quartileMethod="exclusive"/>
          </cx:layoutPr>
        </cx:series>
        <cx:series layoutId="boxWhisker" uniqueId="{37955BA0-A705-4A2A-84FB-99B1044F55AE}">
          <cx:tx>
            <cx:txData>
              <cx:f>'Ящик с усами M КРР'!$G$1</cx:f>
              <cx:v>RRI</cx:v>
            </cx:txData>
          </cx:tx>
          <cx:dataLabels pos="t">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59"/>
            <cx:dataLabelHidden idx="60"/>
            <cx:dataLabelHidden idx="62"/>
            <cx:dataLabelHidden idx="63"/>
          </cx:dataLabels>
          <cx:dataId val="5"/>
          <cx:layoutPr>
            <cx:visibility meanLine="0" meanMarker="1" nonoutliers="0" outliers="1"/>
            <cx:statistics quartileMethod="exclusive"/>
          </cx:layoutPr>
        </cx:series>
        <cx:series layoutId="boxWhisker" uniqueId="{C8DB6AF6-4947-4A74-A9C7-04801574DAFE}">
          <cx:tx>
            <cx:txData>
              <cx:f>'Ящик с усами M КРР'!$H$1</cx:f>
              <cx:v>RP</cx:v>
            </cx:txData>
          </cx:tx>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58"/>
            <cx:dataLabelHidden idx="59"/>
            <cx:dataLabelHidden idx="60"/>
            <cx:dataLabelHidden idx="62"/>
            <cx:dataLabelHidden idx="63"/>
          </cx:dataLabels>
          <cx:dataId val="6"/>
          <cx:layoutPr>
            <cx:visibility meanLine="0" meanMarker="1" nonoutliers="0" outliers="1"/>
            <cx:statistics quartileMethod="exclusive"/>
          </cx:layoutPr>
        </cx:series>
        <cx:series layoutId="boxWhisker" uniqueId="{1E4BD197-57F2-41F1-8C61-C000B0D06794}">
          <cx:tx>
            <cx:txData>
              <cx:f>'Ящик с усами M КРР'!$I$1</cx:f>
              <cx:v>RLI</cx:v>
            </cx:txData>
          </cx:tx>
          <cx:dataLabels pos="t">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 idx="61" pos="t">
              <cx:txPr>
                <a:bodyPr vertOverflow="overflow" horzOverflow="overflow" wrap="square" lIns="0" tIns="0" rIns="0" bIns="0"/>
                <a:lstStyle/>
                <a:p>
                  <a:pPr algn="ctr" rtl="0">
                    <a:defRPr/>
                  </a:pPr>
                  <a:r>
                    <a:rPr lang="ru-KZ" sz="1000">
                      <a:solidFill>
                        <a:sysClr val="windowText" lastClr="000000"/>
                      </a:solidFill>
                      <a:latin typeface="Times New Roman" panose="02020603050405020304" pitchFamily="18" charset="0"/>
                      <a:cs typeface="Times New Roman" panose="02020603050405020304" pitchFamily="18" charset="0"/>
                    </a:rPr>
                    <a:t>0,68</a:t>
                  </a:r>
                </a:p>
              </cx:txPr>
              <cx:visibility seriesName="0" categoryName="0" value="1"/>
              <cx:separator>, </cx:separator>
            </cx:dataLabel>
            <cx:dataLabelHidden idx="0"/>
            <cx:dataLabelHidden idx="55"/>
            <cx:dataLabelHidden idx="56"/>
            <cx:dataLabelHidden idx="58"/>
            <cx:dataLabelHidden idx="59"/>
            <cx:dataLabelHidden idx="60"/>
            <cx:dataLabelHidden idx="62"/>
            <cx:dataLabelHidden idx="63"/>
          </cx:dataLabels>
          <cx:dataId val="7"/>
          <cx:layoutPr>
            <cx:visibility meanLine="0" meanMarker="1" nonoutliers="0" outliers="1"/>
            <cx:statistics quartileMethod="exclusive"/>
          </cx:layoutPr>
        </cx:series>
        <cx:series layoutId="boxWhisker" uniqueId="{A0D91485-3516-419A-8F3A-5FE2D7308291}">
          <cx:tx>
            <cx:txData>
              <cx:f>'Ящик с усами M КРР'!$J$1</cx:f>
              <cx:v>P</cx:v>
            </cx:txData>
          </cx:tx>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56"/>
            <cx:dataLabelHidden idx="57"/>
            <cx:dataLabelHidden idx="59"/>
            <cx:dataLabelHidden idx="60"/>
            <cx:dataLabelHidden idx="62"/>
            <cx:dataLabelHidden idx="63"/>
          </cx:dataLabels>
          <cx:dataId val="8"/>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84.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AJCC КРР'!$A$2:$A$61</cx:f>
        <cx:lvl ptCount="60">
          <cx:pt idx="0">I</cx:pt>
          <cx:pt idx="1">I</cx:pt>
          <cx:pt idx="2">II</cx:pt>
          <cx:pt idx="3">II</cx:pt>
          <cx:pt idx="4">II</cx:pt>
          <cx:pt idx="5">II</cx:pt>
          <cx:pt idx="6">II</cx:pt>
          <cx:pt idx="7">II</cx:pt>
          <cx:pt idx="8">II</cx:pt>
          <cx:pt idx="9">II</cx:pt>
          <cx:pt idx="10">II</cx:pt>
          <cx:pt idx="11">II</cx:pt>
          <cx:pt idx="12">II</cx:pt>
          <cx:pt idx="13">II</cx:pt>
          <cx:pt idx="14">II</cx:pt>
          <cx:pt idx="15">II</cx:pt>
          <cx:pt idx="16">II</cx:pt>
          <cx:pt idx="17">II</cx:pt>
          <cx:pt idx="18">II</cx:pt>
          <cx:pt idx="19">II</cx:pt>
          <cx:pt idx="20">II</cx:pt>
          <cx:pt idx="21">II</cx:pt>
          <cx:pt idx="22">II</cx:pt>
          <cx:pt idx="23">II</cx:pt>
          <cx:pt idx="24">II</cx:pt>
          <cx:pt idx="25">II</cx:pt>
          <cx:pt idx="26">II</cx:pt>
          <cx:pt idx="27">II</cx:pt>
          <cx:pt idx="28">II</cx:pt>
          <cx:pt idx="29">II</cx:pt>
          <cx:pt idx="30">II</cx:pt>
          <cx:pt idx="31">II</cx:pt>
          <cx:pt idx="32">II</cx:pt>
          <cx:pt idx="33">III</cx:pt>
          <cx:pt idx="34">III</cx:pt>
          <cx:pt idx="35">III</cx:pt>
          <cx:pt idx="36">III</cx:pt>
          <cx:pt idx="37">III</cx:pt>
          <cx:pt idx="38">III</cx:pt>
          <cx:pt idx="39">III</cx:pt>
          <cx:pt idx="40">III</cx:pt>
          <cx:pt idx="41">III</cx:pt>
          <cx:pt idx="42">III</cx:pt>
          <cx:pt idx="43">III</cx:pt>
          <cx:pt idx="44">III</cx:pt>
          <cx:pt idx="45">III</cx:pt>
          <cx:pt idx="46">III</cx:pt>
          <cx:pt idx="47">III</cx:pt>
          <cx:pt idx="48">III</cx:pt>
          <cx:pt idx="49">III</cx:pt>
          <cx:pt idx="50">III</cx:pt>
          <cx:pt idx="51">III</cx:pt>
          <cx:pt idx="52">III</cx:pt>
          <cx:pt idx="53">III</cx:pt>
          <cx:pt idx="54">III</cx:pt>
          <cx:pt idx="55">III</cx:pt>
          <cx:pt idx="56">III</cx:pt>
          <cx:pt idx="57">III</cx:pt>
          <cx:pt idx="58">III</cx:pt>
          <cx:pt idx="59">III</cx:pt>
        </cx:lvl>
      </cx:strDim>
      <cx:numDim type="val">
        <cx:f>'Ящик с усами AJCC КРР'!$B$2:$B$61</cx:f>
        <cx:lvl ptCount="60" formatCode="0,00">
          <cx:pt idx="0">0.92369999999999997</cx:pt>
          <cx:pt idx="1">0.74199999999999999</cx:pt>
          <cx:pt idx="2">0.66420000000000001</cx:pt>
          <cx:pt idx="3">0.90969999999999995</cx:pt>
          <cx:pt idx="4">1.4327000000000001</cx:pt>
          <cx:pt idx="5">0.62109999999999999</cx:pt>
          <cx:pt idx="6">0.35809999999999997</cx:pt>
          <cx:pt idx="7">0.28999999999999998</cx:pt>
          <cx:pt idx="8">0.69840000000000002</cx:pt>
          <cx:pt idx="9">0.73650000000000004</cx:pt>
          <cx:pt idx="10">0.45279999999999998</cx:pt>
          <cx:pt idx="11">0.75439999999999996</cx:pt>
          <cx:pt idx="12">0.57020000000000004</cx:pt>
          <cx:pt idx="13">0.75580000000000003</cx:pt>
          <cx:pt idx="14">0.50090000000000001</cx:pt>
          <cx:pt idx="15">0.84140000000000004</cx:pt>
          <cx:pt idx="16">0.65949999999999998</cx:pt>
          <cx:pt idx="17">0.93720000000000003</cx:pt>
          <cx:pt idx="18">1.5694999999999999</cx:pt>
          <cx:pt idx="19">1.2897000000000001</cx:pt>
          <cx:pt idx="20">0.31180000000000002</cx:pt>
          <cx:pt idx="21">1.5047999999999999</cx:pt>
          <cx:pt idx="22">1.0861000000000001</cx:pt>
          <cx:pt idx="23">0.8377</cx:pt>
          <cx:pt idx="24">0.90910000000000002</cx:pt>
          <cx:pt idx="25">0.23119999999999999</cx:pt>
          <cx:pt idx="26">0.33439999999999998</cx:pt>
          <cx:pt idx="27">0.77370000000000005</cx:pt>
          <cx:pt idx="28">1.165</cx:pt>
          <cx:pt idx="29">0.92210000000000003</cx:pt>
          <cx:pt idx="30">1.1508</cx:pt>
          <cx:pt idx="31">1.2644</cx:pt>
          <cx:pt idx="32">1.0011000000000001</cx:pt>
          <cx:pt idx="33">0.92259999999999998</cx:pt>
          <cx:pt idx="34">0.85840000000000005</cx:pt>
          <cx:pt idx="35">0.82410000000000005</cx:pt>
          <cx:pt idx="36">0.69850000000000001</cx:pt>
          <cx:pt idx="37">0.7117</cx:pt>
          <cx:pt idx="38">0.76449999999999996</cx:pt>
          <cx:pt idx="39">0.84330000000000005</cx:pt>
          <cx:pt idx="40">0.45229999999999998</cx:pt>
          <cx:pt idx="41">0.75380000000000003</cx:pt>
          <cx:pt idx="42">0.32979999999999998</cx:pt>
          <cx:pt idx="43">0.57520000000000004</cx:pt>
          <cx:pt idx="44">0.74839999999999995</cx:pt>
          <cx:pt idx="45">0.43290000000000001</cx:pt>
          <cx:pt idx="46">1.0820000000000001</cx:pt>
          <cx:pt idx="47">0.67210000000000003</cx:pt>
          <cx:pt idx="48">1.0608</cx:pt>
          <cx:pt idx="49">0.49209999999999998</cx:pt>
          <cx:pt idx="50">1.2202999999999999</cx:pt>
          <cx:pt idx="51">1.4490000000000001</cx:pt>
          <cx:pt idx="52">0.44690000000000002</cx:pt>
          <cx:pt idx="53">0.68540000000000001</cx:pt>
          <cx:pt idx="54">1.5702</cx:pt>
          <cx:pt idx="55">0.49320000000000003</cx:pt>
          <cx:pt idx="56">1.1894</cx:pt>
          <cx:pt idx="57">1.4592000000000001</cx:pt>
          <cx:pt idx="58">1.2484</cx:pt>
          <cx:pt idx="59">1.4757</cx:pt>
        </cx:lvl>
      </cx:numDim>
    </cx:data>
  </cx:chartData>
  <cx:chart>
    <cx:plotArea>
      <cx:plotAreaRegion>
        <cx:series layoutId="boxWhisker" uniqueId="{DB7602BD-7F21-4313-BC1B-4C3767B019A1}">
          <cx:tx>
            <cx:txData>
              <cx:f>'Ящик с усами AJCC КРР'!$B$1</cx:f>
              <cx:v>RE</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
            <cx:dataLabelHidden idx="2"/>
            <cx:dataLabelHidden idx="4"/>
            <cx:dataLabelHidden idx="5"/>
            <cx:dataLabelHidden idx="6"/>
            <cx:dataLabelHidden idx="36"/>
            <cx:dataLabelHidden idx="37"/>
            <cx:dataLabelHidden idx="39"/>
            <cx:dataLabelHidden idx="40"/>
            <cx:dataLabelHidden idx="41"/>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i="0">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85.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AJCC КРР'!$A$2:$A$61</cx:f>
        <cx:lvl ptCount="60">
          <cx:pt idx="0">I</cx:pt>
          <cx:pt idx="1">I</cx:pt>
          <cx:pt idx="2">II</cx:pt>
          <cx:pt idx="3">II</cx:pt>
          <cx:pt idx="4">II</cx:pt>
          <cx:pt idx="5">II</cx:pt>
          <cx:pt idx="6">II</cx:pt>
          <cx:pt idx="7">II</cx:pt>
          <cx:pt idx="8">II</cx:pt>
          <cx:pt idx="9">II</cx:pt>
          <cx:pt idx="10">II</cx:pt>
          <cx:pt idx="11">II</cx:pt>
          <cx:pt idx="12">II</cx:pt>
          <cx:pt idx="13">II</cx:pt>
          <cx:pt idx="14">II</cx:pt>
          <cx:pt idx="15">II</cx:pt>
          <cx:pt idx="16">II</cx:pt>
          <cx:pt idx="17">II</cx:pt>
          <cx:pt idx="18">II</cx:pt>
          <cx:pt idx="19">II</cx:pt>
          <cx:pt idx="20">II</cx:pt>
          <cx:pt idx="21">II</cx:pt>
          <cx:pt idx="22">II</cx:pt>
          <cx:pt idx="23">II</cx:pt>
          <cx:pt idx="24">II</cx:pt>
          <cx:pt idx="25">II</cx:pt>
          <cx:pt idx="26">II</cx:pt>
          <cx:pt idx="27">II</cx:pt>
          <cx:pt idx="28">II</cx:pt>
          <cx:pt idx="29">II</cx:pt>
          <cx:pt idx="30">II</cx:pt>
          <cx:pt idx="31">II</cx:pt>
          <cx:pt idx="32">II</cx:pt>
          <cx:pt idx="33">III</cx:pt>
          <cx:pt idx="34">III</cx:pt>
          <cx:pt idx="35">III</cx:pt>
          <cx:pt idx="36">III</cx:pt>
          <cx:pt idx="37">III</cx:pt>
          <cx:pt idx="38">III</cx:pt>
          <cx:pt idx="39">III</cx:pt>
          <cx:pt idx="40">III</cx:pt>
          <cx:pt idx="41">III</cx:pt>
          <cx:pt idx="42">III</cx:pt>
          <cx:pt idx="43">III</cx:pt>
          <cx:pt idx="44">III</cx:pt>
          <cx:pt idx="45">III</cx:pt>
          <cx:pt idx="46">III</cx:pt>
          <cx:pt idx="47">III</cx:pt>
          <cx:pt idx="48">III</cx:pt>
          <cx:pt idx="49">III</cx:pt>
          <cx:pt idx="50">III</cx:pt>
          <cx:pt idx="51">III</cx:pt>
          <cx:pt idx="52">III</cx:pt>
          <cx:pt idx="53">III</cx:pt>
          <cx:pt idx="54">III</cx:pt>
          <cx:pt idx="55">III</cx:pt>
          <cx:pt idx="56">III</cx:pt>
          <cx:pt idx="57">III</cx:pt>
          <cx:pt idx="58">III</cx:pt>
          <cx:pt idx="59">III</cx:pt>
        </cx:lvl>
      </cx:strDim>
      <cx:numDim type="val">
        <cx:f>'Ящик с усами AJCC КРР'!$C$2:$C$61</cx:f>
        <cx:lvl ptCount="60" formatCode="0,00">
          <cx:pt idx="0">1.1812</cx:pt>
          <cx:pt idx="1">0.64649999999999996</cx:pt>
          <cx:pt idx="2">2.2414000000000001</cx:pt>
          <cx:pt idx="3">1.0783</cx:pt>
          <cx:pt idx="4">0.50770000000000004</cx:pt>
          <cx:pt idx="5">0.4703</cx:pt>
          <cx:pt idx="6">0.42599999999999999</cx:pt>
          <cx:pt idx="7">0.51319999999999999</cx:pt>
          <cx:pt idx="8">0.38769999999999999</cx:pt>
          <cx:pt idx="9">0.67789999999999995</cx:pt>
          <cx:pt idx="10">0.46339999999999998</cx:pt>
          <cx:pt idx="11">1.0066999999999999</cx:pt>
          <cx:pt idx="12">0.58940000000000003</cx:pt>
          <cx:pt idx="13">0.61609999999999998</cx:pt>
          <cx:pt idx="14">0.81820000000000004</cx:pt>
          <cx:pt idx="15">0.79669999999999996</cx:pt>
          <cx:pt idx="16">0.4037</cx:pt>
          <cx:pt idx="17">0.73240000000000005</cx:pt>
          <cx:pt idx="18">1.1529</cx:pt>
          <cx:pt idx="19">0.73599999999999999</cx:pt>
          <cx:pt idx="20">0.61339999999999995</cx:pt>
          <cx:pt idx="21">1.3130999999999999</cx:pt>
          <cx:pt idx="22">0.87909999999999999</cx:pt>
          <cx:pt idx="23">0.54420000000000002</cx:pt>
          <cx:pt idx="24">0.53690000000000004</cx:pt>
          <cx:pt idx="25">0.47910000000000003</cx:pt>
          <cx:pt idx="26">0.50419999999999998</cx:pt>
          <cx:pt idx="27">0.92920000000000003</cx:pt>
          <cx:pt idx="28">0.60029999999999994</cx:pt>
          <cx:pt idx="29">0.81489999999999996</cx:pt>
          <cx:pt idx="30">0.75880000000000003</cx:pt>
          <cx:pt idx="31">1.4639</cx:pt>
          <cx:pt idx="32">1.3025</cx:pt>
          <cx:pt idx="33">1.5485</cx:pt>
          <cx:pt idx="34">1.6116999999999999</cx:pt>
          <cx:pt idx="35">0.61709999999999998</cx:pt>
          <cx:pt idx="36">1.0873999999999999</cx:pt>
          <cx:pt idx="37">0.94389999999999996</cx:pt>
          <cx:pt idx="38">0.88039999999999996</cx:pt>
          <cx:pt idx="39">0.67930000000000001</cx:pt>
          <cx:pt idx="40">0.46879999999999999</cx:pt>
          <cx:pt idx="41">0.42380000000000001</cx:pt>
          <cx:pt idx="42">0.36990000000000001</cx:pt>
          <cx:pt idx="43">0.65780000000000005</cx:pt>
          <cx:pt idx="44">0.63570000000000004</cx:pt>
          <cx:pt idx="45">0.53680000000000005</cx:pt>
          <cx:pt idx="46">1.4714</cx:pt>
          <cx:pt idx="47">0.4103</cx:pt>
          <cx:pt idx="48">1.5860000000000001</cx:pt>
          <cx:pt idx="49">0.5252</cx:pt>
          <cx:pt idx="50">1.0931999999999999</cx:pt>
          <cx:pt idx="51">1.0989</cx:pt>
          <cx:pt idx="52">0.31259999999999999</cx:pt>
          <cx:pt idx="53">0.60140000000000005</cx:pt>
          <cx:pt idx="54">1.6329</cx:pt>
          <cx:pt idx="55">0.80989999999999995</cx:pt>
          <cx:pt idx="56">0.83279999999999998</cx:pt>
          <cx:pt idx="57">0.874</cx:pt>
          <cx:pt idx="58">2.0908000000000002</cx:pt>
          <cx:pt idx="59">0.6885</cx:pt>
        </cx:lvl>
      </cx:numDim>
    </cx:data>
  </cx:chartData>
  <cx:chart>
    <cx:plotArea>
      <cx:plotAreaRegion>
        <cx:series layoutId="boxWhisker" uniqueId="{BC40D327-90EA-4B45-9D5B-41E04C351A5A}">
          <cx:tx>
            <cx:txData>
              <cx:f>'Ящик с усами AJCC КРР'!$C$1</cx:f>
              <cx:v>RLH</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
            <cx:dataLabelHidden idx="2"/>
            <cx:dataLabelHidden idx="4"/>
            <cx:dataLabelHidden idx="5"/>
            <cx:dataLabelHidden idx="6"/>
            <cx:dataLabelHidden idx="35"/>
            <cx:dataLabelHidden idx="36"/>
            <cx:dataLabelHidden idx="37"/>
            <cx:dataLabelHidden idx="39"/>
            <cx:dataLabelHidden idx="40"/>
            <cx:dataLabelHidden idx="41"/>
            <cx:dataLabelHidden idx="66"/>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86.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AJCC КРР'!$A$2:$A$61</cx:f>
        <cx:lvl ptCount="60">
          <cx:pt idx="0">I</cx:pt>
          <cx:pt idx="1">I</cx:pt>
          <cx:pt idx="2">II</cx:pt>
          <cx:pt idx="3">II</cx:pt>
          <cx:pt idx="4">II</cx:pt>
          <cx:pt idx="5">II</cx:pt>
          <cx:pt idx="6">II</cx:pt>
          <cx:pt idx="7">II</cx:pt>
          <cx:pt idx="8">II</cx:pt>
          <cx:pt idx="9">II</cx:pt>
          <cx:pt idx="10">II</cx:pt>
          <cx:pt idx="11">II</cx:pt>
          <cx:pt idx="12">II</cx:pt>
          <cx:pt idx="13">II</cx:pt>
          <cx:pt idx="14">II</cx:pt>
          <cx:pt idx="15">II</cx:pt>
          <cx:pt idx="16">II</cx:pt>
          <cx:pt idx="17">II</cx:pt>
          <cx:pt idx="18">II</cx:pt>
          <cx:pt idx="19">II</cx:pt>
          <cx:pt idx="20">II</cx:pt>
          <cx:pt idx="21">II</cx:pt>
          <cx:pt idx="22">II</cx:pt>
          <cx:pt idx="23">II</cx:pt>
          <cx:pt idx="24">II</cx:pt>
          <cx:pt idx="25">II</cx:pt>
          <cx:pt idx="26">II</cx:pt>
          <cx:pt idx="27">II</cx:pt>
          <cx:pt idx="28">II</cx:pt>
          <cx:pt idx="29">II</cx:pt>
          <cx:pt idx="30">II</cx:pt>
          <cx:pt idx="31">II</cx:pt>
          <cx:pt idx="32">II</cx:pt>
          <cx:pt idx="33">III</cx:pt>
          <cx:pt idx="34">III</cx:pt>
          <cx:pt idx="35">III</cx:pt>
          <cx:pt idx="36">III</cx:pt>
          <cx:pt idx="37">III</cx:pt>
          <cx:pt idx="38">III</cx:pt>
          <cx:pt idx="39">III</cx:pt>
          <cx:pt idx="40">III</cx:pt>
          <cx:pt idx="41">III</cx:pt>
          <cx:pt idx="42">III</cx:pt>
          <cx:pt idx="43">III</cx:pt>
          <cx:pt idx="44">III</cx:pt>
          <cx:pt idx="45">III</cx:pt>
          <cx:pt idx="46">III</cx:pt>
          <cx:pt idx="47">III</cx:pt>
          <cx:pt idx="48">III</cx:pt>
          <cx:pt idx="49">III</cx:pt>
          <cx:pt idx="50">III</cx:pt>
          <cx:pt idx="51">III</cx:pt>
          <cx:pt idx="52">III</cx:pt>
          <cx:pt idx="53">III</cx:pt>
          <cx:pt idx="54">III</cx:pt>
          <cx:pt idx="55">III</cx:pt>
          <cx:pt idx="56">III</cx:pt>
          <cx:pt idx="57">III</cx:pt>
          <cx:pt idx="58">III</cx:pt>
          <cx:pt idx="59">III</cx:pt>
        </cx:lvl>
      </cx:strDim>
      <cx:numDim type="val">
        <cx:f>'Ящик с усами AJCC КРР'!$D$2:$D$61</cx:f>
        <cx:lvl ptCount="60" formatCode="0,00">
          <cx:pt idx="0">0.8155</cx:pt>
          <cx:pt idx="1">1.0347</cx:pt>
          <cx:pt idx="2">1.0499000000000001</cx:pt>
          <cx:pt idx="3">0.73980000000000001</cx:pt>
          <cx:pt idx="4">0.6976</cx:pt>
          <cx:pt idx="5">0.86739999999999995</cx:pt>
          <cx:pt idx="6">0.77370000000000005</cx:pt>
          <cx:pt idx="7">0.29320000000000002</cx:pt>
          <cx:pt idx="8">0.61319999999999997</cx:pt>
          <cx:pt idx="9">0.81520000000000004</cx:pt>
          <cx:pt idx="10">0.66549999999999998</cx:pt>
          <cx:pt idx="11">0.74539999999999995</cx:pt>
          <cx:pt idx="12">0.42149999999999999</cx:pt>
          <cx:pt idx="13">0.68620000000000003</cx:pt>
          <cx:pt idx="14">0.4451</cx:pt>
          <cx:pt idx="15">0.81889999999999996</cx:pt>
          <cx:pt idx="16">1.3343</cx:pt>
          <cx:pt idx="17">1.0184</cx:pt>
          <cx:pt idx="18">1.4965999999999999</cx:pt>
          <cx:pt idx="19">1.5466</cx:pt>
          <cx:pt idx="20">0.65359999999999996</cx:pt>
          <cx:pt idx="21">1.1892</cx:pt>
          <cx:pt idx="22">1.1422000000000001</cx:pt>
          <cx:pt idx="23">0.66459999999999997</cx:pt>
          <cx:pt idx="24">0.85819999999999996</cx:pt>
          <cx:pt idx="25">0.80069999999999997</cx:pt>
          <cx:pt idx="26">0.64339999999999997</cx:pt>
          <cx:pt idx="27">0.8569</cx:pt>
          <cx:pt idx="28">1.3805000000000001</cx:pt>
          <cx:pt idx="29">1.2485999999999999</cx:pt>
          <cx:pt idx="30">1.5174000000000001</cx:pt>
          <cx:pt idx="31">1.6382000000000001</cx:pt>
          <cx:pt idx="32">0.77600000000000002</cx:pt>
          <cx:pt idx="33">1.8083</cx:pt>
          <cx:pt idx="34">1.1706000000000001</cx:pt>
          <cx:pt idx="35">0.93430000000000002</cx:pt>
          <cx:pt idx="36">0.75590000000000002</cx:pt>
          <cx:pt idx="37">1.3533999999999999</cx:pt>
          <cx:pt idx="38">0.88829999999999998</cx:pt>
          <cx:pt idx="39">1.129</cx:pt>
          <cx:pt idx="40">0.42070000000000002</cx:pt>
          <cx:pt idx="41">0.48430000000000001</cx:pt>
          <cx:pt idx="42">0.40799999999999997</cx:pt>
          <cx:pt idx="43">0.75009999999999999</cx:pt>
          <cx:pt idx="44">0.69010000000000005</cx:pt>
          <cx:pt idx="45">0.58130000000000004</cx:pt>
          <cx:pt idx="46">2.1457999999999999</cx:pt>
          <cx:pt idx="47">0.38090000000000002</cx:pt>
          <cx:pt idx="48">1.4305000000000001</cx:pt>
          <cx:pt idx="49">0.8589</cx:pt>
          <cx:pt idx="50">1.6548</cx:pt>
          <cx:pt idx="51">1.736</cx:pt>
          <cx:pt idx="52">0.751</cx:pt>
          <cx:pt idx="53">1.798</cx:pt>
          <cx:pt idx="54">2.9357000000000002</cx:pt>
          <cx:pt idx="55">0.92030000000000001</cx:pt>
          <cx:pt idx="56">1.4228000000000001</cx:pt>
          <cx:pt idx="57">0.82940000000000003</cx:pt>
          <cx:pt idx="58">0.86909999999999998</cx:pt>
          <cx:pt idx="59">0.61099999999999999</cx:pt>
        </cx:lvl>
      </cx:numDim>
    </cx:data>
  </cx:chartData>
  <cx:chart>
    <cx:plotArea>
      <cx:plotAreaRegion>
        <cx:series layoutId="boxWhisker" uniqueId="{4322CA09-E7A4-48E4-8F15-00AB8A7574FD}">
          <cx:tx>
            <cx:txData>
              <cx:f>'Ящик с усами AJCC КРР'!$D$1</cx:f>
              <cx:v>RRL</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
            <cx:dataLabelHidden idx="2"/>
            <cx:dataLabelHidden idx="3"/>
            <cx:dataLabelHidden idx="4"/>
            <cx:dataLabelHidden idx="6"/>
            <cx:dataLabelHidden idx="36"/>
            <cx:dataLabelHidden idx="37"/>
            <cx:dataLabelHidden idx="39"/>
            <cx:dataLabelHidden idx="40"/>
            <cx:dataLabelHidden idx="41"/>
            <cx:dataLabelHidden idx="66"/>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87.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AJCC КРР'!$A$2:$A$61</cx:f>
        <cx:lvl ptCount="60">
          <cx:pt idx="0">I</cx:pt>
          <cx:pt idx="1">I</cx:pt>
          <cx:pt idx="2">II</cx:pt>
          <cx:pt idx="3">II</cx:pt>
          <cx:pt idx="4">II</cx:pt>
          <cx:pt idx="5">II</cx:pt>
          <cx:pt idx="6">II</cx:pt>
          <cx:pt idx="7">II</cx:pt>
          <cx:pt idx="8">II</cx:pt>
          <cx:pt idx="9">II</cx:pt>
          <cx:pt idx="10">II</cx:pt>
          <cx:pt idx="11">II</cx:pt>
          <cx:pt idx="12">II</cx:pt>
          <cx:pt idx="13">II</cx:pt>
          <cx:pt idx="14">II</cx:pt>
          <cx:pt idx="15">II</cx:pt>
          <cx:pt idx="16">II</cx:pt>
          <cx:pt idx="17">II</cx:pt>
          <cx:pt idx="18">II</cx:pt>
          <cx:pt idx="19">II</cx:pt>
          <cx:pt idx="20">II</cx:pt>
          <cx:pt idx="21">II</cx:pt>
          <cx:pt idx="22">II</cx:pt>
          <cx:pt idx="23">II</cx:pt>
          <cx:pt idx="24">II</cx:pt>
          <cx:pt idx="25">II</cx:pt>
          <cx:pt idx="26">II</cx:pt>
          <cx:pt idx="27">II</cx:pt>
          <cx:pt idx="28">II</cx:pt>
          <cx:pt idx="29">II</cx:pt>
          <cx:pt idx="30">II</cx:pt>
          <cx:pt idx="31">II</cx:pt>
          <cx:pt idx="32">II</cx:pt>
          <cx:pt idx="33">III</cx:pt>
          <cx:pt idx="34">III</cx:pt>
          <cx:pt idx="35">III</cx:pt>
          <cx:pt idx="36">III</cx:pt>
          <cx:pt idx="37">III</cx:pt>
          <cx:pt idx="38">III</cx:pt>
          <cx:pt idx="39">III</cx:pt>
          <cx:pt idx="40">III</cx:pt>
          <cx:pt idx="41">III</cx:pt>
          <cx:pt idx="42">III</cx:pt>
          <cx:pt idx="43">III</cx:pt>
          <cx:pt idx="44">III</cx:pt>
          <cx:pt idx="45">III</cx:pt>
          <cx:pt idx="46">III</cx:pt>
          <cx:pt idx="47">III</cx:pt>
          <cx:pt idx="48">III</cx:pt>
          <cx:pt idx="49">III</cx:pt>
          <cx:pt idx="50">III</cx:pt>
          <cx:pt idx="51">III</cx:pt>
          <cx:pt idx="52">III</cx:pt>
          <cx:pt idx="53">III</cx:pt>
          <cx:pt idx="54">III</cx:pt>
          <cx:pt idx="55">III</cx:pt>
          <cx:pt idx="56">III</cx:pt>
          <cx:pt idx="57">III</cx:pt>
          <cx:pt idx="58">III</cx:pt>
          <cx:pt idx="59">III</cx:pt>
        </cx:lvl>
      </cx:strDim>
      <cx:numDim type="val">
        <cx:f>'Ящик с усами AJCC КРР'!$E$2:$E$61</cx:f>
        <cx:lvl ptCount="60" formatCode="0,00">
          <cx:pt idx="0">1.3078000000000001</cx:pt>
          <cx:pt idx="1">1.4419999999999999</cx:pt>
          <cx:pt idx="2">0.79620000000000002</cx:pt>
          <cx:pt idx="3">1.1160000000000001</cx:pt>
          <cx:pt idx="4">0.58930000000000005</cx:pt>
          <cx:pt idx="5">0.61719999999999997</cx:pt>
          <cx:pt idx="6">0.32700000000000001</cx:pt>
          <cx:pt idx="7">0.46039999999999998</cx:pt>
          <cx:pt idx="8">0.44140000000000001</cx:pt>
          <cx:pt idx="9">0.58099999999999996</cx:pt>
          <cx:pt idx="10">0.58230000000000004</cx:pt>
          <cx:pt idx="11">0.9194</cx:pt>
          <cx:pt idx="12">0.49919999999999998</cx:pt>
          <cx:pt idx="13">0.50429999999999997</cx:pt>
          <cx:pt idx="14">0.50090000000000001</cx:pt>
          <cx:pt idx="15">0.92000000000000004</cx:pt>
          <cx:pt idx="16">0.53520000000000001</cx:pt>
          <cx:pt idx="17">0.75509999999999999</cx:pt>
          <cx:pt idx="18">2.2519</cx:pt>
          <cx:pt idx="19">1.8771</cx:pt>
          <cx:pt idx="20">0.62219999999999998</cx:pt>
          <cx:pt idx="21">1.2042999999999999</cx:pt>
          <cx:pt idx="22">1.0603</cx:pt>
          <cx:pt idx="23">0.53180000000000005</cx:pt>
          <cx:pt idx="24">0.62380000000000002</cx:pt>
          <cx:pt idx="25">0.5746</cx:pt>
          <cx:pt idx="26">0.7006</cx:pt>
          <cx:pt idx="27">1.1407</cx:pt>
          <cx:pt idx="28">0.99890000000000001</cx:pt>
          <cx:pt idx="29">0.9294</cx:pt>
          <cx:pt idx="30">1.3401000000000001</cx:pt>
          <cx:pt idx="31">1.5353000000000001</cx:pt>
          <cx:pt idx="32">0.93089999999999995</cx:pt>
          <cx:pt idx="33">1.0718000000000001</cx:pt>
          <cx:pt idx="34">0.85360000000000003</cx:pt>
          <cx:pt idx="35">0.61419999999999997</cx:pt>
          <cx:pt idx="36">1.1435</cx:pt>
          <cx:pt idx="37">0.56020000000000003</cx:pt>
          <cx:pt idx="38">0.7883</cx:pt>
          <cx:pt idx="39">0.9839</cx:pt>
          <cx:pt idx="40">0.5403</cx:pt>
          <cx:pt idx="41">0.62180000000000002</cx:pt>
          <cx:pt idx="42">0.50339999999999996</cx:pt>
          <cx:pt idx="43">0.66969999999999996</cx:pt>
          <cx:pt idx="44">0.71160000000000001</cx:pt>
          <cx:pt idx="45">0.45290000000000002</cx:pt>
          <cx:pt idx="46">1.4247000000000001</cx:pt>
          <cx:pt idx="47">0.41799999999999998</cx:pt>
          <cx:pt idx="48">1.6369</cx:pt>
          <cx:pt idx="49">0.76190000000000002</cx:pt>
          <cx:pt idx="50">1.6229</cx:pt>
          <cx:pt idx="51">1.1100000000000001</cx:pt>
          <cx:pt idx="52">0.45839999999999997</cx:pt>
          <cx:pt idx="53">1.1052</cx:pt>
          <cx:pt idx="54">1.5598000000000001</cx:pt>
          <cx:pt idx="55">0.84889999999999999</cx:pt>
          <cx:pt idx="56">1.1613</cx:pt>
          <cx:pt idx="57">0.69920000000000004</cx:pt>
          <cx:pt idx="58">1.5258</cx:pt>
          <cx:pt idx="59">0.79779999999999995</cx:pt>
        </cx:lvl>
      </cx:numDim>
    </cx:data>
  </cx:chartData>
  <cx:chart>
    <cx:plotArea>
      <cx:plotAreaRegion>
        <cx:series layoutId="boxWhisker" uniqueId="{2F0F7668-FC2D-4622-A6DE-08C409BCC60C}">
          <cx:tx>
            <cx:txData>
              <cx:f>'Ящик с усами AJCC КРР'!$E$1</cx:f>
              <cx:v>RU</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
            <cx:dataLabelHidden idx="2"/>
            <cx:dataLabelHidden idx="4"/>
            <cx:dataLabelHidden idx="5"/>
            <cx:dataLabelHidden idx="6"/>
            <cx:dataLabelHidden idx="34"/>
            <cx:dataLabelHidden idx="35"/>
            <cx:dataLabelHidden idx="36"/>
            <cx:dataLabelHidden idx="37"/>
            <cx:dataLabelHidden idx="39"/>
            <cx:dataLabelHidden idx="40"/>
            <cx:dataLabelHidden idx="41"/>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88.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AJCC КРР'!$A$2:$A$61</cx:f>
        <cx:lvl ptCount="60">
          <cx:pt idx="0">I</cx:pt>
          <cx:pt idx="1">I</cx:pt>
          <cx:pt idx="2">II</cx:pt>
          <cx:pt idx="3">II</cx:pt>
          <cx:pt idx="4">II</cx:pt>
          <cx:pt idx="5">II</cx:pt>
          <cx:pt idx="6">II</cx:pt>
          <cx:pt idx="7">II</cx:pt>
          <cx:pt idx="8">II</cx:pt>
          <cx:pt idx="9">II</cx:pt>
          <cx:pt idx="10">II</cx:pt>
          <cx:pt idx="11">II</cx:pt>
          <cx:pt idx="12">II</cx:pt>
          <cx:pt idx="13">II</cx:pt>
          <cx:pt idx="14">II</cx:pt>
          <cx:pt idx="15">II</cx:pt>
          <cx:pt idx="16">II</cx:pt>
          <cx:pt idx="17">II</cx:pt>
          <cx:pt idx="18">II</cx:pt>
          <cx:pt idx="19">II</cx:pt>
          <cx:pt idx="20">II</cx:pt>
          <cx:pt idx="21">II</cx:pt>
          <cx:pt idx="22">II</cx:pt>
          <cx:pt idx="23">II</cx:pt>
          <cx:pt idx="24">II</cx:pt>
          <cx:pt idx="25">II</cx:pt>
          <cx:pt idx="26">II</cx:pt>
          <cx:pt idx="27">II</cx:pt>
          <cx:pt idx="28">II</cx:pt>
          <cx:pt idx="29">II</cx:pt>
          <cx:pt idx="30">II</cx:pt>
          <cx:pt idx="31">II</cx:pt>
          <cx:pt idx="32">II</cx:pt>
          <cx:pt idx="33">III</cx:pt>
          <cx:pt idx="34">III</cx:pt>
          <cx:pt idx="35">III</cx:pt>
          <cx:pt idx="36">III</cx:pt>
          <cx:pt idx="37">III</cx:pt>
          <cx:pt idx="38">III</cx:pt>
          <cx:pt idx="39">III</cx:pt>
          <cx:pt idx="40">III</cx:pt>
          <cx:pt idx="41">III</cx:pt>
          <cx:pt idx="42">III</cx:pt>
          <cx:pt idx="43">III</cx:pt>
          <cx:pt idx="44">III</cx:pt>
          <cx:pt idx="45">III</cx:pt>
          <cx:pt idx="46">III</cx:pt>
          <cx:pt idx="47">III</cx:pt>
          <cx:pt idx="48">III</cx:pt>
          <cx:pt idx="49">III</cx:pt>
          <cx:pt idx="50">III</cx:pt>
          <cx:pt idx="51">III</cx:pt>
          <cx:pt idx="52">III</cx:pt>
          <cx:pt idx="53">III</cx:pt>
          <cx:pt idx="54">III</cx:pt>
          <cx:pt idx="55">III</cx:pt>
          <cx:pt idx="56">III</cx:pt>
          <cx:pt idx="57">III</cx:pt>
          <cx:pt idx="58">III</cx:pt>
          <cx:pt idx="59">III</cx:pt>
        </cx:lvl>
      </cx:strDim>
      <cx:numDim type="val">
        <cx:f>'Ящик с усами AJCC КРР'!$F$2:$F$61</cx:f>
        <cx:lvl ptCount="60" formatCode="0,00">
          <cx:pt idx="0">0.67290000000000005</cx:pt>
          <cx:pt idx="1">1.5286</cx:pt>
          <cx:pt idx="2">1.1175999999999999</cx:pt>
          <cx:pt idx="3">0.8669</cx:pt>
          <cx:pt idx="4">0.64480000000000004</cx:pt>
          <cx:pt idx="5">1.0688</cx:pt>
          <cx:pt idx="6">0.95820000000000005</cx:pt>
          <cx:pt idx="7">0.28570000000000001</cx:pt>
          <cx:pt idx="8">0.38290000000000002</cx:pt>
          <cx:pt idx="9">0.61040000000000005</cx:pt>
          <cx:pt idx="10">0.78900000000000003</cx:pt>
          <cx:pt idx="11">0.85799999999999998</cx:pt>
          <cx:pt idx="12">0.5655</cx:pt>
          <cx:pt idx="13">0.6855</cx:pt>
          <cx:pt idx="14">0.59099999999999997</cx:pt>
          <cx:pt idx="15">0.93159999999999998</cx:pt>
          <cx:pt idx="16">0.66900000000000004</cx:pt>
          <cx:pt idx="17">1.0942000000000001</cx:pt>
          <cx:pt idx="18">0.94620000000000004</cx:pt>
          <cx:pt idx="19">2.2650000000000001</cx:pt>
          <cx:pt idx="20">0.77680000000000005</cx:pt>
          <cx:pt idx="21">1.6556999999999999</cx:pt>
          <cx:pt idx="22">0.87970000000000004</cx:pt>
          <cx:pt idx="23">0.38800000000000001</cx:pt>
          <cx:pt idx="24">0.8538</cx:pt>
          <cx:pt idx="25">0.72240000000000004</cx:pt>
          <cx:pt idx="26">0.53090000000000004</cx:pt>
          <cx:pt idx="27">1.1879</cx:pt>
          <cx:pt idx="28">1.0149999999999999</cx:pt>
          <cx:pt idx="29">1.1423000000000001</cx:pt>
          <cx:pt idx="30">0.76219999999999999</cx:pt>
          <cx:pt idx="31">1.3353999999999999</cx:pt>
          <cx:pt idx="32">0.92610000000000003</cx:pt>
          <cx:pt idx="33">1.2702</cx:pt>
          <cx:pt idx="34">1.0275000000000001</cx:pt>
          <cx:pt idx="35">0.78820000000000001</cx:pt>
          <cx:pt idx="36">0.95530000000000004</cx:pt>
          <cx:pt idx="37">0.78390000000000004</cx:pt>
          <cx:pt idx="38">1.1021000000000001</cx:pt>
          <cx:pt idx="39">0.76160000000000005</cx:pt>
          <cx:pt idx="40">0.60909999999999997</cx:pt>
          <cx:pt idx="41">0.50590000000000002</cx:pt>
          <cx:pt idx="42">0.1153</cx:pt>
          <cx:pt idx="43">0.90800000000000003</cx:pt>
          <cx:pt idx="44">0.8115</cx:pt>
          <cx:pt idx="45">0.4617</cx:pt>
          <cx:pt idx="46">1.4926999999999999</cx:pt>
          <cx:pt idx="47">0.44419999999999998</cx:pt>
          <cx:pt idx="48">0.93689999999999996</cx:pt>
          <cx:pt idx="49">0.59360000000000002</cx:pt>
          <cx:pt idx="50">1.6148</cx:pt>
          <cx:pt idx="51">1.4387000000000001</cx:pt>
          <cx:pt idx="52">0.34599999999999997</cx:pt>
          <cx:pt idx="53">1.2293000000000001</cx:pt>
          <cx:pt idx="54">1.0646</cx:pt>
          <cx:pt idx="55">0.78779999999999994</cx:pt>
          <cx:pt idx="56">1.4469000000000001</cx:pt>
          <cx:pt idx="57">0.97929999999999995</cx:pt>
          <cx:pt idx="58">0.9244</cx:pt>
          <cx:pt idx="59">0.62490000000000001</cx:pt>
        </cx:lvl>
      </cx:numDim>
    </cx:data>
  </cx:chartData>
  <cx:chart>
    <cx:plotArea>
      <cx:plotAreaRegion>
        <cx:series layoutId="boxWhisker" uniqueId="{0FAD7FF3-11F2-4484-AFD3-93E79BBA6EDE}">
          <cx:tx>
            <cx:txData>
              <cx:f>'Ящик с усами AJCC КРР'!$F$1</cx:f>
              <cx:v>RLL</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
            <cx:dataLabelHidden idx="2"/>
            <cx:dataLabelHidden idx="4"/>
            <cx:dataLabelHidden idx="5"/>
            <cx:dataLabelHidden idx="6"/>
            <cx:dataLabelHidden idx="35"/>
            <cx:dataLabelHidden idx="36"/>
            <cx:dataLabelHidden idx="37"/>
            <cx:dataLabelHidden idx="39"/>
            <cx:dataLabelHidden idx="40"/>
            <cx:dataLabelHidden idx="41"/>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89.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AJCC КРР'!$A$2:$A$61</cx:f>
        <cx:lvl ptCount="60">
          <cx:pt idx="0">I</cx:pt>
          <cx:pt idx="1">I</cx:pt>
          <cx:pt idx="2">II</cx:pt>
          <cx:pt idx="3">II</cx:pt>
          <cx:pt idx="4">II</cx:pt>
          <cx:pt idx="5">II</cx:pt>
          <cx:pt idx="6">II</cx:pt>
          <cx:pt idx="7">II</cx:pt>
          <cx:pt idx="8">II</cx:pt>
          <cx:pt idx="9">II</cx:pt>
          <cx:pt idx="10">II</cx:pt>
          <cx:pt idx="11">II</cx:pt>
          <cx:pt idx="12">II</cx:pt>
          <cx:pt idx="13">II</cx:pt>
          <cx:pt idx="14">II</cx:pt>
          <cx:pt idx="15">II</cx:pt>
          <cx:pt idx="16">II</cx:pt>
          <cx:pt idx="17">II</cx:pt>
          <cx:pt idx="18">II</cx:pt>
          <cx:pt idx="19">II</cx:pt>
          <cx:pt idx="20">II</cx:pt>
          <cx:pt idx="21">II</cx:pt>
          <cx:pt idx="22">II</cx:pt>
          <cx:pt idx="23">II</cx:pt>
          <cx:pt idx="24">II</cx:pt>
          <cx:pt idx="25">II</cx:pt>
          <cx:pt idx="26">II</cx:pt>
          <cx:pt idx="27">II</cx:pt>
          <cx:pt idx="28">II</cx:pt>
          <cx:pt idx="29">II</cx:pt>
          <cx:pt idx="30">II</cx:pt>
          <cx:pt idx="31">II</cx:pt>
          <cx:pt idx="32">II</cx:pt>
          <cx:pt idx="33">III</cx:pt>
          <cx:pt idx="34">III</cx:pt>
          <cx:pt idx="35">III</cx:pt>
          <cx:pt idx="36">III</cx:pt>
          <cx:pt idx="37">III</cx:pt>
          <cx:pt idx="38">III</cx:pt>
          <cx:pt idx="39">III</cx:pt>
          <cx:pt idx="40">III</cx:pt>
          <cx:pt idx="41">III</cx:pt>
          <cx:pt idx="42">III</cx:pt>
          <cx:pt idx="43">III</cx:pt>
          <cx:pt idx="44">III</cx:pt>
          <cx:pt idx="45">III</cx:pt>
          <cx:pt idx="46">III</cx:pt>
          <cx:pt idx="47">III</cx:pt>
          <cx:pt idx="48">III</cx:pt>
          <cx:pt idx="49">III</cx:pt>
          <cx:pt idx="50">III</cx:pt>
          <cx:pt idx="51">III</cx:pt>
          <cx:pt idx="52">III</cx:pt>
          <cx:pt idx="53">III</cx:pt>
          <cx:pt idx="54">III</cx:pt>
          <cx:pt idx="55">III</cx:pt>
          <cx:pt idx="56">III</cx:pt>
          <cx:pt idx="57">III</cx:pt>
          <cx:pt idx="58">III</cx:pt>
          <cx:pt idx="59">III</cx:pt>
        </cx:lvl>
      </cx:strDim>
      <cx:numDim type="val">
        <cx:f>'Ящик с усами AJCC КРР'!$G$2:$G$61</cx:f>
        <cx:lvl ptCount="60" formatCode="0,00">
          <cx:pt idx="0">1.0667</cx:pt>
          <cx:pt idx="1">0.9093</cx:pt>
          <cx:pt idx="2">1.5214000000000001</cx:pt>
          <cx:pt idx="3">1.0225</cx:pt>
          <cx:pt idx="4">0.97440000000000004</cx:pt>
          <cx:pt idx="5">1.0179</cx:pt>
          <cx:pt idx="6">0.76639999999999997</cx:pt>
          <cx:pt idx="7">0.38940000000000002</cx:pt>
          <cx:pt idx="8">0.44090000000000001</cx:pt>
          <cx:pt idx="9">0.52869999999999995</cx:pt>
          <cx:pt idx="10">0.5786</cx:pt>
          <cx:pt idx="11">1.0146999999999999</cx:pt>
          <cx:pt idx="12">0.51929999999999998</cx:pt>
          <cx:pt idx="13">0.72970000000000002</cx:pt>
          <cx:pt idx="14">0.68969999999999998</cx:pt>
          <cx:pt idx="15">0.8397</cx:pt>
          <cx:pt idx="16">0.66810000000000003</cx:pt>
          <cx:pt idx="17">0.55669999999999997</cx:pt>
          <cx:pt idx="18">0.7863</cx:pt>
          <cx:pt idx="19">1.4702</cx:pt>
          <cx:pt idx="20">0.58360000000000001</cx:pt>
          <cx:pt idx="21">1.1412</cx:pt>
          <cx:pt idx="22">0.56410000000000005</cx:pt>
          <cx:pt idx="23">0.50939999999999996</cx:pt>
          <cx:pt idx="24">0.51900000000000002</cx:pt>
          <cx:pt idx="25">0.3463</cx:pt>
          <cx:pt idx="26">0.49049999999999999</cx:pt>
          <cx:pt idx="27">0.73499999999999999</cx:pt>
          <cx:pt idx="28">1.1698</cx:pt>
          <cx:pt idx="29">0.54830000000000001</cx:pt>
          <cx:pt idx="30">1.2285999999999999</cx:pt>
          <cx:pt idx="31">1.097</cx:pt>
          <cx:pt idx="32">0.66979999999999995</cx:pt>
          <cx:pt idx="33">1.3323</cx:pt>
          <cx:pt idx="34">1.0057</cx:pt>
          <cx:pt idx="35">1.0752999999999999</cx:pt>
          <cx:pt idx="36">1.2581</cx:pt>
          <cx:pt idx="37">0.79200000000000004</cx:pt>
          <cx:pt idx="38">1.0212000000000001</cx:pt>
          <cx:pt idx="39">0.96640000000000004</cx:pt>
          <cx:pt idx="40">0.51139999999999997</cx:pt>
          <cx:pt idx="41">0.54649999999999999</cx:pt>
          <cx:pt idx="42">0.26400000000000001</cx:pt>
          <cx:pt idx="43">0.51759999999999995</cx:pt>
          <cx:pt idx="44">1.1648000000000001</cx:pt>
          <cx:pt idx="45">0.63759999999999994</cx:pt>
          <cx:pt idx="46">1.1778</cx:pt>
          <cx:pt idx="47">0.58889999999999998</cx:pt>
          <cx:pt idx="48">0.70120000000000005</cx:pt>
          <cx:pt idx="49">0.70689999999999997</cx:pt>
          <cx:pt idx="50">1.0529999999999999</cx:pt>
          <cx:pt idx="51">0.68799999999999994</cx:pt>
          <cx:pt idx="52">0.41070000000000001</cx:pt>
          <cx:pt idx="53">0.92610000000000003</cx:pt>
          <cx:pt idx="54">1.6856</cx:pt>
          <cx:pt idx="55">0.4335</cx:pt>
          <cx:pt idx="56">1.3482000000000001</cx:pt>
          <cx:pt idx="57">0.52959999999999996</cx:pt>
          <cx:pt idx="58">0.72460000000000002</cx:pt>
          <cx:pt idx="59">0.77859999999999996</cx:pt>
        </cx:lvl>
      </cx:numDim>
    </cx:data>
  </cx:chartData>
  <cx:chart>
    <cx:plotArea>
      <cx:plotAreaRegion>
        <cx:series layoutId="boxWhisker" uniqueId="{3954868E-43A9-4B14-BD48-4BECE74A325A}">
          <cx:tx>
            <cx:txData>
              <cx:f>'Ящик с усами AJCC КРР'!$G$1</cx:f>
              <cx:v>RRI</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
            <cx:dataLabelHidden idx="2"/>
            <cx:dataLabelHidden idx="4"/>
            <cx:dataLabelHidden idx="5"/>
            <cx:dataLabelHidden idx="6"/>
            <cx:dataLabelHidden idx="36"/>
            <cx:dataLabelHidden idx="37"/>
            <cx:dataLabelHidden idx="39"/>
            <cx:dataLabelHidden idx="40"/>
            <cx:dataLabelHidden idx="41"/>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9.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T РЯ'!$A$2:$A$54</cx:f>
        <cx:lvl ptCount="53">
          <cx:pt idx="0">T1</cx:pt>
          <cx:pt idx="1">T1</cx:pt>
          <cx:pt idx="2">T1</cx:pt>
          <cx:pt idx="3">T1</cx:pt>
          <cx:pt idx="4">T1</cx:pt>
          <cx:pt idx="5">T1</cx:pt>
          <cx:pt idx="6">T1</cx:pt>
          <cx:pt idx="7">T1</cx:pt>
          <cx:pt idx="8">T2</cx:pt>
          <cx:pt idx="9">T2</cx:pt>
          <cx:pt idx="10">T2</cx:pt>
          <cx:pt idx="11">T2</cx:pt>
          <cx:pt idx="12">T2</cx:pt>
          <cx:pt idx="13">T2</cx:pt>
          <cx:pt idx="14">T2</cx:pt>
          <cx:pt idx="15">T2</cx:pt>
          <cx:pt idx="16">T2</cx:pt>
          <cx:pt idx="17">T2</cx:pt>
          <cx:pt idx="18">T2</cx:pt>
          <cx:pt idx="19">T2</cx:pt>
          <cx:pt idx="20">T2</cx:pt>
          <cx:pt idx="21">T2</cx:pt>
          <cx:pt idx="22">T2</cx:pt>
          <cx:pt idx="23">T3</cx:pt>
          <cx:pt idx="24">T3</cx:pt>
          <cx:pt idx="25">T3</cx:pt>
          <cx:pt idx="26">T3</cx:pt>
          <cx:pt idx="27">T3</cx:pt>
          <cx:pt idx="28">T3</cx:pt>
          <cx:pt idx="29">T3</cx:pt>
          <cx:pt idx="30">T3</cx:pt>
          <cx:pt idx="31">T3</cx:pt>
          <cx:pt idx="32">T3</cx:pt>
          <cx:pt idx="33">T3</cx:pt>
          <cx:pt idx="34">T3</cx:pt>
          <cx:pt idx="35">T3</cx:pt>
          <cx:pt idx="36">T3</cx:pt>
          <cx:pt idx="37">T3</cx:pt>
          <cx:pt idx="38">T3</cx:pt>
          <cx:pt idx="39">T3</cx:pt>
          <cx:pt idx="40">T3</cx:pt>
          <cx:pt idx="41">T3</cx:pt>
          <cx:pt idx="42">T3</cx:pt>
          <cx:pt idx="43">T3</cx:pt>
          <cx:pt idx="44">T3</cx:pt>
          <cx:pt idx="45">T3</cx:pt>
          <cx:pt idx="46">T3</cx:pt>
          <cx:pt idx="47">T3</cx:pt>
          <cx:pt idx="48">T3</cx:pt>
          <cx:pt idx="49">T3</cx:pt>
          <cx:pt idx="50">T3</cx:pt>
          <cx:pt idx="51">T4</cx:pt>
          <cx:pt idx="52">T4</cx:pt>
        </cx:lvl>
      </cx:strDim>
      <cx:numDim type="val">
        <cx:f>'Ящик с усами T РЯ'!$I$2:$I$54</cx:f>
        <cx:lvl ptCount="53" formatCode="0,00">
          <cx:pt idx="0">0.56999999999999995</cx:pt>
          <cx:pt idx="1">0.40000000000000002</cx:pt>
          <cx:pt idx="2">0.58999999999999997</cx:pt>
          <cx:pt idx="3">0.31</cx:pt>
          <cx:pt idx="4">0.44</cx:pt>
          <cx:pt idx="5">0.68000000000000005</cx:pt>
          <cx:pt idx="6">0.62</cx:pt>
          <cx:pt idx="7">1.1499999999999999</cx:pt>
          <cx:pt idx="8">0.57999999999999996</cx:pt>
          <cx:pt idx="9">0.44</cx:pt>
          <cx:pt idx="10">0.38</cx:pt>
          <cx:pt idx="11">0.38</cx:pt>
          <cx:pt idx="12">0.52000000000000002</cx:pt>
          <cx:pt idx="13">0.32000000000000001</cx:pt>
          <cx:pt idx="14">0.42999999999999999</cx:pt>
          <cx:pt idx="15">0.51000000000000001</cx:pt>
          <cx:pt idx="16">0.80000000000000004</cx:pt>
          <cx:pt idx="17">0.39000000000000001</cx:pt>
          <cx:pt idx="18">1.48</cx:pt>
          <cx:pt idx="19">0.59999999999999998</cx:pt>
          <cx:pt idx="20">0.96999999999999997</cx:pt>
          <cx:pt idx="21">1.47</cx:pt>
          <cx:pt idx="22">0.60999999999999999</cx:pt>
          <cx:pt idx="23">0.69999999999999996</cx:pt>
          <cx:pt idx="24">0.56000000000000005</cx:pt>
          <cx:pt idx="25">0.34999999999999998</cx:pt>
          <cx:pt idx="26">0.53000000000000003</cx:pt>
          <cx:pt idx="27">0.41999999999999998</cx:pt>
          <cx:pt idx="28">0.34000000000000002</cx:pt>
          <cx:pt idx="29">0.46999999999999997</cx:pt>
          <cx:pt idx="30">0.92000000000000004</cx:pt>
          <cx:pt idx="31">0.45000000000000001</cx:pt>
          <cx:pt idx="32">0.51000000000000001</cx:pt>
          <cx:pt idx="33">1.01</cx:pt>
          <cx:pt idx="34">0.53000000000000003</cx:pt>
          <cx:pt idx="35">0.40999999999999998</cx:pt>
          <cx:pt idx="36">1.3700000000000001</cx:pt>
          <cx:pt idx="37">0.59999999999999998</cx:pt>
          <cx:pt idx="38">0.98999999999999999</cx:pt>
          <cx:pt idx="39">1.4099999999999999</cx:pt>
          <cx:pt idx="40">1.04</cx:pt>
          <cx:pt idx="41">0.53000000000000003</cx:pt>
          <cx:pt idx="42">0.78000000000000003</cx:pt>
          <cx:pt idx="43">0.88</cx:pt>
          <cx:pt idx="44">0.51000000000000001</cx:pt>
          <cx:pt idx="45">0.59999999999999998</cx:pt>
          <cx:pt idx="46">0.67000000000000004</cx:pt>
          <cx:pt idx="47">0.56000000000000005</cx:pt>
          <cx:pt idx="48">1.1599999999999999</cx:pt>
          <cx:pt idx="49">0.69999999999999996</cx:pt>
          <cx:pt idx="50">0.44</cx:pt>
          <cx:pt idx="51">1.1299999999999999</cx:pt>
          <cx:pt idx="52">0.54000000000000004</cx:pt>
        </cx:lvl>
      </cx:numDim>
    </cx:data>
  </cx:chartData>
  <cx:chart>
    <cx:plotArea>
      <cx:plotAreaRegion>
        <cx:series layoutId="boxWhisker" uniqueId="{73D32F4E-C14A-4E81-BFFC-4DF75CE5D64A}">
          <cx:tx>
            <cx:txData>
              <cx:f>'Ящик с усами T РЯ'!$I$1</cx:f>
              <cx:v>RLI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6"/>
            <cx:dataLabelHidden idx="7"/>
            <cx:dataLabelHidden idx="8"/>
            <cx:dataLabelHidden idx="10"/>
            <cx:dataLabelHidden idx="11"/>
            <cx:dataLabelHidden idx="12"/>
            <cx:dataLabelHidden idx="24"/>
            <cx:dataLabelHidden idx="25"/>
            <cx:dataLabelHidden idx="27"/>
            <cx:dataLabelHidden idx="29"/>
            <cx:dataLabelHidden idx="30"/>
            <cx:dataLabelHidden idx="31"/>
            <cx:dataLabelHidden idx="58"/>
            <cx:dataLabelHidden idx="59"/>
            <cx:dataLabelHidden idx="61"/>
            <cx:dataLabelHidden idx="62"/>
            <cx:dataLabelHidden idx="63"/>
            <cx:dataLabelHidden idx="64"/>
            <cx:dataLabelHidden idx="65"/>
            <cx:dataLabelHidden idx="67"/>
            <cx:dataLabelHidden idx="68"/>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90.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AJCC КРР'!$A$2:$A$61</cx:f>
        <cx:lvl ptCount="60">
          <cx:pt idx="0">I</cx:pt>
          <cx:pt idx="1">I</cx:pt>
          <cx:pt idx="2">II</cx:pt>
          <cx:pt idx="3">II</cx:pt>
          <cx:pt idx="4">II</cx:pt>
          <cx:pt idx="5">II</cx:pt>
          <cx:pt idx="6">II</cx:pt>
          <cx:pt idx="7">II</cx:pt>
          <cx:pt idx="8">II</cx:pt>
          <cx:pt idx="9">II</cx:pt>
          <cx:pt idx="10">II</cx:pt>
          <cx:pt idx="11">II</cx:pt>
          <cx:pt idx="12">II</cx:pt>
          <cx:pt idx="13">II</cx:pt>
          <cx:pt idx="14">II</cx:pt>
          <cx:pt idx="15">II</cx:pt>
          <cx:pt idx="16">II</cx:pt>
          <cx:pt idx="17">II</cx:pt>
          <cx:pt idx="18">II</cx:pt>
          <cx:pt idx="19">II</cx:pt>
          <cx:pt idx="20">II</cx:pt>
          <cx:pt idx="21">II</cx:pt>
          <cx:pt idx="22">II</cx:pt>
          <cx:pt idx="23">II</cx:pt>
          <cx:pt idx="24">II</cx:pt>
          <cx:pt idx="25">II</cx:pt>
          <cx:pt idx="26">II</cx:pt>
          <cx:pt idx="27">II</cx:pt>
          <cx:pt idx="28">II</cx:pt>
          <cx:pt idx="29">II</cx:pt>
          <cx:pt idx="30">II</cx:pt>
          <cx:pt idx="31">II</cx:pt>
          <cx:pt idx="32">II</cx:pt>
          <cx:pt idx="33">III</cx:pt>
          <cx:pt idx="34">III</cx:pt>
          <cx:pt idx="35">III</cx:pt>
          <cx:pt idx="36">III</cx:pt>
          <cx:pt idx="37">III</cx:pt>
          <cx:pt idx="38">III</cx:pt>
          <cx:pt idx="39">III</cx:pt>
          <cx:pt idx="40">III</cx:pt>
          <cx:pt idx="41">III</cx:pt>
          <cx:pt idx="42">III</cx:pt>
          <cx:pt idx="43">III</cx:pt>
          <cx:pt idx="44">III</cx:pt>
          <cx:pt idx="45">III</cx:pt>
          <cx:pt idx="46">III</cx:pt>
          <cx:pt idx="47">III</cx:pt>
          <cx:pt idx="48">III</cx:pt>
          <cx:pt idx="49">III</cx:pt>
          <cx:pt idx="50">III</cx:pt>
          <cx:pt idx="51">III</cx:pt>
          <cx:pt idx="52">III</cx:pt>
          <cx:pt idx="53">III</cx:pt>
          <cx:pt idx="54">III</cx:pt>
          <cx:pt idx="55">III</cx:pt>
          <cx:pt idx="56">III</cx:pt>
          <cx:pt idx="57">III</cx:pt>
          <cx:pt idx="58">III</cx:pt>
          <cx:pt idx="59">III</cx:pt>
        </cx:lvl>
      </cx:strDim>
      <cx:numDim type="val">
        <cx:f>'Ящик с усами AJCC КРР'!$H$2:$H$61</cx:f>
        <cx:lvl ptCount="60" formatCode="0,00">
          <cx:pt idx="0">1.0501</cx:pt>
          <cx:pt idx="1">1.5311999999999999</cx:pt>
          <cx:pt idx="2">0.86299999999999999</cx:pt>
          <cx:pt idx="3">1.0337000000000001</cx:pt>
          <cx:pt idx="4">1.0737000000000001</cx:pt>
          <cx:pt idx="5">1.4077999999999999</cx:pt>
          <cx:pt idx="6">0.60829999999999995</cx:pt>
          <cx:pt idx="7">0.50719999999999998</cx:pt>
          <cx:pt idx="8">0.53190000000000004</cx:pt>
          <cx:pt idx="9">0.80289999999999995</cx:pt>
          <cx:pt idx="10">0.84089999999999998</cx:pt>
          <cx:pt idx="11">0.9234</cx:pt>
          <cx:pt idx="12">0.59919999999999995</cx:pt>
          <cx:pt idx="13">0.58450000000000002</cx:pt>
          <cx:pt idx="14">0.72899999999999998</cx:pt>
          <cx:pt idx="15">0.91569999999999996</cx:pt>
          <cx:pt idx="16">0.52200000000000002</cx:pt>
          <cx:pt idx="17">0.88470000000000004</cx:pt>
          <cx:pt idx="18">1.1920999999999999</cx:pt>
          <cx:pt idx="19">3.903</cx:pt>
          <cx:pt idx="20">0.81859999999999999</cx:pt>
          <cx:pt idx="21">1.1893</cx:pt>
          <cx:pt idx="22">1.1037999999999999</cx:pt>
          <cx:pt idx="23">0.53869999999999996</cx:pt>
          <cx:pt idx="24">0.75</cx:pt>
          <cx:pt idx="25">0.46939999999999998</cx:pt>
          <cx:pt idx="26">0.65539999999999998</cx:pt>
          <cx:pt idx="27">0.84889999999999999</cx:pt>
          <cx:pt idx="28">1.3254999999999999</cx:pt>
          <cx:pt idx="29">0.74070000000000003</cx:pt>
          <cx:pt idx="30">1.355</cx:pt>
          <cx:pt idx="31">1.7184999999999999</cx:pt>
          <cx:pt idx="32">0.95689999999999997</cx:pt>
          <cx:pt idx="33">0.90720000000000001</cx:pt>
          <cx:pt idx="34">0.82799999999999996</cx:pt>
          <cx:pt idx="35">1.2715000000000001</cx:pt>
          <cx:pt idx="36">1.121</cx:pt>
          <cx:pt idx="37">0.63839999999999997</cx:pt>
          <cx:pt idx="38">1.4131</cx:pt>
          <cx:pt idx="39">0.95399999999999996</cx:pt>
          <cx:pt idx="40">0.55710000000000004</cx:pt>
          <cx:pt idx="41">0.81489999999999996</cx:pt>
          <cx:pt idx="42">0.3649</cx:pt>
          <cx:pt idx="43">0.51080000000000003</cx:pt>
          <cx:pt idx="44">0.92279999999999995</cx:pt>
          <cx:pt idx="45">0.61699999999999999</cx:pt>
          <cx:pt idx="46">1.2392000000000001</cx:pt>
          <cx:pt idx="47">0.59509999999999996</cx:pt>
          <cx:pt idx="48">1.2827999999999999</cx:pt>
          <cx:pt idx="49">0.74339999999999995</cx:pt>
          <cx:pt idx="50">0.95289999999999997</cx:pt>
          <cx:pt idx="51">1.1963999999999999</cx:pt>
          <cx:pt idx="52">0.69799999999999995</cx:pt>
          <cx:pt idx="53">0.86680000000000001</cx:pt>
          <cx:pt idx="54">1.6477999999999999</cx:pt>
          <cx:pt idx="55">0.81100000000000005</cx:pt>
          <cx:pt idx="56">1.4662999999999999</cx:pt>
          <cx:pt idx="57">0.89139999999999997</cx:pt>
          <cx:pt idx="58">1.5969</cx:pt>
          <cx:pt idx="59">1.2072000000000001</cx:pt>
        </cx:lvl>
      </cx:numDim>
    </cx:data>
  </cx:chartData>
  <cx:chart>
    <cx:plotArea>
      <cx:plotAreaRegion>
        <cx:series layoutId="boxWhisker" uniqueId="{2AF0CF72-B74E-441C-96F0-D2BF7E748A05}">
          <cx:tx>
            <cx:txData>
              <cx:f>'Ящик с усами AJCC КРР'!$H$1</cx:f>
              <cx:v>RP</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
            <cx:dataLabelHidden idx="2"/>
            <cx:dataLabelHidden idx="4"/>
            <cx:dataLabelHidden idx="5"/>
            <cx:dataLabelHidden idx="6"/>
            <cx:dataLabelHidden idx="35"/>
            <cx:dataLabelHidden idx="36"/>
            <cx:dataLabelHidden idx="37"/>
            <cx:dataLabelHidden idx="39"/>
            <cx:dataLabelHidden idx="40"/>
            <cx:dataLabelHidden idx="41"/>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9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AJCC КРР'!$A$2:$A$61</cx:f>
        <cx:lvl ptCount="60">
          <cx:pt idx="0">I</cx:pt>
          <cx:pt idx="1">I</cx:pt>
          <cx:pt idx="2">II</cx:pt>
          <cx:pt idx="3">II</cx:pt>
          <cx:pt idx="4">II</cx:pt>
          <cx:pt idx="5">II</cx:pt>
          <cx:pt idx="6">II</cx:pt>
          <cx:pt idx="7">II</cx:pt>
          <cx:pt idx="8">II</cx:pt>
          <cx:pt idx="9">II</cx:pt>
          <cx:pt idx="10">II</cx:pt>
          <cx:pt idx="11">II</cx:pt>
          <cx:pt idx="12">II</cx:pt>
          <cx:pt idx="13">II</cx:pt>
          <cx:pt idx="14">II</cx:pt>
          <cx:pt idx="15">II</cx:pt>
          <cx:pt idx="16">II</cx:pt>
          <cx:pt idx="17">II</cx:pt>
          <cx:pt idx="18">II</cx:pt>
          <cx:pt idx="19">II</cx:pt>
          <cx:pt idx="20">II</cx:pt>
          <cx:pt idx="21">II</cx:pt>
          <cx:pt idx="22">II</cx:pt>
          <cx:pt idx="23">II</cx:pt>
          <cx:pt idx="24">II</cx:pt>
          <cx:pt idx="25">II</cx:pt>
          <cx:pt idx="26">II</cx:pt>
          <cx:pt idx="27">II</cx:pt>
          <cx:pt idx="28">II</cx:pt>
          <cx:pt idx="29">II</cx:pt>
          <cx:pt idx="30">II</cx:pt>
          <cx:pt idx="31">II</cx:pt>
          <cx:pt idx="32">II</cx:pt>
          <cx:pt idx="33">III</cx:pt>
          <cx:pt idx="34">III</cx:pt>
          <cx:pt idx="35">III</cx:pt>
          <cx:pt idx="36">III</cx:pt>
          <cx:pt idx="37">III</cx:pt>
          <cx:pt idx="38">III</cx:pt>
          <cx:pt idx="39">III</cx:pt>
          <cx:pt idx="40">III</cx:pt>
          <cx:pt idx="41">III</cx:pt>
          <cx:pt idx="42">III</cx:pt>
          <cx:pt idx="43">III</cx:pt>
          <cx:pt idx="44">III</cx:pt>
          <cx:pt idx="45">III</cx:pt>
          <cx:pt idx="46">III</cx:pt>
          <cx:pt idx="47">III</cx:pt>
          <cx:pt idx="48">III</cx:pt>
          <cx:pt idx="49">III</cx:pt>
          <cx:pt idx="50">III</cx:pt>
          <cx:pt idx="51">III</cx:pt>
          <cx:pt idx="52">III</cx:pt>
          <cx:pt idx="53">III</cx:pt>
          <cx:pt idx="54">III</cx:pt>
          <cx:pt idx="55">III</cx:pt>
          <cx:pt idx="56">III</cx:pt>
          <cx:pt idx="57">III</cx:pt>
          <cx:pt idx="58">III</cx:pt>
          <cx:pt idx="59">III</cx:pt>
        </cx:lvl>
      </cx:strDim>
      <cx:numDim type="val">
        <cx:f>'Ящик с усами AJCC КРР'!$I$2:$I$61</cx:f>
        <cx:lvl ptCount="60" formatCode="0,00">
          <cx:pt idx="0">0.75209999999999999</cx:pt>
          <cx:pt idx="1">1.6128</cx:pt>
          <cx:pt idx="2">1.5349999999999999</cx:pt>
          <cx:pt idx="3">0.90480000000000005</cx:pt>
          <cx:pt idx="4">0.87490000000000001</cx:pt>
          <cx:pt idx="5">1.2330000000000001</cx:pt>
          <cx:pt idx="6">0.40820000000000001</cx:pt>
          <cx:pt idx="7">0.39910000000000001</cx:pt>
          <cx:pt idx="8">0.44800000000000001</cx:pt>
          <cx:pt idx="9">0.59209999999999996</cx:pt>
          <cx:pt idx="10">0.86150000000000004</cx:pt>
          <cx:pt idx="11">0.50429999999999997</cx:pt>
          <cx:pt idx="12">0.63419999999999999</cx:pt>
          <cx:pt idx="13">0.74219999999999997</cx:pt>
          <cx:pt idx="14">0.50919999999999999</cx:pt>
          <cx:pt idx="15">0.86770000000000003</cx:pt>
          <cx:pt idx="16">0.25790000000000002</cx:pt>
          <cx:pt idx="17">0.65859999999999996</cx:pt>
          <cx:pt idx="18">0.86980000000000002</cx:pt>
          <cx:pt idx="19">2.4015</cx:pt>
          <cx:pt idx="20">0.58550000000000002</cx:pt>
          <cx:pt idx="21">1.0827</cx:pt>
          <cx:pt idx="22">0.77100000000000002</cx:pt>
          <cx:pt idx="23">0.29909999999999998</cx:pt>
          <cx:pt idx="24">0.58809999999999996</cx:pt>
          <cx:pt idx="25">0.25819999999999999</cx:pt>
          <cx:pt idx="26">0.48949999999999999</cx:pt>
          <cx:pt idx="27">1.0703</cx:pt>
          <cx:pt idx="28">1.056</cx:pt>
          <cx:pt idx="29">0.5948</cx:pt>
          <cx:pt idx="30">0.69940000000000002</cx:pt>
          <cx:pt idx="31">0.81159999999999999</cx:pt>
          <cx:pt idx="32">0.79049999999999998</cx:pt>
          <cx:pt idx="33">0.97509999999999997</cx:pt>
          <cx:pt idx="34">0.66300000000000003</cx:pt>
          <cx:pt idx="35">0.77759999999999996</cx:pt>
          <cx:pt idx="36">0.84730000000000005</cx:pt>
          <cx:pt idx="37">0.46889999999999998</cx:pt>
          <cx:pt idx="38">0.58779999999999999</cx:pt>
          <cx:pt idx="39">0.51819999999999999</cx:pt>
          <cx:pt idx="40">0.58909999999999996</cx:pt>
          <cx:pt idx="41">0.48089999999999999</cx:pt>
          <cx:pt idx="42">0.2087</cx:pt>
          <cx:pt idx="43">0.38319999999999999</cx:pt>
          <cx:pt idx="44">0.46300000000000002</cx:pt>
          <cx:pt idx="45">0.52890000000000004</cx:pt>
          <cx:pt idx="46">0.99880000000000002</cx:pt>
          <cx:pt idx="47">0.55840000000000001</cx:pt>
          <cx:pt idx="48">1.1792</cx:pt>
          <cx:pt idx="49">0.60129999999999995</cx:pt>
          <cx:pt idx="50">0.73050000000000004</cx:pt>
          <cx:pt idx="51">0.84389999999999998</cx:pt>
          <cx:pt idx="52">0.48420000000000002</cx:pt>
          <cx:pt idx="53">0.75190000000000001</cx:pt>
          <cx:pt idx="54">2.0392000000000001</cx:pt>
          <cx:pt idx="55">0.82210000000000005</cx:pt>
          <cx:pt idx="56">1.1634</cx:pt>
          <cx:pt idx="57">0.66439999999999999</cx:pt>
          <cx:pt idx="58">0.59530000000000005</cx:pt>
          <cx:pt idx="59">0.93030000000000002</cx:pt>
        </cx:lvl>
      </cx:numDim>
    </cx:data>
  </cx:chartData>
  <cx:chart>
    <cx:plotArea>
      <cx:plotAreaRegion>
        <cx:series layoutId="boxWhisker" uniqueId="{F013B6DB-637F-416F-B79B-708E26AAB40D}">
          <cx:tx>
            <cx:txData>
              <cx:f>'Ящик с усами AJCC КРР'!$I$1</cx:f>
              <cx:v>RLI</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
            <cx:dataLabelHidden idx="2"/>
            <cx:dataLabelHidden idx="4"/>
            <cx:dataLabelHidden idx="5"/>
            <cx:dataLabelHidden idx="6"/>
            <cx:dataLabelHidden idx="34"/>
            <cx:dataLabelHidden idx="35"/>
            <cx:dataLabelHidden idx="36"/>
            <cx:dataLabelHidden idx="37"/>
            <cx:dataLabelHidden idx="39"/>
            <cx:dataLabelHidden idx="40"/>
            <cx:dataLabelHidden idx="41"/>
            <cx:dataLabelHidden idx="66"/>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92.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AJCC КРР'!$A$2:$A$61</cx:f>
        <cx:lvl ptCount="60">
          <cx:pt idx="0">I</cx:pt>
          <cx:pt idx="1">I</cx:pt>
          <cx:pt idx="2">II</cx:pt>
          <cx:pt idx="3">II</cx:pt>
          <cx:pt idx="4">II</cx:pt>
          <cx:pt idx="5">II</cx:pt>
          <cx:pt idx="6">II</cx:pt>
          <cx:pt idx="7">II</cx:pt>
          <cx:pt idx="8">II</cx:pt>
          <cx:pt idx="9">II</cx:pt>
          <cx:pt idx="10">II</cx:pt>
          <cx:pt idx="11">II</cx:pt>
          <cx:pt idx="12">II</cx:pt>
          <cx:pt idx="13">II</cx:pt>
          <cx:pt idx="14">II</cx:pt>
          <cx:pt idx="15">II</cx:pt>
          <cx:pt idx="16">II</cx:pt>
          <cx:pt idx="17">II</cx:pt>
          <cx:pt idx="18">II</cx:pt>
          <cx:pt idx="19">II</cx:pt>
          <cx:pt idx="20">II</cx:pt>
          <cx:pt idx="21">II</cx:pt>
          <cx:pt idx="22">II</cx:pt>
          <cx:pt idx="23">II</cx:pt>
          <cx:pt idx="24">II</cx:pt>
          <cx:pt idx="25">II</cx:pt>
          <cx:pt idx="26">II</cx:pt>
          <cx:pt idx="27">II</cx:pt>
          <cx:pt idx="28">II</cx:pt>
          <cx:pt idx="29">II</cx:pt>
          <cx:pt idx="30">II</cx:pt>
          <cx:pt idx="31">II</cx:pt>
          <cx:pt idx="32">II</cx:pt>
          <cx:pt idx="33">III</cx:pt>
          <cx:pt idx="34">III</cx:pt>
          <cx:pt idx="35">III</cx:pt>
          <cx:pt idx="36">III</cx:pt>
          <cx:pt idx="37">III</cx:pt>
          <cx:pt idx="38">III</cx:pt>
          <cx:pt idx="39">III</cx:pt>
          <cx:pt idx="40">III</cx:pt>
          <cx:pt idx="41">III</cx:pt>
          <cx:pt idx="42">III</cx:pt>
          <cx:pt idx="43">III</cx:pt>
          <cx:pt idx="44">III</cx:pt>
          <cx:pt idx="45">III</cx:pt>
          <cx:pt idx="46">III</cx:pt>
          <cx:pt idx="47">III</cx:pt>
          <cx:pt idx="48">III</cx:pt>
          <cx:pt idx="49">III</cx:pt>
          <cx:pt idx="50">III</cx:pt>
          <cx:pt idx="51">III</cx:pt>
          <cx:pt idx="52">III</cx:pt>
          <cx:pt idx="53">III</cx:pt>
          <cx:pt idx="54">III</cx:pt>
          <cx:pt idx="55">III</cx:pt>
          <cx:pt idx="56">III</cx:pt>
          <cx:pt idx="57">III</cx:pt>
          <cx:pt idx="58">III</cx:pt>
          <cx:pt idx="59">III</cx:pt>
        </cx:lvl>
      </cx:strDim>
      <cx:numDim type="val">
        <cx:f>'Ящик с усами AJCC КРР'!$J$2:$J$61</cx:f>
        <cx:lvl ptCount="60" formatCode="0,00">
          <cx:pt idx="0">1.0331999999999999</cx:pt>
          <cx:pt idx="1">1.1789000000000001</cx:pt>
          <cx:pt idx="2">1.2092000000000001</cx:pt>
          <cx:pt idx="3">1.1093</cx:pt>
          <cx:pt idx="4">0.97440000000000004</cx:pt>
          <cx:pt idx="5">1.8266</cx:pt>
          <cx:pt idx="6">0.87170000000000003</cx:pt>
          <cx:pt idx="7">0.39810000000000001</cx:pt>
          <cx:pt idx="8">0.54139999999999999</cx:pt>
          <cx:pt idx="9">0.67390000000000005</cx:pt>
          <cx:pt idx="10">0.59419999999999995</cx:pt>
          <cx:pt idx="11">0.95999999999999996</cx:pt>
          <cx:pt idx="12">0.66590000000000005</cx:pt>
          <cx:pt idx="13">0.66930000000000001</cx:pt>
          <cx:pt idx="14">0.67379999999999995</cx:pt>
          <cx:pt idx="15">0.76429999999999998</cx:pt>
          <cx:pt idx="16">0.55020000000000002</cx:pt>
          <cx:pt idx="17">0.73109999999999997</cx:pt>
          <cx:pt idx="18">1.1402000000000001</cx:pt>
          <cx:pt idx="19">1.2663</cx:pt>
          <cx:pt idx="20">0.72140000000000004</cx:pt>
          <cx:pt idx="21">1.1406000000000001</cx:pt>
          <cx:pt idx="22">0.71050000000000002</cx:pt>
          <cx:pt idx="23">0.52880000000000005</cx:pt>
          <cx:pt idx="24">0.65669999999999995</cx:pt>
          <cx:pt idx="25">0.47999999999999998</cx:pt>
          <cx:pt idx="26">0.77490000000000003</cx:pt>
          <cx:pt idx="27">0.99929999999999997</cx:pt>
          <cx:pt idx="28">1.1751</cx:pt>
          <cx:pt idx="29">0.79759999999999998</cx:pt>
          <cx:pt idx="30">0.91249999999999998</cx:pt>
          <cx:pt idx="31">1.0181</cx:pt>
          <cx:pt idx="32">0.7177</cx:pt>
          <cx:pt idx="33">1.4847999999999999</cx:pt>
          <cx:pt idx="34">1.8121</cx:pt>
          <cx:pt idx="35">1.2238</cx:pt>
          <cx:pt idx="36">1.1717</cx:pt>
          <cx:pt idx="37">1.1459999999999999</cx:pt>
          <cx:pt idx="38">0.53449999999999998</cx:pt>
          <cx:pt idx="39">0.92490000000000006</cx:pt>
          <cx:pt idx="40">0.55230000000000001</cx:pt>
          <cx:pt idx="41">0.87770000000000004</cx:pt>
          <cx:pt idx="42">0.44550000000000001</cx:pt>
          <cx:pt idx="43">0.63980000000000004</cx:pt>
          <cx:pt idx="44">0.45850000000000002</cx:pt>
          <cx:pt idx="45">0.58199999999999996</cx:pt>
          <cx:pt idx="46">1.5062</cx:pt>
          <cx:pt idx="47">0.71860000000000002</cx:pt>
          <cx:pt idx="48">0.88549999999999995</cx:pt>
          <cx:pt idx="49">0.62060000000000004</cx:pt>
          <cx:pt idx="50">0.71120000000000005</cx:pt>
          <cx:pt idx="51">1.0996999999999999</cx:pt>
          <cx:pt idx="52">0.61019999999999996</cx:pt>
          <cx:pt idx="53">0.88700000000000001</cx:pt>
          <cx:pt idx="54">2.3134000000000001</cx:pt>
          <cx:pt idx="55">0.6139</cx:pt>
          <cx:pt idx="56">0.90080000000000005</cx:pt>
          <cx:pt idx="57">0.95220000000000005</cx:pt>
          <cx:pt idx="58">0.95389999999999997</cx:pt>
          <cx:pt idx="59">1.0193000000000001</cx:pt>
        </cx:lvl>
      </cx:numDim>
    </cx:data>
  </cx:chartData>
  <cx:chart>
    <cx:plotArea>
      <cx:plotAreaRegion>
        <cx:series layoutId="boxWhisker" uniqueId="{4DE12C10-B3AF-4D51-A5F9-8BDB95F7FF43}">
          <cx:tx>
            <cx:txData>
              <cx:f>'Ящик с усами AJCC КРР'!$J$1</cx:f>
              <cx:v>P</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
            <cx:dataLabelHidden idx="2"/>
            <cx:dataLabelHidden idx="4"/>
            <cx:dataLabelHidden idx="5"/>
            <cx:dataLabelHidden idx="6"/>
            <cx:dataLabelHidden idx="35"/>
            <cx:dataLabelHidden idx="36"/>
            <cx:dataLabelHidden idx="37"/>
            <cx:dataLabelHidden idx="39"/>
            <cx:dataLabelHidden idx="40"/>
            <cx:dataLabelHidden idx="41"/>
            <cx:dataLabelHidden idx="66"/>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93.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гистол КРР'!$A$2:$A$61</cx:f>
        <cx:lvl ptCount="60">
          <cx:pt idx="0">I</cx:pt>
          <cx:pt idx="1">I</cx:pt>
          <cx:pt idx="2">I</cx:pt>
          <cx:pt idx="3">I</cx:pt>
          <cx:pt idx="4">I</cx:pt>
          <cx:pt idx="5">I</cx:pt>
          <cx:pt idx="6">I</cx:pt>
          <cx:pt idx="7">I</cx:pt>
          <cx:pt idx="8">I</cx:pt>
          <cx:pt idx="9">I</cx:pt>
          <cx:pt idx="10">I</cx:pt>
          <cx:pt idx="11">I</cx:pt>
          <cx:pt idx="12">I</cx:pt>
          <cx:pt idx="13">I</cx:pt>
          <cx:pt idx="14">I</cx:pt>
          <cx:pt idx="15">I</cx:pt>
          <cx:pt idx="16">I</cx:pt>
          <cx:pt idx="17">I</cx:pt>
          <cx:pt idx="18">I</cx:pt>
          <cx:pt idx="19">I</cx:pt>
          <cx:pt idx="20">I</cx:pt>
          <cx:pt idx="21">I</cx:pt>
          <cx:pt idx="22">I</cx:pt>
          <cx:pt idx="23">I</cx:pt>
          <cx:pt idx="24">I</cx:pt>
          <cx:pt idx="25">I</cx:pt>
          <cx:pt idx="26">I</cx:pt>
          <cx:pt idx="27">I</cx:pt>
          <cx:pt idx="28">I</cx:pt>
          <cx:pt idx="29">I</cx:pt>
          <cx:pt idx="30">I</cx:pt>
          <cx:pt idx="31">II</cx:pt>
          <cx:pt idx="32">III</cx:pt>
          <cx:pt idx="33">III</cx:pt>
          <cx:pt idx="34">III</cx:pt>
          <cx:pt idx="35">III</cx:pt>
          <cx:pt idx="36">III</cx:pt>
          <cx:pt idx="37">III</cx:pt>
          <cx:pt idx="38">III</cx:pt>
          <cx:pt idx="39">III</cx:pt>
          <cx:pt idx="40">IV</cx:pt>
          <cx:pt idx="41">IV</cx:pt>
          <cx:pt idx="42">IV</cx:pt>
          <cx:pt idx="43">IV</cx:pt>
          <cx:pt idx="44">IV</cx:pt>
          <cx:pt idx="45">IV</cx:pt>
          <cx:pt idx="46">IV</cx:pt>
          <cx:pt idx="47">IV</cx:pt>
          <cx:pt idx="48">IV</cx:pt>
          <cx:pt idx="49">IV</cx:pt>
          <cx:pt idx="50">IV</cx:pt>
          <cx:pt idx="51">IV</cx:pt>
          <cx:pt idx="52">IV</cx:pt>
          <cx:pt idx="53">IV</cx:pt>
          <cx:pt idx="54">IV</cx:pt>
          <cx:pt idx="55">IV</cx:pt>
          <cx:pt idx="56">IV</cx:pt>
          <cx:pt idx="57">IV</cx:pt>
          <cx:pt idx="58">IV</cx:pt>
          <cx:pt idx="59">IV</cx:pt>
        </cx:lvl>
      </cx:strDim>
      <cx:numDim type="val">
        <cx:f>'Ящик с усами гистол КРР'!$B$2:$B$61</cx:f>
        <cx:lvl ptCount="60" formatCode="0,00">
          <cx:pt idx="0">0.92259999999999998</cx:pt>
          <cx:pt idx="1">0.85840000000000005</cx:pt>
          <cx:pt idx="2">0.66420000000000001</cx:pt>
          <cx:pt idx="3">0.82410000000000005</cx:pt>
          <cx:pt idx="4">1.4327000000000001</cx:pt>
          <cx:pt idx="5">0.7117</cx:pt>
          <cx:pt idx="6">0.62109999999999999</cx:pt>
          <cx:pt idx="7">0.35809999999999997</cx:pt>
          <cx:pt idx="8">0.28999999999999998</cx:pt>
          <cx:pt idx="9">0.69840000000000002</cx:pt>
          <cx:pt idx="10">0.45279999999999998</cx:pt>
          <cx:pt idx="11">0.32979999999999998</cx:pt>
          <cx:pt idx="12">0.65949999999999998</cx:pt>
          <cx:pt idx="13">0.74839999999999995</cx:pt>
          <cx:pt idx="14">0.93720000000000003</cx:pt>
          <cx:pt idx="15">0.43290000000000001</cx:pt>
          <cx:pt idx="16">1.0608</cx:pt>
          <cx:pt idx="17">1.5047999999999999</cx:pt>
          <cx:pt idx="18">1.2202999999999999</cx:pt>
          <cx:pt idx="19">0.8377</cx:pt>
          <cx:pt idx="20">0.44690000000000002</cx:pt>
          <cx:pt idx="21">0.90910000000000002</cx:pt>
          <cx:pt idx="22">0.23119999999999999</cx:pt>
          <cx:pt idx="23">0.68540000000000001</cx:pt>
          <cx:pt idx="24">0.33439999999999998</cx:pt>
          <cx:pt idx="25">0.77370000000000005</cx:pt>
          <cx:pt idx="26">1.5702</cx:pt>
          <cx:pt idx="27">1.4592000000000001</cx:pt>
          <cx:pt idx="28">1.2484</cx:pt>
          <cx:pt idx="29">1.1508</cx:pt>
          <cx:pt idx="30">1.4757</cx:pt>
          <cx:pt idx="31">0.74199999999999999</cx:pt>
          <cx:pt idx="32">0.75439999999999996</cx:pt>
          <cx:pt idx="33">0.57020000000000004</cx:pt>
          <cx:pt idx="34">0.57520000000000004</cx:pt>
          <cx:pt idx="35">0.84140000000000004</cx:pt>
          <cx:pt idx="36">1.5694999999999999</cx:pt>
          <cx:pt idx="37">1.2897000000000001</cx:pt>
          <cx:pt idx="38">0.31180000000000002</cx:pt>
          <cx:pt idx="39">0.92210000000000003</cx:pt>
          <cx:pt idx="40">0.92369999999999997</cx:pt>
          <cx:pt idx="41">0.69850000000000001</cx:pt>
          <cx:pt idx="42">0.90969999999999995</cx:pt>
          <cx:pt idx="43">0.76449999999999996</cx:pt>
          <cx:pt idx="44">0.84330000000000005</cx:pt>
          <cx:pt idx="45">0.45229999999999998</cx:pt>
          <cx:pt idx="46">0.75380000000000003</cx:pt>
          <cx:pt idx="47">0.73650000000000004</cx:pt>
          <cx:pt idx="48">0.75580000000000003</cx:pt>
          <cx:pt idx="49">0.50090000000000001</cx:pt>
          <cx:pt idx="50">1.0820000000000001</cx:pt>
          <cx:pt idx="51">0.67210000000000003</cx:pt>
          <cx:pt idx="52">1.0861000000000001</cx:pt>
          <cx:pt idx="53">0.49209999999999998</cx:pt>
          <cx:pt idx="54">1.4490000000000001</cx:pt>
          <cx:pt idx="55">1.165</cx:pt>
          <cx:pt idx="56">0.49320000000000003</cx:pt>
          <cx:pt idx="57">1.1894</cx:pt>
          <cx:pt idx="58">1.2644</cx:pt>
          <cx:pt idx="59">1.0011000000000001</cx:pt>
        </cx:lvl>
      </cx:numDim>
    </cx:data>
  </cx:chartData>
  <cx:chart>
    <cx:plotArea>
      <cx:plotAreaRegion>
        <cx:series layoutId="boxWhisker" uniqueId="{DB7602BD-7F21-4313-BC1B-4C3767B019A1}">
          <cx:tx>
            <cx:txData>
              <cx:f>'Ящик с усами гистол КРР'!$B$1</cx:f>
              <cx:v>RE</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30"/>
            <cx:dataLabelHidden idx="31"/>
            <cx:dataLabelHidden idx="33"/>
            <cx:dataLabelHidden idx="34"/>
            <cx:dataLabelHidden idx="36"/>
            <cx:dataLabelHidden idx="37"/>
            <cx:dataLabelHidden idx="38"/>
            <cx:dataLabelHidden idx="39"/>
            <cx:dataLabelHidden idx="40"/>
            <cx:dataLabelHidden idx="47"/>
            <cx:dataLabelHidden idx="48"/>
            <cx:dataLabelHidden idx="50"/>
            <cx:dataLabelHidden idx="51"/>
            <cx:dataLabelHidden idx="52"/>
            <cx:dataLabelHidden idx="71"/>
            <cx:dataLabelHidden idx="72"/>
            <cx:dataLabelHidden idx="74"/>
            <cx:dataLabelHidden idx="75"/>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i="0">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94.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гистол КРР'!$A$2:$A$61</cx:f>
        <cx:lvl ptCount="60">
          <cx:pt idx="0">I</cx:pt>
          <cx:pt idx="1">I</cx:pt>
          <cx:pt idx="2">I</cx:pt>
          <cx:pt idx="3">I</cx:pt>
          <cx:pt idx="4">I</cx:pt>
          <cx:pt idx="5">I</cx:pt>
          <cx:pt idx="6">I</cx:pt>
          <cx:pt idx="7">I</cx:pt>
          <cx:pt idx="8">I</cx:pt>
          <cx:pt idx="9">I</cx:pt>
          <cx:pt idx="10">I</cx:pt>
          <cx:pt idx="11">I</cx:pt>
          <cx:pt idx="12">I</cx:pt>
          <cx:pt idx="13">I</cx:pt>
          <cx:pt idx="14">I</cx:pt>
          <cx:pt idx="15">I</cx:pt>
          <cx:pt idx="16">I</cx:pt>
          <cx:pt idx="17">I</cx:pt>
          <cx:pt idx="18">I</cx:pt>
          <cx:pt idx="19">I</cx:pt>
          <cx:pt idx="20">I</cx:pt>
          <cx:pt idx="21">I</cx:pt>
          <cx:pt idx="22">I</cx:pt>
          <cx:pt idx="23">I</cx:pt>
          <cx:pt idx="24">I</cx:pt>
          <cx:pt idx="25">I</cx:pt>
          <cx:pt idx="26">I</cx:pt>
          <cx:pt idx="27">I</cx:pt>
          <cx:pt idx="28">I</cx:pt>
          <cx:pt idx="29">I</cx:pt>
          <cx:pt idx="30">I</cx:pt>
          <cx:pt idx="31">II</cx:pt>
          <cx:pt idx="32">III</cx:pt>
          <cx:pt idx="33">III</cx:pt>
          <cx:pt idx="34">III</cx:pt>
          <cx:pt idx="35">III</cx:pt>
          <cx:pt idx="36">III</cx:pt>
          <cx:pt idx="37">III</cx:pt>
          <cx:pt idx="38">III</cx:pt>
          <cx:pt idx="39">III</cx:pt>
          <cx:pt idx="40">IV</cx:pt>
          <cx:pt idx="41">IV</cx:pt>
          <cx:pt idx="42">IV</cx:pt>
          <cx:pt idx="43">IV</cx:pt>
          <cx:pt idx="44">IV</cx:pt>
          <cx:pt idx="45">IV</cx:pt>
          <cx:pt idx="46">IV</cx:pt>
          <cx:pt idx="47">IV</cx:pt>
          <cx:pt idx="48">IV</cx:pt>
          <cx:pt idx="49">IV</cx:pt>
          <cx:pt idx="50">IV</cx:pt>
          <cx:pt idx="51">IV</cx:pt>
          <cx:pt idx="52">IV</cx:pt>
          <cx:pt idx="53">IV</cx:pt>
          <cx:pt idx="54">IV</cx:pt>
          <cx:pt idx="55">IV</cx:pt>
          <cx:pt idx="56">IV</cx:pt>
          <cx:pt idx="57">IV</cx:pt>
          <cx:pt idx="58">IV</cx:pt>
          <cx:pt idx="59">IV</cx:pt>
        </cx:lvl>
      </cx:strDim>
      <cx:numDim type="val">
        <cx:f>'Ящик с усами гистол КРР'!$C$2:$C$61</cx:f>
        <cx:lvl ptCount="60" formatCode="0,00">
          <cx:pt idx="0">1.5485</cx:pt>
          <cx:pt idx="1">1.6116999999999999</cx:pt>
          <cx:pt idx="2">2.2414000000000001</cx:pt>
          <cx:pt idx="3">0.61709999999999998</cx:pt>
          <cx:pt idx="4">0.50770000000000004</cx:pt>
          <cx:pt idx="5">0.94389999999999996</cx:pt>
          <cx:pt idx="6">0.4703</cx:pt>
          <cx:pt idx="7">0.42599999999999999</cx:pt>
          <cx:pt idx="8">0.51319999999999999</cx:pt>
          <cx:pt idx="9">0.38769999999999999</cx:pt>
          <cx:pt idx="10">0.46339999999999998</cx:pt>
          <cx:pt idx="11">0.36990000000000001</cx:pt>
          <cx:pt idx="12">0.4037</cx:pt>
          <cx:pt idx="13">0.63570000000000004</cx:pt>
          <cx:pt idx="14">0.73240000000000005</cx:pt>
          <cx:pt idx="15">0.53680000000000005</cx:pt>
          <cx:pt idx="16">1.5860000000000001</cx:pt>
          <cx:pt idx="17">1.3130999999999999</cx:pt>
          <cx:pt idx="18">1.0931999999999999</cx:pt>
          <cx:pt idx="19">0.54420000000000002</cx:pt>
          <cx:pt idx="20">0.31259999999999999</cx:pt>
          <cx:pt idx="21">0.53690000000000004</cx:pt>
          <cx:pt idx="22">0.47910000000000003</cx:pt>
          <cx:pt idx="23">0.60140000000000005</cx:pt>
          <cx:pt idx="24">0.50419999999999998</cx:pt>
          <cx:pt idx="25">0.92920000000000003</cx:pt>
          <cx:pt idx="26">1.6329</cx:pt>
          <cx:pt idx="27">0.874</cx:pt>
          <cx:pt idx="28">2.0908000000000002</cx:pt>
          <cx:pt idx="29">0.75880000000000003</cx:pt>
          <cx:pt idx="30">0.6885</cx:pt>
          <cx:pt idx="31">0.64649999999999996</cx:pt>
          <cx:pt idx="32">1.0066999999999999</cx:pt>
          <cx:pt idx="33">0.58940000000000003</cx:pt>
          <cx:pt idx="34">0.65780000000000005</cx:pt>
          <cx:pt idx="35">0.79669999999999996</cx:pt>
          <cx:pt idx="36">1.1529</cx:pt>
          <cx:pt idx="37">0.73599999999999999</cx:pt>
          <cx:pt idx="38">0.61339999999999995</cx:pt>
          <cx:pt idx="39">0.81489999999999996</cx:pt>
          <cx:pt idx="40">1.1812</cx:pt>
          <cx:pt idx="41">1.0873999999999999</cx:pt>
          <cx:pt idx="42">1.0783</cx:pt>
          <cx:pt idx="43">0.88039999999999996</cx:pt>
          <cx:pt idx="44">0.67930000000000001</cx:pt>
          <cx:pt idx="45">0.46879999999999999</cx:pt>
          <cx:pt idx="46">0.42380000000000001</cx:pt>
          <cx:pt idx="47">0.67789999999999995</cx:pt>
          <cx:pt idx="48">0.61609999999999998</cx:pt>
          <cx:pt idx="49">0.81820000000000004</cx:pt>
          <cx:pt idx="50">1.4714</cx:pt>
          <cx:pt idx="51">0.4103</cx:pt>
          <cx:pt idx="52">0.87909999999999999</cx:pt>
          <cx:pt idx="53">0.5252</cx:pt>
          <cx:pt idx="54">1.0989</cx:pt>
          <cx:pt idx="55">0.60029999999999994</cx:pt>
          <cx:pt idx="56">0.80989999999999995</cx:pt>
          <cx:pt idx="57">0.83279999999999998</cx:pt>
          <cx:pt idx="58">1.4639</cx:pt>
          <cx:pt idx="59">1.3025</cx:pt>
        </cx:lvl>
      </cx:numDim>
    </cx:data>
  </cx:chartData>
  <cx:chart>
    <cx:plotArea>
      <cx:plotAreaRegion>
        <cx:series layoutId="boxWhisker" uniqueId="{BC40D327-90EA-4B45-9D5B-41E04C351A5A}">
          <cx:tx>
            <cx:txData>
              <cx:f>'Ящик с усами гистол КРР'!$C$1</cx:f>
              <cx:v>RLH</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8"/>
            <cx:dataLabelHidden idx="29"/>
            <cx:dataLabelHidden idx="30"/>
            <cx:dataLabelHidden idx="31"/>
            <cx:dataLabelHidden idx="33"/>
            <cx:dataLabelHidden idx="34"/>
            <cx:dataLabelHidden idx="35"/>
            <cx:dataLabelHidden idx="37"/>
            <cx:dataLabelHidden idx="38"/>
            <cx:dataLabelHidden idx="39"/>
            <cx:dataLabelHidden idx="40"/>
            <cx:dataLabelHidden idx="47"/>
            <cx:dataLabelHidden idx="48"/>
            <cx:dataLabelHidden idx="50"/>
            <cx:dataLabelHidden idx="51"/>
            <cx:dataLabelHidden idx="52"/>
            <cx:dataLabelHidden idx="71"/>
            <cx:dataLabelHidden idx="72"/>
            <cx:dataLabelHidden idx="74"/>
            <cx:dataLabelHidden idx="75"/>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95.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гистол КРР'!$A$2:$A$61</cx:f>
        <cx:lvl ptCount="60">
          <cx:pt idx="0">I</cx:pt>
          <cx:pt idx="1">I</cx:pt>
          <cx:pt idx="2">I</cx:pt>
          <cx:pt idx="3">I</cx:pt>
          <cx:pt idx="4">I</cx:pt>
          <cx:pt idx="5">I</cx:pt>
          <cx:pt idx="6">I</cx:pt>
          <cx:pt idx="7">I</cx:pt>
          <cx:pt idx="8">I</cx:pt>
          <cx:pt idx="9">I</cx:pt>
          <cx:pt idx="10">I</cx:pt>
          <cx:pt idx="11">I</cx:pt>
          <cx:pt idx="12">I</cx:pt>
          <cx:pt idx="13">I</cx:pt>
          <cx:pt idx="14">I</cx:pt>
          <cx:pt idx="15">I</cx:pt>
          <cx:pt idx="16">I</cx:pt>
          <cx:pt idx="17">I</cx:pt>
          <cx:pt idx="18">I</cx:pt>
          <cx:pt idx="19">I</cx:pt>
          <cx:pt idx="20">I</cx:pt>
          <cx:pt idx="21">I</cx:pt>
          <cx:pt idx="22">I</cx:pt>
          <cx:pt idx="23">I</cx:pt>
          <cx:pt idx="24">I</cx:pt>
          <cx:pt idx="25">I</cx:pt>
          <cx:pt idx="26">I</cx:pt>
          <cx:pt idx="27">I</cx:pt>
          <cx:pt idx="28">I</cx:pt>
          <cx:pt idx="29">I</cx:pt>
          <cx:pt idx="30">I</cx:pt>
          <cx:pt idx="31">II</cx:pt>
          <cx:pt idx="32">III</cx:pt>
          <cx:pt idx="33">III</cx:pt>
          <cx:pt idx="34">III</cx:pt>
          <cx:pt idx="35">III</cx:pt>
          <cx:pt idx="36">III</cx:pt>
          <cx:pt idx="37">III</cx:pt>
          <cx:pt idx="38">III</cx:pt>
          <cx:pt idx="39">III</cx:pt>
          <cx:pt idx="40">IV</cx:pt>
          <cx:pt idx="41">IV</cx:pt>
          <cx:pt idx="42">IV</cx:pt>
          <cx:pt idx="43">IV</cx:pt>
          <cx:pt idx="44">IV</cx:pt>
          <cx:pt idx="45">IV</cx:pt>
          <cx:pt idx="46">IV</cx:pt>
          <cx:pt idx="47">IV</cx:pt>
          <cx:pt idx="48">IV</cx:pt>
          <cx:pt idx="49">IV</cx:pt>
          <cx:pt idx="50">IV</cx:pt>
          <cx:pt idx="51">IV</cx:pt>
          <cx:pt idx="52">IV</cx:pt>
          <cx:pt idx="53">IV</cx:pt>
          <cx:pt idx="54">IV</cx:pt>
          <cx:pt idx="55">IV</cx:pt>
          <cx:pt idx="56">IV</cx:pt>
          <cx:pt idx="57">IV</cx:pt>
          <cx:pt idx="58">IV</cx:pt>
          <cx:pt idx="59">IV</cx:pt>
        </cx:lvl>
      </cx:strDim>
      <cx:numDim type="val">
        <cx:f>'Ящик с усами гистол КРР'!$D$2:$D$61</cx:f>
        <cx:lvl ptCount="60" formatCode="0,00">
          <cx:pt idx="0">1.8083</cx:pt>
          <cx:pt idx="1">1.1706000000000001</cx:pt>
          <cx:pt idx="2">1.0499000000000001</cx:pt>
          <cx:pt idx="3">0.93430000000000002</cx:pt>
          <cx:pt idx="4">0.6976</cx:pt>
          <cx:pt idx="5">1.3533999999999999</cx:pt>
          <cx:pt idx="6">0.86739999999999995</cx:pt>
          <cx:pt idx="7">0.77370000000000005</cx:pt>
          <cx:pt idx="8">0.29320000000000002</cx:pt>
          <cx:pt idx="9">0.61319999999999997</cx:pt>
          <cx:pt idx="10">0.66549999999999998</cx:pt>
          <cx:pt idx="11">0.40799999999999997</cx:pt>
          <cx:pt idx="12">1.3343</cx:pt>
          <cx:pt idx="13">0.69010000000000005</cx:pt>
          <cx:pt idx="14">1.0184</cx:pt>
          <cx:pt idx="15">0.58130000000000004</cx:pt>
          <cx:pt idx="16">1.4305000000000001</cx:pt>
          <cx:pt idx="17">1.1892</cx:pt>
          <cx:pt idx="18">1.6548</cx:pt>
          <cx:pt idx="19">0.66459999999999997</cx:pt>
          <cx:pt idx="20">0.751</cx:pt>
          <cx:pt idx="21">0.85819999999999996</cx:pt>
          <cx:pt idx="22">0.80069999999999997</cx:pt>
          <cx:pt idx="23">1.798</cx:pt>
          <cx:pt idx="24">0.64339999999999997</cx:pt>
          <cx:pt idx="25">0.8569</cx:pt>
          <cx:pt idx="26">2.9357000000000002</cx:pt>
          <cx:pt idx="27">0.82940000000000003</cx:pt>
          <cx:pt idx="28">0.86909999999999998</cx:pt>
          <cx:pt idx="29">1.5174000000000001</cx:pt>
          <cx:pt idx="30">0.61099999999999999</cx:pt>
          <cx:pt idx="31">1.0347</cx:pt>
          <cx:pt idx="32">0.74539999999999995</cx:pt>
          <cx:pt idx="33">0.42149999999999999</cx:pt>
          <cx:pt idx="34">0.75009999999999999</cx:pt>
          <cx:pt idx="35">0.81889999999999996</cx:pt>
          <cx:pt idx="36">1.4965999999999999</cx:pt>
          <cx:pt idx="37">1.5466</cx:pt>
          <cx:pt idx="38">0.65359999999999996</cx:pt>
          <cx:pt idx="39">1.2485999999999999</cx:pt>
          <cx:pt idx="40">0.8155</cx:pt>
          <cx:pt idx="41">0.75590000000000002</cx:pt>
          <cx:pt idx="42">0.73980000000000001</cx:pt>
          <cx:pt idx="43">0.88829999999999998</cx:pt>
          <cx:pt idx="44">1.129</cx:pt>
          <cx:pt idx="45">0.42070000000000002</cx:pt>
          <cx:pt idx="46">0.48430000000000001</cx:pt>
          <cx:pt idx="47">0.81520000000000004</cx:pt>
          <cx:pt idx="48">0.68620000000000003</cx:pt>
          <cx:pt idx="49">0.4451</cx:pt>
          <cx:pt idx="50">2.1457999999999999</cx:pt>
          <cx:pt idx="51">0.38090000000000002</cx:pt>
          <cx:pt idx="52">1.1422000000000001</cx:pt>
          <cx:pt idx="53">0.8589</cx:pt>
          <cx:pt idx="54">1.736</cx:pt>
          <cx:pt idx="55">1.3805000000000001</cx:pt>
          <cx:pt idx="56">0.92030000000000001</cx:pt>
          <cx:pt idx="57">1.4228000000000001</cx:pt>
          <cx:pt idx="58">1.6382000000000001</cx:pt>
          <cx:pt idx="59">0.77600000000000002</cx:pt>
        </cx:lvl>
      </cx:numDim>
    </cx:data>
  </cx:chartData>
  <cx:chart>
    <cx:plotArea>
      <cx:plotAreaRegion>
        <cx:series layoutId="boxWhisker" uniqueId="{4322CA09-E7A4-48E4-8F15-00AB8A7574FD}">
          <cx:tx>
            <cx:txData>
              <cx:f>'Ящик с усами гистол КРР'!$D$1</cx:f>
              <cx:v>RRL</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9"/>
            <cx:dataLabelHidden idx="30"/>
            <cx:dataLabelHidden idx="31"/>
            <cx:dataLabelHidden idx="33"/>
            <cx:dataLabelHidden idx="34"/>
            <cx:dataLabelHidden idx="35"/>
            <cx:dataLabelHidden idx="37"/>
            <cx:dataLabelHidden idx="38"/>
            <cx:dataLabelHidden idx="39"/>
            <cx:dataLabelHidden idx="40"/>
            <cx:dataLabelHidden idx="47"/>
            <cx:dataLabelHidden idx="48"/>
            <cx:dataLabelHidden idx="50"/>
            <cx:dataLabelHidden idx="51"/>
            <cx:dataLabelHidden idx="52"/>
            <cx:dataLabelHidden idx="71"/>
            <cx:dataLabelHidden idx="72"/>
            <cx:dataLabelHidden idx="74"/>
            <cx:dataLabelHidden idx="75"/>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96.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гистол КРР'!$A$2:$A$61</cx:f>
        <cx:lvl ptCount="60">
          <cx:pt idx="0">I</cx:pt>
          <cx:pt idx="1">I</cx:pt>
          <cx:pt idx="2">I</cx:pt>
          <cx:pt idx="3">I</cx:pt>
          <cx:pt idx="4">I</cx:pt>
          <cx:pt idx="5">I</cx:pt>
          <cx:pt idx="6">I</cx:pt>
          <cx:pt idx="7">I</cx:pt>
          <cx:pt idx="8">I</cx:pt>
          <cx:pt idx="9">I</cx:pt>
          <cx:pt idx="10">I</cx:pt>
          <cx:pt idx="11">I</cx:pt>
          <cx:pt idx="12">I</cx:pt>
          <cx:pt idx="13">I</cx:pt>
          <cx:pt idx="14">I</cx:pt>
          <cx:pt idx="15">I</cx:pt>
          <cx:pt idx="16">I</cx:pt>
          <cx:pt idx="17">I</cx:pt>
          <cx:pt idx="18">I</cx:pt>
          <cx:pt idx="19">I</cx:pt>
          <cx:pt idx="20">I</cx:pt>
          <cx:pt idx="21">I</cx:pt>
          <cx:pt idx="22">I</cx:pt>
          <cx:pt idx="23">I</cx:pt>
          <cx:pt idx="24">I</cx:pt>
          <cx:pt idx="25">I</cx:pt>
          <cx:pt idx="26">I</cx:pt>
          <cx:pt idx="27">I</cx:pt>
          <cx:pt idx="28">I</cx:pt>
          <cx:pt idx="29">I</cx:pt>
          <cx:pt idx="30">I</cx:pt>
          <cx:pt idx="31">II</cx:pt>
          <cx:pt idx="32">III</cx:pt>
          <cx:pt idx="33">III</cx:pt>
          <cx:pt idx="34">III</cx:pt>
          <cx:pt idx="35">III</cx:pt>
          <cx:pt idx="36">III</cx:pt>
          <cx:pt idx="37">III</cx:pt>
          <cx:pt idx="38">III</cx:pt>
          <cx:pt idx="39">III</cx:pt>
          <cx:pt idx="40">IV</cx:pt>
          <cx:pt idx="41">IV</cx:pt>
          <cx:pt idx="42">IV</cx:pt>
          <cx:pt idx="43">IV</cx:pt>
          <cx:pt idx="44">IV</cx:pt>
          <cx:pt idx="45">IV</cx:pt>
          <cx:pt idx="46">IV</cx:pt>
          <cx:pt idx="47">IV</cx:pt>
          <cx:pt idx="48">IV</cx:pt>
          <cx:pt idx="49">IV</cx:pt>
          <cx:pt idx="50">IV</cx:pt>
          <cx:pt idx="51">IV</cx:pt>
          <cx:pt idx="52">IV</cx:pt>
          <cx:pt idx="53">IV</cx:pt>
          <cx:pt idx="54">IV</cx:pt>
          <cx:pt idx="55">IV</cx:pt>
          <cx:pt idx="56">IV</cx:pt>
          <cx:pt idx="57">IV</cx:pt>
          <cx:pt idx="58">IV</cx:pt>
          <cx:pt idx="59">IV</cx:pt>
        </cx:lvl>
      </cx:strDim>
      <cx:numDim type="val">
        <cx:f>'Ящик с усами гистол КРР'!$E$2:$E$61</cx:f>
        <cx:lvl ptCount="60" formatCode="0,00">
          <cx:pt idx="0">1.0718000000000001</cx:pt>
          <cx:pt idx="1">0.85360000000000003</cx:pt>
          <cx:pt idx="2">0.79620000000000002</cx:pt>
          <cx:pt idx="3">0.61419999999999997</cx:pt>
          <cx:pt idx="4">0.58930000000000005</cx:pt>
          <cx:pt idx="5">0.56020000000000003</cx:pt>
          <cx:pt idx="6">0.61719999999999997</cx:pt>
          <cx:pt idx="7">0.32700000000000001</cx:pt>
          <cx:pt idx="8">0.46039999999999998</cx:pt>
          <cx:pt idx="9">0.44140000000000001</cx:pt>
          <cx:pt idx="10">0.58230000000000004</cx:pt>
          <cx:pt idx="11">0.50339999999999996</cx:pt>
          <cx:pt idx="12">0.53520000000000001</cx:pt>
          <cx:pt idx="13">0.71160000000000001</cx:pt>
          <cx:pt idx="14">0.75509999999999999</cx:pt>
          <cx:pt idx="15">0.45290000000000002</cx:pt>
          <cx:pt idx="16">1.6369</cx:pt>
          <cx:pt idx="17">1.2042999999999999</cx:pt>
          <cx:pt idx="18">1.6229</cx:pt>
          <cx:pt idx="19">0.53180000000000005</cx:pt>
          <cx:pt idx="20">0.45839999999999997</cx:pt>
          <cx:pt idx="21">0.62380000000000002</cx:pt>
          <cx:pt idx="22">0.5746</cx:pt>
          <cx:pt idx="23">1.1052</cx:pt>
          <cx:pt idx="24">0.7006</cx:pt>
          <cx:pt idx="25">1.1407</cx:pt>
          <cx:pt idx="26">1.5598000000000001</cx:pt>
          <cx:pt idx="27">0.69920000000000004</cx:pt>
          <cx:pt idx="28">1.5258</cx:pt>
          <cx:pt idx="29">1.3401000000000001</cx:pt>
          <cx:pt idx="30">0.79779999999999995</cx:pt>
          <cx:pt idx="31">1.4419999999999999</cx:pt>
          <cx:pt idx="32">0.9194</cx:pt>
          <cx:pt idx="33">0.49919999999999998</cx:pt>
          <cx:pt idx="34">0.66969999999999996</cx:pt>
          <cx:pt idx="35">0.92000000000000004</cx:pt>
          <cx:pt idx="36">2.2519</cx:pt>
          <cx:pt idx="37">1.8771</cx:pt>
          <cx:pt idx="38">0.62219999999999998</cx:pt>
          <cx:pt idx="39">0.9294</cx:pt>
          <cx:pt idx="40">1.3078000000000001</cx:pt>
          <cx:pt idx="41">1.1435</cx:pt>
          <cx:pt idx="42">1.1160000000000001</cx:pt>
          <cx:pt idx="43">0.7883</cx:pt>
          <cx:pt idx="44">0.9839</cx:pt>
          <cx:pt idx="45">0.5403</cx:pt>
          <cx:pt idx="46">0.62180000000000002</cx:pt>
          <cx:pt idx="47">0.58099999999999996</cx:pt>
          <cx:pt idx="48">0.50429999999999997</cx:pt>
          <cx:pt idx="49">0.50090000000000001</cx:pt>
          <cx:pt idx="50">1.4247000000000001</cx:pt>
          <cx:pt idx="51">0.41799999999999998</cx:pt>
          <cx:pt idx="52">1.0603</cx:pt>
          <cx:pt idx="53">0.76190000000000002</cx:pt>
          <cx:pt idx="54">1.1100000000000001</cx:pt>
          <cx:pt idx="55">0.99890000000000001</cx:pt>
          <cx:pt idx="56">0.84889999999999999</cx:pt>
          <cx:pt idx="57">1.1613</cx:pt>
          <cx:pt idx="58">1.5353000000000001</cx:pt>
          <cx:pt idx="59">0.93089999999999995</cx:pt>
        </cx:lvl>
      </cx:numDim>
    </cx:data>
  </cx:chartData>
  <cx:chart>
    <cx:plotArea>
      <cx:plotAreaRegion>
        <cx:series layoutId="boxWhisker" uniqueId="{2F0F7668-FC2D-4622-A6DE-08C409BCC60C}">
          <cx:tx>
            <cx:txData>
              <cx:f>'Ящик с усами гистол КРР'!$E$1</cx:f>
              <cx:v>RU</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30"/>
            <cx:dataLabelHidden idx="31"/>
            <cx:dataLabelHidden idx="33"/>
            <cx:dataLabelHidden idx="34"/>
            <cx:dataLabelHidden idx="35"/>
            <cx:dataLabelHidden idx="37"/>
            <cx:dataLabelHidden idx="38"/>
            <cx:dataLabelHidden idx="39"/>
            <cx:dataLabelHidden idx="40"/>
            <cx:dataLabelHidden idx="47"/>
            <cx:dataLabelHidden idx="48"/>
            <cx:dataLabelHidden idx="50"/>
            <cx:dataLabelHidden idx="51"/>
            <cx:dataLabelHidden idx="52"/>
            <cx:dataLabelHidden idx="71"/>
            <cx:dataLabelHidden idx="72"/>
            <cx:dataLabelHidden idx="74"/>
            <cx:dataLabelHidden idx="75"/>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97.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гистол КРР'!$A$2:$A$61</cx:f>
        <cx:lvl ptCount="60">
          <cx:pt idx="0">I</cx:pt>
          <cx:pt idx="1">I</cx:pt>
          <cx:pt idx="2">I</cx:pt>
          <cx:pt idx="3">I</cx:pt>
          <cx:pt idx="4">I</cx:pt>
          <cx:pt idx="5">I</cx:pt>
          <cx:pt idx="6">I</cx:pt>
          <cx:pt idx="7">I</cx:pt>
          <cx:pt idx="8">I</cx:pt>
          <cx:pt idx="9">I</cx:pt>
          <cx:pt idx="10">I</cx:pt>
          <cx:pt idx="11">I</cx:pt>
          <cx:pt idx="12">I</cx:pt>
          <cx:pt idx="13">I</cx:pt>
          <cx:pt idx="14">I</cx:pt>
          <cx:pt idx="15">I</cx:pt>
          <cx:pt idx="16">I</cx:pt>
          <cx:pt idx="17">I</cx:pt>
          <cx:pt idx="18">I</cx:pt>
          <cx:pt idx="19">I</cx:pt>
          <cx:pt idx="20">I</cx:pt>
          <cx:pt idx="21">I</cx:pt>
          <cx:pt idx="22">I</cx:pt>
          <cx:pt idx="23">I</cx:pt>
          <cx:pt idx="24">I</cx:pt>
          <cx:pt idx="25">I</cx:pt>
          <cx:pt idx="26">I</cx:pt>
          <cx:pt idx="27">I</cx:pt>
          <cx:pt idx="28">I</cx:pt>
          <cx:pt idx="29">I</cx:pt>
          <cx:pt idx="30">I</cx:pt>
          <cx:pt idx="31">II</cx:pt>
          <cx:pt idx="32">III</cx:pt>
          <cx:pt idx="33">III</cx:pt>
          <cx:pt idx="34">III</cx:pt>
          <cx:pt idx="35">III</cx:pt>
          <cx:pt idx="36">III</cx:pt>
          <cx:pt idx="37">III</cx:pt>
          <cx:pt idx="38">III</cx:pt>
          <cx:pt idx="39">III</cx:pt>
          <cx:pt idx="40">IV</cx:pt>
          <cx:pt idx="41">IV</cx:pt>
          <cx:pt idx="42">IV</cx:pt>
          <cx:pt idx="43">IV</cx:pt>
          <cx:pt idx="44">IV</cx:pt>
          <cx:pt idx="45">IV</cx:pt>
          <cx:pt idx="46">IV</cx:pt>
          <cx:pt idx="47">IV</cx:pt>
          <cx:pt idx="48">IV</cx:pt>
          <cx:pt idx="49">IV</cx:pt>
          <cx:pt idx="50">IV</cx:pt>
          <cx:pt idx="51">IV</cx:pt>
          <cx:pt idx="52">IV</cx:pt>
          <cx:pt idx="53">IV</cx:pt>
          <cx:pt idx="54">IV</cx:pt>
          <cx:pt idx="55">IV</cx:pt>
          <cx:pt idx="56">IV</cx:pt>
          <cx:pt idx="57">IV</cx:pt>
          <cx:pt idx="58">IV</cx:pt>
          <cx:pt idx="59">IV</cx:pt>
        </cx:lvl>
      </cx:strDim>
      <cx:numDim type="val">
        <cx:f>'Ящик с усами гистол КРР'!$F$2:$F$61</cx:f>
        <cx:lvl ptCount="60" formatCode="0,00">
          <cx:pt idx="0">1.2702</cx:pt>
          <cx:pt idx="1">1.0275000000000001</cx:pt>
          <cx:pt idx="2">1.1175999999999999</cx:pt>
          <cx:pt idx="3">0.78820000000000001</cx:pt>
          <cx:pt idx="4">0.64480000000000004</cx:pt>
          <cx:pt idx="5">0.78390000000000004</cx:pt>
          <cx:pt idx="6">1.0688</cx:pt>
          <cx:pt idx="7">0.95820000000000005</cx:pt>
          <cx:pt idx="8">0.28570000000000001</cx:pt>
          <cx:pt idx="9">0.38290000000000002</cx:pt>
          <cx:pt idx="10">0.78900000000000003</cx:pt>
          <cx:pt idx="11">0.1153</cx:pt>
          <cx:pt idx="12">0.66900000000000004</cx:pt>
          <cx:pt idx="13">0.8115</cx:pt>
          <cx:pt idx="14">1.0942000000000001</cx:pt>
          <cx:pt idx="15">0.4617</cx:pt>
          <cx:pt idx="16">0.93689999999999996</cx:pt>
          <cx:pt idx="17">1.6556999999999999</cx:pt>
          <cx:pt idx="18">1.6148</cx:pt>
          <cx:pt idx="19">0.38800000000000001</cx:pt>
          <cx:pt idx="20">0.34599999999999997</cx:pt>
          <cx:pt idx="21">0.8538</cx:pt>
          <cx:pt idx="22">0.72240000000000004</cx:pt>
          <cx:pt idx="23">1.2293000000000001</cx:pt>
          <cx:pt idx="24">0.53090000000000004</cx:pt>
          <cx:pt idx="25">1.1879</cx:pt>
          <cx:pt idx="26">1.0646</cx:pt>
          <cx:pt idx="27">0.97929999999999995</cx:pt>
          <cx:pt idx="28">0.9244</cx:pt>
          <cx:pt idx="29">0.76219999999999999</cx:pt>
          <cx:pt idx="30">0.62490000000000001</cx:pt>
          <cx:pt idx="31">1.5286</cx:pt>
          <cx:pt idx="32">0.85799999999999998</cx:pt>
          <cx:pt idx="33">0.5655</cx:pt>
          <cx:pt idx="34">0.90800000000000003</cx:pt>
          <cx:pt idx="35">0.93159999999999998</cx:pt>
          <cx:pt idx="36">0.94620000000000004</cx:pt>
          <cx:pt idx="37">2.2650000000000001</cx:pt>
          <cx:pt idx="38">0.77680000000000005</cx:pt>
          <cx:pt idx="39">1.1423000000000001</cx:pt>
          <cx:pt idx="40">0.67290000000000005</cx:pt>
          <cx:pt idx="41">0.95530000000000004</cx:pt>
          <cx:pt idx="42">0.8669</cx:pt>
          <cx:pt idx="43">1.1021000000000001</cx:pt>
          <cx:pt idx="44">0.76160000000000005</cx:pt>
          <cx:pt idx="45">0.60909999999999997</cx:pt>
          <cx:pt idx="46">0.50590000000000002</cx:pt>
          <cx:pt idx="47">0.61040000000000005</cx:pt>
          <cx:pt idx="48">0.6855</cx:pt>
          <cx:pt idx="49">0.59099999999999997</cx:pt>
          <cx:pt idx="50">1.4926999999999999</cx:pt>
          <cx:pt idx="51">0.44419999999999998</cx:pt>
          <cx:pt idx="52">0.87970000000000004</cx:pt>
          <cx:pt idx="53">0.59360000000000002</cx:pt>
          <cx:pt idx="54">1.4387000000000001</cx:pt>
          <cx:pt idx="55">1.0149999999999999</cx:pt>
          <cx:pt idx="56">0.78779999999999994</cx:pt>
          <cx:pt idx="57">1.4469000000000001</cx:pt>
          <cx:pt idx="58">1.3353999999999999</cx:pt>
          <cx:pt idx="59">0.92610000000000003</cx:pt>
        </cx:lvl>
      </cx:numDim>
    </cx:data>
  </cx:chartData>
  <cx:chart>
    <cx:plotArea>
      <cx:plotAreaRegion>
        <cx:series layoutId="boxWhisker" uniqueId="{0FAD7FF3-11F2-4484-AFD3-93E79BBA6EDE}">
          <cx:tx>
            <cx:txData>
              <cx:f>'Ящик с усами гистол КРР'!$F$1</cx:f>
              <cx:v>RLL</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30"/>
            <cx:dataLabelHidden idx="31"/>
            <cx:dataLabelHidden idx="33"/>
            <cx:dataLabelHidden idx="34"/>
            <cx:dataLabelHidden idx="35"/>
            <cx:dataLabelHidden idx="37"/>
            <cx:dataLabelHidden idx="38"/>
            <cx:dataLabelHidden idx="39"/>
            <cx:dataLabelHidden idx="40"/>
            <cx:dataLabelHidden idx="46"/>
            <cx:dataLabelHidden idx="47"/>
            <cx:dataLabelHidden idx="48"/>
            <cx:dataLabelHidden idx="50"/>
            <cx:dataLabelHidden idx="51"/>
            <cx:dataLabelHidden idx="52"/>
            <cx:dataLabelHidden idx="71"/>
            <cx:dataLabelHidden idx="72"/>
            <cx:dataLabelHidden idx="74"/>
            <cx:dataLabelHidden idx="75"/>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98.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гистол КРР'!$A$2:$A$61</cx:f>
        <cx:lvl ptCount="60">
          <cx:pt idx="0">I</cx:pt>
          <cx:pt idx="1">I</cx:pt>
          <cx:pt idx="2">I</cx:pt>
          <cx:pt idx="3">I</cx:pt>
          <cx:pt idx="4">I</cx:pt>
          <cx:pt idx="5">I</cx:pt>
          <cx:pt idx="6">I</cx:pt>
          <cx:pt idx="7">I</cx:pt>
          <cx:pt idx="8">I</cx:pt>
          <cx:pt idx="9">I</cx:pt>
          <cx:pt idx="10">I</cx:pt>
          <cx:pt idx="11">I</cx:pt>
          <cx:pt idx="12">I</cx:pt>
          <cx:pt idx="13">I</cx:pt>
          <cx:pt idx="14">I</cx:pt>
          <cx:pt idx="15">I</cx:pt>
          <cx:pt idx="16">I</cx:pt>
          <cx:pt idx="17">I</cx:pt>
          <cx:pt idx="18">I</cx:pt>
          <cx:pt idx="19">I</cx:pt>
          <cx:pt idx="20">I</cx:pt>
          <cx:pt idx="21">I</cx:pt>
          <cx:pt idx="22">I</cx:pt>
          <cx:pt idx="23">I</cx:pt>
          <cx:pt idx="24">I</cx:pt>
          <cx:pt idx="25">I</cx:pt>
          <cx:pt idx="26">I</cx:pt>
          <cx:pt idx="27">I</cx:pt>
          <cx:pt idx="28">I</cx:pt>
          <cx:pt idx="29">I</cx:pt>
          <cx:pt idx="30">I</cx:pt>
          <cx:pt idx="31">II</cx:pt>
          <cx:pt idx="32">III</cx:pt>
          <cx:pt idx="33">III</cx:pt>
          <cx:pt idx="34">III</cx:pt>
          <cx:pt idx="35">III</cx:pt>
          <cx:pt idx="36">III</cx:pt>
          <cx:pt idx="37">III</cx:pt>
          <cx:pt idx="38">III</cx:pt>
          <cx:pt idx="39">III</cx:pt>
          <cx:pt idx="40">IV</cx:pt>
          <cx:pt idx="41">IV</cx:pt>
          <cx:pt idx="42">IV</cx:pt>
          <cx:pt idx="43">IV</cx:pt>
          <cx:pt idx="44">IV</cx:pt>
          <cx:pt idx="45">IV</cx:pt>
          <cx:pt idx="46">IV</cx:pt>
          <cx:pt idx="47">IV</cx:pt>
          <cx:pt idx="48">IV</cx:pt>
          <cx:pt idx="49">IV</cx:pt>
          <cx:pt idx="50">IV</cx:pt>
          <cx:pt idx="51">IV</cx:pt>
          <cx:pt idx="52">IV</cx:pt>
          <cx:pt idx="53">IV</cx:pt>
          <cx:pt idx="54">IV</cx:pt>
          <cx:pt idx="55">IV</cx:pt>
          <cx:pt idx="56">IV</cx:pt>
          <cx:pt idx="57">IV</cx:pt>
          <cx:pt idx="58">IV</cx:pt>
          <cx:pt idx="59">IV</cx:pt>
        </cx:lvl>
      </cx:strDim>
      <cx:numDim type="val">
        <cx:f>'Ящик с усами гистол КРР'!$G$2:$G$61</cx:f>
        <cx:lvl ptCount="60" formatCode="0,00">
          <cx:pt idx="0">1.3323</cx:pt>
          <cx:pt idx="1">1.0057</cx:pt>
          <cx:pt idx="2">1.5214000000000001</cx:pt>
          <cx:pt idx="3">1.0752999999999999</cx:pt>
          <cx:pt idx="4">0.97440000000000004</cx:pt>
          <cx:pt idx="5">0.79200000000000004</cx:pt>
          <cx:pt idx="6">1.0179</cx:pt>
          <cx:pt idx="7">0.76639999999999997</cx:pt>
          <cx:pt idx="8">0.38940000000000002</cx:pt>
          <cx:pt idx="9">0.44090000000000001</cx:pt>
          <cx:pt idx="10">0.5786</cx:pt>
          <cx:pt idx="11">0.26400000000000001</cx:pt>
          <cx:pt idx="12">0.66810000000000003</cx:pt>
          <cx:pt idx="13">1.1648000000000001</cx:pt>
          <cx:pt idx="14">0.55669999999999997</cx:pt>
          <cx:pt idx="15">0.63759999999999994</cx:pt>
          <cx:pt idx="16">0.70120000000000005</cx:pt>
          <cx:pt idx="17">1.1412</cx:pt>
          <cx:pt idx="18">1.0529999999999999</cx:pt>
          <cx:pt idx="19">0.50939999999999996</cx:pt>
          <cx:pt idx="20">0.41070000000000001</cx:pt>
          <cx:pt idx="21">0.51900000000000002</cx:pt>
          <cx:pt idx="22">0.3463</cx:pt>
          <cx:pt idx="23">0.92610000000000003</cx:pt>
          <cx:pt idx="24">0.49049999999999999</cx:pt>
          <cx:pt idx="25">0.73499999999999999</cx:pt>
          <cx:pt idx="26">1.6856</cx:pt>
          <cx:pt idx="27">0.52959999999999996</cx:pt>
          <cx:pt idx="28">0.72460000000000002</cx:pt>
          <cx:pt idx="29">1.2285999999999999</cx:pt>
          <cx:pt idx="30">0.77859999999999996</cx:pt>
          <cx:pt idx="31">0.9093</cx:pt>
          <cx:pt idx="32">1.0146999999999999</cx:pt>
          <cx:pt idx="33">0.51929999999999998</cx:pt>
          <cx:pt idx="34">0.51759999999999995</cx:pt>
          <cx:pt idx="35">0.8397</cx:pt>
          <cx:pt idx="36">0.7863</cx:pt>
          <cx:pt idx="37">1.4702</cx:pt>
          <cx:pt idx="38">0.58360000000000001</cx:pt>
          <cx:pt idx="39">0.54830000000000001</cx:pt>
          <cx:pt idx="40">1.0667</cx:pt>
          <cx:pt idx="41">1.2581</cx:pt>
          <cx:pt idx="42">1.0225</cx:pt>
          <cx:pt idx="43">1.0212000000000001</cx:pt>
          <cx:pt idx="44">0.96640000000000004</cx:pt>
          <cx:pt idx="45">0.51139999999999997</cx:pt>
          <cx:pt idx="46">0.54649999999999999</cx:pt>
          <cx:pt idx="47">0.52869999999999995</cx:pt>
          <cx:pt idx="48">0.72970000000000002</cx:pt>
          <cx:pt idx="49">0.68969999999999998</cx:pt>
          <cx:pt idx="50">1.1778</cx:pt>
          <cx:pt idx="51">0.58889999999999998</cx:pt>
          <cx:pt idx="52">0.56410000000000005</cx:pt>
          <cx:pt idx="53">0.70689999999999997</cx:pt>
          <cx:pt idx="54">0.68799999999999994</cx:pt>
          <cx:pt idx="55">1.1698</cx:pt>
          <cx:pt idx="56">0.4335</cx:pt>
          <cx:pt idx="57">1.3482000000000001</cx:pt>
          <cx:pt idx="58">1.097</cx:pt>
          <cx:pt idx="59">0.66979999999999995</cx:pt>
        </cx:lvl>
      </cx:numDim>
    </cx:data>
  </cx:chartData>
  <cx:chart>
    <cx:plotArea>
      <cx:plotAreaRegion>
        <cx:series layoutId="boxWhisker" uniqueId="{3954868E-43A9-4B14-BD48-4BECE74A325A}">
          <cx:tx>
            <cx:txData>
              <cx:f>'Ящик с усами гистол КРР'!$G$1</cx:f>
              <cx:v>RRI</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30"/>
            <cx:dataLabelHidden idx="31"/>
            <cx:dataLabelHidden idx="33"/>
            <cx:dataLabelHidden idx="34"/>
            <cx:dataLabelHidden idx="35"/>
            <cx:dataLabelHidden idx="37"/>
            <cx:dataLabelHidden idx="38"/>
            <cx:dataLabelHidden idx="39"/>
            <cx:dataLabelHidden idx="40"/>
            <cx:dataLabelHidden idx="47"/>
            <cx:dataLabelHidden idx="48"/>
            <cx:dataLabelHidden idx="50"/>
            <cx:dataLabelHidden idx="51"/>
            <cx:dataLabelHidden idx="52"/>
            <cx:dataLabelHidden idx="71"/>
            <cx:dataLabelHidden idx="72"/>
            <cx:dataLabelHidden idx="74"/>
            <cx:dataLabelHidden idx="75"/>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99.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гистол КРР'!$A$2:$A$61</cx:f>
        <cx:lvl ptCount="60">
          <cx:pt idx="0">I</cx:pt>
          <cx:pt idx="1">I</cx:pt>
          <cx:pt idx="2">I</cx:pt>
          <cx:pt idx="3">I</cx:pt>
          <cx:pt idx="4">I</cx:pt>
          <cx:pt idx="5">I</cx:pt>
          <cx:pt idx="6">I</cx:pt>
          <cx:pt idx="7">I</cx:pt>
          <cx:pt idx="8">I</cx:pt>
          <cx:pt idx="9">I</cx:pt>
          <cx:pt idx="10">I</cx:pt>
          <cx:pt idx="11">I</cx:pt>
          <cx:pt idx="12">I</cx:pt>
          <cx:pt idx="13">I</cx:pt>
          <cx:pt idx="14">I</cx:pt>
          <cx:pt idx="15">I</cx:pt>
          <cx:pt idx="16">I</cx:pt>
          <cx:pt idx="17">I</cx:pt>
          <cx:pt idx="18">I</cx:pt>
          <cx:pt idx="19">I</cx:pt>
          <cx:pt idx="20">I</cx:pt>
          <cx:pt idx="21">I</cx:pt>
          <cx:pt idx="22">I</cx:pt>
          <cx:pt idx="23">I</cx:pt>
          <cx:pt idx="24">I</cx:pt>
          <cx:pt idx="25">I</cx:pt>
          <cx:pt idx="26">I</cx:pt>
          <cx:pt idx="27">I</cx:pt>
          <cx:pt idx="28">I</cx:pt>
          <cx:pt idx="29">I</cx:pt>
          <cx:pt idx="30">I</cx:pt>
          <cx:pt idx="31">II</cx:pt>
          <cx:pt idx="32">III</cx:pt>
          <cx:pt idx="33">III</cx:pt>
          <cx:pt idx="34">III</cx:pt>
          <cx:pt idx="35">III</cx:pt>
          <cx:pt idx="36">III</cx:pt>
          <cx:pt idx="37">III</cx:pt>
          <cx:pt idx="38">III</cx:pt>
          <cx:pt idx="39">III</cx:pt>
          <cx:pt idx="40">IV</cx:pt>
          <cx:pt idx="41">IV</cx:pt>
          <cx:pt idx="42">IV</cx:pt>
          <cx:pt idx="43">IV</cx:pt>
          <cx:pt idx="44">IV</cx:pt>
          <cx:pt idx="45">IV</cx:pt>
          <cx:pt idx="46">IV</cx:pt>
          <cx:pt idx="47">IV</cx:pt>
          <cx:pt idx="48">IV</cx:pt>
          <cx:pt idx="49">IV</cx:pt>
          <cx:pt idx="50">IV</cx:pt>
          <cx:pt idx="51">IV</cx:pt>
          <cx:pt idx="52">IV</cx:pt>
          <cx:pt idx="53">IV</cx:pt>
          <cx:pt idx="54">IV</cx:pt>
          <cx:pt idx="55">IV</cx:pt>
          <cx:pt idx="56">IV</cx:pt>
          <cx:pt idx="57">IV</cx:pt>
          <cx:pt idx="58">IV</cx:pt>
          <cx:pt idx="59">IV</cx:pt>
        </cx:lvl>
      </cx:strDim>
      <cx:numDim type="val">
        <cx:f>'Ящик с усами гистол КРР'!$H$2:$H$61</cx:f>
        <cx:lvl ptCount="60" formatCode="0,00">
          <cx:pt idx="0">0.90720000000000001</cx:pt>
          <cx:pt idx="1">0.82799999999999996</cx:pt>
          <cx:pt idx="2">0.86299999999999999</cx:pt>
          <cx:pt idx="3">1.2715000000000001</cx:pt>
          <cx:pt idx="4">1.0737000000000001</cx:pt>
          <cx:pt idx="5">0.63839999999999997</cx:pt>
          <cx:pt idx="6">1.4077999999999999</cx:pt>
          <cx:pt idx="7">0.60829999999999995</cx:pt>
          <cx:pt idx="8">0.50719999999999998</cx:pt>
          <cx:pt idx="9">0.53190000000000004</cx:pt>
          <cx:pt idx="10">0.84089999999999998</cx:pt>
          <cx:pt idx="11">0.3649</cx:pt>
          <cx:pt idx="12">0.52200000000000002</cx:pt>
          <cx:pt idx="13">0.92279999999999995</cx:pt>
          <cx:pt idx="14">0.88470000000000004</cx:pt>
          <cx:pt idx="15">0.61699999999999999</cx:pt>
          <cx:pt idx="16">1.2827999999999999</cx:pt>
          <cx:pt idx="17">1.1893</cx:pt>
          <cx:pt idx="18">0.95289999999999997</cx:pt>
          <cx:pt idx="19">0.53869999999999996</cx:pt>
          <cx:pt idx="20">0.69799999999999995</cx:pt>
          <cx:pt idx="21">0.75</cx:pt>
          <cx:pt idx="22">0.46939999999999998</cx:pt>
          <cx:pt idx="23">0.86680000000000001</cx:pt>
          <cx:pt idx="24">0.65539999999999998</cx:pt>
          <cx:pt idx="25">0.84889999999999999</cx:pt>
          <cx:pt idx="26">1.6477999999999999</cx:pt>
          <cx:pt idx="27">0.89139999999999997</cx:pt>
          <cx:pt idx="28">1.5969</cx:pt>
          <cx:pt idx="29">1.355</cx:pt>
          <cx:pt idx="30">1.2072000000000001</cx:pt>
          <cx:pt idx="31">1.5311999999999999</cx:pt>
          <cx:pt idx="32">0.9234</cx:pt>
          <cx:pt idx="33">0.59919999999999995</cx:pt>
          <cx:pt idx="34">0.51080000000000003</cx:pt>
          <cx:pt idx="35">0.91569999999999996</cx:pt>
          <cx:pt idx="36">1.1920999999999999</cx:pt>
          <cx:pt idx="37">3.903</cx:pt>
          <cx:pt idx="38">0.81859999999999999</cx:pt>
          <cx:pt idx="39">0.74070000000000003</cx:pt>
          <cx:pt idx="40">1.0501</cx:pt>
          <cx:pt idx="41">1.121</cx:pt>
          <cx:pt idx="42">1.0337000000000001</cx:pt>
          <cx:pt idx="43">1.4131</cx:pt>
          <cx:pt idx="44">0.95399999999999996</cx:pt>
          <cx:pt idx="45">0.55710000000000004</cx:pt>
          <cx:pt idx="46">0.81489999999999996</cx:pt>
          <cx:pt idx="47">0.80289999999999995</cx:pt>
          <cx:pt idx="48">0.58450000000000002</cx:pt>
          <cx:pt idx="49">0.72899999999999998</cx:pt>
          <cx:pt idx="50">1.2392000000000001</cx:pt>
          <cx:pt idx="51">0.59509999999999996</cx:pt>
          <cx:pt idx="52">1.1037999999999999</cx:pt>
          <cx:pt idx="53">0.74339999999999995</cx:pt>
          <cx:pt idx="54">1.1963999999999999</cx:pt>
          <cx:pt idx="55">1.3254999999999999</cx:pt>
          <cx:pt idx="56">0.81100000000000005</cx:pt>
          <cx:pt idx="57">1.4662999999999999</cx:pt>
          <cx:pt idx="58">1.7184999999999999</cx:pt>
          <cx:pt idx="59">0.95689999999999997</cx:pt>
        </cx:lvl>
      </cx:numDim>
    </cx:data>
  </cx:chartData>
  <cx:chart>
    <cx:plotArea>
      <cx:plotAreaRegion>
        <cx:series layoutId="boxWhisker" uniqueId="{2AF0CF72-B74E-441C-96F0-D2BF7E748A05}">
          <cx:tx>
            <cx:txData>
              <cx:f>'Ящик с усами гистол КРР'!$H$1</cx:f>
              <cx:v>RP</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30"/>
            <cx:dataLabelHidden idx="31"/>
            <cx:dataLabelHidden idx="33"/>
            <cx:dataLabelHidden idx="34"/>
            <cx:dataLabelHidden idx="35"/>
            <cx:dataLabelHidden idx="37"/>
            <cx:dataLabelHidden idx="38"/>
            <cx:dataLabelHidden idx="39"/>
            <cx:dataLabelHidden idx="40"/>
            <cx:dataLabelHidden idx="46"/>
            <cx:dataLabelHidden idx="47"/>
            <cx:dataLabelHidden idx="48"/>
            <cx:dataLabelHidden idx="50"/>
            <cx:dataLabelHidden idx="51"/>
            <cx:dataLabelHidden idx="52"/>
            <cx:dataLabelHidden idx="71"/>
            <cx:dataLabelHidden idx="72"/>
            <cx:dataLabelHidden idx="74"/>
            <cx:dataLabelHidden idx="75"/>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6">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rnd">
        <a:solidFill>
          <a:schemeClr val="dk1">
            <a:lumMod val="20000"/>
            <a:lumOff val="80000"/>
          </a:schemeClr>
        </a:solidFill>
        <a:round/>
      </a:ln>
    </cs:spPr>
    <cs:defRPr sz="900" kern="120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effectRef idx="1"/>
    <cs:fontRef idx="minor">
      <a:schemeClr val="dk1"/>
    </cs:fontRef>
    <cs:spPr>
      <a:ln w="9525" cap="flat" cmpd="sng" algn="ctr">
        <a:solidFill>
          <a:schemeClr val="phClr">
            <a:alpha val="70000"/>
          </a:schemeClr>
        </a:solidFill>
        <a:prstDash val="sysDot"/>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rnd">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rnd">
        <a:solidFill>
          <a:schemeClr val="dk1">
            <a:lumMod val="65000"/>
            <a:lumOff val="35000"/>
          </a:schemeClr>
        </a:solidFill>
        <a:round/>
      </a:ln>
    </cs:spPr>
  </cs:downBar>
  <cs:dropLine>
    <cs:lnRef idx="0"/>
    <cs:fillRef idx="0"/>
    <cs:effectRef idx="0"/>
    <cs:fontRef idx="minor">
      <a:schemeClr val="dk1"/>
    </cs:fontRef>
    <cs:spPr>
      <a:ln w="9525" cap="rnd">
        <a:solidFill>
          <a:schemeClr val="dk1">
            <a:lumMod val="35000"/>
            <a:lumOff val="65000"/>
          </a:schemeClr>
        </a:solidFill>
        <a:round/>
      </a:ln>
    </cs:spPr>
  </cs:dropLine>
  <cs:errorBar>
    <cs:lnRef idx="0"/>
    <cs:fillRef idx="0"/>
    <cs:effectRef idx="0"/>
    <cs:fontRef idx="minor">
      <a:schemeClr val="dk1"/>
    </cs:fontRef>
    <cs:spPr>
      <a:ln w="9525" cap="rnd">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rnd">
        <a:solidFill>
          <a:schemeClr val="dk1">
            <a:lumMod val="35000"/>
            <a:lumOff val="65000"/>
          </a:schemeClr>
        </a:solidFill>
        <a:round/>
      </a:ln>
    </cs:spPr>
  </cs:hiLoLine>
  <cs:leaderLine>
    <cs:lnRef idx="0"/>
    <cs:fillRef idx="0"/>
    <cs:effectRef idx="0"/>
    <cs:fontRef idx="minor">
      <a:schemeClr val="dk1"/>
    </cs:fontRef>
    <cs:spPr>
      <a:ln w="9525" cap="rnd">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spc="0" baseline="0"/>
  </cs:legend>
  <cs:plotArea>
    <cs:lnRef idx="0"/>
    <cs:fillRef idx="0"/>
    <cs:effectRef idx="0"/>
    <cs:fontRef idx="minor">
      <a:schemeClr val="dk1"/>
    </cs:fontRef>
    <cs:spPr>
      <a:gradFill>
        <a:gsLst>
          <a:gs pos="100000">
            <a:schemeClr val="lt1">
              <a:lumMod val="95000"/>
            </a:schemeClr>
          </a:gs>
          <a:gs pos="0">
            <a:schemeClr val="lt1">
              <a:alpha val="0"/>
            </a:schemeClr>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rnd">
        <a:solidFill>
          <a:schemeClr val="dk1">
            <a:lumMod val="20000"/>
            <a:lumOff val="80000"/>
          </a:schemeClr>
        </a:solidFill>
        <a:round/>
      </a:ln>
    </cs:spPr>
    <cs:defRPr sz="900" kern="1200"/>
  </cs:seriesAxis>
  <cs:seriesLine>
    <cs:lnRef idx="0"/>
    <cs:fillRef idx="0"/>
    <cs:effectRef idx="0"/>
    <cs:fontRef idx="minor">
      <a:schemeClr val="dk1"/>
    </cs:fontRef>
    <cs:spPr>
      <a:ln w="9525" cap="rnd">
        <a:solidFill>
          <a:schemeClr val="dk1">
            <a:lumMod val="35000"/>
            <a:lumOff val="65000"/>
          </a:schemeClr>
        </a:solidFill>
        <a:round/>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cs:spPr>
  </cs:upBar>
  <cs:valueAxis>
    <cs:lnRef idx="0"/>
    <cs:fillRef idx="0"/>
    <cs:effectRef idx="0"/>
    <cs:fontRef idx="minor">
      <a:schemeClr val="dk1">
        <a:lumMod val="65000"/>
        <a:lumOff val="35000"/>
      </a:schemeClr>
    </cs:fontRef>
    <cs:spPr>
      <a:ln w="9525" cap="rnd">
        <a:solidFill>
          <a:schemeClr val="dk1">
            <a:lumMod val="25000"/>
            <a:lumOff val="75000"/>
          </a:schemeClr>
        </a:solidFill>
        <a:round/>
      </a:ln>
    </cs:spPr>
    <cs:defRPr sz="900" kern="1200" spc="0" baseline="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0.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01.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02.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03.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04.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05.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06.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07.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08.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09.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0.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11.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12.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13.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14.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15.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16.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17.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18.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19.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0.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21.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22.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23.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24.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25.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26.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2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2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2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6.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37.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38.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39.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40.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41.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42.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43.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44.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8.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9.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1.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2.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3.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4.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5.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6.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7.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8.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9.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1.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2.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3.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4.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5.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6.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7.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8.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9.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41.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42.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43.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44.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45.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46.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47.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48.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49.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51.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52.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53.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5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4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9525" cap="rnd">
        <a:solidFill>
          <a:schemeClr val="phClr"/>
        </a:solidFill>
        <a:round/>
      </a:ln>
    </cs:spPr>
  </cs:dataPointLine>
  <cs:dataPointMarker>
    <cs:lnRef idx="0">
      <cs:styleClr val="auto"/>
    </cs:lnRef>
    <cs:fillRef idx="3">
      <cs:styleClr val="auto"/>
    </cs:fillRef>
    <cs:effectRef idx="3"/>
    <cs:fontRef idx="minor">
      <a:schemeClr val="tx1"/>
    </cs:fontRef>
    <cs:spPr>
      <a:ln w="9525" cap="rnd">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64.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65.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66.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67.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68.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69.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71.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72.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73.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74.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75.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76.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77.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78.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79.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0.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81.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82.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83.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84.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85.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86.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87.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88.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89.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0.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91.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92.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93.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94.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95.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96.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97.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98.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99.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1DD367-2E06-49E6-B9B7-16D1C8DFF4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TotalTime>
  <Pages>160</Pages>
  <Words>133124</Words>
  <Characters>758811</Characters>
  <Application>Microsoft Office Word</Application>
  <DocSecurity>0</DocSecurity>
  <Lines>6323</Lines>
  <Paragraphs>1780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890155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Амил Сулейманов</cp:lastModifiedBy>
  <cp:revision>30</cp:revision>
  <cp:lastPrinted>2024-05-23T13:28:00Z</cp:lastPrinted>
  <dcterms:created xsi:type="dcterms:W3CDTF">2024-04-12T07:21:00Z</dcterms:created>
  <dcterms:modified xsi:type="dcterms:W3CDTF">2024-05-23T13:29:00Z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zotero-version="6.0.27"&gt;&lt;session id="Ifm7WpV9"/&gt;&lt;style id="http://www.zotero.org/styles/bmc-public-health" hasBibliography="1" bibliographyStyleHasBeenSet="1"/&gt;&lt;prefs&gt;&lt;pref name="fieldType" value="Field"/&gt;&lt;pref name="delayCitationUp</vt:lpwstr>
  </property>
  <property fmtid="{D5CDD505-2E9C-101B-9397-08002B2CF9AE}" pid="3" name="ZOTERO_PREF_2">
    <vt:lpwstr>dates" value="true"/&gt;&lt;pref name="dontAskDelayCitationUpdates" value="true"/&gt;&lt;/prefs&gt;&lt;/data&gt;</vt:lpwstr>
  </property>
  <property fmtid="{D5CDD505-2E9C-101B-9397-08002B2CF9AE}" pid="4" name="GrammarlyDocumentId">
    <vt:lpwstr>25938ee9722f1972d61f91b67567d3a50c82473b3dbdf8192ed6d3def78a0fa3</vt:lpwstr>
  </property>
</Properties>
</file>